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C355C5" w:rsidRPr="00DB2303" w14:paraId="676EEDA6" w14:textId="77777777" w:rsidTr="00DB2303">
        <w:trPr>
          <w:trHeight w:val="720"/>
        </w:trPr>
        <w:tc>
          <w:tcPr>
            <w:tcW w:w="5490" w:type="dxa"/>
            <w:gridSpan w:val="2"/>
            <w:tcBorders>
              <w:bottom w:val="single" w:sz="18" w:space="0" w:color="auto"/>
            </w:tcBorders>
          </w:tcPr>
          <w:p w14:paraId="27E561F6" w14:textId="77777777" w:rsidR="00C355C5" w:rsidRPr="00DB2303" w:rsidRDefault="00C355C5" w:rsidP="00DD6ED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DB2303">
              <w:rPr>
                <w:rFonts w:ascii="Univers" w:hAnsi="Univers"/>
                <w:b/>
                <w:sz w:val="28"/>
                <w:szCs w:val="28"/>
              </w:rPr>
              <w:t>UNITED</w:t>
            </w:r>
            <w:r w:rsidRPr="00DB2303">
              <w:rPr>
                <w:rFonts w:ascii="Univers" w:hAnsi="Univers"/>
                <w:b/>
                <w:sz w:val="28"/>
                <w:szCs w:val="28"/>
              </w:rPr>
              <w:br/>
              <w:t>NATIONS</w:t>
            </w:r>
          </w:p>
        </w:tc>
        <w:tc>
          <w:tcPr>
            <w:tcW w:w="4590" w:type="dxa"/>
            <w:tcBorders>
              <w:bottom w:val="single" w:sz="18" w:space="0" w:color="auto"/>
            </w:tcBorders>
          </w:tcPr>
          <w:p w14:paraId="25EBF050" w14:textId="77777777" w:rsidR="00C355C5" w:rsidRPr="00DB2303" w:rsidRDefault="00C355C5" w:rsidP="00DD6ED9">
            <w:pPr>
              <w:jc w:val="right"/>
              <w:rPr>
                <w:sz w:val="52"/>
                <w:szCs w:val="52"/>
              </w:rPr>
            </w:pPr>
            <w:r w:rsidRPr="00DB2303">
              <w:rPr>
                <w:rFonts w:ascii="Univers Bold" w:hAnsi="Univers Bold"/>
                <w:b/>
                <w:sz w:val="72"/>
              </w:rPr>
              <w:t>EP</w:t>
            </w:r>
          </w:p>
        </w:tc>
      </w:tr>
      <w:tr w:rsidR="00C355C5" w:rsidRPr="00DB2303" w14:paraId="25BB356E" w14:textId="77777777" w:rsidTr="00DB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259FE92D" w14:textId="77777777" w:rsidR="00C355C5" w:rsidRPr="00DB2303" w:rsidRDefault="00C355C5" w:rsidP="00DD6ED9">
            <w:pPr>
              <w:spacing w:before="120"/>
            </w:pPr>
            <w:r w:rsidRPr="00DB2303">
              <w:rPr>
                <w:noProof/>
                <w:lang w:val="en-US"/>
              </w:rPr>
              <w:drawing>
                <wp:anchor distT="0" distB="0" distL="114300" distR="114300" simplePos="0" relativeHeight="251659264" behindDoc="0" locked="0" layoutInCell="1" allowOverlap="1" wp14:anchorId="260BCBE5" wp14:editId="2D99E610">
                  <wp:simplePos x="0" y="0"/>
                  <wp:positionH relativeFrom="column">
                    <wp:posOffset>19050</wp:posOffset>
                  </wp:positionH>
                  <wp:positionV relativeFrom="paragraph">
                    <wp:posOffset>823881</wp:posOffset>
                  </wp:positionV>
                  <wp:extent cx="880110" cy="776034"/>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80110" cy="776034"/>
                          </a:xfrm>
                          <a:prstGeom prst="rect">
                            <a:avLst/>
                          </a:prstGeom>
                          <a:noFill/>
                        </pic:spPr>
                      </pic:pic>
                    </a:graphicData>
                  </a:graphic>
                  <wp14:sizeRelH relativeFrom="margin">
                    <wp14:pctWidth>0</wp14:pctWidth>
                  </wp14:sizeRelH>
                  <wp14:sizeRelV relativeFrom="margin">
                    <wp14:pctHeight>0</wp14:pctHeight>
                  </wp14:sizeRelV>
                </wp:anchor>
              </w:drawing>
            </w:r>
            <w:r w:rsidRPr="00DB2303">
              <w:rPr>
                <w:noProof/>
                <w:lang w:val="en-US"/>
              </w:rPr>
              <w:drawing>
                <wp:anchor distT="0" distB="0" distL="114300" distR="114300" simplePos="0" relativeHeight="251660288" behindDoc="1" locked="0" layoutInCell="0" allowOverlap="1" wp14:anchorId="041BAD70" wp14:editId="34D948F3">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14:paraId="02C11E18" w14:textId="77777777" w:rsidR="00C355C5" w:rsidRPr="00DB2303" w:rsidRDefault="00C355C5" w:rsidP="00DD6ED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DB2303">
              <w:rPr>
                <w:rFonts w:ascii="Univers" w:hAnsi="Univers"/>
                <w:b/>
                <w:sz w:val="32"/>
              </w:rPr>
              <w:t>United Nations</w:t>
            </w:r>
          </w:p>
          <w:p w14:paraId="45AC41C8" w14:textId="77777777" w:rsidR="00C355C5" w:rsidRPr="00DB2303" w:rsidRDefault="00C355C5" w:rsidP="00DD6ED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DB2303">
              <w:rPr>
                <w:rFonts w:ascii="Univers" w:hAnsi="Univers"/>
                <w:b/>
                <w:sz w:val="32"/>
              </w:rPr>
              <w:t>Environment</w:t>
            </w:r>
          </w:p>
          <w:p w14:paraId="7C645EEF" w14:textId="77777777" w:rsidR="00C355C5" w:rsidRPr="00DB2303" w:rsidRDefault="00C355C5" w:rsidP="00DD6ED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DB2303">
              <w:rPr>
                <w:rFonts w:ascii="Univers" w:hAnsi="Univers"/>
                <w:b/>
                <w:sz w:val="32"/>
              </w:rPr>
              <w:t>Programme</w:t>
            </w:r>
          </w:p>
          <w:p w14:paraId="319B0065" w14:textId="77777777" w:rsidR="00C355C5" w:rsidRPr="00DB2303" w:rsidRDefault="00C355C5" w:rsidP="00DD6ED9">
            <w:pPr>
              <w:spacing w:before="720"/>
              <w:ind w:left="158"/>
            </w:pPr>
          </w:p>
        </w:tc>
        <w:tc>
          <w:tcPr>
            <w:tcW w:w="4590" w:type="dxa"/>
            <w:tcBorders>
              <w:top w:val="nil"/>
              <w:left w:val="nil"/>
              <w:bottom w:val="single" w:sz="36" w:space="0" w:color="auto"/>
              <w:right w:val="nil"/>
            </w:tcBorders>
          </w:tcPr>
          <w:p w14:paraId="226AE90D" w14:textId="77777777" w:rsidR="00C355C5" w:rsidRPr="00DB2303" w:rsidRDefault="00C355C5" w:rsidP="00DD6ED9">
            <w:r w:rsidRPr="00DB2303">
              <w:t>Distr.</w:t>
            </w:r>
          </w:p>
          <w:p w14:paraId="7A7B60B3" w14:textId="77777777" w:rsidR="00C355C5" w:rsidRPr="00DB2303" w:rsidRDefault="00C355C5" w:rsidP="00DD6ED9">
            <w:r w:rsidRPr="00DB2303">
              <w:t>GENERAL</w:t>
            </w:r>
          </w:p>
          <w:p w14:paraId="6A39B015" w14:textId="77777777" w:rsidR="00C355C5" w:rsidRPr="00DB2303" w:rsidRDefault="00C355C5" w:rsidP="00DD6ED9"/>
          <w:p w14:paraId="4224F59D" w14:textId="77777777" w:rsidR="00C355C5" w:rsidRPr="00DB2303" w:rsidRDefault="00C355C5" w:rsidP="00DD6ED9"/>
          <w:p w14:paraId="1EEF55AA" w14:textId="77777777" w:rsidR="00C355C5" w:rsidRPr="00DB2303" w:rsidRDefault="00B97D8C" w:rsidP="00DD6ED9">
            <w:fldSimple w:instr=" DOCPROPERTY &quot;Document number&quot;  \* MERGEFORMAT ">
              <w:r w:rsidR="00357AC8">
                <w:t>UNEP/OzL.Pro/ExCom/80/47</w:t>
              </w:r>
            </w:fldSimple>
          </w:p>
          <w:p w14:paraId="5EB61520" w14:textId="77777777" w:rsidR="00C355C5" w:rsidRPr="00DB2303" w:rsidRDefault="00C355C5" w:rsidP="00DD6ED9">
            <w:r w:rsidRPr="00DB2303">
              <w:fldChar w:fldCharType="begin"/>
            </w:r>
            <w:r w:rsidRPr="00DB2303">
              <w:instrText xml:space="preserve"> DOCPROPERTY "Revision date" \@ "d MMMM YYYY"  \* MERGEFORMAT </w:instrText>
            </w:r>
            <w:r w:rsidRPr="00DB2303">
              <w:fldChar w:fldCharType="separate"/>
            </w:r>
            <w:r w:rsidR="00C85260">
              <w:t>16 October 2017</w:t>
            </w:r>
            <w:r w:rsidRPr="00DB2303">
              <w:fldChar w:fldCharType="end"/>
            </w:r>
          </w:p>
          <w:p w14:paraId="0A555993" w14:textId="77777777" w:rsidR="00C355C5" w:rsidRPr="00DB2303" w:rsidRDefault="00C355C5" w:rsidP="00DD6ED9">
            <w:pPr>
              <w:rPr>
                <w:caps/>
              </w:rPr>
            </w:pPr>
          </w:p>
          <w:p w14:paraId="075A13EE" w14:textId="77777777" w:rsidR="00C355C5" w:rsidRPr="00DB2303" w:rsidRDefault="00C355C5" w:rsidP="00DD6ED9">
            <w:r w:rsidRPr="00DB2303">
              <w:t>ORIGINAL: ENGLISH</w:t>
            </w:r>
          </w:p>
        </w:tc>
      </w:tr>
    </w:tbl>
    <w:p w14:paraId="19FD77A2" w14:textId="77777777" w:rsidR="00C355C5" w:rsidRPr="00DB2303" w:rsidRDefault="00C355C5" w:rsidP="00C355C5">
      <w:pPr>
        <w:jc w:val="left"/>
      </w:pPr>
      <w:r w:rsidRPr="00DB2303">
        <w:t>EXECUTIVE COMMITTEE OF</w:t>
      </w:r>
      <w:r w:rsidRPr="00DB2303">
        <w:br/>
        <w:t xml:space="preserve">  THE MULTILATERAL FUND FOR THE</w:t>
      </w:r>
      <w:r w:rsidRPr="00DB2303">
        <w:br/>
        <w:t xml:space="preserve">  IMPLEMENTATION OF THE MONTREAL PROTOCOL</w:t>
      </w:r>
      <w:r w:rsidRPr="00DB2303">
        <w:br/>
      </w:r>
      <w:r w:rsidRPr="00DB2303">
        <w:rPr>
          <w:lang w:val="en-CA"/>
        </w:rPr>
        <w:t xml:space="preserve">Eightieth </w:t>
      </w:r>
      <w:r w:rsidRPr="00DB2303">
        <w:t>Meeting</w:t>
      </w:r>
    </w:p>
    <w:p w14:paraId="2BE33DF2" w14:textId="77777777" w:rsidR="00C355C5" w:rsidRPr="00DB2303" w:rsidRDefault="00C355C5" w:rsidP="00C355C5">
      <w:pPr>
        <w:jc w:val="left"/>
        <w:rPr>
          <w:lang w:val="en-CA"/>
        </w:rPr>
      </w:pPr>
      <w:r w:rsidRPr="00DB2303">
        <w:rPr>
          <w:lang w:val="en-CA"/>
        </w:rPr>
        <w:t xml:space="preserve">Montreal, </w:t>
      </w:r>
      <w:r w:rsidRPr="00DB2303">
        <w:t>13 17 November 2017</w:t>
      </w:r>
    </w:p>
    <w:p w14:paraId="47CC3A51" w14:textId="77777777" w:rsidR="00C355C5" w:rsidRPr="00DB2303" w:rsidRDefault="00C355C5" w:rsidP="00C355C5">
      <w:pPr>
        <w:jc w:val="left"/>
        <w:rPr>
          <w:lang w:val="en-US"/>
        </w:rPr>
      </w:pPr>
    </w:p>
    <w:p w14:paraId="00E60142" w14:textId="77777777" w:rsidR="00C355C5" w:rsidRPr="00DB2303" w:rsidRDefault="00C355C5" w:rsidP="00C355C5">
      <w:pPr>
        <w:pStyle w:val="Title1"/>
      </w:pPr>
    </w:p>
    <w:p w14:paraId="12CAED90" w14:textId="77777777" w:rsidR="00C355C5" w:rsidRPr="00DB2303" w:rsidRDefault="00C355C5" w:rsidP="00C355C5">
      <w:pPr>
        <w:pStyle w:val="Title1"/>
      </w:pPr>
    </w:p>
    <w:p w14:paraId="0E0863B7" w14:textId="77777777" w:rsidR="00C355C5" w:rsidRPr="00DB2303" w:rsidRDefault="00C355C5" w:rsidP="00C355C5">
      <w:pPr>
        <w:pStyle w:val="Title1"/>
      </w:pPr>
    </w:p>
    <w:p w14:paraId="72E61D82" w14:textId="77777777" w:rsidR="00C355C5" w:rsidRPr="00DB2303" w:rsidRDefault="00C355C5" w:rsidP="00C355C5">
      <w:pPr>
        <w:pStyle w:val="Title1"/>
      </w:pPr>
      <w:r w:rsidRPr="00DB2303">
        <w:t>PROJECT PROPOSAL: PERU</w:t>
      </w:r>
    </w:p>
    <w:p w14:paraId="01070B5D" w14:textId="77777777" w:rsidR="00C355C5" w:rsidRPr="00DB2303" w:rsidRDefault="00C355C5" w:rsidP="00C355C5">
      <w:pPr>
        <w:rPr>
          <w:lang w:val="en-CA"/>
        </w:rPr>
      </w:pPr>
    </w:p>
    <w:p w14:paraId="064BA5B6" w14:textId="77777777" w:rsidR="00C355C5" w:rsidRPr="00DB2303" w:rsidRDefault="00C355C5" w:rsidP="00C355C5">
      <w:pPr>
        <w:ind w:firstLine="720"/>
        <w:rPr>
          <w:lang w:val="en-CA"/>
        </w:rPr>
      </w:pPr>
      <w:r w:rsidRPr="00DB2303">
        <w:rPr>
          <w:lang w:val="en-CA"/>
        </w:rPr>
        <w:t xml:space="preserve">This document consists of the comments and recommendation of the Secretariat on the following project proposal: </w:t>
      </w:r>
    </w:p>
    <w:p w14:paraId="1F20F011" w14:textId="77777777" w:rsidR="00C355C5" w:rsidRPr="00DB2303" w:rsidRDefault="00C355C5" w:rsidP="00C355C5">
      <w:pPr>
        <w:rPr>
          <w:lang w:val="en-CA"/>
        </w:rPr>
      </w:pPr>
    </w:p>
    <w:p w14:paraId="4DA67CF2" w14:textId="77777777" w:rsidR="00C355C5" w:rsidRPr="00DB2303" w:rsidRDefault="00C355C5" w:rsidP="00C355C5">
      <w:pPr>
        <w:rPr>
          <w:u w:val="single"/>
          <w:lang w:val="en-CA"/>
        </w:rPr>
      </w:pPr>
      <w:r w:rsidRPr="00DB2303">
        <w:rPr>
          <w:u w:val="single"/>
          <w:lang w:val="en-CA"/>
        </w:rPr>
        <w:t>Phase-out</w:t>
      </w:r>
    </w:p>
    <w:p w14:paraId="07143662" w14:textId="77777777" w:rsidR="00C355C5" w:rsidRPr="00DB2303" w:rsidRDefault="00C355C5" w:rsidP="00C355C5">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3306"/>
      </w:tblGrid>
      <w:tr w:rsidR="00C355C5" w:rsidRPr="00DB2303" w14:paraId="64DB6997" w14:textId="77777777" w:rsidTr="00DD6ED9">
        <w:tc>
          <w:tcPr>
            <w:tcW w:w="5733" w:type="dxa"/>
          </w:tcPr>
          <w:p w14:paraId="2D76FCF5" w14:textId="77777777" w:rsidR="00C355C5" w:rsidRPr="00DB2303" w:rsidRDefault="00C355C5" w:rsidP="00DD6ED9">
            <w:pPr>
              <w:numPr>
                <w:ilvl w:val="0"/>
                <w:numId w:val="21"/>
              </w:numPr>
              <w:contextualSpacing/>
            </w:pPr>
            <w:r w:rsidRPr="00DB2303">
              <w:t>HCFC phase-out management plan (stage II, first tranche)</w:t>
            </w:r>
          </w:p>
        </w:tc>
        <w:tc>
          <w:tcPr>
            <w:tcW w:w="3306" w:type="dxa"/>
          </w:tcPr>
          <w:p w14:paraId="48D3150D" w14:textId="77777777" w:rsidR="00C355C5" w:rsidRPr="00DB2303" w:rsidRDefault="00C355C5" w:rsidP="00DD6ED9">
            <w:pPr>
              <w:jc w:val="right"/>
            </w:pPr>
            <w:r w:rsidRPr="00DB2303">
              <w:t>UNDP and UNEP</w:t>
            </w:r>
          </w:p>
        </w:tc>
      </w:tr>
    </w:tbl>
    <w:p w14:paraId="506EA5D7" w14:textId="77777777" w:rsidR="00C355C5" w:rsidRPr="00DB2303" w:rsidRDefault="00C355C5" w:rsidP="00C355C5">
      <w:pPr>
        <w:rPr>
          <w:lang w:val="en-CA"/>
        </w:rPr>
      </w:pPr>
    </w:p>
    <w:p w14:paraId="3FDCF6BB" w14:textId="77777777" w:rsidR="00C355C5" w:rsidRPr="00DB2303" w:rsidRDefault="00C355C5" w:rsidP="00C355C5">
      <w:pPr>
        <w:rPr>
          <w:lang w:val="en-CA"/>
        </w:rPr>
      </w:pPr>
    </w:p>
    <w:p w14:paraId="1AF244AB" w14:textId="77777777" w:rsidR="00C355C5" w:rsidRPr="00DB2303" w:rsidRDefault="00C355C5" w:rsidP="00C355C5">
      <w:pPr>
        <w:pStyle w:val="Title1"/>
      </w:pPr>
    </w:p>
    <w:p w14:paraId="5B411AB4" w14:textId="77777777" w:rsidR="00C355C5" w:rsidRPr="00DB2303" w:rsidRDefault="00C355C5" w:rsidP="00C355C5">
      <w:pPr>
        <w:pStyle w:val="Heading1"/>
        <w:numPr>
          <w:ilvl w:val="0"/>
          <w:numId w:val="0"/>
        </w:numPr>
      </w:pPr>
    </w:p>
    <w:p w14:paraId="6BAA4946" w14:textId="77777777" w:rsidR="00C355C5" w:rsidRPr="00DB2303" w:rsidRDefault="00C355C5" w:rsidP="00C355C5">
      <w:pPr>
        <w:pStyle w:val="StyleHeader4Para4Left0Firstline0"/>
        <w:numPr>
          <w:ilvl w:val="0"/>
          <w:numId w:val="0"/>
        </w:numPr>
      </w:pPr>
    </w:p>
    <w:p w14:paraId="7EC9F31E" w14:textId="77777777" w:rsidR="00C355C5" w:rsidRPr="00DB2303" w:rsidRDefault="00C355C5" w:rsidP="00C355C5">
      <w:pPr>
        <w:pStyle w:val="StyleHeader4Para4Left0Firstline0"/>
        <w:numPr>
          <w:ilvl w:val="0"/>
          <w:numId w:val="0"/>
        </w:numPr>
      </w:pPr>
      <w:r w:rsidRPr="00DB2303">
        <w:br w:type="page"/>
      </w:r>
    </w:p>
    <w:p w14:paraId="2480CD4C" w14:textId="70DDF365" w:rsidR="00C355C5" w:rsidRPr="00DB2303" w:rsidRDefault="00C355C5" w:rsidP="00C355C5">
      <w:pPr>
        <w:pStyle w:val="StyleHeader4Para4Left0Firstline0"/>
        <w:numPr>
          <w:ilvl w:val="0"/>
          <w:numId w:val="0"/>
        </w:numPr>
        <w:spacing w:after="0"/>
        <w:jc w:val="center"/>
        <w:rPr>
          <w:b/>
          <w:sz w:val="18"/>
          <w:szCs w:val="18"/>
        </w:rPr>
      </w:pPr>
      <w:r w:rsidRPr="00DB2303">
        <w:rPr>
          <w:b/>
          <w:sz w:val="18"/>
          <w:szCs w:val="18"/>
        </w:rPr>
        <w:lastRenderedPageBreak/>
        <w:t>PROJECT EVALUATION SHEET – MULTI-YEAR PROJECTS</w:t>
      </w:r>
    </w:p>
    <w:p w14:paraId="7C5098C6" w14:textId="77777777" w:rsidR="00C355C5" w:rsidRPr="00DB2303" w:rsidRDefault="00C355C5" w:rsidP="00C355C5">
      <w:pPr>
        <w:pStyle w:val="StyleHeader4Para4Left0Firstline0"/>
        <w:numPr>
          <w:ilvl w:val="0"/>
          <w:numId w:val="0"/>
        </w:numPr>
        <w:spacing w:after="80"/>
        <w:jc w:val="center"/>
        <w:rPr>
          <w:b/>
          <w:sz w:val="18"/>
          <w:szCs w:val="18"/>
        </w:rPr>
      </w:pPr>
      <w:r w:rsidRPr="00DB2303">
        <w:rPr>
          <w:b/>
          <w:sz w:val="18"/>
          <w:szCs w:val="18"/>
        </w:rPr>
        <w:t>Peru</w:t>
      </w:r>
    </w:p>
    <w:tbl>
      <w:tblPr>
        <w:tblStyle w:val="TableGrid"/>
        <w:tblW w:w="998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673"/>
        <w:gridCol w:w="5312"/>
      </w:tblGrid>
      <w:tr w:rsidR="00C355C5" w:rsidRPr="00DB2303" w14:paraId="7D0D534A" w14:textId="77777777" w:rsidTr="00F63B3A">
        <w:trPr>
          <w:trHeight w:val="240"/>
        </w:trPr>
        <w:tc>
          <w:tcPr>
            <w:tcW w:w="4673" w:type="dxa"/>
            <w:shd w:val="clear" w:color="auto" w:fill="auto"/>
          </w:tcPr>
          <w:p w14:paraId="3B01DEAA" w14:textId="77777777" w:rsidR="00C355C5" w:rsidRPr="00DB2303" w:rsidRDefault="00C355C5" w:rsidP="00DD6ED9">
            <w:pPr>
              <w:spacing w:after="80"/>
              <w:jc w:val="left"/>
              <w:rPr>
                <w:b/>
                <w:sz w:val="16"/>
                <w:szCs w:val="16"/>
                <w:lang w:val="en-CA"/>
              </w:rPr>
            </w:pPr>
            <w:r w:rsidRPr="00DB2303">
              <w:rPr>
                <w:b/>
                <w:sz w:val="16"/>
                <w:szCs w:val="16"/>
                <w:lang w:val="en-CA"/>
              </w:rPr>
              <w:t>(I) PROJECT TITLE</w:t>
            </w:r>
          </w:p>
        </w:tc>
        <w:tc>
          <w:tcPr>
            <w:tcW w:w="5312" w:type="dxa"/>
            <w:shd w:val="clear" w:color="auto" w:fill="auto"/>
          </w:tcPr>
          <w:p w14:paraId="51C7E79D" w14:textId="77777777" w:rsidR="00C355C5" w:rsidRPr="00DB2303" w:rsidRDefault="00C355C5" w:rsidP="00DD6ED9">
            <w:pPr>
              <w:spacing w:after="80"/>
              <w:ind w:right="-107"/>
              <w:jc w:val="center"/>
              <w:rPr>
                <w:b/>
                <w:sz w:val="16"/>
                <w:szCs w:val="16"/>
                <w:lang w:val="en-CA"/>
              </w:rPr>
            </w:pPr>
            <w:r w:rsidRPr="00DB2303">
              <w:rPr>
                <w:b/>
                <w:sz w:val="16"/>
                <w:szCs w:val="16"/>
                <w:lang w:val="en-CA"/>
              </w:rPr>
              <w:t>AGENCY</w:t>
            </w:r>
          </w:p>
        </w:tc>
      </w:tr>
      <w:tr w:rsidR="00C355C5" w:rsidRPr="00DB2303" w14:paraId="7ADC9AEB" w14:textId="77777777" w:rsidTr="00F63B3A">
        <w:trPr>
          <w:trHeight w:val="240"/>
        </w:trPr>
        <w:tc>
          <w:tcPr>
            <w:tcW w:w="4673" w:type="dxa"/>
            <w:shd w:val="clear" w:color="auto" w:fill="auto"/>
          </w:tcPr>
          <w:p w14:paraId="0341353F" w14:textId="77777777" w:rsidR="00C355C5" w:rsidRPr="00DB2303" w:rsidRDefault="00C355C5" w:rsidP="00357AC8">
            <w:pPr>
              <w:spacing w:after="80"/>
              <w:jc w:val="center"/>
              <w:rPr>
                <w:sz w:val="16"/>
                <w:szCs w:val="16"/>
                <w:lang w:val="en-CA"/>
              </w:rPr>
            </w:pPr>
            <w:r w:rsidRPr="00DB2303">
              <w:rPr>
                <w:sz w:val="16"/>
                <w:szCs w:val="16"/>
                <w:lang w:val="en-CA"/>
              </w:rPr>
              <w:t>HCFC phase out plan (</w:t>
            </w:r>
            <w:r w:rsidR="00357AC8">
              <w:rPr>
                <w:sz w:val="16"/>
                <w:szCs w:val="16"/>
                <w:lang w:val="en-CA"/>
              </w:rPr>
              <w:t>s</w:t>
            </w:r>
            <w:r w:rsidRPr="00DB2303">
              <w:rPr>
                <w:sz w:val="16"/>
                <w:szCs w:val="16"/>
                <w:lang w:val="en-CA"/>
              </w:rPr>
              <w:t>tage II)</w:t>
            </w:r>
          </w:p>
        </w:tc>
        <w:tc>
          <w:tcPr>
            <w:tcW w:w="5312" w:type="dxa"/>
            <w:shd w:val="clear" w:color="auto" w:fill="auto"/>
          </w:tcPr>
          <w:p w14:paraId="77A472FF" w14:textId="77777777" w:rsidR="00C355C5" w:rsidRPr="00DB2303" w:rsidRDefault="00C355C5" w:rsidP="00DD6ED9">
            <w:pPr>
              <w:spacing w:after="80"/>
              <w:jc w:val="center"/>
              <w:rPr>
                <w:sz w:val="16"/>
                <w:szCs w:val="16"/>
                <w:lang w:val="en-CA"/>
              </w:rPr>
            </w:pPr>
            <w:r w:rsidRPr="00DB2303">
              <w:rPr>
                <w:sz w:val="16"/>
                <w:szCs w:val="16"/>
                <w:lang w:val="en-CA"/>
              </w:rPr>
              <w:t>UNEP, UNDP (lead)</w:t>
            </w:r>
          </w:p>
        </w:tc>
      </w:tr>
    </w:tbl>
    <w:p w14:paraId="7C302B12" w14:textId="77777777" w:rsidR="00C355C5" w:rsidRPr="00DB2303" w:rsidRDefault="00C355C5" w:rsidP="00C355C5">
      <w:pPr>
        <w:pStyle w:val="StyleHeader4Para4Left0Firstline0"/>
        <w:numPr>
          <w:ilvl w:val="0"/>
          <w:numId w:val="0"/>
        </w:numPr>
        <w:spacing w:after="0"/>
        <w:jc w:val="center"/>
        <w:rPr>
          <w:sz w:val="16"/>
          <w:szCs w:val="16"/>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400"/>
      </w:tblGrid>
      <w:tr w:rsidR="00C355C5" w:rsidRPr="00DB2303" w14:paraId="1E63F22F" w14:textId="77777777" w:rsidTr="00DD6ED9">
        <w:trPr>
          <w:trHeight w:val="240"/>
        </w:trPr>
        <w:tc>
          <w:tcPr>
            <w:tcW w:w="5200" w:type="dxa"/>
            <w:shd w:val="clear" w:color="auto" w:fill="auto"/>
          </w:tcPr>
          <w:p w14:paraId="5EF13B90" w14:textId="77777777" w:rsidR="00C355C5" w:rsidRPr="00DB2303" w:rsidRDefault="00C355C5" w:rsidP="00DD6ED9">
            <w:pPr>
              <w:pStyle w:val="StyleHeader4Para4Left0Firstline0"/>
              <w:numPr>
                <w:ilvl w:val="0"/>
                <w:numId w:val="0"/>
              </w:numPr>
              <w:spacing w:after="60"/>
              <w:jc w:val="left"/>
              <w:rPr>
                <w:b/>
                <w:sz w:val="16"/>
                <w:szCs w:val="16"/>
              </w:rPr>
            </w:pPr>
            <w:r w:rsidRPr="00DB2303">
              <w:rPr>
                <w:b/>
                <w:sz w:val="16"/>
                <w:szCs w:val="16"/>
              </w:rPr>
              <w:t>(II) LATEST ARTICLE 7 DATA (Annex C Group l)</w:t>
            </w:r>
          </w:p>
        </w:tc>
        <w:tc>
          <w:tcPr>
            <w:tcW w:w="2400" w:type="dxa"/>
            <w:shd w:val="clear" w:color="auto" w:fill="auto"/>
          </w:tcPr>
          <w:p w14:paraId="6786DE0C" w14:textId="77777777" w:rsidR="00C355C5" w:rsidRPr="00DB2303" w:rsidRDefault="00C355C5" w:rsidP="00DD6ED9">
            <w:pPr>
              <w:pStyle w:val="StyleHeader4Para4Left0Firstline0"/>
              <w:numPr>
                <w:ilvl w:val="0"/>
                <w:numId w:val="0"/>
              </w:numPr>
              <w:spacing w:after="60"/>
              <w:jc w:val="center"/>
              <w:rPr>
                <w:sz w:val="16"/>
                <w:szCs w:val="16"/>
              </w:rPr>
            </w:pPr>
            <w:r w:rsidRPr="00DB2303">
              <w:rPr>
                <w:sz w:val="16"/>
                <w:szCs w:val="16"/>
              </w:rPr>
              <w:t>Year: 2016</w:t>
            </w:r>
          </w:p>
        </w:tc>
        <w:tc>
          <w:tcPr>
            <w:tcW w:w="2400" w:type="dxa"/>
            <w:shd w:val="clear" w:color="auto" w:fill="auto"/>
          </w:tcPr>
          <w:p w14:paraId="3C01714A" w14:textId="77777777" w:rsidR="00C355C5" w:rsidRPr="00DB2303" w:rsidRDefault="00C355C5" w:rsidP="00DD6ED9">
            <w:pPr>
              <w:pStyle w:val="StyleHeader4Para4Left0Firstline0"/>
              <w:numPr>
                <w:ilvl w:val="0"/>
                <w:numId w:val="0"/>
              </w:numPr>
              <w:spacing w:after="60"/>
              <w:jc w:val="right"/>
              <w:rPr>
                <w:sz w:val="16"/>
                <w:szCs w:val="16"/>
              </w:rPr>
            </w:pPr>
            <w:r w:rsidRPr="00DB2303">
              <w:rPr>
                <w:sz w:val="16"/>
                <w:szCs w:val="16"/>
              </w:rPr>
              <w:t>22.2</w:t>
            </w:r>
            <w:r w:rsidR="00357AC8">
              <w:rPr>
                <w:sz w:val="16"/>
                <w:szCs w:val="16"/>
              </w:rPr>
              <w:t>1</w:t>
            </w:r>
            <w:r w:rsidRPr="00DB2303">
              <w:rPr>
                <w:sz w:val="16"/>
                <w:szCs w:val="16"/>
              </w:rPr>
              <w:t xml:space="preserve"> (ODP tonnes)</w:t>
            </w:r>
          </w:p>
        </w:tc>
        <w:bookmarkStart w:id="0" w:name="_GoBack"/>
        <w:bookmarkEnd w:id="0"/>
      </w:tr>
    </w:tbl>
    <w:p w14:paraId="7B4EC7CB" w14:textId="77777777" w:rsidR="00C355C5" w:rsidRPr="00DB2303" w:rsidRDefault="00C355C5" w:rsidP="00C355C5">
      <w:pPr>
        <w:pStyle w:val="StyleHeader4Para4Left0Firstline0"/>
        <w:numPr>
          <w:ilvl w:val="0"/>
          <w:numId w:val="0"/>
        </w:numPr>
        <w:spacing w:after="0"/>
        <w:jc w:val="center"/>
        <w:rPr>
          <w:sz w:val="16"/>
          <w:szCs w:val="16"/>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00"/>
        <w:gridCol w:w="733"/>
        <w:gridCol w:w="589"/>
        <w:gridCol w:w="1035"/>
        <w:gridCol w:w="1183"/>
        <w:gridCol w:w="841"/>
        <w:gridCol w:w="715"/>
        <w:gridCol w:w="1107"/>
        <w:gridCol w:w="729"/>
        <w:gridCol w:w="1868"/>
      </w:tblGrid>
      <w:tr w:rsidR="00C355C5" w:rsidRPr="00DB2303" w14:paraId="19ED32C8" w14:textId="77777777" w:rsidTr="00DD6ED9">
        <w:trPr>
          <w:trHeight w:val="240"/>
        </w:trPr>
        <w:tc>
          <w:tcPr>
            <w:tcW w:w="0" w:type="auto"/>
            <w:gridSpan w:val="8"/>
            <w:shd w:val="clear" w:color="auto" w:fill="auto"/>
          </w:tcPr>
          <w:p w14:paraId="1853A4F8" w14:textId="77777777" w:rsidR="00C355C5" w:rsidRPr="00DB2303" w:rsidRDefault="00C355C5" w:rsidP="00DD6ED9">
            <w:pPr>
              <w:pStyle w:val="StyleHeader4Para4Left0Firstline0"/>
              <w:numPr>
                <w:ilvl w:val="0"/>
                <w:numId w:val="0"/>
              </w:numPr>
              <w:spacing w:after="60"/>
              <w:jc w:val="left"/>
              <w:rPr>
                <w:b/>
                <w:sz w:val="16"/>
                <w:szCs w:val="16"/>
              </w:rPr>
            </w:pPr>
            <w:r w:rsidRPr="00DB2303">
              <w:rPr>
                <w:b/>
                <w:sz w:val="16"/>
                <w:szCs w:val="16"/>
              </w:rPr>
              <w:t>(III) LATEST COUNTRY PROGRAMME SECTORAL DATA (ODP tonnes)</w:t>
            </w:r>
          </w:p>
        </w:tc>
        <w:tc>
          <w:tcPr>
            <w:tcW w:w="0" w:type="auto"/>
            <w:gridSpan w:val="2"/>
            <w:shd w:val="clear" w:color="auto" w:fill="auto"/>
          </w:tcPr>
          <w:p w14:paraId="5BEC7910" w14:textId="77777777" w:rsidR="00C355C5" w:rsidRPr="00DB2303" w:rsidRDefault="00C355C5" w:rsidP="00DD6ED9">
            <w:pPr>
              <w:pStyle w:val="StyleHeader4Para4Left0Firstline0"/>
              <w:numPr>
                <w:ilvl w:val="0"/>
                <w:numId w:val="0"/>
              </w:numPr>
              <w:spacing w:after="60"/>
              <w:jc w:val="right"/>
              <w:rPr>
                <w:b/>
                <w:sz w:val="16"/>
                <w:szCs w:val="16"/>
              </w:rPr>
            </w:pPr>
            <w:r w:rsidRPr="00DB2303">
              <w:rPr>
                <w:b/>
                <w:sz w:val="16"/>
                <w:szCs w:val="16"/>
              </w:rPr>
              <w:t>Year: 2016</w:t>
            </w:r>
          </w:p>
        </w:tc>
      </w:tr>
      <w:tr w:rsidR="00C355C5" w:rsidRPr="00DB2303" w14:paraId="781276EB" w14:textId="77777777" w:rsidTr="00DD6ED9">
        <w:trPr>
          <w:trHeight w:val="240"/>
        </w:trPr>
        <w:tc>
          <w:tcPr>
            <w:tcW w:w="0" w:type="auto"/>
            <w:shd w:val="clear" w:color="auto" w:fill="auto"/>
          </w:tcPr>
          <w:p w14:paraId="3BC1DF93" w14:textId="77777777" w:rsidR="00C355C5" w:rsidRPr="00DB2303" w:rsidRDefault="00C355C5" w:rsidP="00DD6ED9">
            <w:pPr>
              <w:pStyle w:val="StyleHeader4Para4Left0Firstline0"/>
              <w:numPr>
                <w:ilvl w:val="0"/>
                <w:numId w:val="0"/>
              </w:numPr>
              <w:spacing w:after="60"/>
              <w:jc w:val="center"/>
              <w:rPr>
                <w:sz w:val="16"/>
                <w:szCs w:val="16"/>
              </w:rPr>
            </w:pPr>
            <w:r w:rsidRPr="00DB2303">
              <w:rPr>
                <w:sz w:val="16"/>
                <w:szCs w:val="16"/>
              </w:rPr>
              <w:t>Chemical</w:t>
            </w:r>
          </w:p>
        </w:tc>
        <w:tc>
          <w:tcPr>
            <w:tcW w:w="0" w:type="auto"/>
            <w:shd w:val="clear" w:color="auto" w:fill="auto"/>
          </w:tcPr>
          <w:p w14:paraId="17AAD7BB" w14:textId="77777777" w:rsidR="00C355C5" w:rsidRPr="00DB2303" w:rsidRDefault="00C355C5" w:rsidP="00DD6ED9">
            <w:pPr>
              <w:pStyle w:val="StyleHeader4Para4Left0Firstline0"/>
              <w:numPr>
                <w:ilvl w:val="0"/>
                <w:numId w:val="0"/>
              </w:numPr>
              <w:spacing w:after="60"/>
              <w:jc w:val="center"/>
              <w:rPr>
                <w:sz w:val="16"/>
                <w:szCs w:val="16"/>
              </w:rPr>
            </w:pPr>
            <w:r w:rsidRPr="00DB2303">
              <w:rPr>
                <w:sz w:val="16"/>
                <w:szCs w:val="16"/>
              </w:rPr>
              <w:t>Aerosol</w:t>
            </w:r>
          </w:p>
        </w:tc>
        <w:tc>
          <w:tcPr>
            <w:tcW w:w="0" w:type="auto"/>
            <w:shd w:val="clear" w:color="auto" w:fill="auto"/>
          </w:tcPr>
          <w:p w14:paraId="1022E5CC" w14:textId="77777777" w:rsidR="00C355C5" w:rsidRPr="00DB2303" w:rsidRDefault="00C355C5" w:rsidP="00DD6ED9">
            <w:pPr>
              <w:pStyle w:val="StyleHeader4Para4Left0Firstline0"/>
              <w:numPr>
                <w:ilvl w:val="0"/>
                <w:numId w:val="0"/>
              </w:numPr>
              <w:spacing w:after="60"/>
              <w:jc w:val="center"/>
              <w:rPr>
                <w:sz w:val="16"/>
                <w:szCs w:val="16"/>
              </w:rPr>
            </w:pPr>
            <w:r w:rsidRPr="00DB2303">
              <w:rPr>
                <w:sz w:val="16"/>
                <w:szCs w:val="16"/>
              </w:rPr>
              <w:t>Foam</w:t>
            </w:r>
          </w:p>
        </w:tc>
        <w:tc>
          <w:tcPr>
            <w:tcW w:w="0" w:type="auto"/>
            <w:shd w:val="clear" w:color="auto" w:fill="auto"/>
          </w:tcPr>
          <w:p w14:paraId="25D673D1" w14:textId="77777777" w:rsidR="00C355C5" w:rsidRPr="00DB2303" w:rsidRDefault="00C355C5" w:rsidP="00DD6ED9">
            <w:pPr>
              <w:pStyle w:val="StyleHeader4Para4Left0Firstline0"/>
              <w:numPr>
                <w:ilvl w:val="0"/>
                <w:numId w:val="0"/>
              </w:numPr>
              <w:spacing w:after="60"/>
              <w:jc w:val="center"/>
              <w:rPr>
                <w:sz w:val="16"/>
                <w:szCs w:val="16"/>
              </w:rPr>
            </w:pPr>
            <w:r w:rsidRPr="00DB2303">
              <w:rPr>
                <w:sz w:val="16"/>
                <w:szCs w:val="16"/>
              </w:rPr>
              <w:t>Fire fighting</w:t>
            </w:r>
          </w:p>
        </w:tc>
        <w:tc>
          <w:tcPr>
            <w:tcW w:w="0" w:type="auto"/>
            <w:gridSpan w:val="2"/>
            <w:shd w:val="clear" w:color="auto" w:fill="auto"/>
          </w:tcPr>
          <w:p w14:paraId="2F25CEF3" w14:textId="77777777" w:rsidR="00C355C5" w:rsidRPr="00DB2303" w:rsidRDefault="00C355C5" w:rsidP="00DD6ED9">
            <w:pPr>
              <w:pStyle w:val="StyleHeader4Para4Left0Firstline0"/>
              <w:numPr>
                <w:ilvl w:val="0"/>
                <w:numId w:val="0"/>
              </w:numPr>
              <w:spacing w:after="60"/>
              <w:jc w:val="center"/>
              <w:rPr>
                <w:sz w:val="16"/>
                <w:szCs w:val="16"/>
              </w:rPr>
            </w:pPr>
            <w:r w:rsidRPr="00DB2303">
              <w:rPr>
                <w:sz w:val="16"/>
                <w:szCs w:val="16"/>
              </w:rPr>
              <w:t>Refrigeration</w:t>
            </w:r>
          </w:p>
        </w:tc>
        <w:tc>
          <w:tcPr>
            <w:tcW w:w="0" w:type="auto"/>
            <w:shd w:val="clear" w:color="auto" w:fill="auto"/>
          </w:tcPr>
          <w:p w14:paraId="588118B1" w14:textId="77777777" w:rsidR="00C355C5" w:rsidRPr="00DB2303" w:rsidRDefault="00C355C5" w:rsidP="00DD6ED9">
            <w:pPr>
              <w:pStyle w:val="StyleHeader4Para4Left0Firstline0"/>
              <w:numPr>
                <w:ilvl w:val="0"/>
                <w:numId w:val="0"/>
              </w:numPr>
              <w:spacing w:after="60"/>
              <w:jc w:val="center"/>
              <w:rPr>
                <w:sz w:val="16"/>
                <w:szCs w:val="16"/>
              </w:rPr>
            </w:pPr>
            <w:r w:rsidRPr="00DB2303">
              <w:rPr>
                <w:sz w:val="16"/>
                <w:szCs w:val="16"/>
              </w:rPr>
              <w:t>Solvent</w:t>
            </w:r>
          </w:p>
        </w:tc>
        <w:tc>
          <w:tcPr>
            <w:tcW w:w="0" w:type="auto"/>
            <w:shd w:val="clear" w:color="auto" w:fill="auto"/>
          </w:tcPr>
          <w:p w14:paraId="6B9D2506" w14:textId="77777777" w:rsidR="00C355C5" w:rsidRPr="00DB2303" w:rsidRDefault="00C355C5" w:rsidP="00DD6ED9">
            <w:pPr>
              <w:pStyle w:val="StyleHeader4Para4Left0Firstline0"/>
              <w:numPr>
                <w:ilvl w:val="0"/>
                <w:numId w:val="0"/>
              </w:numPr>
              <w:spacing w:after="60"/>
              <w:jc w:val="center"/>
              <w:rPr>
                <w:sz w:val="16"/>
                <w:szCs w:val="16"/>
              </w:rPr>
            </w:pPr>
            <w:r w:rsidRPr="00DB2303">
              <w:rPr>
                <w:sz w:val="16"/>
                <w:szCs w:val="16"/>
              </w:rPr>
              <w:t>Process agent</w:t>
            </w:r>
          </w:p>
        </w:tc>
        <w:tc>
          <w:tcPr>
            <w:tcW w:w="0" w:type="auto"/>
            <w:shd w:val="clear" w:color="auto" w:fill="auto"/>
          </w:tcPr>
          <w:p w14:paraId="06A25882" w14:textId="77777777" w:rsidR="00C355C5" w:rsidRPr="00DB2303" w:rsidRDefault="00C355C5" w:rsidP="00DD6ED9">
            <w:pPr>
              <w:pStyle w:val="StyleHeader4Para4Left0Firstline0"/>
              <w:numPr>
                <w:ilvl w:val="0"/>
                <w:numId w:val="0"/>
              </w:numPr>
              <w:spacing w:after="60"/>
              <w:jc w:val="center"/>
              <w:rPr>
                <w:sz w:val="16"/>
                <w:szCs w:val="16"/>
              </w:rPr>
            </w:pPr>
            <w:r w:rsidRPr="00DB2303">
              <w:rPr>
                <w:sz w:val="16"/>
                <w:szCs w:val="16"/>
              </w:rPr>
              <w:t>Lab use</w:t>
            </w:r>
          </w:p>
        </w:tc>
        <w:tc>
          <w:tcPr>
            <w:tcW w:w="0" w:type="auto"/>
            <w:shd w:val="clear" w:color="auto" w:fill="auto"/>
          </w:tcPr>
          <w:p w14:paraId="1D2A3A7C" w14:textId="77777777" w:rsidR="00C355C5" w:rsidRPr="00DB2303" w:rsidRDefault="00C355C5" w:rsidP="00DD6ED9">
            <w:pPr>
              <w:pStyle w:val="StyleHeader4Para4Left0Firstline0"/>
              <w:numPr>
                <w:ilvl w:val="0"/>
                <w:numId w:val="0"/>
              </w:numPr>
              <w:spacing w:after="60"/>
              <w:jc w:val="center"/>
              <w:rPr>
                <w:sz w:val="16"/>
                <w:szCs w:val="16"/>
              </w:rPr>
            </w:pPr>
            <w:r w:rsidRPr="00DB2303">
              <w:rPr>
                <w:sz w:val="16"/>
                <w:szCs w:val="16"/>
              </w:rPr>
              <w:t>Total sector consumption</w:t>
            </w:r>
          </w:p>
        </w:tc>
      </w:tr>
      <w:tr w:rsidR="00C355C5" w:rsidRPr="00DB2303" w14:paraId="2EDFF2B2" w14:textId="77777777" w:rsidTr="00DD6ED9">
        <w:trPr>
          <w:trHeight w:val="240"/>
        </w:trPr>
        <w:tc>
          <w:tcPr>
            <w:tcW w:w="0" w:type="auto"/>
            <w:gridSpan w:val="4"/>
            <w:shd w:val="clear" w:color="auto" w:fill="auto"/>
          </w:tcPr>
          <w:p w14:paraId="77690755" w14:textId="77777777" w:rsidR="00C355C5" w:rsidRPr="00DB2303" w:rsidRDefault="00C355C5" w:rsidP="00DD6ED9">
            <w:pPr>
              <w:pStyle w:val="StyleHeader4Para4Left0Firstline0"/>
              <w:numPr>
                <w:ilvl w:val="0"/>
                <w:numId w:val="0"/>
              </w:numPr>
              <w:spacing w:after="60"/>
              <w:jc w:val="center"/>
              <w:rPr>
                <w:sz w:val="16"/>
                <w:szCs w:val="16"/>
              </w:rPr>
            </w:pPr>
            <w:r w:rsidRPr="00DB2303">
              <w:rPr>
                <w:sz w:val="16"/>
                <w:szCs w:val="16"/>
              </w:rPr>
              <w:t xml:space="preserve"> </w:t>
            </w:r>
          </w:p>
        </w:tc>
        <w:tc>
          <w:tcPr>
            <w:tcW w:w="0" w:type="auto"/>
            <w:shd w:val="clear" w:color="auto" w:fill="auto"/>
          </w:tcPr>
          <w:p w14:paraId="134B52B9" w14:textId="77777777" w:rsidR="00C355C5" w:rsidRPr="00DB2303" w:rsidRDefault="00C355C5" w:rsidP="00DD6ED9">
            <w:pPr>
              <w:pStyle w:val="StyleHeader4Para4Left0Firstline0"/>
              <w:numPr>
                <w:ilvl w:val="0"/>
                <w:numId w:val="0"/>
              </w:numPr>
              <w:spacing w:after="60"/>
              <w:jc w:val="center"/>
              <w:rPr>
                <w:sz w:val="16"/>
                <w:szCs w:val="16"/>
              </w:rPr>
            </w:pPr>
            <w:r w:rsidRPr="00DB2303">
              <w:rPr>
                <w:sz w:val="16"/>
                <w:szCs w:val="16"/>
              </w:rPr>
              <w:t>Manufacturing</w:t>
            </w:r>
          </w:p>
        </w:tc>
        <w:tc>
          <w:tcPr>
            <w:tcW w:w="0" w:type="auto"/>
            <w:shd w:val="clear" w:color="auto" w:fill="auto"/>
          </w:tcPr>
          <w:p w14:paraId="4BB14D03" w14:textId="77777777" w:rsidR="00C355C5" w:rsidRPr="00DB2303" w:rsidRDefault="00C355C5" w:rsidP="00DD6ED9">
            <w:pPr>
              <w:pStyle w:val="StyleHeader4Para4Left0Firstline0"/>
              <w:numPr>
                <w:ilvl w:val="0"/>
                <w:numId w:val="0"/>
              </w:numPr>
              <w:spacing w:after="60"/>
              <w:jc w:val="center"/>
              <w:rPr>
                <w:sz w:val="16"/>
                <w:szCs w:val="16"/>
              </w:rPr>
            </w:pPr>
            <w:r w:rsidRPr="00DB2303">
              <w:rPr>
                <w:sz w:val="16"/>
                <w:szCs w:val="16"/>
              </w:rPr>
              <w:t>Servicing</w:t>
            </w:r>
          </w:p>
        </w:tc>
        <w:tc>
          <w:tcPr>
            <w:tcW w:w="0" w:type="auto"/>
            <w:gridSpan w:val="4"/>
            <w:shd w:val="clear" w:color="auto" w:fill="auto"/>
          </w:tcPr>
          <w:p w14:paraId="6BE442B4" w14:textId="77777777" w:rsidR="00C355C5" w:rsidRPr="00DB2303" w:rsidRDefault="00C355C5" w:rsidP="00DD6ED9">
            <w:pPr>
              <w:pStyle w:val="StyleHeader4Para4Left0Firstline0"/>
              <w:numPr>
                <w:ilvl w:val="0"/>
                <w:numId w:val="0"/>
              </w:numPr>
              <w:spacing w:after="60"/>
              <w:jc w:val="center"/>
              <w:rPr>
                <w:sz w:val="16"/>
                <w:szCs w:val="16"/>
              </w:rPr>
            </w:pPr>
          </w:p>
        </w:tc>
      </w:tr>
      <w:tr w:rsidR="00C355C5" w:rsidRPr="00DB2303" w14:paraId="223459AC" w14:textId="77777777" w:rsidTr="00DD6ED9">
        <w:trPr>
          <w:trHeight w:val="240"/>
        </w:trPr>
        <w:tc>
          <w:tcPr>
            <w:tcW w:w="1200" w:type="dxa"/>
            <w:shd w:val="clear" w:color="auto" w:fill="auto"/>
          </w:tcPr>
          <w:p w14:paraId="606E6184" w14:textId="77777777" w:rsidR="00C355C5" w:rsidRPr="00DB2303" w:rsidRDefault="00C355C5" w:rsidP="00DD6ED9">
            <w:pPr>
              <w:pStyle w:val="StyleHeader4Para4Left0Firstline0"/>
              <w:numPr>
                <w:ilvl w:val="0"/>
                <w:numId w:val="0"/>
              </w:numPr>
              <w:spacing w:after="60"/>
              <w:jc w:val="left"/>
              <w:rPr>
                <w:sz w:val="16"/>
                <w:szCs w:val="16"/>
              </w:rPr>
            </w:pPr>
            <w:r w:rsidRPr="00DB2303">
              <w:rPr>
                <w:sz w:val="16"/>
                <w:szCs w:val="16"/>
              </w:rPr>
              <w:t>HCFC-124</w:t>
            </w:r>
          </w:p>
        </w:tc>
        <w:tc>
          <w:tcPr>
            <w:tcW w:w="0" w:type="auto"/>
            <w:shd w:val="clear" w:color="auto" w:fill="auto"/>
          </w:tcPr>
          <w:p w14:paraId="059FF067"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63D66506"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32EE8D91"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04B9CD38"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67029324" w14:textId="77777777" w:rsidR="00C355C5" w:rsidRPr="00DB2303" w:rsidRDefault="00C355C5" w:rsidP="00DD6ED9">
            <w:pPr>
              <w:pStyle w:val="StyleHeader4Para4Left0Firstline0"/>
              <w:numPr>
                <w:ilvl w:val="0"/>
                <w:numId w:val="0"/>
              </w:numPr>
              <w:spacing w:after="60"/>
              <w:jc w:val="right"/>
              <w:rPr>
                <w:sz w:val="16"/>
                <w:szCs w:val="16"/>
              </w:rPr>
            </w:pPr>
            <w:r w:rsidRPr="00DB2303">
              <w:rPr>
                <w:sz w:val="16"/>
                <w:szCs w:val="16"/>
              </w:rPr>
              <w:t>0.0</w:t>
            </w:r>
          </w:p>
        </w:tc>
        <w:tc>
          <w:tcPr>
            <w:tcW w:w="0" w:type="auto"/>
            <w:shd w:val="clear" w:color="auto" w:fill="auto"/>
          </w:tcPr>
          <w:p w14:paraId="68D3B5F3"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1CF81E5F"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75B1D5FC"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426B1C95" w14:textId="77777777" w:rsidR="00C355C5" w:rsidRPr="00DB2303" w:rsidRDefault="00C355C5" w:rsidP="00DD6ED9">
            <w:pPr>
              <w:pStyle w:val="StyleHeader4Para4Left0Firstline0"/>
              <w:numPr>
                <w:ilvl w:val="0"/>
                <w:numId w:val="0"/>
              </w:numPr>
              <w:spacing w:after="60"/>
              <w:jc w:val="right"/>
              <w:rPr>
                <w:sz w:val="16"/>
                <w:szCs w:val="16"/>
              </w:rPr>
            </w:pPr>
            <w:r w:rsidRPr="00DB2303">
              <w:rPr>
                <w:sz w:val="16"/>
                <w:szCs w:val="16"/>
              </w:rPr>
              <w:t>0.0</w:t>
            </w:r>
          </w:p>
        </w:tc>
      </w:tr>
      <w:tr w:rsidR="00C355C5" w:rsidRPr="00DB2303" w14:paraId="13CD2463" w14:textId="77777777" w:rsidTr="00DD6ED9">
        <w:trPr>
          <w:trHeight w:val="240"/>
        </w:trPr>
        <w:tc>
          <w:tcPr>
            <w:tcW w:w="1200" w:type="dxa"/>
            <w:shd w:val="clear" w:color="auto" w:fill="auto"/>
          </w:tcPr>
          <w:p w14:paraId="4D60D148" w14:textId="77777777" w:rsidR="00C355C5" w:rsidRPr="00DB2303" w:rsidRDefault="00C355C5" w:rsidP="00DD6ED9">
            <w:pPr>
              <w:pStyle w:val="StyleHeader4Para4Left0Firstline0"/>
              <w:numPr>
                <w:ilvl w:val="0"/>
                <w:numId w:val="0"/>
              </w:numPr>
              <w:spacing w:after="60"/>
              <w:jc w:val="left"/>
              <w:rPr>
                <w:sz w:val="16"/>
                <w:szCs w:val="16"/>
              </w:rPr>
            </w:pPr>
            <w:r w:rsidRPr="00DB2303">
              <w:rPr>
                <w:sz w:val="16"/>
                <w:szCs w:val="16"/>
              </w:rPr>
              <w:t>HCFC-141b</w:t>
            </w:r>
          </w:p>
        </w:tc>
        <w:tc>
          <w:tcPr>
            <w:tcW w:w="0" w:type="auto"/>
            <w:shd w:val="clear" w:color="auto" w:fill="auto"/>
          </w:tcPr>
          <w:p w14:paraId="1649A108"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21B37CA3"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7DC12CB0"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76DC53F8"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7D8E50FE" w14:textId="77777777" w:rsidR="00C355C5" w:rsidRPr="00DB2303" w:rsidRDefault="00C355C5" w:rsidP="00DD6ED9">
            <w:pPr>
              <w:pStyle w:val="StyleHeader4Para4Left0Firstline0"/>
              <w:numPr>
                <w:ilvl w:val="0"/>
                <w:numId w:val="0"/>
              </w:numPr>
              <w:spacing w:after="60"/>
              <w:jc w:val="right"/>
              <w:rPr>
                <w:sz w:val="16"/>
                <w:szCs w:val="16"/>
              </w:rPr>
            </w:pPr>
            <w:r w:rsidRPr="00DB2303">
              <w:rPr>
                <w:sz w:val="16"/>
                <w:szCs w:val="16"/>
              </w:rPr>
              <w:t>1.4</w:t>
            </w:r>
          </w:p>
        </w:tc>
        <w:tc>
          <w:tcPr>
            <w:tcW w:w="0" w:type="auto"/>
            <w:shd w:val="clear" w:color="auto" w:fill="auto"/>
          </w:tcPr>
          <w:p w14:paraId="57C622DF"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6734B5ED"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6C343B08"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2AC99E5D" w14:textId="77777777" w:rsidR="00C355C5" w:rsidRPr="00DB2303" w:rsidRDefault="00C355C5" w:rsidP="00DD6ED9">
            <w:pPr>
              <w:pStyle w:val="StyleHeader4Para4Left0Firstline0"/>
              <w:numPr>
                <w:ilvl w:val="0"/>
                <w:numId w:val="0"/>
              </w:numPr>
              <w:spacing w:after="60"/>
              <w:jc w:val="right"/>
              <w:rPr>
                <w:sz w:val="16"/>
                <w:szCs w:val="16"/>
              </w:rPr>
            </w:pPr>
            <w:r w:rsidRPr="00DB2303">
              <w:rPr>
                <w:sz w:val="16"/>
                <w:szCs w:val="16"/>
              </w:rPr>
              <w:t>1.4</w:t>
            </w:r>
          </w:p>
        </w:tc>
      </w:tr>
      <w:tr w:rsidR="00C355C5" w:rsidRPr="00DB2303" w14:paraId="410B9788" w14:textId="77777777" w:rsidTr="00DD6ED9">
        <w:trPr>
          <w:trHeight w:val="800"/>
        </w:trPr>
        <w:tc>
          <w:tcPr>
            <w:tcW w:w="1200" w:type="dxa"/>
            <w:shd w:val="clear" w:color="auto" w:fill="auto"/>
          </w:tcPr>
          <w:p w14:paraId="3FF9B232" w14:textId="77777777" w:rsidR="00C355C5" w:rsidRPr="00DB2303" w:rsidRDefault="00C355C5" w:rsidP="00DD6ED9">
            <w:pPr>
              <w:pStyle w:val="StyleHeader4Para4Left0Firstline0"/>
              <w:numPr>
                <w:ilvl w:val="0"/>
                <w:numId w:val="0"/>
              </w:numPr>
              <w:spacing w:after="60"/>
              <w:jc w:val="left"/>
              <w:rPr>
                <w:sz w:val="16"/>
                <w:szCs w:val="16"/>
              </w:rPr>
            </w:pPr>
            <w:r w:rsidRPr="00DB2303">
              <w:rPr>
                <w:sz w:val="16"/>
                <w:szCs w:val="16"/>
              </w:rPr>
              <w:t>HCFC-141b in Imported Pre-blended Polyol</w:t>
            </w:r>
          </w:p>
        </w:tc>
        <w:tc>
          <w:tcPr>
            <w:tcW w:w="0" w:type="auto"/>
            <w:shd w:val="clear" w:color="auto" w:fill="auto"/>
          </w:tcPr>
          <w:p w14:paraId="693605E6"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588D2B4F" w14:textId="77777777" w:rsidR="00C355C5" w:rsidRPr="00DB2303" w:rsidRDefault="00C355C5" w:rsidP="00DD6ED9">
            <w:pPr>
              <w:pStyle w:val="StyleHeader4Para4Left0Firstline0"/>
              <w:numPr>
                <w:ilvl w:val="0"/>
                <w:numId w:val="0"/>
              </w:numPr>
              <w:spacing w:after="60"/>
              <w:jc w:val="right"/>
              <w:rPr>
                <w:sz w:val="16"/>
                <w:szCs w:val="16"/>
              </w:rPr>
            </w:pPr>
            <w:r w:rsidRPr="00DB2303">
              <w:rPr>
                <w:sz w:val="16"/>
                <w:szCs w:val="16"/>
              </w:rPr>
              <w:t>23.9</w:t>
            </w:r>
          </w:p>
        </w:tc>
        <w:tc>
          <w:tcPr>
            <w:tcW w:w="0" w:type="auto"/>
            <w:shd w:val="clear" w:color="auto" w:fill="auto"/>
          </w:tcPr>
          <w:p w14:paraId="3AC35EF9"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741F5829"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718617B3"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40482324"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2A78F252"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7CF5103F"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607D46A2" w14:textId="77777777" w:rsidR="00C355C5" w:rsidRPr="00DB2303" w:rsidRDefault="00C355C5" w:rsidP="00DD6ED9">
            <w:pPr>
              <w:pStyle w:val="StyleHeader4Para4Left0Firstline0"/>
              <w:numPr>
                <w:ilvl w:val="0"/>
                <w:numId w:val="0"/>
              </w:numPr>
              <w:spacing w:after="60"/>
              <w:jc w:val="right"/>
              <w:rPr>
                <w:sz w:val="16"/>
                <w:szCs w:val="16"/>
              </w:rPr>
            </w:pPr>
            <w:r w:rsidRPr="00DB2303">
              <w:rPr>
                <w:sz w:val="16"/>
                <w:szCs w:val="16"/>
              </w:rPr>
              <w:t>23.9</w:t>
            </w:r>
          </w:p>
        </w:tc>
      </w:tr>
      <w:tr w:rsidR="00C355C5" w:rsidRPr="00DB2303" w14:paraId="2C62672B" w14:textId="77777777" w:rsidTr="00DD6ED9">
        <w:trPr>
          <w:trHeight w:val="240"/>
        </w:trPr>
        <w:tc>
          <w:tcPr>
            <w:tcW w:w="1200" w:type="dxa"/>
            <w:shd w:val="clear" w:color="auto" w:fill="auto"/>
          </w:tcPr>
          <w:p w14:paraId="74C11EB6" w14:textId="77777777" w:rsidR="00C355C5" w:rsidRPr="00DB2303" w:rsidRDefault="00C355C5" w:rsidP="00DD6ED9">
            <w:pPr>
              <w:pStyle w:val="StyleHeader4Para4Left0Firstline0"/>
              <w:numPr>
                <w:ilvl w:val="0"/>
                <w:numId w:val="0"/>
              </w:numPr>
              <w:spacing w:after="60"/>
              <w:jc w:val="left"/>
              <w:rPr>
                <w:sz w:val="16"/>
                <w:szCs w:val="16"/>
              </w:rPr>
            </w:pPr>
            <w:r w:rsidRPr="00DB2303">
              <w:rPr>
                <w:sz w:val="16"/>
                <w:szCs w:val="16"/>
              </w:rPr>
              <w:t>HCFC-142b</w:t>
            </w:r>
          </w:p>
        </w:tc>
        <w:tc>
          <w:tcPr>
            <w:tcW w:w="0" w:type="auto"/>
            <w:shd w:val="clear" w:color="auto" w:fill="auto"/>
          </w:tcPr>
          <w:p w14:paraId="2FC411F2"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0FF14510"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35F3299D"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4C904BB8"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56B5A9F5" w14:textId="77777777" w:rsidR="00C355C5" w:rsidRPr="00DB2303" w:rsidRDefault="00C355C5" w:rsidP="00DD6ED9">
            <w:pPr>
              <w:pStyle w:val="StyleHeader4Para4Left0Firstline0"/>
              <w:numPr>
                <w:ilvl w:val="0"/>
                <w:numId w:val="0"/>
              </w:numPr>
              <w:spacing w:after="60"/>
              <w:jc w:val="right"/>
              <w:rPr>
                <w:sz w:val="16"/>
                <w:szCs w:val="16"/>
              </w:rPr>
            </w:pPr>
            <w:r w:rsidRPr="00DB2303">
              <w:rPr>
                <w:sz w:val="16"/>
                <w:szCs w:val="16"/>
              </w:rPr>
              <w:t>0.4</w:t>
            </w:r>
          </w:p>
        </w:tc>
        <w:tc>
          <w:tcPr>
            <w:tcW w:w="0" w:type="auto"/>
            <w:shd w:val="clear" w:color="auto" w:fill="auto"/>
          </w:tcPr>
          <w:p w14:paraId="12460D39"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247608CB"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5F3C195A"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1FA58816" w14:textId="77777777" w:rsidR="00C355C5" w:rsidRPr="00DB2303" w:rsidRDefault="00C355C5" w:rsidP="00DD6ED9">
            <w:pPr>
              <w:pStyle w:val="StyleHeader4Para4Left0Firstline0"/>
              <w:numPr>
                <w:ilvl w:val="0"/>
                <w:numId w:val="0"/>
              </w:numPr>
              <w:spacing w:after="60"/>
              <w:jc w:val="right"/>
              <w:rPr>
                <w:sz w:val="16"/>
                <w:szCs w:val="16"/>
              </w:rPr>
            </w:pPr>
            <w:r w:rsidRPr="00DB2303">
              <w:rPr>
                <w:sz w:val="16"/>
                <w:szCs w:val="16"/>
              </w:rPr>
              <w:t>0.4</w:t>
            </w:r>
          </w:p>
        </w:tc>
      </w:tr>
      <w:tr w:rsidR="00C355C5" w:rsidRPr="00DB2303" w14:paraId="59F8C194" w14:textId="77777777" w:rsidTr="00DD6ED9">
        <w:trPr>
          <w:trHeight w:val="240"/>
        </w:trPr>
        <w:tc>
          <w:tcPr>
            <w:tcW w:w="1200" w:type="dxa"/>
            <w:shd w:val="clear" w:color="auto" w:fill="auto"/>
          </w:tcPr>
          <w:p w14:paraId="561CB8C8" w14:textId="77777777" w:rsidR="00C355C5" w:rsidRPr="00DB2303" w:rsidRDefault="00C355C5" w:rsidP="00DD6ED9">
            <w:pPr>
              <w:pStyle w:val="StyleHeader4Para4Left0Firstline0"/>
              <w:numPr>
                <w:ilvl w:val="0"/>
                <w:numId w:val="0"/>
              </w:numPr>
              <w:spacing w:after="60"/>
              <w:jc w:val="left"/>
              <w:rPr>
                <w:sz w:val="16"/>
                <w:szCs w:val="16"/>
              </w:rPr>
            </w:pPr>
            <w:r w:rsidRPr="00DB2303">
              <w:rPr>
                <w:sz w:val="16"/>
                <w:szCs w:val="16"/>
              </w:rPr>
              <w:t>HCFC-22</w:t>
            </w:r>
          </w:p>
        </w:tc>
        <w:tc>
          <w:tcPr>
            <w:tcW w:w="0" w:type="auto"/>
            <w:shd w:val="clear" w:color="auto" w:fill="auto"/>
          </w:tcPr>
          <w:p w14:paraId="26E9BA88"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6FA5C021"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44C8B231"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6268D38C"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6A888237" w14:textId="77777777" w:rsidR="00C355C5" w:rsidRPr="00DB2303" w:rsidRDefault="00C355C5" w:rsidP="00DD6ED9">
            <w:pPr>
              <w:pStyle w:val="StyleHeader4Para4Left0Firstline0"/>
              <w:numPr>
                <w:ilvl w:val="0"/>
                <w:numId w:val="0"/>
              </w:numPr>
              <w:spacing w:after="60"/>
              <w:jc w:val="right"/>
              <w:rPr>
                <w:sz w:val="16"/>
                <w:szCs w:val="16"/>
              </w:rPr>
            </w:pPr>
            <w:r w:rsidRPr="00DB2303">
              <w:rPr>
                <w:sz w:val="16"/>
                <w:szCs w:val="16"/>
              </w:rPr>
              <w:t>20.3</w:t>
            </w:r>
          </w:p>
        </w:tc>
        <w:tc>
          <w:tcPr>
            <w:tcW w:w="0" w:type="auto"/>
            <w:shd w:val="clear" w:color="auto" w:fill="auto"/>
          </w:tcPr>
          <w:p w14:paraId="11F86873"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01CBCFE9"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02F3BFBE" w14:textId="77777777" w:rsidR="00C355C5" w:rsidRPr="00DB2303" w:rsidRDefault="00C355C5" w:rsidP="00DD6ED9">
            <w:pPr>
              <w:pStyle w:val="StyleHeader4Para4Left0Firstline0"/>
              <w:numPr>
                <w:ilvl w:val="0"/>
                <w:numId w:val="0"/>
              </w:numPr>
              <w:spacing w:after="60"/>
              <w:jc w:val="right"/>
              <w:rPr>
                <w:sz w:val="16"/>
                <w:szCs w:val="16"/>
              </w:rPr>
            </w:pPr>
          </w:p>
        </w:tc>
        <w:tc>
          <w:tcPr>
            <w:tcW w:w="0" w:type="auto"/>
            <w:shd w:val="clear" w:color="auto" w:fill="auto"/>
          </w:tcPr>
          <w:p w14:paraId="5C0F81F0" w14:textId="77777777" w:rsidR="00C355C5" w:rsidRPr="00DB2303" w:rsidRDefault="00C355C5" w:rsidP="00DD6ED9">
            <w:pPr>
              <w:pStyle w:val="StyleHeader4Para4Left0Firstline0"/>
              <w:numPr>
                <w:ilvl w:val="0"/>
                <w:numId w:val="0"/>
              </w:numPr>
              <w:spacing w:after="60"/>
              <w:jc w:val="right"/>
              <w:rPr>
                <w:sz w:val="16"/>
                <w:szCs w:val="16"/>
              </w:rPr>
            </w:pPr>
            <w:r w:rsidRPr="00DB2303">
              <w:rPr>
                <w:sz w:val="16"/>
                <w:szCs w:val="16"/>
              </w:rPr>
              <w:t>20.3</w:t>
            </w:r>
          </w:p>
        </w:tc>
      </w:tr>
    </w:tbl>
    <w:p w14:paraId="37272475" w14:textId="77777777" w:rsidR="00C355C5" w:rsidRPr="00DB2303" w:rsidRDefault="00C355C5" w:rsidP="00C355C5">
      <w:pPr>
        <w:pStyle w:val="StyleHeader4Para4Left0Firstline0"/>
        <w:numPr>
          <w:ilvl w:val="0"/>
          <w:numId w:val="0"/>
        </w:numPr>
        <w:spacing w:after="0"/>
        <w:jc w:val="center"/>
        <w:rPr>
          <w:sz w:val="16"/>
          <w:szCs w:val="16"/>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612"/>
        <w:gridCol w:w="942"/>
        <w:gridCol w:w="5504"/>
        <w:gridCol w:w="942"/>
      </w:tblGrid>
      <w:tr w:rsidR="00C355C5" w:rsidRPr="00DB2303" w14:paraId="03AEE5CC" w14:textId="77777777" w:rsidTr="00DD6ED9">
        <w:trPr>
          <w:trHeight w:val="240"/>
        </w:trPr>
        <w:tc>
          <w:tcPr>
            <w:tcW w:w="0" w:type="auto"/>
            <w:gridSpan w:val="4"/>
            <w:shd w:val="clear" w:color="auto" w:fill="auto"/>
          </w:tcPr>
          <w:p w14:paraId="73AE603C" w14:textId="77777777" w:rsidR="00C355C5" w:rsidRPr="00DB2303" w:rsidRDefault="00C355C5" w:rsidP="00DD6ED9">
            <w:pPr>
              <w:pStyle w:val="StyleHeader4Para4Left0Firstline0"/>
              <w:numPr>
                <w:ilvl w:val="0"/>
                <w:numId w:val="0"/>
              </w:numPr>
              <w:spacing w:after="60"/>
              <w:jc w:val="left"/>
              <w:rPr>
                <w:b/>
                <w:sz w:val="16"/>
                <w:szCs w:val="16"/>
              </w:rPr>
            </w:pPr>
            <w:r w:rsidRPr="00DB2303">
              <w:rPr>
                <w:b/>
                <w:sz w:val="16"/>
                <w:szCs w:val="16"/>
              </w:rPr>
              <w:t>(IV) CONSUMPTION DATA (ODP tonnes)</w:t>
            </w:r>
          </w:p>
        </w:tc>
      </w:tr>
      <w:tr w:rsidR="00C355C5" w:rsidRPr="00DB2303" w14:paraId="057380A6" w14:textId="77777777" w:rsidTr="00DD6ED9">
        <w:trPr>
          <w:trHeight w:val="240"/>
        </w:trPr>
        <w:tc>
          <w:tcPr>
            <w:tcW w:w="0" w:type="auto"/>
            <w:shd w:val="clear" w:color="auto" w:fill="auto"/>
          </w:tcPr>
          <w:p w14:paraId="67B26A4B" w14:textId="77777777" w:rsidR="00C355C5" w:rsidRPr="00DB2303" w:rsidRDefault="00C355C5" w:rsidP="00DD6ED9">
            <w:pPr>
              <w:pStyle w:val="StyleHeader4Para4Left0Firstline0"/>
              <w:numPr>
                <w:ilvl w:val="0"/>
                <w:numId w:val="0"/>
              </w:numPr>
              <w:spacing w:after="60"/>
              <w:jc w:val="center"/>
              <w:rPr>
                <w:sz w:val="16"/>
                <w:szCs w:val="16"/>
              </w:rPr>
            </w:pPr>
            <w:r w:rsidRPr="00DB2303">
              <w:rPr>
                <w:sz w:val="16"/>
                <w:szCs w:val="16"/>
              </w:rPr>
              <w:t>2009 - 2010 baseline:</w:t>
            </w:r>
          </w:p>
        </w:tc>
        <w:tc>
          <w:tcPr>
            <w:tcW w:w="0" w:type="auto"/>
            <w:shd w:val="clear" w:color="auto" w:fill="auto"/>
          </w:tcPr>
          <w:p w14:paraId="42A4BF60" w14:textId="77777777" w:rsidR="00C355C5" w:rsidRPr="00DB2303" w:rsidRDefault="00C355C5" w:rsidP="00357AC8">
            <w:pPr>
              <w:pStyle w:val="StyleHeader4Para4Left0Firstline0"/>
              <w:numPr>
                <w:ilvl w:val="0"/>
                <w:numId w:val="0"/>
              </w:numPr>
              <w:spacing w:after="60"/>
              <w:jc w:val="right"/>
              <w:rPr>
                <w:sz w:val="16"/>
                <w:szCs w:val="16"/>
              </w:rPr>
            </w:pPr>
            <w:r w:rsidRPr="00DB2303">
              <w:rPr>
                <w:sz w:val="16"/>
                <w:szCs w:val="16"/>
              </w:rPr>
              <w:t>26.</w:t>
            </w:r>
            <w:r w:rsidR="00357AC8">
              <w:rPr>
                <w:sz w:val="16"/>
                <w:szCs w:val="16"/>
              </w:rPr>
              <w:t>88</w:t>
            </w:r>
          </w:p>
        </w:tc>
        <w:tc>
          <w:tcPr>
            <w:tcW w:w="0" w:type="auto"/>
            <w:shd w:val="clear" w:color="auto" w:fill="auto"/>
          </w:tcPr>
          <w:p w14:paraId="454E9094" w14:textId="77777777" w:rsidR="00C355C5" w:rsidRPr="00DB2303" w:rsidRDefault="00C355C5" w:rsidP="00DD6ED9">
            <w:pPr>
              <w:pStyle w:val="StyleHeader4Para4Left0Firstline0"/>
              <w:numPr>
                <w:ilvl w:val="0"/>
                <w:numId w:val="0"/>
              </w:numPr>
              <w:spacing w:after="60"/>
              <w:jc w:val="center"/>
              <w:rPr>
                <w:sz w:val="16"/>
                <w:szCs w:val="16"/>
              </w:rPr>
            </w:pPr>
            <w:r w:rsidRPr="00DB2303">
              <w:rPr>
                <w:sz w:val="16"/>
                <w:szCs w:val="16"/>
              </w:rPr>
              <w:t>Starting point for sustained aggregate reductions:</w:t>
            </w:r>
          </w:p>
        </w:tc>
        <w:tc>
          <w:tcPr>
            <w:tcW w:w="0" w:type="auto"/>
            <w:shd w:val="clear" w:color="auto" w:fill="auto"/>
          </w:tcPr>
          <w:p w14:paraId="720D5B46" w14:textId="77777777" w:rsidR="00C355C5" w:rsidRPr="00DB2303" w:rsidRDefault="00C355C5" w:rsidP="00357AC8">
            <w:pPr>
              <w:pStyle w:val="StyleHeader4Para4Left0Firstline0"/>
              <w:numPr>
                <w:ilvl w:val="0"/>
                <w:numId w:val="0"/>
              </w:numPr>
              <w:spacing w:after="60"/>
              <w:jc w:val="right"/>
              <w:rPr>
                <w:sz w:val="16"/>
                <w:szCs w:val="16"/>
              </w:rPr>
            </w:pPr>
            <w:r w:rsidRPr="00DB2303">
              <w:rPr>
                <w:sz w:val="16"/>
                <w:szCs w:val="16"/>
              </w:rPr>
              <w:t>26.</w:t>
            </w:r>
            <w:r w:rsidR="00357AC8">
              <w:rPr>
                <w:sz w:val="16"/>
                <w:szCs w:val="16"/>
              </w:rPr>
              <w:t>88</w:t>
            </w:r>
          </w:p>
        </w:tc>
      </w:tr>
      <w:tr w:rsidR="00C355C5" w:rsidRPr="00DB2303" w14:paraId="17404370" w14:textId="77777777" w:rsidTr="00DD6ED9">
        <w:trPr>
          <w:trHeight w:val="240"/>
        </w:trPr>
        <w:tc>
          <w:tcPr>
            <w:tcW w:w="0" w:type="auto"/>
            <w:gridSpan w:val="4"/>
            <w:shd w:val="clear" w:color="auto" w:fill="auto"/>
          </w:tcPr>
          <w:p w14:paraId="3B1B094B" w14:textId="77777777" w:rsidR="00C355C5" w:rsidRPr="00DB2303" w:rsidRDefault="00C355C5" w:rsidP="00DD6ED9">
            <w:pPr>
              <w:pStyle w:val="StyleHeader4Para4Left0Firstline0"/>
              <w:numPr>
                <w:ilvl w:val="0"/>
                <w:numId w:val="0"/>
              </w:numPr>
              <w:spacing w:after="60"/>
              <w:jc w:val="center"/>
              <w:rPr>
                <w:b/>
                <w:sz w:val="16"/>
                <w:szCs w:val="16"/>
              </w:rPr>
            </w:pPr>
            <w:r w:rsidRPr="00DB2303">
              <w:rPr>
                <w:b/>
                <w:sz w:val="16"/>
                <w:szCs w:val="16"/>
              </w:rPr>
              <w:t>CONSUMPTION ELIGIBLE FOR FUNDING (ODP tonnes)</w:t>
            </w:r>
          </w:p>
        </w:tc>
      </w:tr>
      <w:tr w:rsidR="00C355C5" w:rsidRPr="00DB2303" w14:paraId="49196127" w14:textId="77777777" w:rsidTr="00DD6ED9">
        <w:trPr>
          <w:trHeight w:val="240"/>
        </w:trPr>
        <w:tc>
          <w:tcPr>
            <w:tcW w:w="0" w:type="auto"/>
            <w:shd w:val="clear" w:color="auto" w:fill="auto"/>
          </w:tcPr>
          <w:p w14:paraId="1767D437" w14:textId="77777777" w:rsidR="00C355C5" w:rsidRPr="00DB2303" w:rsidRDefault="00C355C5" w:rsidP="00DD6ED9">
            <w:pPr>
              <w:pStyle w:val="StyleHeader4Para4Left0Firstline0"/>
              <w:numPr>
                <w:ilvl w:val="0"/>
                <w:numId w:val="0"/>
              </w:numPr>
              <w:spacing w:after="60"/>
              <w:jc w:val="center"/>
              <w:rPr>
                <w:sz w:val="16"/>
                <w:szCs w:val="16"/>
              </w:rPr>
            </w:pPr>
            <w:r w:rsidRPr="00DB2303">
              <w:rPr>
                <w:sz w:val="16"/>
                <w:szCs w:val="16"/>
              </w:rPr>
              <w:t>Already approved:</w:t>
            </w:r>
          </w:p>
        </w:tc>
        <w:tc>
          <w:tcPr>
            <w:tcW w:w="0" w:type="auto"/>
            <w:shd w:val="clear" w:color="auto" w:fill="auto"/>
          </w:tcPr>
          <w:p w14:paraId="0545021F" w14:textId="77777777" w:rsidR="00C355C5" w:rsidRPr="00DB2303" w:rsidRDefault="00357AC8" w:rsidP="00357AC8">
            <w:pPr>
              <w:pStyle w:val="StyleHeader4Para4Left0Firstline0"/>
              <w:numPr>
                <w:ilvl w:val="0"/>
                <w:numId w:val="0"/>
              </w:numPr>
              <w:spacing w:after="60"/>
              <w:jc w:val="right"/>
              <w:rPr>
                <w:sz w:val="16"/>
                <w:szCs w:val="16"/>
              </w:rPr>
            </w:pPr>
            <w:r>
              <w:rPr>
                <w:sz w:val="16"/>
                <w:szCs w:val="16"/>
              </w:rPr>
              <w:t>3.74</w:t>
            </w:r>
          </w:p>
        </w:tc>
        <w:tc>
          <w:tcPr>
            <w:tcW w:w="0" w:type="auto"/>
            <w:shd w:val="clear" w:color="auto" w:fill="auto"/>
          </w:tcPr>
          <w:p w14:paraId="436F2552" w14:textId="77777777" w:rsidR="00C355C5" w:rsidRPr="00DB2303" w:rsidRDefault="00C355C5" w:rsidP="00DD6ED9">
            <w:pPr>
              <w:pStyle w:val="StyleHeader4Para4Left0Firstline0"/>
              <w:numPr>
                <w:ilvl w:val="0"/>
                <w:numId w:val="0"/>
              </w:numPr>
              <w:spacing w:after="60"/>
              <w:jc w:val="center"/>
              <w:rPr>
                <w:sz w:val="16"/>
                <w:szCs w:val="16"/>
              </w:rPr>
            </w:pPr>
            <w:r w:rsidRPr="00DB2303">
              <w:rPr>
                <w:sz w:val="16"/>
                <w:szCs w:val="16"/>
              </w:rPr>
              <w:t>Remaining:</w:t>
            </w:r>
          </w:p>
        </w:tc>
        <w:tc>
          <w:tcPr>
            <w:tcW w:w="0" w:type="auto"/>
            <w:shd w:val="clear" w:color="auto" w:fill="auto"/>
          </w:tcPr>
          <w:p w14:paraId="19F78E43" w14:textId="77777777" w:rsidR="00C355C5" w:rsidRPr="00DB2303" w:rsidRDefault="00357AC8" w:rsidP="00A102C8">
            <w:pPr>
              <w:pStyle w:val="StyleHeader4Para4Left0Firstline0"/>
              <w:numPr>
                <w:ilvl w:val="0"/>
                <w:numId w:val="0"/>
              </w:numPr>
              <w:spacing w:after="60"/>
              <w:jc w:val="right"/>
              <w:rPr>
                <w:sz w:val="16"/>
                <w:szCs w:val="16"/>
              </w:rPr>
            </w:pPr>
            <w:r>
              <w:rPr>
                <w:sz w:val="16"/>
                <w:szCs w:val="16"/>
              </w:rPr>
              <w:t>23.1</w:t>
            </w:r>
            <w:r w:rsidR="00A102C8">
              <w:rPr>
                <w:sz w:val="16"/>
                <w:szCs w:val="16"/>
              </w:rPr>
              <w:t>4</w:t>
            </w:r>
          </w:p>
        </w:tc>
      </w:tr>
    </w:tbl>
    <w:p w14:paraId="6DB0F393" w14:textId="77777777" w:rsidR="00C355C5" w:rsidRPr="00DB2303" w:rsidRDefault="00C355C5" w:rsidP="00C355C5">
      <w:pPr>
        <w:pStyle w:val="StyleHeader4Para4Left0Firstline0"/>
        <w:numPr>
          <w:ilvl w:val="0"/>
          <w:numId w:val="0"/>
        </w:numPr>
        <w:spacing w:after="0"/>
        <w:jc w:val="center"/>
        <w:rPr>
          <w:sz w:val="16"/>
          <w:szCs w:val="16"/>
        </w:rPr>
      </w:pPr>
    </w:p>
    <w:tbl>
      <w:tblPr>
        <w:tblStyle w:val="TableGrid"/>
        <w:tblW w:w="998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652"/>
        <w:gridCol w:w="4142"/>
        <w:gridCol w:w="991"/>
        <w:gridCol w:w="1132"/>
        <w:gridCol w:w="736"/>
        <w:gridCol w:w="1133"/>
        <w:gridCol w:w="1199"/>
      </w:tblGrid>
      <w:tr w:rsidR="00C355C5" w:rsidRPr="00DB2303" w14:paraId="7157DDC8" w14:textId="77777777" w:rsidTr="00F63B3A">
        <w:trPr>
          <w:trHeight w:val="240"/>
        </w:trPr>
        <w:tc>
          <w:tcPr>
            <w:tcW w:w="4794" w:type="dxa"/>
            <w:gridSpan w:val="2"/>
            <w:shd w:val="clear" w:color="auto" w:fill="auto"/>
          </w:tcPr>
          <w:p w14:paraId="387D4983" w14:textId="77777777" w:rsidR="00C355C5" w:rsidRPr="00DB2303" w:rsidRDefault="00C355C5" w:rsidP="00DD6ED9">
            <w:pPr>
              <w:spacing w:after="60"/>
              <w:jc w:val="left"/>
              <w:rPr>
                <w:b/>
                <w:sz w:val="16"/>
                <w:szCs w:val="16"/>
                <w:lang w:val="en-CA"/>
              </w:rPr>
            </w:pPr>
            <w:r w:rsidRPr="00DB2303">
              <w:rPr>
                <w:b/>
                <w:sz w:val="16"/>
                <w:szCs w:val="16"/>
                <w:lang w:val="en-CA"/>
              </w:rPr>
              <w:t>(V) BUSINESS PLAN</w:t>
            </w:r>
          </w:p>
        </w:tc>
        <w:tc>
          <w:tcPr>
            <w:tcW w:w="991" w:type="dxa"/>
            <w:shd w:val="clear" w:color="auto" w:fill="auto"/>
          </w:tcPr>
          <w:p w14:paraId="3979EADA" w14:textId="77777777" w:rsidR="00C355C5" w:rsidRPr="00DB2303" w:rsidRDefault="00C355C5" w:rsidP="00DD6ED9">
            <w:pPr>
              <w:spacing w:after="60"/>
              <w:jc w:val="center"/>
              <w:rPr>
                <w:b/>
                <w:sz w:val="16"/>
                <w:szCs w:val="16"/>
                <w:lang w:val="en-CA"/>
              </w:rPr>
            </w:pPr>
            <w:r w:rsidRPr="00DB2303">
              <w:rPr>
                <w:b/>
                <w:sz w:val="16"/>
                <w:szCs w:val="16"/>
                <w:lang w:val="en-CA"/>
              </w:rPr>
              <w:t>2017</w:t>
            </w:r>
          </w:p>
        </w:tc>
        <w:tc>
          <w:tcPr>
            <w:tcW w:w="1132" w:type="dxa"/>
          </w:tcPr>
          <w:p w14:paraId="153372E2" w14:textId="77777777" w:rsidR="00C355C5" w:rsidRPr="00DB2303" w:rsidRDefault="00C355C5" w:rsidP="00DD6ED9">
            <w:pPr>
              <w:spacing w:after="60"/>
              <w:jc w:val="center"/>
              <w:rPr>
                <w:b/>
                <w:sz w:val="16"/>
                <w:szCs w:val="16"/>
                <w:lang w:val="en-CA"/>
              </w:rPr>
            </w:pPr>
            <w:r w:rsidRPr="00DB2303">
              <w:rPr>
                <w:b/>
                <w:sz w:val="16"/>
                <w:szCs w:val="16"/>
                <w:lang w:val="en-CA"/>
              </w:rPr>
              <w:t>2018</w:t>
            </w:r>
          </w:p>
        </w:tc>
        <w:tc>
          <w:tcPr>
            <w:tcW w:w="736" w:type="dxa"/>
          </w:tcPr>
          <w:p w14:paraId="71CAF8BA" w14:textId="77777777" w:rsidR="00C355C5" w:rsidRPr="00DB2303" w:rsidRDefault="00C355C5" w:rsidP="00DD6ED9">
            <w:pPr>
              <w:spacing w:after="60"/>
              <w:jc w:val="center"/>
              <w:rPr>
                <w:b/>
                <w:sz w:val="16"/>
                <w:szCs w:val="16"/>
                <w:lang w:val="en-CA"/>
              </w:rPr>
            </w:pPr>
            <w:r w:rsidRPr="00DB2303">
              <w:rPr>
                <w:b/>
                <w:sz w:val="16"/>
                <w:szCs w:val="16"/>
                <w:lang w:val="en-CA"/>
              </w:rPr>
              <w:t>2019</w:t>
            </w:r>
          </w:p>
        </w:tc>
        <w:tc>
          <w:tcPr>
            <w:tcW w:w="1133" w:type="dxa"/>
          </w:tcPr>
          <w:p w14:paraId="12B4F35B" w14:textId="77777777" w:rsidR="00C355C5" w:rsidRPr="00DB2303" w:rsidRDefault="00C355C5" w:rsidP="00DD6ED9">
            <w:pPr>
              <w:spacing w:after="60"/>
              <w:jc w:val="center"/>
              <w:rPr>
                <w:b/>
                <w:sz w:val="16"/>
                <w:szCs w:val="16"/>
                <w:lang w:val="en-CA"/>
              </w:rPr>
            </w:pPr>
            <w:r w:rsidRPr="00DB2303">
              <w:rPr>
                <w:b/>
                <w:sz w:val="16"/>
                <w:szCs w:val="16"/>
                <w:lang w:val="en-CA"/>
              </w:rPr>
              <w:t>After 2020</w:t>
            </w:r>
          </w:p>
        </w:tc>
        <w:tc>
          <w:tcPr>
            <w:tcW w:w="1199" w:type="dxa"/>
            <w:shd w:val="clear" w:color="auto" w:fill="auto"/>
          </w:tcPr>
          <w:p w14:paraId="42E8A03B" w14:textId="77777777" w:rsidR="00C355C5" w:rsidRPr="00DB2303" w:rsidRDefault="00C355C5" w:rsidP="00DD6ED9">
            <w:pPr>
              <w:spacing w:after="60"/>
              <w:jc w:val="center"/>
              <w:rPr>
                <w:b/>
                <w:sz w:val="16"/>
                <w:szCs w:val="16"/>
                <w:lang w:val="en-CA"/>
              </w:rPr>
            </w:pPr>
            <w:r w:rsidRPr="00DB2303">
              <w:rPr>
                <w:b/>
                <w:sz w:val="16"/>
                <w:szCs w:val="16"/>
                <w:lang w:val="en-CA"/>
              </w:rPr>
              <w:t>Total</w:t>
            </w:r>
          </w:p>
        </w:tc>
      </w:tr>
      <w:tr w:rsidR="00C355C5" w:rsidRPr="00DB2303" w14:paraId="69DD19D6" w14:textId="77777777" w:rsidTr="00F63B3A">
        <w:trPr>
          <w:trHeight w:val="240"/>
        </w:trPr>
        <w:tc>
          <w:tcPr>
            <w:tcW w:w="0" w:type="auto"/>
            <w:vMerge w:val="restart"/>
            <w:shd w:val="clear" w:color="auto" w:fill="auto"/>
          </w:tcPr>
          <w:p w14:paraId="52E44681" w14:textId="77777777" w:rsidR="00C355C5" w:rsidRPr="00DB2303" w:rsidRDefault="00C355C5" w:rsidP="00DD6ED9">
            <w:pPr>
              <w:spacing w:after="60"/>
              <w:jc w:val="center"/>
              <w:rPr>
                <w:sz w:val="16"/>
                <w:szCs w:val="16"/>
                <w:lang w:val="en-CA"/>
              </w:rPr>
            </w:pPr>
            <w:r w:rsidRPr="00DB2303">
              <w:rPr>
                <w:sz w:val="16"/>
                <w:szCs w:val="16"/>
                <w:lang w:val="en-CA"/>
              </w:rPr>
              <w:t>UNDP</w:t>
            </w:r>
          </w:p>
        </w:tc>
        <w:tc>
          <w:tcPr>
            <w:tcW w:w="4142" w:type="dxa"/>
            <w:shd w:val="clear" w:color="auto" w:fill="auto"/>
          </w:tcPr>
          <w:p w14:paraId="1A719EA7" w14:textId="77777777" w:rsidR="00C355C5" w:rsidRPr="00DB2303" w:rsidRDefault="00C355C5" w:rsidP="00DD6ED9">
            <w:pPr>
              <w:spacing w:after="60"/>
              <w:jc w:val="left"/>
              <w:rPr>
                <w:sz w:val="16"/>
                <w:szCs w:val="16"/>
                <w:lang w:val="en-CA"/>
              </w:rPr>
            </w:pPr>
            <w:r w:rsidRPr="00DB2303">
              <w:rPr>
                <w:sz w:val="16"/>
                <w:szCs w:val="16"/>
                <w:lang w:val="en-CA"/>
              </w:rPr>
              <w:t>ODS phase-out (ODP tonnes)</w:t>
            </w:r>
          </w:p>
        </w:tc>
        <w:tc>
          <w:tcPr>
            <w:tcW w:w="991" w:type="dxa"/>
            <w:shd w:val="clear" w:color="auto" w:fill="auto"/>
          </w:tcPr>
          <w:p w14:paraId="13E033B4" w14:textId="77777777" w:rsidR="00C355C5" w:rsidRPr="00DB2303" w:rsidRDefault="00C355C5" w:rsidP="00DD6ED9">
            <w:pPr>
              <w:spacing w:after="60"/>
              <w:jc w:val="right"/>
              <w:rPr>
                <w:sz w:val="16"/>
                <w:szCs w:val="16"/>
                <w:lang w:val="en-CA"/>
              </w:rPr>
            </w:pPr>
            <w:r w:rsidRPr="00DB2303">
              <w:rPr>
                <w:sz w:val="16"/>
                <w:szCs w:val="16"/>
                <w:lang w:val="en-CA"/>
              </w:rPr>
              <w:t>2.69</w:t>
            </w:r>
          </w:p>
        </w:tc>
        <w:tc>
          <w:tcPr>
            <w:tcW w:w="1132" w:type="dxa"/>
          </w:tcPr>
          <w:p w14:paraId="1B2C3B5D" w14:textId="77777777" w:rsidR="00C355C5" w:rsidRPr="00DB2303" w:rsidRDefault="00C355C5" w:rsidP="00DD6ED9">
            <w:pPr>
              <w:spacing w:after="60"/>
              <w:jc w:val="right"/>
              <w:rPr>
                <w:sz w:val="16"/>
                <w:szCs w:val="16"/>
                <w:lang w:val="en-CA"/>
              </w:rPr>
            </w:pPr>
          </w:p>
        </w:tc>
        <w:tc>
          <w:tcPr>
            <w:tcW w:w="736" w:type="dxa"/>
          </w:tcPr>
          <w:p w14:paraId="0AEE1064" w14:textId="77777777" w:rsidR="00C355C5" w:rsidRPr="00DB2303" w:rsidRDefault="00C355C5" w:rsidP="00DD6ED9">
            <w:pPr>
              <w:spacing w:after="60"/>
              <w:jc w:val="right"/>
              <w:rPr>
                <w:sz w:val="16"/>
                <w:szCs w:val="16"/>
                <w:lang w:val="en-CA"/>
              </w:rPr>
            </w:pPr>
            <w:r w:rsidRPr="00DB2303">
              <w:rPr>
                <w:sz w:val="16"/>
                <w:szCs w:val="16"/>
                <w:lang w:val="en-CA"/>
              </w:rPr>
              <w:t>2.69</w:t>
            </w:r>
          </w:p>
        </w:tc>
        <w:tc>
          <w:tcPr>
            <w:tcW w:w="1133" w:type="dxa"/>
          </w:tcPr>
          <w:p w14:paraId="69F7893E" w14:textId="77777777" w:rsidR="00C355C5" w:rsidRPr="00DB2303" w:rsidRDefault="00C355C5" w:rsidP="00DD6ED9">
            <w:pPr>
              <w:spacing w:after="60"/>
              <w:jc w:val="right"/>
              <w:rPr>
                <w:sz w:val="16"/>
                <w:szCs w:val="16"/>
                <w:lang w:val="en-CA"/>
              </w:rPr>
            </w:pPr>
          </w:p>
        </w:tc>
        <w:tc>
          <w:tcPr>
            <w:tcW w:w="1199" w:type="dxa"/>
            <w:shd w:val="clear" w:color="auto" w:fill="auto"/>
          </w:tcPr>
          <w:p w14:paraId="58590336" w14:textId="77777777" w:rsidR="00C355C5" w:rsidRPr="00DB2303" w:rsidRDefault="00C355C5" w:rsidP="00DD6ED9">
            <w:pPr>
              <w:spacing w:after="60"/>
              <w:jc w:val="right"/>
              <w:rPr>
                <w:sz w:val="16"/>
                <w:szCs w:val="16"/>
                <w:lang w:val="en-CA"/>
              </w:rPr>
            </w:pPr>
            <w:r w:rsidRPr="00DB2303">
              <w:rPr>
                <w:sz w:val="16"/>
                <w:szCs w:val="16"/>
                <w:lang w:val="en-CA"/>
              </w:rPr>
              <w:t>5.38</w:t>
            </w:r>
          </w:p>
        </w:tc>
      </w:tr>
      <w:tr w:rsidR="00C355C5" w:rsidRPr="00DB2303" w14:paraId="310D0F1B" w14:textId="77777777" w:rsidTr="00F63B3A">
        <w:trPr>
          <w:trHeight w:val="240"/>
        </w:trPr>
        <w:tc>
          <w:tcPr>
            <w:tcW w:w="0" w:type="auto"/>
            <w:vMerge/>
            <w:shd w:val="clear" w:color="auto" w:fill="auto"/>
          </w:tcPr>
          <w:p w14:paraId="6235242C" w14:textId="77777777" w:rsidR="00C355C5" w:rsidRPr="00DB2303" w:rsidRDefault="00C355C5" w:rsidP="00DD6ED9">
            <w:pPr>
              <w:spacing w:after="60"/>
              <w:jc w:val="center"/>
              <w:rPr>
                <w:sz w:val="16"/>
                <w:szCs w:val="16"/>
                <w:lang w:val="en-CA"/>
              </w:rPr>
            </w:pPr>
          </w:p>
        </w:tc>
        <w:tc>
          <w:tcPr>
            <w:tcW w:w="4142" w:type="dxa"/>
            <w:shd w:val="clear" w:color="auto" w:fill="auto"/>
          </w:tcPr>
          <w:p w14:paraId="2BB9885F" w14:textId="77777777" w:rsidR="00C355C5" w:rsidRPr="00DB2303" w:rsidRDefault="00C355C5" w:rsidP="00DD6ED9">
            <w:pPr>
              <w:spacing w:after="60"/>
              <w:jc w:val="left"/>
              <w:rPr>
                <w:sz w:val="16"/>
                <w:szCs w:val="16"/>
                <w:lang w:val="en-CA"/>
              </w:rPr>
            </w:pPr>
            <w:r w:rsidRPr="00DB2303">
              <w:rPr>
                <w:sz w:val="16"/>
                <w:szCs w:val="16"/>
                <w:lang w:val="en-CA"/>
              </w:rPr>
              <w:t>Funding (</w:t>
            </w:r>
            <w:r w:rsidR="00682B63">
              <w:rPr>
                <w:sz w:val="16"/>
                <w:szCs w:val="16"/>
                <w:lang w:val="en-CA"/>
              </w:rPr>
              <w:t>US $</w:t>
            </w:r>
            <w:r w:rsidRPr="00DB2303">
              <w:rPr>
                <w:sz w:val="16"/>
                <w:szCs w:val="16"/>
                <w:lang w:val="en-CA"/>
              </w:rPr>
              <w:t>)</w:t>
            </w:r>
          </w:p>
        </w:tc>
        <w:tc>
          <w:tcPr>
            <w:tcW w:w="991" w:type="dxa"/>
            <w:shd w:val="clear" w:color="auto" w:fill="auto"/>
          </w:tcPr>
          <w:p w14:paraId="07B17CEE" w14:textId="77777777" w:rsidR="00C355C5" w:rsidRPr="00DB2303" w:rsidRDefault="00C355C5" w:rsidP="00DD6ED9">
            <w:pPr>
              <w:spacing w:after="60"/>
              <w:jc w:val="right"/>
              <w:rPr>
                <w:sz w:val="16"/>
                <w:szCs w:val="16"/>
                <w:lang w:val="en-CA"/>
              </w:rPr>
            </w:pPr>
            <w:r w:rsidRPr="00DB2303">
              <w:rPr>
                <w:sz w:val="16"/>
                <w:szCs w:val="16"/>
                <w:lang w:val="en-CA"/>
              </w:rPr>
              <w:t>251,010</w:t>
            </w:r>
          </w:p>
        </w:tc>
        <w:tc>
          <w:tcPr>
            <w:tcW w:w="1132" w:type="dxa"/>
          </w:tcPr>
          <w:p w14:paraId="3F1276D3" w14:textId="77777777" w:rsidR="00C355C5" w:rsidRPr="00DB2303" w:rsidRDefault="00C355C5" w:rsidP="00DD6ED9">
            <w:pPr>
              <w:spacing w:after="60"/>
              <w:jc w:val="right"/>
              <w:rPr>
                <w:sz w:val="16"/>
                <w:szCs w:val="16"/>
                <w:lang w:val="en-CA"/>
              </w:rPr>
            </w:pPr>
          </w:p>
        </w:tc>
        <w:tc>
          <w:tcPr>
            <w:tcW w:w="736" w:type="dxa"/>
          </w:tcPr>
          <w:p w14:paraId="4265579E" w14:textId="77777777" w:rsidR="00C355C5" w:rsidRPr="00DB2303" w:rsidRDefault="00C355C5" w:rsidP="00DD6ED9">
            <w:pPr>
              <w:spacing w:after="60"/>
              <w:jc w:val="right"/>
              <w:rPr>
                <w:sz w:val="16"/>
                <w:szCs w:val="16"/>
                <w:lang w:val="en-CA"/>
              </w:rPr>
            </w:pPr>
            <w:r w:rsidRPr="00DB2303">
              <w:rPr>
                <w:sz w:val="16"/>
                <w:szCs w:val="16"/>
                <w:lang w:val="en-CA"/>
              </w:rPr>
              <w:t>251,010</w:t>
            </w:r>
          </w:p>
        </w:tc>
        <w:tc>
          <w:tcPr>
            <w:tcW w:w="1133" w:type="dxa"/>
          </w:tcPr>
          <w:p w14:paraId="44DF0F81" w14:textId="77777777" w:rsidR="00C355C5" w:rsidRPr="00DB2303" w:rsidRDefault="00C355C5" w:rsidP="00DD6ED9">
            <w:pPr>
              <w:spacing w:after="60"/>
              <w:jc w:val="right"/>
              <w:rPr>
                <w:sz w:val="16"/>
                <w:szCs w:val="16"/>
                <w:lang w:val="en-CA"/>
              </w:rPr>
            </w:pPr>
          </w:p>
        </w:tc>
        <w:tc>
          <w:tcPr>
            <w:tcW w:w="1199" w:type="dxa"/>
            <w:shd w:val="clear" w:color="auto" w:fill="auto"/>
          </w:tcPr>
          <w:p w14:paraId="3C62B02A" w14:textId="77777777" w:rsidR="00C355C5" w:rsidRPr="00DB2303" w:rsidRDefault="00C355C5" w:rsidP="00DD6ED9">
            <w:pPr>
              <w:spacing w:after="60"/>
              <w:jc w:val="right"/>
              <w:rPr>
                <w:sz w:val="16"/>
                <w:szCs w:val="16"/>
                <w:lang w:val="en-CA"/>
              </w:rPr>
            </w:pPr>
            <w:r w:rsidRPr="00DB2303">
              <w:rPr>
                <w:sz w:val="16"/>
                <w:szCs w:val="16"/>
                <w:lang w:val="en-CA"/>
              </w:rPr>
              <w:t>502,020</w:t>
            </w:r>
          </w:p>
        </w:tc>
      </w:tr>
      <w:tr w:rsidR="00C355C5" w:rsidRPr="00DB2303" w14:paraId="10BE3132" w14:textId="77777777" w:rsidTr="00F63B3A">
        <w:trPr>
          <w:trHeight w:val="240"/>
        </w:trPr>
        <w:tc>
          <w:tcPr>
            <w:tcW w:w="0" w:type="auto"/>
            <w:vMerge w:val="restart"/>
            <w:shd w:val="clear" w:color="auto" w:fill="auto"/>
          </w:tcPr>
          <w:p w14:paraId="5D093C19" w14:textId="77777777" w:rsidR="00C355C5" w:rsidRPr="00DB2303" w:rsidRDefault="00C355C5" w:rsidP="00DD6ED9">
            <w:pPr>
              <w:spacing w:after="60"/>
              <w:jc w:val="center"/>
              <w:rPr>
                <w:sz w:val="16"/>
                <w:szCs w:val="16"/>
                <w:lang w:val="en-CA"/>
              </w:rPr>
            </w:pPr>
            <w:r w:rsidRPr="00DB2303">
              <w:rPr>
                <w:sz w:val="16"/>
                <w:szCs w:val="16"/>
                <w:lang w:val="en-CA"/>
              </w:rPr>
              <w:t>UNEP</w:t>
            </w:r>
          </w:p>
        </w:tc>
        <w:tc>
          <w:tcPr>
            <w:tcW w:w="4142" w:type="dxa"/>
            <w:shd w:val="clear" w:color="auto" w:fill="auto"/>
          </w:tcPr>
          <w:p w14:paraId="46537B40" w14:textId="77777777" w:rsidR="00C355C5" w:rsidRPr="00DB2303" w:rsidRDefault="00C355C5" w:rsidP="00DD6ED9">
            <w:pPr>
              <w:spacing w:after="60"/>
              <w:jc w:val="left"/>
              <w:rPr>
                <w:sz w:val="16"/>
                <w:szCs w:val="16"/>
                <w:lang w:val="en-CA"/>
              </w:rPr>
            </w:pPr>
            <w:r w:rsidRPr="00DB2303">
              <w:rPr>
                <w:sz w:val="16"/>
                <w:szCs w:val="16"/>
                <w:lang w:val="en-CA"/>
              </w:rPr>
              <w:t>ODS phase-out (ODP tonnes)</w:t>
            </w:r>
          </w:p>
        </w:tc>
        <w:tc>
          <w:tcPr>
            <w:tcW w:w="991" w:type="dxa"/>
            <w:shd w:val="clear" w:color="auto" w:fill="auto"/>
          </w:tcPr>
          <w:p w14:paraId="0BAC1CDF" w14:textId="77777777" w:rsidR="00C355C5" w:rsidRPr="00DB2303" w:rsidRDefault="00C355C5" w:rsidP="00DD6ED9">
            <w:pPr>
              <w:spacing w:after="60"/>
              <w:jc w:val="right"/>
              <w:rPr>
                <w:sz w:val="16"/>
                <w:szCs w:val="16"/>
                <w:lang w:val="en-CA"/>
              </w:rPr>
            </w:pPr>
            <w:r w:rsidRPr="00DB2303">
              <w:rPr>
                <w:sz w:val="16"/>
                <w:szCs w:val="16"/>
                <w:lang w:val="en-CA"/>
              </w:rPr>
              <w:t>0.27</w:t>
            </w:r>
          </w:p>
        </w:tc>
        <w:tc>
          <w:tcPr>
            <w:tcW w:w="1132" w:type="dxa"/>
          </w:tcPr>
          <w:p w14:paraId="64DC4996" w14:textId="77777777" w:rsidR="00C355C5" w:rsidRPr="00DB2303" w:rsidRDefault="00C355C5" w:rsidP="00DD6ED9">
            <w:pPr>
              <w:spacing w:after="60"/>
              <w:jc w:val="right"/>
              <w:rPr>
                <w:sz w:val="16"/>
                <w:szCs w:val="16"/>
                <w:lang w:val="en-CA"/>
              </w:rPr>
            </w:pPr>
            <w:r w:rsidRPr="00DB2303">
              <w:rPr>
                <w:sz w:val="16"/>
                <w:szCs w:val="16"/>
                <w:lang w:val="en-CA"/>
              </w:rPr>
              <w:t>0.27</w:t>
            </w:r>
          </w:p>
        </w:tc>
        <w:tc>
          <w:tcPr>
            <w:tcW w:w="736" w:type="dxa"/>
          </w:tcPr>
          <w:p w14:paraId="71FFF0A2" w14:textId="77777777" w:rsidR="00C355C5" w:rsidRPr="00DB2303" w:rsidRDefault="00C355C5" w:rsidP="00DD6ED9">
            <w:pPr>
              <w:spacing w:after="60"/>
              <w:jc w:val="right"/>
              <w:rPr>
                <w:sz w:val="16"/>
                <w:szCs w:val="16"/>
                <w:lang w:val="en-CA"/>
              </w:rPr>
            </w:pPr>
          </w:p>
        </w:tc>
        <w:tc>
          <w:tcPr>
            <w:tcW w:w="1133" w:type="dxa"/>
          </w:tcPr>
          <w:p w14:paraId="02BF5B56" w14:textId="77777777" w:rsidR="00C355C5" w:rsidRPr="00DB2303" w:rsidRDefault="00C355C5" w:rsidP="00DD6ED9">
            <w:pPr>
              <w:spacing w:after="60"/>
              <w:jc w:val="right"/>
              <w:rPr>
                <w:sz w:val="16"/>
                <w:szCs w:val="16"/>
                <w:lang w:val="en-CA"/>
              </w:rPr>
            </w:pPr>
            <w:r w:rsidRPr="00DB2303">
              <w:rPr>
                <w:sz w:val="16"/>
                <w:szCs w:val="16"/>
                <w:lang w:val="en-CA"/>
              </w:rPr>
              <w:t>1.70</w:t>
            </w:r>
          </w:p>
        </w:tc>
        <w:tc>
          <w:tcPr>
            <w:tcW w:w="1199" w:type="dxa"/>
            <w:shd w:val="clear" w:color="auto" w:fill="auto"/>
          </w:tcPr>
          <w:p w14:paraId="021F95B0" w14:textId="77777777" w:rsidR="00C355C5" w:rsidRPr="00DB2303" w:rsidRDefault="00DC017B" w:rsidP="00DD6ED9">
            <w:pPr>
              <w:spacing w:after="60"/>
              <w:jc w:val="right"/>
              <w:rPr>
                <w:sz w:val="16"/>
                <w:szCs w:val="16"/>
                <w:lang w:val="en-CA"/>
              </w:rPr>
            </w:pPr>
            <w:r w:rsidRPr="00DB2303">
              <w:rPr>
                <w:sz w:val="16"/>
                <w:szCs w:val="16"/>
                <w:lang w:val="en-CA"/>
              </w:rPr>
              <w:t>2.24</w:t>
            </w:r>
          </w:p>
        </w:tc>
      </w:tr>
      <w:tr w:rsidR="00C355C5" w:rsidRPr="00DB2303" w14:paraId="04E8A15B" w14:textId="77777777" w:rsidTr="00F63B3A">
        <w:trPr>
          <w:trHeight w:val="240"/>
        </w:trPr>
        <w:tc>
          <w:tcPr>
            <w:tcW w:w="0" w:type="auto"/>
            <w:vMerge/>
            <w:shd w:val="clear" w:color="auto" w:fill="auto"/>
          </w:tcPr>
          <w:p w14:paraId="6B7214BD" w14:textId="77777777" w:rsidR="00C355C5" w:rsidRPr="00DB2303" w:rsidRDefault="00C355C5" w:rsidP="00DD6ED9">
            <w:pPr>
              <w:spacing w:after="60"/>
              <w:jc w:val="center"/>
              <w:rPr>
                <w:sz w:val="16"/>
                <w:szCs w:val="16"/>
                <w:lang w:val="en-CA"/>
              </w:rPr>
            </w:pPr>
          </w:p>
        </w:tc>
        <w:tc>
          <w:tcPr>
            <w:tcW w:w="4142" w:type="dxa"/>
            <w:shd w:val="clear" w:color="auto" w:fill="auto"/>
          </w:tcPr>
          <w:p w14:paraId="1292771D" w14:textId="77777777" w:rsidR="00C355C5" w:rsidRPr="00DB2303" w:rsidRDefault="00C355C5" w:rsidP="00DD6ED9">
            <w:pPr>
              <w:spacing w:after="60"/>
              <w:jc w:val="left"/>
              <w:rPr>
                <w:sz w:val="16"/>
                <w:szCs w:val="16"/>
                <w:lang w:val="en-CA"/>
              </w:rPr>
            </w:pPr>
            <w:r w:rsidRPr="00DB2303">
              <w:rPr>
                <w:sz w:val="16"/>
                <w:szCs w:val="16"/>
                <w:lang w:val="en-CA"/>
              </w:rPr>
              <w:t>Funding (</w:t>
            </w:r>
            <w:r w:rsidR="00682B63">
              <w:rPr>
                <w:sz w:val="16"/>
                <w:szCs w:val="16"/>
                <w:lang w:val="en-CA"/>
              </w:rPr>
              <w:t>US $</w:t>
            </w:r>
            <w:r w:rsidRPr="00DB2303">
              <w:rPr>
                <w:sz w:val="16"/>
                <w:szCs w:val="16"/>
                <w:lang w:val="en-CA"/>
              </w:rPr>
              <w:t>)</w:t>
            </w:r>
          </w:p>
        </w:tc>
        <w:tc>
          <w:tcPr>
            <w:tcW w:w="991" w:type="dxa"/>
            <w:shd w:val="clear" w:color="auto" w:fill="auto"/>
          </w:tcPr>
          <w:p w14:paraId="17F05CE5" w14:textId="77777777" w:rsidR="00C355C5" w:rsidRPr="00DB2303" w:rsidRDefault="00C355C5" w:rsidP="00DD6ED9">
            <w:pPr>
              <w:spacing w:after="60"/>
              <w:jc w:val="right"/>
              <w:rPr>
                <w:sz w:val="16"/>
                <w:szCs w:val="16"/>
                <w:lang w:val="en-CA"/>
              </w:rPr>
            </w:pPr>
            <w:r w:rsidRPr="00DB2303">
              <w:rPr>
                <w:sz w:val="16"/>
                <w:szCs w:val="16"/>
                <w:lang w:val="en-CA"/>
              </w:rPr>
              <w:t>13,856</w:t>
            </w:r>
          </w:p>
        </w:tc>
        <w:tc>
          <w:tcPr>
            <w:tcW w:w="1132" w:type="dxa"/>
          </w:tcPr>
          <w:p w14:paraId="7B2869FF" w14:textId="77777777" w:rsidR="00C355C5" w:rsidRPr="00DB2303" w:rsidRDefault="00C355C5" w:rsidP="00DD6ED9">
            <w:pPr>
              <w:spacing w:after="60"/>
              <w:jc w:val="right"/>
              <w:rPr>
                <w:sz w:val="16"/>
                <w:szCs w:val="16"/>
                <w:lang w:val="en-CA"/>
              </w:rPr>
            </w:pPr>
            <w:r w:rsidRPr="00DB2303">
              <w:rPr>
                <w:sz w:val="16"/>
                <w:szCs w:val="16"/>
                <w:lang w:val="en-CA"/>
              </w:rPr>
              <w:t>25,000</w:t>
            </w:r>
          </w:p>
        </w:tc>
        <w:tc>
          <w:tcPr>
            <w:tcW w:w="736" w:type="dxa"/>
          </w:tcPr>
          <w:p w14:paraId="58774D4D" w14:textId="77777777" w:rsidR="00C355C5" w:rsidRPr="00DB2303" w:rsidRDefault="00C355C5" w:rsidP="00DD6ED9">
            <w:pPr>
              <w:spacing w:after="60"/>
              <w:jc w:val="right"/>
              <w:rPr>
                <w:sz w:val="16"/>
                <w:szCs w:val="16"/>
                <w:lang w:val="en-CA"/>
              </w:rPr>
            </w:pPr>
          </w:p>
        </w:tc>
        <w:tc>
          <w:tcPr>
            <w:tcW w:w="1133" w:type="dxa"/>
          </w:tcPr>
          <w:p w14:paraId="73DD71F0" w14:textId="77777777" w:rsidR="00C355C5" w:rsidRPr="00DB2303" w:rsidRDefault="00C355C5" w:rsidP="00DD6ED9">
            <w:pPr>
              <w:spacing w:after="60"/>
              <w:jc w:val="right"/>
              <w:rPr>
                <w:sz w:val="16"/>
                <w:szCs w:val="16"/>
                <w:lang w:val="en-CA"/>
              </w:rPr>
            </w:pPr>
            <w:r w:rsidRPr="00DB2303">
              <w:rPr>
                <w:sz w:val="16"/>
                <w:szCs w:val="16"/>
                <w:lang w:val="en-CA"/>
              </w:rPr>
              <w:t>157,173</w:t>
            </w:r>
          </w:p>
        </w:tc>
        <w:tc>
          <w:tcPr>
            <w:tcW w:w="1199" w:type="dxa"/>
            <w:shd w:val="clear" w:color="auto" w:fill="auto"/>
          </w:tcPr>
          <w:p w14:paraId="116904C5" w14:textId="77777777" w:rsidR="00C93962" w:rsidRPr="00DB2303" w:rsidRDefault="00C355C5" w:rsidP="00DC017B">
            <w:pPr>
              <w:spacing w:after="60"/>
              <w:jc w:val="right"/>
              <w:rPr>
                <w:sz w:val="16"/>
                <w:szCs w:val="16"/>
                <w:lang w:val="en-CA"/>
              </w:rPr>
            </w:pPr>
            <w:r w:rsidRPr="00DB2303">
              <w:rPr>
                <w:sz w:val="16"/>
                <w:szCs w:val="16"/>
                <w:lang w:val="en-CA"/>
              </w:rPr>
              <w:t>196,029</w:t>
            </w:r>
          </w:p>
        </w:tc>
      </w:tr>
    </w:tbl>
    <w:p w14:paraId="6B82E4D7" w14:textId="77777777" w:rsidR="00C355C5" w:rsidRPr="00DB2303" w:rsidRDefault="00C355C5" w:rsidP="00C355C5">
      <w:pPr>
        <w:pStyle w:val="StyleHeader4Para4Left0Firstline0"/>
        <w:numPr>
          <w:ilvl w:val="0"/>
          <w:numId w:val="0"/>
        </w:numPr>
        <w:spacing w:after="0"/>
        <w:jc w:val="center"/>
        <w:rPr>
          <w:sz w:val="16"/>
          <w:szCs w:val="16"/>
        </w:rPr>
      </w:pPr>
    </w:p>
    <w:tbl>
      <w:tblPr>
        <w:tblStyle w:val="TableGrid"/>
        <w:tblW w:w="534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869"/>
        <w:gridCol w:w="679"/>
        <w:gridCol w:w="1072"/>
        <w:gridCol w:w="771"/>
        <w:gridCol w:w="600"/>
        <w:gridCol w:w="784"/>
        <w:gridCol w:w="801"/>
        <w:gridCol w:w="647"/>
        <w:gridCol w:w="801"/>
        <w:gridCol w:w="636"/>
        <w:gridCol w:w="671"/>
        <w:gridCol w:w="795"/>
        <w:gridCol w:w="860"/>
      </w:tblGrid>
      <w:tr w:rsidR="009B77C8" w:rsidRPr="00DB2303" w14:paraId="720E236F" w14:textId="77777777" w:rsidTr="00F63B3A">
        <w:tc>
          <w:tcPr>
            <w:tcW w:w="2619" w:type="dxa"/>
            <w:gridSpan w:val="3"/>
            <w:shd w:val="clear" w:color="auto" w:fill="auto"/>
          </w:tcPr>
          <w:p w14:paraId="17920292" w14:textId="77777777" w:rsidR="009B77C8" w:rsidRPr="00DB2303" w:rsidRDefault="009B77C8" w:rsidP="00DD6ED9">
            <w:pPr>
              <w:spacing w:after="60"/>
              <w:jc w:val="left"/>
              <w:rPr>
                <w:b/>
                <w:sz w:val="16"/>
                <w:szCs w:val="16"/>
              </w:rPr>
            </w:pPr>
            <w:r w:rsidRPr="00DB2303">
              <w:rPr>
                <w:b/>
                <w:sz w:val="16"/>
                <w:szCs w:val="16"/>
              </w:rPr>
              <w:t xml:space="preserve"> (VI) PROJECT DATA</w:t>
            </w:r>
          </w:p>
        </w:tc>
        <w:tc>
          <w:tcPr>
            <w:tcW w:w="771" w:type="dxa"/>
            <w:shd w:val="clear" w:color="auto" w:fill="auto"/>
          </w:tcPr>
          <w:p w14:paraId="57795542" w14:textId="77777777" w:rsidR="009B77C8" w:rsidRPr="00DB2303" w:rsidRDefault="009B77C8" w:rsidP="00DD6ED9">
            <w:pPr>
              <w:jc w:val="center"/>
              <w:rPr>
                <w:b/>
                <w:bCs/>
                <w:color w:val="000000"/>
                <w:sz w:val="16"/>
                <w:szCs w:val="16"/>
                <w:lang w:eastAsia="zh-CN"/>
              </w:rPr>
            </w:pPr>
            <w:r w:rsidRPr="00DB2303">
              <w:rPr>
                <w:b/>
                <w:bCs/>
                <w:color w:val="000000"/>
                <w:sz w:val="16"/>
                <w:szCs w:val="16"/>
                <w:lang w:eastAsia="zh-CN"/>
              </w:rPr>
              <w:t>2017</w:t>
            </w:r>
          </w:p>
        </w:tc>
        <w:tc>
          <w:tcPr>
            <w:tcW w:w="600" w:type="dxa"/>
            <w:shd w:val="clear" w:color="auto" w:fill="auto"/>
          </w:tcPr>
          <w:p w14:paraId="64C8A3FC" w14:textId="77777777" w:rsidR="009B77C8" w:rsidRPr="00DB2303" w:rsidRDefault="009B77C8" w:rsidP="00DD6ED9">
            <w:pPr>
              <w:jc w:val="center"/>
              <w:rPr>
                <w:b/>
                <w:bCs/>
                <w:color w:val="000000"/>
                <w:sz w:val="16"/>
                <w:szCs w:val="16"/>
                <w:lang w:eastAsia="zh-CN"/>
              </w:rPr>
            </w:pPr>
            <w:r w:rsidRPr="00DB2303">
              <w:rPr>
                <w:b/>
                <w:bCs/>
                <w:color w:val="000000"/>
                <w:sz w:val="16"/>
                <w:szCs w:val="16"/>
                <w:lang w:eastAsia="zh-CN"/>
              </w:rPr>
              <w:t>2018</w:t>
            </w:r>
          </w:p>
        </w:tc>
        <w:tc>
          <w:tcPr>
            <w:tcW w:w="784" w:type="dxa"/>
            <w:shd w:val="clear" w:color="auto" w:fill="auto"/>
          </w:tcPr>
          <w:p w14:paraId="0047E0AE" w14:textId="77777777" w:rsidR="009B77C8" w:rsidRPr="00DB2303" w:rsidRDefault="009B77C8" w:rsidP="00DD6ED9">
            <w:pPr>
              <w:jc w:val="center"/>
              <w:rPr>
                <w:b/>
                <w:bCs/>
                <w:color w:val="000000"/>
                <w:sz w:val="16"/>
                <w:szCs w:val="16"/>
                <w:lang w:eastAsia="zh-CN"/>
              </w:rPr>
            </w:pPr>
            <w:r w:rsidRPr="00DB2303">
              <w:rPr>
                <w:b/>
                <w:bCs/>
                <w:color w:val="000000"/>
                <w:sz w:val="16"/>
                <w:szCs w:val="16"/>
                <w:lang w:eastAsia="zh-CN"/>
              </w:rPr>
              <w:t>2019</w:t>
            </w:r>
          </w:p>
        </w:tc>
        <w:tc>
          <w:tcPr>
            <w:tcW w:w="801" w:type="dxa"/>
            <w:shd w:val="clear" w:color="auto" w:fill="auto"/>
          </w:tcPr>
          <w:p w14:paraId="6083166D" w14:textId="77777777" w:rsidR="009B77C8" w:rsidRPr="00DB2303" w:rsidRDefault="009B77C8" w:rsidP="00DD6ED9">
            <w:pPr>
              <w:jc w:val="center"/>
              <w:rPr>
                <w:b/>
                <w:bCs/>
                <w:color w:val="000000"/>
                <w:sz w:val="16"/>
                <w:szCs w:val="16"/>
                <w:lang w:eastAsia="zh-CN"/>
              </w:rPr>
            </w:pPr>
            <w:r w:rsidRPr="00DB2303">
              <w:rPr>
                <w:b/>
                <w:bCs/>
                <w:color w:val="000000"/>
                <w:sz w:val="16"/>
                <w:szCs w:val="16"/>
                <w:lang w:eastAsia="zh-CN"/>
              </w:rPr>
              <w:t>2020</w:t>
            </w:r>
          </w:p>
        </w:tc>
        <w:tc>
          <w:tcPr>
            <w:tcW w:w="647" w:type="dxa"/>
            <w:shd w:val="clear" w:color="auto" w:fill="auto"/>
          </w:tcPr>
          <w:p w14:paraId="20003BAD" w14:textId="77777777" w:rsidR="009B77C8" w:rsidRPr="00DB2303" w:rsidRDefault="009B77C8" w:rsidP="00DD6ED9">
            <w:pPr>
              <w:jc w:val="center"/>
              <w:rPr>
                <w:b/>
                <w:bCs/>
                <w:color w:val="000000"/>
                <w:sz w:val="16"/>
                <w:szCs w:val="16"/>
                <w:lang w:eastAsia="zh-CN"/>
              </w:rPr>
            </w:pPr>
            <w:r w:rsidRPr="00DB2303">
              <w:rPr>
                <w:b/>
                <w:bCs/>
                <w:color w:val="000000"/>
                <w:sz w:val="16"/>
                <w:szCs w:val="16"/>
                <w:lang w:eastAsia="zh-CN"/>
              </w:rPr>
              <w:t>2021</w:t>
            </w:r>
          </w:p>
        </w:tc>
        <w:tc>
          <w:tcPr>
            <w:tcW w:w="801" w:type="dxa"/>
            <w:shd w:val="clear" w:color="auto" w:fill="auto"/>
          </w:tcPr>
          <w:p w14:paraId="43FE292C" w14:textId="77777777" w:rsidR="009B77C8" w:rsidRPr="00DB2303" w:rsidRDefault="009B77C8" w:rsidP="00DD6ED9">
            <w:pPr>
              <w:jc w:val="center"/>
              <w:rPr>
                <w:b/>
                <w:bCs/>
                <w:color w:val="000000"/>
                <w:sz w:val="16"/>
                <w:szCs w:val="16"/>
                <w:lang w:eastAsia="zh-CN"/>
              </w:rPr>
            </w:pPr>
            <w:r w:rsidRPr="00DB2303">
              <w:rPr>
                <w:b/>
                <w:bCs/>
                <w:color w:val="000000"/>
                <w:sz w:val="16"/>
                <w:szCs w:val="16"/>
                <w:lang w:eastAsia="zh-CN"/>
              </w:rPr>
              <w:t>2022</w:t>
            </w:r>
          </w:p>
        </w:tc>
        <w:tc>
          <w:tcPr>
            <w:tcW w:w="636" w:type="dxa"/>
            <w:shd w:val="clear" w:color="auto" w:fill="auto"/>
          </w:tcPr>
          <w:p w14:paraId="087E6836" w14:textId="77777777" w:rsidR="009B77C8" w:rsidRPr="00DB2303" w:rsidRDefault="009B77C8" w:rsidP="00DD6ED9">
            <w:pPr>
              <w:jc w:val="center"/>
              <w:rPr>
                <w:b/>
                <w:bCs/>
                <w:color w:val="000000"/>
                <w:sz w:val="16"/>
                <w:szCs w:val="16"/>
                <w:lang w:eastAsia="zh-CN"/>
              </w:rPr>
            </w:pPr>
            <w:r w:rsidRPr="00DB2303">
              <w:rPr>
                <w:b/>
                <w:bCs/>
                <w:color w:val="000000"/>
                <w:sz w:val="16"/>
                <w:szCs w:val="16"/>
                <w:lang w:eastAsia="zh-CN"/>
              </w:rPr>
              <w:t>2023</w:t>
            </w:r>
          </w:p>
        </w:tc>
        <w:tc>
          <w:tcPr>
            <w:tcW w:w="671" w:type="dxa"/>
            <w:shd w:val="clear" w:color="auto" w:fill="auto"/>
          </w:tcPr>
          <w:p w14:paraId="74709051" w14:textId="77777777" w:rsidR="009B77C8" w:rsidRPr="00DB2303" w:rsidRDefault="009B77C8" w:rsidP="00DD6ED9">
            <w:pPr>
              <w:jc w:val="center"/>
              <w:rPr>
                <w:b/>
                <w:bCs/>
                <w:color w:val="000000"/>
                <w:sz w:val="16"/>
                <w:szCs w:val="16"/>
                <w:lang w:eastAsia="zh-CN"/>
              </w:rPr>
            </w:pPr>
            <w:r w:rsidRPr="00DB2303">
              <w:rPr>
                <w:b/>
                <w:bCs/>
                <w:color w:val="000000"/>
                <w:sz w:val="16"/>
                <w:szCs w:val="16"/>
                <w:lang w:eastAsia="zh-CN"/>
              </w:rPr>
              <w:t>2024</w:t>
            </w:r>
          </w:p>
        </w:tc>
        <w:tc>
          <w:tcPr>
            <w:tcW w:w="795" w:type="dxa"/>
            <w:shd w:val="clear" w:color="auto" w:fill="auto"/>
          </w:tcPr>
          <w:p w14:paraId="1D5D762E" w14:textId="77777777" w:rsidR="009B77C8" w:rsidRPr="00DB2303" w:rsidRDefault="009B77C8" w:rsidP="00DD6ED9">
            <w:pPr>
              <w:jc w:val="center"/>
              <w:rPr>
                <w:b/>
                <w:bCs/>
                <w:color w:val="000000"/>
                <w:sz w:val="16"/>
                <w:szCs w:val="16"/>
                <w:lang w:eastAsia="zh-CN"/>
              </w:rPr>
            </w:pPr>
            <w:r w:rsidRPr="00DB2303">
              <w:rPr>
                <w:b/>
                <w:bCs/>
                <w:color w:val="000000"/>
                <w:sz w:val="16"/>
                <w:szCs w:val="16"/>
                <w:lang w:eastAsia="zh-CN"/>
              </w:rPr>
              <w:t>2025</w:t>
            </w:r>
          </w:p>
        </w:tc>
        <w:tc>
          <w:tcPr>
            <w:tcW w:w="860" w:type="dxa"/>
            <w:shd w:val="clear" w:color="auto" w:fill="auto"/>
          </w:tcPr>
          <w:p w14:paraId="258B74D7" w14:textId="77777777" w:rsidR="009B77C8" w:rsidRPr="00DB2303" w:rsidRDefault="009B77C8" w:rsidP="00DD6ED9">
            <w:pPr>
              <w:spacing w:after="60"/>
              <w:jc w:val="center"/>
              <w:rPr>
                <w:b/>
                <w:sz w:val="16"/>
                <w:szCs w:val="16"/>
              </w:rPr>
            </w:pPr>
            <w:r w:rsidRPr="00DB2303">
              <w:rPr>
                <w:b/>
                <w:sz w:val="16"/>
                <w:szCs w:val="16"/>
              </w:rPr>
              <w:t>Total</w:t>
            </w:r>
          </w:p>
        </w:tc>
      </w:tr>
      <w:tr w:rsidR="009B77C8" w:rsidRPr="00DB2303" w14:paraId="553AC8C6" w14:textId="77777777" w:rsidTr="00F63B3A">
        <w:tc>
          <w:tcPr>
            <w:tcW w:w="2619" w:type="dxa"/>
            <w:gridSpan w:val="3"/>
            <w:shd w:val="clear" w:color="auto" w:fill="auto"/>
          </w:tcPr>
          <w:p w14:paraId="23725688" w14:textId="77777777" w:rsidR="009B77C8" w:rsidRPr="00DB2303" w:rsidRDefault="009B77C8" w:rsidP="009B77C8">
            <w:pPr>
              <w:spacing w:after="60"/>
              <w:jc w:val="left"/>
              <w:rPr>
                <w:sz w:val="16"/>
                <w:szCs w:val="16"/>
              </w:rPr>
            </w:pPr>
            <w:r w:rsidRPr="00DB2303">
              <w:rPr>
                <w:sz w:val="16"/>
                <w:szCs w:val="16"/>
              </w:rPr>
              <w:t>Montreal Protocol consumption limits</w:t>
            </w:r>
          </w:p>
        </w:tc>
        <w:tc>
          <w:tcPr>
            <w:tcW w:w="771" w:type="dxa"/>
          </w:tcPr>
          <w:p w14:paraId="746E66F6" w14:textId="77777777" w:rsidR="009B77C8" w:rsidRPr="00DB2303" w:rsidRDefault="009B77C8" w:rsidP="009B77C8">
            <w:pPr>
              <w:jc w:val="right"/>
              <w:rPr>
                <w:color w:val="000000"/>
                <w:sz w:val="16"/>
                <w:szCs w:val="16"/>
                <w:lang w:val="en-CA"/>
              </w:rPr>
            </w:pPr>
            <w:r w:rsidRPr="00DB2303">
              <w:rPr>
                <w:color w:val="000000"/>
                <w:sz w:val="16"/>
                <w:szCs w:val="16"/>
              </w:rPr>
              <w:t>24.19</w:t>
            </w:r>
          </w:p>
        </w:tc>
        <w:tc>
          <w:tcPr>
            <w:tcW w:w="600" w:type="dxa"/>
          </w:tcPr>
          <w:p w14:paraId="4A70D71D" w14:textId="77777777" w:rsidR="009B77C8" w:rsidRPr="00DB2303" w:rsidRDefault="009B77C8" w:rsidP="009B77C8">
            <w:pPr>
              <w:jc w:val="right"/>
              <w:rPr>
                <w:color w:val="000000"/>
                <w:sz w:val="16"/>
                <w:szCs w:val="16"/>
                <w:lang w:val="en-CA"/>
              </w:rPr>
            </w:pPr>
            <w:r w:rsidRPr="00DB2303">
              <w:rPr>
                <w:color w:val="000000"/>
                <w:sz w:val="16"/>
                <w:szCs w:val="16"/>
              </w:rPr>
              <w:t>24.19</w:t>
            </w:r>
          </w:p>
        </w:tc>
        <w:tc>
          <w:tcPr>
            <w:tcW w:w="784" w:type="dxa"/>
          </w:tcPr>
          <w:p w14:paraId="65F9552A" w14:textId="77777777" w:rsidR="009B77C8" w:rsidRPr="00DB2303" w:rsidRDefault="009B77C8" w:rsidP="009B77C8">
            <w:pPr>
              <w:jc w:val="right"/>
              <w:rPr>
                <w:color w:val="000000"/>
                <w:sz w:val="16"/>
                <w:szCs w:val="16"/>
                <w:lang w:val="en-CA"/>
              </w:rPr>
            </w:pPr>
            <w:r w:rsidRPr="00DB2303">
              <w:rPr>
                <w:color w:val="000000"/>
                <w:sz w:val="16"/>
                <w:szCs w:val="16"/>
              </w:rPr>
              <w:t>24.19</w:t>
            </w:r>
          </w:p>
        </w:tc>
        <w:tc>
          <w:tcPr>
            <w:tcW w:w="801" w:type="dxa"/>
          </w:tcPr>
          <w:p w14:paraId="29452019" w14:textId="77777777" w:rsidR="009B77C8" w:rsidRPr="00DB2303" w:rsidRDefault="009B77C8" w:rsidP="009B77C8">
            <w:pPr>
              <w:jc w:val="right"/>
              <w:rPr>
                <w:color w:val="000000"/>
                <w:sz w:val="16"/>
                <w:szCs w:val="16"/>
                <w:lang w:val="en-CA"/>
              </w:rPr>
            </w:pPr>
            <w:r w:rsidRPr="00DB2303">
              <w:rPr>
                <w:color w:val="000000"/>
                <w:sz w:val="16"/>
                <w:szCs w:val="16"/>
              </w:rPr>
              <w:t>17.47</w:t>
            </w:r>
          </w:p>
        </w:tc>
        <w:tc>
          <w:tcPr>
            <w:tcW w:w="647" w:type="dxa"/>
            <w:shd w:val="clear" w:color="auto" w:fill="auto"/>
          </w:tcPr>
          <w:p w14:paraId="5BED31E0" w14:textId="77777777" w:rsidR="009B77C8" w:rsidRPr="00DB2303" w:rsidRDefault="009B77C8" w:rsidP="009B77C8">
            <w:pPr>
              <w:jc w:val="right"/>
              <w:rPr>
                <w:color w:val="000000"/>
                <w:sz w:val="16"/>
                <w:szCs w:val="16"/>
                <w:lang w:eastAsia="zh-CN"/>
              </w:rPr>
            </w:pPr>
            <w:r w:rsidRPr="00DB2303">
              <w:rPr>
                <w:color w:val="000000"/>
                <w:sz w:val="16"/>
                <w:szCs w:val="16"/>
                <w:lang w:eastAsia="zh-CN"/>
              </w:rPr>
              <w:t>17.47</w:t>
            </w:r>
          </w:p>
        </w:tc>
        <w:tc>
          <w:tcPr>
            <w:tcW w:w="801" w:type="dxa"/>
          </w:tcPr>
          <w:p w14:paraId="359F5390" w14:textId="77777777" w:rsidR="009B77C8" w:rsidRPr="00DB2303" w:rsidRDefault="009B77C8" w:rsidP="009B77C8">
            <w:pPr>
              <w:jc w:val="right"/>
              <w:rPr>
                <w:color w:val="000000"/>
                <w:sz w:val="16"/>
                <w:szCs w:val="16"/>
                <w:lang w:val="en-CA"/>
              </w:rPr>
            </w:pPr>
            <w:r w:rsidRPr="00DB2303">
              <w:rPr>
                <w:color w:val="000000"/>
                <w:sz w:val="16"/>
                <w:szCs w:val="16"/>
              </w:rPr>
              <w:t>17.47</w:t>
            </w:r>
          </w:p>
        </w:tc>
        <w:tc>
          <w:tcPr>
            <w:tcW w:w="636" w:type="dxa"/>
            <w:shd w:val="clear" w:color="auto" w:fill="auto"/>
          </w:tcPr>
          <w:p w14:paraId="3C559873" w14:textId="77777777" w:rsidR="009B77C8" w:rsidRPr="00DB2303" w:rsidRDefault="009B77C8" w:rsidP="009B77C8">
            <w:pPr>
              <w:jc w:val="right"/>
              <w:rPr>
                <w:color w:val="000000"/>
                <w:sz w:val="16"/>
                <w:szCs w:val="16"/>
                <w:lang w:val="en-CA"/>
              </w:rPr>
            </w:pPr>
            <w:r w:rsidRPr="00DB2303">
              <w:rPr>
                <w:color w:val="000000"/>
                <w:sz w:val="16"/>
                <w:szCs w:val="16"/>
              </w:rPr>
              <w:t>17.47</w:t>
            </w:r>
          </w:p>
        </w:tc>
        <w:tc>
          <w:tcPr>
            <w:tcW w:w="671" w:type="dxa"/>
            <w:shd w:val="clear" w:color="auto" w:fill="auto"/>
          </w:tcPr>
          <w:p w14:paraId="3AC64526" w14:textId="77777777" w:rsidR="009B77C8" w:rsidRPr="00DB2303" w:rsidRDefault="009B77C8" w:rsidP="009B77C8">
            <w:pPr>
              <w:jc w:val="right"/>
              <w:rPr>
                <w:color w:val="000000"/>
                <w:sz w:val="16"/>
                <w:szCs w:val="16"/>
                <w:lang w:val="en-CA"/>
              </w:rPr>
            </w:pPr>
            <w:r w:rsidRPr="00DB2303">
              <w:rPr>
                <w:color w:val="000000"/>
                <w:sz w:val="16"/>
                <w:szCs w:val="16"/>
              </w:rPr>
              <w:t>17.47</w:t>
            </w:r>
          </w:p>
        </w:tc>
        <w:tc>
          <w:tcPr>
            <w:tcW w:w="795" w:type="dxa"/>
            <w:shd w:val="clear" w:color="auto" w:fill="auto"/>
          </w:tcPr>
          <w:p w14:paraId="6357A6AF" w14:textId="77777777" w:rsidR="009B77C8" w:rsidRPr="00DB2303" w:rsidRDefault="009B77C8" w:rsidP="009B77C8">
            <w:pPr>
              <w:jc w:val="right"/>
              <w:rPr>
                <w:color w:val="000000"/>
                <w:sz w:val="16"/>
                <w:szCs w:val="16"/>
                <w:lang w:eastAsia="zh-CN"/>
              </w:rPr>
            </w:pPr>
            <w:r w:rsidRPr="00DB2303">
              <w:rPr>
                <w:color w:val="000000"/>
                <w:sz w:val="16"/>
                <w:szCs w:val="16"/>
                <w:lang w:eastAsia="zh-CN"/>
              </w:rPr>
              <w:t>8.74</w:t>
            </w:r>
          </w:p>
        </w:tc>
        <w:tc>
          <w:tcPr>
            <w:tcW w:w="860" w:type="dxa"/>
            <w:shd w:val="clear" w:color="auto" w:fill="auto"/>
          </w:tcPr>
          <w:p w14:paraId="34A26649" w14:textId="77777777" w:rsidR="009B77C8" w:rsidRPr="00DB2303" w:rsidRDefault="009B77C8" w:rsidP="009B77C8">
            <w:pPr>
              <w:jc w:val="right"/>
              <w:rPr>
                <w:color w:val="000000"/>
                <w:sz w:val="16"/>
                <w:szCs w:val="16"/>
                <w:lang w:eastAsia="zh-CN"/>
              </w:rPr>
            </w:pPr>
            <w:r w:rsidRPr="00DB2303">
              <w:rPr>
                <w:color w:val="000000"/>
                <w:sz w:val="16"/>
                <w:szCs w:val="16"/>
                <w:lang w:eastAsia="zh-CN"/>
              </w:rPr>
              <w:t>n/a</w:t>
            </w:r>
          </w:p>
        </w:tc>
      </w:tr>
      <w:tr w:rsidR="009B77C8" w:rsidRPr="00DB2303" w14:paraId="305620B3" w14:textId="77777777" w:rsidTr="00F63B3A">
        <w:tc>
          <w:tcPr>
            <w:tcW w:w="2619" w:type="dxa"/>
            <w:gridSpan w:val="3"/>
            <w:shd w:val="clear" w:color="auto" w:fill="auto"/>
          </w:tcPr>
          <w:p w14:paraId="4B352DFE" w14:textId="77777777" w:rsidR="009B77C8" w:rsidRPr="00DB2303" w:rsidRDefault="009B77C8" w:rsidP="009B77C8">
            <w:pPr>
              <w:spacing w:after="60"/>
              <w:jc w:val="left"/>
              <w:rPr>
                <w:sz w:val="16"/>
                <w:szCs w:val="16"/>
              </w:rPr>
            </w:pPr>
            <w:r w:rsidRPr="00DB2303">
              <w:rPr>
                <w:sz w:val="16"/>
                <w:szCs w:val="16"/>
              </w:rPr>
              <w:t>Maximum allowable consumption (ODP tonnes)</w:t>
            </w:r>
          </w:p>
        </w:tc>
        <w:tc>
          <w:tcPr>
            <w:tcW w:w="771" w:type="dxa"/>
          </w:tcPr>
          <w:p w14:paraId="52324FD9" w14:textId="77777777" w:rsidR="009B77C8" w:rsidRPr="00DB2303" w:rsidRDefault="009B77C8" w:rsidP="009B77C8">
            <w:pPr>
              <w:jc w:val="right"/>
              <w:rPr>
                <w:color w:val="000000"/>
                <w:sz w:val="16"/>
                <w:szCs w:val="16"/>
              </w:rPr>
            </w:pPr>
            <w:r w:rsidRPr="00DB2303">
              <w:rPr>
                <w:color w:val="000000"/>
                <w:sz w:val="16"/>
                <w:szCs w:val="16"/>
              </w:rPr>
              <w:t>24.19</w:t>
            </w:r>
          </w:p>
        </w:tc>
        <w:tc>
          <w:tcPr>
            <w:tcW w:w="600" w:type="dxa"/>
          </w:tcPr>
          <w:p w14:paraId="6F2E2B38" w14:textId="77777777" w:rsidR="009B77C8" w:rsidRPr="00DB2303" w:rsidRDefault="009B77C8" w:rsidP="009B77C8">
            <w:pPr>
              <w:jc w:val="right"/>
              <w:rPr>
                <w:color w:val="000000"/>
                <w:sz w:val="16"/>
                <w:szCs w:val="16"/>
              </w:rPr>
            </w:pPr>
            <w:r w:rsidRPr="00DB2303">
              <w:rPr>
                <w:color w:val="000000"/>
                <w:sz w:val="16"/>
                <w:szCs w:val="16"/>
              </w:rPr>
              <w:t>24.19</w:t>
            </w:r>
          </w:p>
        </w:tc>
        <w:tc>
          <w:tcPr>
            <w:tcW w:w="784" w:type="dxa"/>
          </w:tcPr>
          <w:p w14:paraId="593CF90E" w14:textId="77777777" w:rsidR="009B77C8" w:rsidRPr="00DB2303" w:rsidRDefault="009B77C8" w:rsidP="009B77C8">
            <w:pPr>
              <w:jc w:val="right"/>
              <w:rPr>
                <w:color w:val="000000"/>
                <w:sz w:val="16"/>
                <w:szCs w:val="16"/>
              </w:rPr>
            </w:pPr>
            <w:r w:rsidRPr="00DB2303">
              <w:rPr>
                <w:color w:val="000000"/>
                <w:sz w:val="16"/>
                <w:szCs w:val="16"/>
              </w:rPr>
              <w:t>24.19</w:t>
            </w:r>
          </w:p>
        </w:tc>
        <w:tc>
          <w:tcPr>
            <w:tcW w:w="801" w:type="dxa"/>
          </w:tcPr>
          <w:p w14:paraId="132B75B7" w14:textId="77777777" w:rsidR="009B77C8" w:rsidRPr="00DB2303" w:rsidRDefault="009B77C8" w:rsidP="009B77C8">
            <w:pPr>
              <w:jc w:val="right"/>
              <w:rPr>
                <w:color w:val="000000"/>
                <w:sz w:val="16"/>
                <w:szCs w:val="16"/>
              </w:rPr>
            </w:pPr>
            <w:r w:rsidRPr="00DB2303">
              <w:rPr>
                <w:color w:val="000000"/>
                <w:sz w:val="16"/>
                <w:szCs w:val="16"/>
              </w:rPr>
              <w:t>17.47</w:t>
            </w:r>
          </w:p>
        </w:tc>
        <w:tc>
          <w:tcPr>
            <w:tcW w:w="647" w:type="dxa"/>
            <w:shd w:val="clear" w:color="auto" w:fill="auto"/>
          </w:tcPr>
          <w:p w14:paraId="054FA8FA" w14:textId="77777777" w:rsidR="009B77C8" w:rsidRPr="00DB2303" w:rsidRDefault="009B77C8" w:rsidP="009B77C8">
            <w:pPr>
              <w:jc w:val="right"/>
              <w:rPr>
                <w:color w:val="000000"/>
                <w:sz w:val="16"/>
                <w:szCs w:val="16"/>
              </w:rPr>
            </w:pPr>
            <w:r w:rsidRPr="00DB2303">
              <w:rPr>
                <w:color w:val="000000"/>
                <w:sz w:val="16"/>
                <w:szCs w:val="16"/>
                <w:lang w:eastAsia="zh-CN"/>
              </w:rPr>
              <w:t>17.47</w:t>
            </w:r>
          </w:p>
        </w:tc>
        <w:tc>
          <w:tcPr>
            <w:tcW w:w="801" w:type="dxa"/>
          </w:tcPr>
          <w:p w14:paraId="5C123AD6" w14:textId="77777777" w:rsidR="009B77C8" w:rsidRPr="00DB2303" w:rsidRDefault="009B77C8" w:rsidP="009B77C8">
            <w:pPr>
              <w:jc w:val="right"/>
              <w:rPr>
                <w:color w:val="000000"/>
                <w:sz w:val="16"/>
                <w:szCs w:val="16"/>
              </w:rPr>
            </w:pPr>
            <w:r w:rsidRPr="00DB2303">
              <w:rPr>
                <w:color w:val="000000"/>
                <w:sz w:val="16"/>
                <w:szCs w:val="16"/>
              </w:rPr>
              <w:t>17.47</w:t>
            </w:r>
          </w:p>
        </w:tc>
        <w:tc>
          <w:tcPr>
            <w:tcW w:w="636" w:type="dxa"/>
            <w:shd w:val="clear" w:color="auto" w:fill="auto"/>
          </w:tcPr>
          <w:p w14:paraId="4268108A" w14:textId="77777777" w:rsidR="009B77C8" w:rsidRPr="00DB2303" w:rsidRDefault="009B77C8" w:rsidP="009B77C8">
            <w:pPr>
              <w:jc w:val="right"/>
              <w:rPr>
                <w:color w:val="000000"/>
                <w:sz w:val="16"/>
                <w:szCs w:val="16"/>
              </w:rPr>
            </w:pPr>
            <w:r w:rsidRPr="00DB2303">
              <w:rPr>
                <w:color w:val="000000"/>
                <w:sz w:val="16"/>
                <w:szCs w:val="16"/>
              </w:rPr>
              <w:t>17.47</w:t>
            </w:r>
          </w:p>
        </w:tc>
        <w:tc>
          <w:tcPr>
            <w:tcW w:w="671" w:type="dxa"/>
            <w:shd w:val="clear" w:color="auto" w:fill="auto"/>
          </w:tcPr>
          <w:p w14:paraId="2D4F4E15" w14:textId="77777777" w:rsidR="009B77C8" w:rsidRPr="00DB2303" w:rsidRDefault="009B77C8" w:rsidP="009B77C8">
            <w:pPr>
              <w:jc w:val="right"/>
              <w:rPr>
                <w:color w:val="000000"/>
                <w:sz w:val="16"/>
                <w:szCs w:val="16"/>
              </w:rPr>
            </w:pPr>
            <w:r w:rsidRPr="00DB2303">
              <w:rPr>
                <w:color w:val="000000"/>
                <w:sz w:val="16"/>
                <w:szCs w:val="16"/>
              </w:rPr>
              <w:t>17.47</w:t>
            </w:r>
          </w:p>
        </w:tc>
        <w:tc>
          <w:tcPr>
            <w:tcW w:w="795" w:type="dxa"/>
            <w:shd w:val="clear" w:color="auto" w:fill="auto"/>
          </w:tcPr>
          <w:p w14:paraId="56734E33" w14:textId="77777777" w:rsidR="009B77C8" w:rsidRPr="00DB2303" w:rsidRDefault="009B77C8" w:rsidP="009B77C8">
            <w:pPr>
              <w:jc w:val="right"/>
              <w:rPr>
                <w:color w:val="000000"/>
                <w:sz w:val="16"/>
                <w:szCs w:val="16"/>
              </w:rPr>
            </w:pPr>
            <w:r w:rsidRPr="00DB2303">
              <w:rPr>
                <w:color w:val="000000"/>
                <w:sz w:val="16"/>
                <w:szCs w:val="16"/>
              </w:rPr>
              <w:t>8.74</w:t>
            </w:r>
          </w:p>
        </w:tc>
        <w:tc>
          <w:tcPr>
            <w:tcW w:w="860" w:type="dxa"/>
            <w:shd w:val="clear" w:color="auto" w:fill="auto"/>
          </w:tcPr>
          <w:p w14:paraId="208BDAD0" w14:textId="77777777" w:rsidR="009B77C8" w:rsidRPr="00DB2303" w:rsidRDefault="009B77C8" w:rsidP="009B77C8">
            <w:pPr>
              <w:jc w:val="right"/>
              <w:rPr>
                <w:color w:val="000000"/>
                <w:sz w:val="16"/>
                <w:szCs w:val="16"/>
                <w:lang w:val="en-CA" w:bidi="th-TH"/>
              </w:rPr>
            </w:pPr>
            <w:r w:rsidRPr="00DB2303">
              <w:rPr>
                <w:color w:val="000000"/>
                <w:sz w:val="16"/>
                <w:szCs w:val="16"/>
                <w:lang w:eastAsia="zh-CN"/>
              </w:rPr>
              <w:t>n/a</w:t>
            </w:r>
          </w:p>
        </w:tc>
      </w:tr>
      <w:tr w:rsidR="00357AC8" w:rsidRPr="00DB2303" w14:paraId="6398AB7E" w14:textId="77777777" w:rsidTr="00F63B3A">
        <w:tc>
          <w:tcPr>
            <w:tcW w:w="868" w:type="dxa"/>
            <w:vMerge w:val="restart"/>
            <w:shd w:val="clear" w:color="auto" w:fill="auto"/>
          </w:tcPr>
          <w:p w14:paraId="73314346" w14:textId="77777777" w:rsidR="00357AC8" w:rsidRPr="00DB2303" w:rsidRDefault="00357AC8" w:rsidP="00357AC8">
            <w:pPr>
              <w:spacing w:after="60"/>
              <w:jc w:val="left"/>
              <w:rPr>
                <w:sz w:val="16"/>
                <w:szCs w:val="16"/>
              </w:rPr>
            </w:pPr>
            <w:r w:rsidRPr="00DB2303">
              <w:rPr>
                <w:sz w:val="16"/>
                <w:szCs w:val="16"/>
              </w:rPr>
              <w:t>Project costs requested in principle (US$)</w:t>
            </w:r>
          </w:p>
        </w:tc>
        <w:tc>
          <w:tcPr>
            <w:tcW w:w="679" w:type="dxa"/>
            <w:vMerge w:val="restart"/>
            <w:vAlign w:val="center"/>
          </w:tcPr>
          <w:p w14:paraId="43EEC2E0" w14:textId="77777777" w:rsidR="00357AC8" w:rsidRPr="00DB2303" w:rsidRDefault="00357AC8" w:rsidP="00357AC8">
            <w:pPr>
              <w:jc w:val="right"/>
              <w:rPr>
                <w:color w:val="000000"/>
                <w:sz w:val="16"/>
                <w:szCs w:val="16"/>
              </w:rPr>
            </w:pPr>
            <w:r w:rsidRPr="00DB2303">
              <w:rPr>
                <w:color w:val="000000"/>
                <w:sz w:val="16"/>
                <w:szCs w:val="16"/>
              </w:rPr>
              <w:t>UNDP</w:t>
            </w:r>
          </w:p>
        </w:tc>
        <w:tc>
          <w:tcPr>
            <w:tcW w:w="1072" w:type="dxa"/>
            <w:shd w:val="clear" w:color="auto" w:fill="auto"/>
          </w:tcPr>
          <w:p w14:paraId="39B6DB53" w14:textId="77777777" w:rsidR="00357AC8" w:rsidRPr="00DB2303" w:rsidRDefault="00357AC8" w:rsidP="00357AC8">
            <w:pPr>
              <w:spacing w:after="60"/>
              <w:jc w:val="left"/>
              <w:rPr>
                <w:sz w:val="16"/>
                <w:szCs w:val="16"/>
              </w:rPr>
            </w:pPr>
            <w:r w:rsidRPr="00DB2303">
              <w:rPr>
                <w:sz w:val="16"/>
                <w:szCs w:val="16"/>
              </w:rPr>
              <w:t>Project costs</w:t>
            </w:r>
          </w:p>
        </w:tc>
        <w:tc>
          <w:tcPr>
            <w:tcW w:w="771" w:type="dxa"/>
          </w:tcPr>
          <w:p w14:paraId="3708D1B9" w14:textId="77777777" w:rsidR="00357AC8" w:rsidRPr="00DB2303" w:rsidRDefault="00357AC8" w:rsidP="00357AC8">
            <w:pPr>
              <w:jc w:val="right"/>
              <w:rPr>
                <w:color w:val="000000"/>
                <w:sz w:val="16"/>
                <w:szCs w:val="16"/>
              </w:rPr>
            </w:pPr>
            <w:r w:rsidRPr="00DB2303">
              <w:rPr>
                <w:color w:val="000000"/>
                <w:sz w:val="16"/>
                <w:szCs w:val="16"/>
              </w:rPr>
              <w:t>350,100</w:t>
            </w:r>
          </w:p>
        </w:tc>
        <w:tc>
          <w:tcPr>
            <w:tcW w:w="600" w:type="dxa"/>
            <w:shd w:val="clear" w:color="auto" w:fill="auto"/>
          </w:tcPr>
          <w:p w14:paraId="6862867D" w14:textId="77777777" w:rsidR="00357AC8" w:rsidRPr="00DB2303" w:rsidRDefault="00357AC8" w:rsidP="00357AC8">
            <w:pPr>
              <w:jc w:val="right"/>
              <w:rPr>
                <w:color w:val="000000"/>
                <w:sz w:val="16"/>
                <w:szCs w:val="16"/>
              </w:rPr>
            </w:pPr>
            <w:r w:rsidRPr="00DB2303">
              <w:rPr>
                <w:color w:val="000000"/>
                <w:sz w:val="16"/>
                <w:szCs w:val="16"/>
              </w:rPr>
              <w:t>0</w:t>
            </w:r>
          </w:p>
        </w:tc>
        <w:tc>
          <w:tcPr>
            <w:tcW w:w="784" w:type="dxa"/>
          </w:tcPr>
          <w:p w14:paraId="26CE52E9" w14:textId="77777777" w:rsidR="00357AC8" w:rsidRPr="00DB2303" w:rsidRDefault="00357AC8" w:rsidP="00357AC8">
            <w:pPr>
              <w:jc w:val="right"/>
              <w:rPr>
                <w:color w:val="000000"/>
                <w:sz w:val="16"/>
                <w:szCs w:val="16"/>
                <w:lang w:val="en-CA"/>
              </w:rPr>
            </w:pPr>
            <w:r w:rsidRPr="00DB2303">
              <w:rPr>
                <w:color w:val="000000"/>
                <w:sz w:val="16"/>
                <w:szCs w:val="16"/>
              </w:rPr>
              <w:t>350,100</w:t>
            </w:r>
          </w:p>
        </w:tc>
        <w:tc>
          <w:tcPr>
            <w:tcW w:w="801" w:type="dxa"/>
          </w:tcPr>
          <w:p w14:paraId="544F84E4" w14:textId="77777777" w:rsidR="00357AC8" w:rsidRPr="00DB2303" w:rsidRDefault="00357AC8" w:rsidP="00357AC8">
            <w:pPr>
              <w:jc w:val="right"/>
              <w:rPr>
                <w:color w:val="000000"/>
                <w:sz w:val="16"/>
                <w:szCs w:val="16"/>
              </w:rPr>
            </w:pPr>
            <w:r w:rsidRPr="00DB2303">
              <w:rPr>
                <w:color w:val="000000"/>
                <w:sz w:val="16"/>
                <w:szCs w:val="16"/>
              </w:rPr>
              <w:t>0</w:t>
            </w:r>
          </w:p>
        </w:tc>
        <w:tc>
          <w:tcPr>
            <w:tcW w:w="647" w:type="dxa"/>
            <w:shd w:val="clear" w:color="auto" w:fill="auto"/>
          </w:tcPr>
          <w:p w14:paraId="09AA0D47" w14:textId="77777777" w:rsidR="00357AC8" w:rsidRPr="00DB2303" w:rsidRDefault="00357AC8" w:rsidP="00357AC8">
            <w:pPr>
              <w:jc w:val="right"/>
              <w:rPr>
                <w:color w:val="000000"/>
                <w:sz w:val="16"/>
                <w:szCs w:val="16"/>
              </w:rPr>
            </w:pPr>
            <w:r w:rsidRPr="00DB2303">
              <w:rPr>
                <w:color w:val="000000"/>
                <w:sz w:val="16"/>
                <w:szCs w:val="16"/>
              </w:rPr>
              <w:t>0</w:t>
            </w:r>
          </w:p>
        </w:tc>
        <w:tc>
          <w:tcPr>
            <w:tcW w:w="801" w:type="dxa"/>
            <w:shd w:val="clear" w:color="auto" w:fill="auto"/>
          </w:tcPr>
          <w:p w14:paraId="5BCC063A" w14:textId="77777777" w:rsidR="00357AC8" w:rsidRPr="00DB2303" w:rsidRDefault="00357AC8" w:rsidP="00357AC8">
            <w:pPr>
              <w:jc w:val="right"/>
              <w:rPr>
                <w:color w:val="000000"/>
                <w:sz w:val="16"/>
                <w:szCs w:val="16"/>
                <w:lang w:val="en-CA"/>
              </w:rPr>
            </w:pPr>
            <w:r w:rsidRPr="00DB2303">
              <w:rPr>
                <w:color w:val="000000"/>
                <w:sz w:val="16"/>
                <w:szCs w:val="16"/>
              </w:rPr>
              <w:t>350,100</w:t>
            </w:r>
          </w:p>
        </w:tc>
        <w:tc>
          <w:tcPr>
            <w:tcW w:w="636" w:type="dxa"/>
            <w:shd w:val="clear" w:color="auto" w:fill="auto"/>
          </w:tcPr>
          <w:p w14:paraId="3D17CA12" w14:textId="77777777" w:rsidR="00357AC8" w:rsidRPr="00DB2303" w:rsidRDefault="00357AC8" w:rsidP="00357AC8">
            <w:pPr>
              <w:jc w:val="right"/>
              <w:rPr>
                <w:color w:val="000000"/>
                <w:sz w:val="16"/>
                <w:szCs w:val="16"/>
              </w:rPr>
            </w:pPr>
            <w:r w:rsidRPr="00DB2303">
              <w:rPr>
                <w:color w:val="000000"/>
                <w:sz w:val="16"/>
                <w:szCs w:val="16"/>
              </w:rPr>
              <w:t>0</w:t>
            </w:r>
          </w:p>
        </w:tc>
        <w:tc>
          <w:tcPr>
            <w:tcW w:w="671" w:type="dxa"/>
            <w:shd w:val="clear" w:color="auto" w:fill="auto"/>
          </w:tcPr>
          <w:p w14:paraId="54AFD6B3" w14:textId="77777777" w:rsidR="00357AC8" w:rsidRPr="00DB2303" w:rsidRDefault="00357AC8" w:rsidP="00357AC8">
            <w:pPr>
              <w:jc w:val="right"/>
              <w:rPr>
                <w:color w:val="000000"/>
                <w:sz w:val="16"/>
                <w:szCs w:val="16"/>
              </w:rPr>
            </w:pPr>
            <w:r w:rsidRPr="00DB2303">
              <w:rPr>
                <w:color w:val="000000"/>
                <w:sz w:val="16"/>
                <w:szCs w:val="16"/>
              </w:rPr>
              <w:t>0</w:t>
            </w:r>
          </w:p>
        </w:tc>
        <w:tc>
          <w:tcPr>
            <w:tcW w:w="795" w:type="dxa"/>
            <w:shd w:val="clear" w:color="auto" w:fill="auto"/>
          </w:tcPr>
          <w:p w14:paraId="78CC79C6" w14:textId="77777777" w:rsidR="00357AC8" w:rsidRPr="00DB2303" w:rsidRDefault="00357AC8" w:rsidP="00357AC8">
            <w:pPr>
              <w:jc w:val="right"/>
              <w:rPr>
                <w:color w:val="000000"/>
                <w:sz w:val="16"/>
                <w:szCs w:val="16"/>
              </w:rPr>
            </w:pPr>
            <w:r w:rsidRPr="00DB2303">
              <w:rPr>
                <w:color w:val="000000"/>
                <w:sz w:val="16"/>
                <w:szCs w:val="16"/>
              </w:rPr>
              <w:t>116,700</w:t>
            </w:r>
          </w:p>
        </w:tc>
        <w:tc>
          <w:tcPr>
            <w:tcW w:w="860" w:type="dxa"/>
          </w:tcPr>
          <w:p w14:paraId="57689E95" w14:textId="77777777" w:rsidR="00357AC8" w:rsidRPr="00DB2303" w:rsidRDefault="00357AC8" w:rsidP="00357AC8">
            <w:pPr>
              <w:jc w:val="right"/>
              <w:rPr>
                <w:color w:val="000000"/>
                <w:sz w:val="16"/>
                <w:szCs w:val="16"/>
                <w:lang w:val="en-CA"/>
              </w:rPr>
            </w:pPr>
            <w:r w:rsidRPr="00DB2303">
              <w:rPr>
                <w:color w:val="000000"/>
                <w:sz w:val="16"/>
                <w:szCs w:val="16"/>
              </w:rPr>
              <w:t>1,167,000</w:t>
            </w:r>
          </w:p>
        </w:tc>
      </w:tr>
      <w:tr w:rsidR="00357AC8" w:rsidRPr="00DB2303" w14:paraId="7ABED57F" w14:textId="77777777" w:rsidTr="00F63B3A">
        <w:tc>
          <w:tcPr>
            <w:tcW w:w="868" w:type="dxa"/>
            <w:vMerge/>
            <w:shd w:val="clear" w:color="auto" w:fill="auto"/>
          </w:tcPr>
          <w:p w14:paraId="72F7FA28" w14:textId="77777777" w:rsidR="00357AC8" w:rsidRPr="00DB2303" w:rsidRDefault="00357AC8" w:rsidP="00357AC8">
            <w:pPr>
              <w:spacing w:after="60"/>
              <w:jc w:val="center"/>
              <w:rPr>
                <w:sz w:val="16"/>
                <w:szCs w:val="16"/>
              </w:rPr>
            </w:pPr>
          </w:p>
        </w:tc>
        <w:tc>
          <w:tcPr>
            <w:tcW w:w="679" w:type="dxa"/>
            <w:vMerge/>
            <w:vAlign w:val="center"/>
          </w:tcPr>
          <w:p w14:paraId="2E44B443" w14:textId="77777777" w:rsidR="00357AC8" w:rsidRPr="00DB2303" w:rsidRDefault="00357AC8" w:rsidP="00357AC8">
            <w:pPr>
              <w:spacing w:after="60"/>
              <w:jc w:val="center"/>
              <w:rPr>
                <w:sz w:val="16"/>
                <w:szCs w:val="16"/>
              </w:rPr>
            </w:pPr>
          </w:p>
        </w:tc>
        <w:tc>
          <w:tcPr>
            <w:tcW w:w="1072" w:type="dxa"/>
            <w:shd w:val="clear" w:color="auto" w:fill="auto"/>
          </w:tcPr>
          <w:p w14:paraId="1CC43F31" w14:textId="77777777" w:rsidR="00357AC8" w:rsidRPr="00DB2303" w:rsidRDefault="00357AC8" w:rsidP="00357AC8">
            <w:pPr>
              <w:spacing w:after="60"/>
              <w:jc w:val="left"/>
              <w:rPr>
                <w:sz w:val="16"/>
                <w:szCs w:val="16"/>
              </w:rPr>
            </w:pPr>
            <w:r w:rsidRPr="00DB2303">
              <w:rPr>
                <w:sz w:val="16"/>
                <w:szCs w:val="16"/>
              </w:rPr>
              <w:t>Support costs</w:t>
            </w:r>
          </w:p>
        </w:tc>
        <w:tc>
          <w:tcPr>
            <w:tcW w:w="771" w:type="dxa"/>
          </w:tcPr>
          <w:p w14:paraId="2FB8EDE7" w14:textId="77777777" w:rsidR="00357AC8" w:rsidRPr="00DB2303" w:rsidRDefault="00357AC8" w:rsidP="00357AC8">
            <w:pPr>
              <w:spacing w:after="60"/>
              <w:jc w:val="center"/>
              <w:rPr>
                <w:sz w:val="16"/>
                <w:szCs w:val="16"/>
              </w:rPr>
            </w:pPr>
            <w:r w:rsidRPr="00DB2303">
              <w:rPr>
                <w:color w:val="000000"/>
                <w:sz w:val="16"/>
                <w:szCs w:val="16"/>
              </w:rPr>
              <w:t>24,507</w:t>
            </w:r>
          </w:p>
        </w:tc>
        <w:tc>
          <w:tcPr>
            <w:tcW w:w="600" w:type="dxa"/>
            <w:shd w:val="clear" w:color="auto" w:fill="auto"/>
          </w:tcPr>
          <w:p w14:paraId="648B8C1C" w14:textId="77777777" w:rsidR="00357AC8" w:rsidRPr="00DB2303" w:rsidRDefault="00357AC8" w:rsidP="00357AC8">
            <w:pPr>
              <w:jc w:val="right"/>
              <w:rPr>
                <w:color w:val="000000"/>
                <w:sz w:val="16"/>
                <w:szCs w:val="16"/>
              </w:rPr>
            </w:pPr>
            <w:r w:rsidRPr="00DB2303">
              <w:rPr>
                <w:color w:val="000000"/>
                <w:sz w:val="16"/>
                <w:szCs w:val="16"/>
              </w:rPr>
              <w:t>0</w:t>
            </w:r>
          </w:p>
        </w:tc>
        <w:tc>
          <w:tcPr>
            <w:tcW w:w="784" w:type="dxa"/>
          </w:tcPr>
          <w:p w14:paraId="588AFC2A" w14:textId="77777777" w:rsidR="00357AC8" w:rsidRPr="00DB2303" w:rsidRDefault="00357AC8" w:rsidP="00357AC8">
            <w:pPr>
              <w:jc w:val="right"/>
              <w:rPr>
                <w:color w:val="000000"/>
                <w:sz w:val="16"/>
                <w:szCs w:val="16"/>
              </w:rPr>
            </w:pPr>
            <w:r w:rsidRPr="00DB2303">
              <w:rPr>
                <w:color w:val="000000"/>
                <w:sz w:val="16"/>
                <w:szCs w:val="16"/>
              </w:rPr>
              <w:t>24,507</w:t>
            </w:r>
          </w:p>
        </w:tc>
        <w:tc>
          <w:tcPr>
            <w:tcW w:w="801" w:type="dxa"/>
          </w:tcPr>
          <w:p w14:paraId="66F8C9F9" w14:textId="77777777" w:rsidR="00357AC8" w:rsidRPr="00DB2303" w:rsidRDefault="00357AC8" w:rsidP="00357AC8">
            <w:pPr>
              <w:jc w:val="right"/>
              <w:rPr>
                <w:color w:val="000000"/>
                <w:sz w:val="16"/>
                <w:szCs w:val="16"/>
              </w:rPr>
            </w:pPr>
            <w:r w:rsidRPr="00DB2303">
              <w:rPr>
                <w:color w:val="000000"/>
                <w:sz w:val="16"/>
                <w:szCs w:val="16"/>
              </w:rPr>
              <w:t>0</w:t>
            </w:r>
          </w:p>
        </w:tc>
        <w:tc>
          <w:tcPr>
            <w:tcW w:w="647" w:type="dxa"/>
            <w:shd w:val="clear" w:color="auto" w:fill="auto"/>
          </w:tcPr>
          <w:p w14:paraId="716932D1" w14:textId="77777777" w:rsidR="00357AC8" w:rsidRPr="00DB2303" w:rsidRDefault="00357AC8" w:rsidP="00357AC8">
            <w:pPr>
              <w:jc w:val="right"/>
              <w:rPr>
                <w:color w:val="000000"/>
                <w:sz w:val="16"/>
                <w:szCs w:val="16"/>
              </w:rPr>
            </w:pPr>
            <w:r w:rsidRPr="00DB2303">
              <w:rPr>
                <w:color w:val="000000"/>
                <w:sz w:val="16"/>
                <w:szCs w:val="16"/>
              </w:rPr>
              <w:t>0</w:t>
            </w:r>
          </w:p>
        </w:tc>
        <w:tc>
          <w:tcPr>
            <w:tcW w:w="801" w:type="dxa"/>
            <w:shd w:val="clear" w:color="auto" w:fill="auto"/>
          </w:tcPr>
          <w:p w14:paraId="6BCF6233" w14:textId="77777777" w:rsidR="00357AC8" w:rsidRPr="00DB2303" w:rsidRDefault="00357AC8" w:rsidP="00357AC8">
            <w:pPr>
              <w:jc w:val="right"/>
              <w:rPr>
                <w:color w:val="000000"/>
                <w:sz w:val="16"/>
                <w:szCs w:val="16"/>
              </w:rPr>
            </w:pPr>
            <w:r w:rsidRPr="00DB2303">
              <w:rPr>
                <w:color w:val="000000"/>
                <w:sz w:val="16"/>
                <w:szCs w:val="16"/>
              </w:rPr>
              <w:t>24,507</w:t>
            </w:r>
          </w:p>
        </w:tc>
        <w:tc>
          <w:tcPr>
            <w:tcW w:w="636" w:type="dxa"/>
            <w:shd w:val="clear" w:color="auto" w:fill="auto"/>
          </w:tcPr>
          <w:p w14:paraId="0DF73C7C" w14:textId="77777777" w:rsidR="00357AC8" w:rsidRPr="00DB2303" w:rsidRDefault="00357AC8" w:rsidP="00357AC8">
            <w:pPr>
              <w:jc w:val="right"/>
              <w:rPr>
                <w:color w:val="000000"/>
                <w:sz w:val="16"/>
                <w:szCs w:val="16"/>
              </w:rPr>
            </w:pPr>
            <w:r w:rsidRPr="00DB2303">
              <w:rPr>
                <w:color w:val="000000"/>
                <w:sz w:val="16"/>
                <w:szCs w:val="16"/>
              </w:rPr>
              <w:t>0</w:t>
            </w:r>
          </w:p>
        </w:tc>
        <w:tc>
          <w:tcPr>
            <w:tcW w:w="671" w:type="dxa"/>
            <w:shd w:val="clear" w:color="auto" w:fill="auto"/>
          </w:tcPr>
          <w:p w14:paraId="60D8218F" w14:textId="77777777" w:rsidR="00357AC8" w:rsidRPr="00DB2303" w:rsidRDefault="00357AC8" w:rsidP="00357AC8">
            <w:pPr>
              <w:jc w:val="right"/>
              <w:rPr>
                <w:color w:val="000000"/>
                <w:sz w:val="16"/>
                <w:szCs w:val="16"/>
              </w:rPr>
            </w:pPr>
            <w:r w:rsidRPr="00DB2303">
              <w:rPr>
                <w:color w:val="000000"/>
                <w:sz w:val="16"/>
                <w:szCs w:val="16"/>
              </w:rPr>
              <w:t>0</w:t>
            </w:r>
          </w:p>
        </w:tc>
        <w:tc>
          <w:tcPr>
            <w:tcW w:w="795" w:type="dxa"/>
            <w:shd w:val="clear" w:color="auto" w:fill="auto"/>
          </w:tcPr>
          <w:p w14:paraId="5E8C53D9" w14:textId="77777777" w:rsidR="00357AC8" w:rsidRPr="00DB2303" w:rsidRDefault="00357AC8" w:rsidP="00357AC8">
            <w:pPr>
              <w:jc w:val="right"/>
              <w:rPr>
                <w:color w:val="000000"/>
                <w:sz w:val="16"/>
                <w:szCs w:val="16"/>
              </w:rPr>
            </w:pPr>
            <w:r w:rsidRPr="00DB2303">
              <w:rPr>
                <w:color w:val="000000"/>
                <w:sz w:val="16"/>
                <w:szCs w:val="16"/>
              </w:rPr>
              <w:t>8,169</w:t>
            </w:r>
          </w:p>
        </w:tc>
        <w:tc>
          <w:tcPr>
            <w:tcW w:w="860" w:type="dxa"/>
          </w:tcPr>
          <w:p w14:paraId="4879910F" w14:textId="77777777" w:rsidR="00357AC8" w:rsidRPr="00DB2303" w:rsidRDefault="00357AC8" w:rsidP="00357AC8">
            <w:pPr>
              <w:jc w:val="right"/>
              <w:rPr>
                <w:color w:val="000000"/>
                <w:sz w:val="16"/>
                <w:szCs w:val="16"/>
              </w:rPr>
            </w:pPr>
            <w:r w:rsidRPr="00DB2303">
              <w:rPr>
                <w:color w:val="000000"/>
                <w:sz w:val="16"/>
                <w:szCs w:val="16"/>
              </w:rPr>
              <w:t>81,690</w:t>
            </w:r>
          </w:p>
        </w:tc>
      </w:tr>
      <w:tr w:rsidR="00357AC8" w:rsidRPr="00DB2303" w14:paraId="0E87F392" w14:textId="77777777" w:rsidTr="00F63B3A">
        <w:tc>
          <w:tcPr>
            <w:tcW w:w="868" w:type="dxa"/>
            <w:vMerge/>
            <w:shd w:val="clear" w:color="auto" w:fill="auto"/>
          </w:tcPr>
          <w:p w14:paraId="06115C4E" w14:textId="77777777" w:rsidR="00357AC8" w:rsidRPr="00DB2303" w:rsidRDefault="00357AC8" w:rsidP="00357AC8">
            <w:pPr>
              <w:spacing w:after="60"/>
              <w:jc w:val="center"/>
              <w:rPr>
                <w:sz w:val="16"/>
                <w:szCs w:val="16"/>
              </w:rPr>
            </w:pPr>
          </w:p>
        </w:tc>
        <w:tc>
          <w:tcPr>
            <w:tcW w:w="679" w:type="dxa"/>
            <w:vMerge w:val="restart"/>
            <w:vAlign w:val="center"/>
          </w:tcPr>
          <w:p w14:paraId="630ED6DA" w14:textId="77777777" w:rsidR="00357AC8" w:rsidRPr="00DB2303" w:rsidRDefault="00357AC8" w:rsidP="00357AC8">
            <w:pPr>
              <w:jc w:val="right"/>
              <w:rPr>
                <w:color w:val="000000"/>
                <w:sz w:val="16"/>
                <w:szCs w:val="16"/>
              </w:rPr>
            </w:pPr>
            <w:r w:rsidRPr="00DB2303">
              <w:rPr>
                <w:color w:val="000000"/>
                <w:sz w:val="16"/>
                <w:szCs w:val="16"/>
              </w:rPr>
              <w:t>UNEP</w:t>
            </w:r>
          </w:p>
        </w:tc>
        <w:tc>
          <w:tcPr>
            <w:tcW w:w="1072" w:type="dxa"/>
            <w:shd w:val="clear" w:color="auto" w:fill="auto"/>
          </w:tcPr>
          <w:p w14:paraId="4B556414" w14:textId="77777777" w:rsidR="00357AC8" w:rsidRPr="00DB2303" w:rsidRDefault="00357AC8" w:rsidP="00357AC8">
            <w:pPr>
              <w:spacing w:after="60"/>
              <w:jc w:val="left"/>
              <w:rPr>
                <w:sz w:val="16"/>
                <w:szCs w:val="16"/>
              </w:rPr>
            </w:pPr>
            <w:r w:rsidRPr="00DB2303">
              <w:rPr>
                <w:sz w:val="16"/>
                <w:szCs w:val="16"/>
              </w:rPr>
              <w:t>Project costs</w:t>
            </w:r>
          </w:p>
        </w:tc>
        <w:tc>
          <w:tcPr>
            <w:tcW w:w="771" w:type="dxa"/>
          </w:tcPr>
          <w:p w14:paraId="25ED28E9" w14:textId="77777777" w:rsidR="00357AC8" w:rsidRPr="00DB2303" w:rsidRDefault="00357AC8" w:rsidP="00357AC8">
            <w:pPr>
              <w:jc w:val="right"/>
              <w:rPr>
                <w:color w:val="000000"/>
                <w:sz w:val="16"/>
                <w:szCs w:val="16"/>
              </w:rPr>
            </w:pPr>
            <w:r w:rsidRPr="00DB2303">
              <w:rPr>
                <w:color w:val="000000"/>
                <w:sz w:val="16"/>
                <w:szCs w:val="16"/>
              </w:rPr>
              <w:t>62,400</w:t>
            </w:r>
          </w:p>
        </w:tc>
        <w:tc>
          <w:tcPr>
            <w:tcW w:w="600" w:type="dxa"/>
            <w:shd w:val="clear" w:color="auto" w:fill="auto"/>
          </w:tcPr>
          <w:p w14:paraId="16473DBA" w14:textId="77777777" w:rsidR="00357AC8" w:rsidRPr="00DB2303" w:rsidRDefault="00357AC8" w:rsidP="00357AC8">
            <w:pPr>
              <w:jc w:val="right"/>
              <w:rPr>
                <w:color w:val="000000"/>
                <w:sz w:val="16"/>
                <w:szCs w:val="16"/>
              </w:rPr>
            </w:pPr>
            <w:r w:rsidRPr="00DB2303">
              <w:rPr>
                <w:color w:val="000000"/>
                <w:sz w:val="16"/>
                <w:szCs w:val="16"/>
              </w:rPr>
              <w:t>0</w:t>
            </w:r>
          </w:p>
        </w:tc>
        <w:tc>
          <w:tcPr>
            <w:tcW w:w="784" w:type="dxa"/>
          </w:tcPr>
          <w:p w14:paraId="4617BC32" w14:textId="77777777" w:rsidR="00357AC8" w:rsidRPr="00DB2303" w:rsidRDefault="00357AC8" w:rsidP="00357AC8">
            <w:pPr>
              <w:jc w:val="right"/>
              <w:rPr>
                <w:color w:val="000000"/>
                <w:sz w:val="16"/>
                <w:szCs w:val="16"/>
              </w:rPr>
            </w:pPr>
            <w:r w:rsidRPr="00DB2303">
              <w:rPr>
                <w:color w:val="000000"/>
                <w:sz w:val="16"/>
                <w:szCs w:val="16"/>
              </w:rPr>
              <w:t>62,400</w:t>
            </w:r>
          </w:p>
        </w:tc>
        <w:tc>
          <w:tcPr>
            <w:tcW w:w="801" w:type="dxa"/>
          </w:tcPr>
          <w:p w14:paraId="179BA9C6" w14:textId="77777777" w:rsidR="00357AC8" w:rsidRPr="00DB2303" w:rsidRDefault="00357AC8" w:rsidP="00357AC8">
            <w:pPr>
              <w:jc w:val="right"/>
              <w:rPr>
                <w:color w:val="000000"/>
                <w:sz w:val="16"/>
                <w:szCs w:val="16"/>
              </w:rPr>
            </w:pPr>
            <w:r w:rsidRPr="00DB2303">
              <w:rPr>
                <w:color w:val="000000"/>
                <w:sz w:val="16"/>
                <w:szCs w:val="16"/>
              </w:rPr>
              <w:t>0</w:t>
            </w:r>
          </w:p>
        </w:tc>
        <w:tc>
          <w:tcPr>
            <w:tcW w:w="647" w:type="dxa"/>
            <w:shd w:val="clear" w:color="auto" w:fill="auto"/>
          </w:tcPr>
          <w:p w14:paraId="49CCE214" w14:textId="77777777" w:rsidR="00357AC8" w:rsidRPr="00DB2303" w:rsidRDefault="00357AC8" w:rsidP="00357AC8">
            <w:pPr>
              <w:jc w:val="right"/>
              <w:rPr>
                <w:color w:val="000000"/>
                <w:sz w:val="16"/>
                <w:szCs w:val="16"/>
              </w:rPr>
            </w:pPr>
            <w:r w:rsidRPr="00DB2303">
              <w:rPr>
                <w:color w:val="000000"/>
                <w:sz w:val="16"/>
                <w:szCs w:val="16"/>
              </w:rPr>
              <w:t>0</w:t>
            </w:r>
          </w:p>
        </w:tc>
        <w:tc>
          <w:tcPr>
            <w:tcW w:w="801" w:type="dxa"/>
            <w:shd w:val="clear" w:color="auto" w:fill="auto"/>
          </w:tcPr>
          <w:p w14:paraId="5409E83D" w14:textId="77777777" w:rsidR="00357AC8" w:rsidRPr="00DB2303" w:rsidRDefault="00357AC8" w:rsidP="00357AC8">
            <w:pPr>
              <w:jc w:val="right"/>
              <w:rPr>
                <w:color w:val="000000"/>
                <w:sz w:val="16"/>
                <w:szCs w:val="16"/>
              </w:rPr>
            </w:pPr>
            <w:r w:rsidRPr="00DB2303">
              <w:rPr>
                <w:color w:val="000000"/>
                <w:sz w:val="16"/>
                <w:szCs w:val="16"/>
              </w:rPr>
              <w:t>62,400</w:t>
            </w:r>
          </w:p>
        </w:tc>
        <w:tc>
          <w:tcPr>
            <w:tcW w:w="636" w:type="dxa"/>
            <w:shd w:val="clear" w:color="auto" w:fill="auto"/>
          </w:tcPr>
          <w:p w14:paraId="1B1F573C" w14:textId="77777777" w:rsidR="00357AC8" w:rsidRPr="00DB2303" w:rsidRDefault="00357AC8" w:rsidP="00357AC8">
            <w:pPr>
              <w:jc w:val="right"/>
              <w:rPr>
                <w:color w:val="000000"/>
                <w:sz w:val="16"/>
                <w:szCs w:val="16"/>
              </w:rPr>
            </w:pPr>
            <w:r w:rsidRPr="00DB2303">
              <w:rPr>
                <w:color w:val="000000"/>
                <w:sz w:val="16"/>
                <w:szCs w:val="16"/>
              </w:rPr>
              <w:t>0</w:t>
            </w:r>
          </w:p>
        </w:tc>
        <w:tc>
          <w:tcPr>
            <w:tcW w:w="671" w:type="dxa"/>
            <w:shd w:val="clear" w:color="auto" w:fill="auto"/>
          </w:tcPr>
          <w:p w14:paraId="1C6261EE" w14:textId="77777777" w:rsidR="00357AC8" w:rsidRPr="00DB2303" w:rsidRDefault="00357AC8" w:rsidP="00357AC8">
            <w:pPr>
              <w:jc w:val="right"/>
              <w:rPr>
                <w:color w:val="000000"/>
                <w:sz w:val="16"/>
                <w:szCs w:val="16"/>
              </w:rPr>
            </w:pPr>
            <w:r w:rsidRPr="00DB2303">
              <w:rPr>
                <w:color w:val="000000"/>
                <w:sz w:val="16"/>
                <w:szCs w:val="16"/>
              </w:rPr>
              <w:t>0</w:t>
            </w:r>
          </w:p>
        </w:tc>
        <w:tc>
          <w:tcPr>
            <w:tcW w:w="795" w:type="dxa"/>
            <w:shd w:val="clear" w:color="auto" w:fill="auto"/>
          </w:tcPr>
          <w:p w14:paraId="0553A5BB" w14:textId="77777777" w:rsidR="00357AC8" w:rsidRPr="00DB2303" w:rsidRDefault="00357AC8" w:rsidP="00357AC8">
            <w:pPr>
              <w:jc w:val="right"/>
              <w:rPr>
                <w:color w:val="000000"/>
                <w:sz w:val="16"/>
                <w:szCs w:val="16"/>
              </w:rPr>
            </w:pPr>
            <w:r w:rsidRPr="00DB2303">
              <w:rPr>
                <w:color w:val="000000"/>
                <w:sz w:val="16"/>
                <w:szCs w:val="16"/>
              </w:rPr>
              <w:t>20,800</w:t>
            </w:r>
          </w:p>
        </w:tc>
        <w:tc>
          <w:tcPr>
            <w:tcW w:w="860" w:type="dxa"/>
          </w:tcPr>
          <w:p w14:paraId="7509A83C" w14:textId="77777777" w:rsidR="00357AC8" w:rsidRPr="00DB2303" w:rsidRDefault="00357AC8" w:rsidP="00357AC8">
            <w:pPr>
              <w:jc w:val="right"/>
              <w:rPr>
                <w:color w:val="000000"/>
                <w:sz w:val="16"/>
                <w:szCs w:val="16"/>
                <w:lang w:val="en-CA"/>
              </w:rPr>
            </w:pPr>
            <w:r w:rsidRPr="00DB2303">
              <w:rPr>
                <w:color w:val="000000"/>
                <w:sz w:val="16"/>
                <w:szCs w:val="16"/>
              </w:rPr>
              <w:t>208,000</w:t>
            </w:r>
          </w:p>
        </w:tc>
      </w:tr>
      <w:tr w:rsidR="00357AC8" w:rsidRPr="00DB2303" w14:paraId="4E639E50" w14:textId="77777777" w:rsidTr="00F63B3A">
        <w:trPr>
          <w:trHeight w:val="46"/>
        </w:trPr>
        <w:tc>
          <w:tcPr>
            <w:tcW w:w="868" w:type="dxa"/>
            <w:vMerge/>
            <w:shd w:val="clear" w:color="auto" w:fill="auto"/>
          </w:tcPr>
          <w:p w14:paraId="1097DF90" w14:textId="77777777" w:rsidR="00357AC8" w:rsidRPr="00DB2303" w:rsidRDefault="00357AC8" w:rsidP="00357AC8">
            <w:pPr>
              <w:spacing w:after="60"/>
              <w:jc w:val="center"/>
              <w:rPr>
                <w:sz w:val="16"/>
                <w:szCs w:val="16"/>
              </w:rPr>
            </w:pPr>
          </w:p>
        </w:tc>
        <w:tc>
          <w:tcPr>
            <w:tcW w:w="679" w:type="dxa"/>
            <w:vMerge/>
            <w:vAlign w:val="center"/>
          </w:tcPr>
          <w:p w14:paraId="2D6861A5" w14:textId="77777777" w:rsidR="00357AC8" w:rsidRPr="00DB2303" w:rsidRDefault="00357AC8" w:rsidP="00357AC8">
            <w:pPr>
              <w:spacing w:after="60"/>
              <w:jc w:val="center"/>
              <w:rPr>
                <w:sz w:val="16"/>
                <w:szCs w:val="16"/>
              </w:rPr>
            </w:pPr>
          </w:p>
        </w:tc>
        <w:tc>
          <w:tcPr>
            <w:tcW w:w="1072" w:type="dxa"/>
            <w:shd w:val="clear" w:color="auto" w:fill="auto"/>
          </w:tcPr>
          <w:p w14:paraId="1876B19D" w14:textId="77777777" w:rsidR="00357AC8" w:rsidRPr="00DB2303" w:rsidRDefault="00357AC8" w:rsidP="00357AC8">
            <w:pPr>
              <w:spacing w:after="60"/>
              <w:jc w:val="left"/>
              <w:rPr>
                <w:sz w:val="16"/>
                <w:szCs w:val="16"/>
              </w:rPr>
            </w:pPr>
            <w:r w:rsidRPr="00DB2303">
              <w:rPr>
                <w:sz w:val="16"/>
                <w:szCs w:val="16"/>
              </w:rPr>
              <w:t>Support costs</w:t>
            </w:r>
          </w:p>
        </w:tc>
        <w:tc>
          <w:tcPr>
            <w:tcW w:w="771" w:type="dxa"/>
          </w:tcPr>
          <w:p w14:paraId="1C889021" w14:textId="77777777" w:rsidR="00357AC8" w:rsidRPr="00DB2303" w:rsidRDefault="00357AC8" w:rsidP="00357AC8">
            <w:pPr>
              <w:spacing w:after="60"/>
              <w:jc w:val="right"/>
              <w:rPr>
                <w:sz w:val="16"/>
                <w:szCs w:val="16"/>
              </w:rPr>
            </w:pPr>
            <w:r w:rsidRPr="00DB2303">
              <w:rPr>
                <w:color w:val="000000"/>
                <w:sz w:val="16"/>
                <w:szCs w:val="16"/>
              </w:rPr>
              <w:t>8,112</w:t>
            </w:r>
          </w:p>
        </w:tc>
        <w:tc>
          <w:tcPr>
            <w:tcW w:w="600" w:type="dxa"/>
            <w:shd w:val="clear" w:color="auto" w:fill="auto"/>
          </w:tcPr>
          <w:p w14:paraId="3E0E0F64" w14:textId="77777777" w:rsidR="00357AC8" w:rsidRPr="00DB2303" w:rsidRDefault="00357AC8" w:rsidP="00357AC8">
            <w:pPr>
              <w:jc w:val="right"/>
              <w:rPr>
                <w:color w:val="000000"/>
                <w:sz w:val="16"/>
                <w:szCs w:val="16"/>
              </w:rPr>
            </w:pPr>
            <w:r w:rsidRPr="00DB2303">
              <w:rPr>
                <w:color w:val="000000"/>
                <w:sz w:val="16"/>
                <w:szCs w:val="16"/>
              </w:rPr>
              <w:t>0</w:t>
            </w:r>
          </w:p>
        </w:tc>
        <w:tc>
          <w:tcPr>
            <w:tcW w:w="784" w:type="dxa"/>
          </w:tcPr>
          <w:p w14:paraId="3C713B28" w14:textId="77777777" w:rsidR="00357AC8" w:rsidRPr="00DB2303" w:rsidRDefault="00357AC8" w:rsidP="00357AC8">
            <w:pPr>
              <w:jc w:val="right"/>
              <w:rPr>
                <w:color w:val="000000"/>
                <w:sz w:val="16"/>
                <w:szCs w:val="16"/>
              </w:rPr>
            </w:pPr>
            <w:r w:rsidRPr="00DB2303">
              <w:rPr>
                <w:color w:val="000000"/>
                <w:sz w:val="16"/>
                <w:szCs w:val="16"/>
              </w:rPr>
              <w:t>8,112</w:t>
            </w:r>
          </w:p>
        </w:tc>
        <w:tc>
          <w:tcPr>
            <w:tcW w:w="801" w:type="dxa"/>
          </w:tcPr>
          <w:p w14:paraId="5EF7407A" w14:textId="77777777" w:rsidR="00357AC8" w:rsidRPr="00DB2303" w:rsidRDefault="00357AC8" w:rsidP="00357AC8">
            <w:pPr>
              <w:jc w:val="right"/>
              <w:rPr>
                <w:color w:val="000000"/>
                <w:sz w:val="16"/>
                <w:szCs w:val="16"/>
              </w:rPr>
            </w:pPr>
            <w:r w:rsidRPr="00DB2303">
              <w:rPr>
                <w:color w:val="000000"/>
                <w:sz w:val="16"/>
                <w:szCs w:val="16"/>
              </w:rPr>
              <w:t>0</w:t>
            </w:r>
          </w:p>
        </w:tc>
        <w:tc>
          <w:tcPr>
            <w:tcW w:w="647" w:type="dxa"/>
            <w:shd w:val="clear" w:color="auto" w:fill="auto"/>
          </w:tcPr>
          <w:p w14:paraId="4E716515" w14:textId="77777777" w:rsidR="00357AC8" w:rsidRPr="00DB2303" w:rsidRDefault="00357AC8" w:rsidP="00357AC8">
            <w:pPr>
              <w:jc w:val="right"/>
              <w:rPr>
                <w:color w:val="000000"/>
                <w:sz w:val="16"/>
                <w:szCs w:val="16"/>
              </w:rPr>
            </w:pPr>
            <w:r w:rsidRPr="00DB2303">
              <w:rPr>
                <w:color w:val="000000"/>
                <w:sz w:val="16"/>
                <w:szCs w:val="16"/>
              </w:rPr>
              <w:t>0</w:t>
            </w:r>
          </w:p>
        </w:tc>
        <w:tc>
          <w:tcPr>
            <w:tcW w:w="801" w:type="dxa"/>
            <w:shd w:val="clear" w:color="auto" w:fill="auto"/>
          </w:tcPr>
          <w:p w14:paraId="6F3FAB85" w14:textId="77777777" w:rsidR="00357AC8" w:rsidRPr="00DB2303" w:rsidRDefault="00357AC8" w:rsidP="00357AC8">
            <w:pPr>
              <w:spacing w:after="60"/>
              <w:jc w:val="right"/>
              <w:rPr>
                <w:sz w:val="16"/>
                <w:szCs w:val="16"/>
              </w:rPr>
            </w:pPr>
            <w:r w:rsidRPr="00DB2303">
              <w:rPr>
                <w:color w:val="000000"/>
                <w:sz w:val="16"/>
                <w:szCs w:val="16"/>
              </w:rPr>
              <w:t>8,112</w:t>
            </w:r>
          </w:p>
        </w:tc>
        <w:tc>
          <w:tcPr>
            <w:tcW w:w="636" w:type="dxa"/>
            <w:shd w:val="clear" w:color="auto" w:fill="auto"/>
          </w:tcPr>
          <w:p w14:paraId="78A405CC" w14:textId="77777777" w:rsidR="00357AC8" w:rsidRPr="00DB2303" w:rsidRDefault="00357AC8" w:rsidP="00357AC8">
            <w:pPr>
              <w:jc w:val="right"/>
              <w:rPr>
                <w:color w:val="000000"/>
                <w:sz w:val="16"/>
                <w:szCs w:val="16"/>
              </w:rPr>
            </w:pPr>
            <w:r w:rsidRPr="00DB2303">
              <w:rPr>
                <w:color w:val="000000"/>
                <w:sz w:val="16"/>
                <w:szCs w:val="16"/>
              </w:rPr>
              <w:t>0</w:t>
            </w:r>
          </w:p>
        </w:tc>
        <w:tc>
          <w:tcPr>
            <w:tcW w:w="671" w:type="dxa"/>
            <w:shd w:val="clear" w:color="auto" w:fill="auto"/>
          </w:tcPr>
          <w:p w14:paraId="477F664F" w14:textId="77777777" w:rsidR="00357AC8" w:rsidRPr="00DB2303" w:rsidRDefault="00357AC8" w:rsidP="00357AC8">
            <w:pPr>
              <w:jc w:val="right"/>
              <w:rPr>
                <w:color w:val="000000"/>
                <w:sz w:val="16"/>
                <w:szCs w:val="16"/>
              </w:rPr>
            </w:pPr>
            <w:r w:rsidRPr="00DB2303">
              <w:rPr>
                <w:color w:val="000000"/>
                <w:sz w:val="16"/>
                <w:szCs w:val="16"/>
              </w:rPr>
              <w:t>0</w:t>
            </w:r>
          </w:p>
        </w:tc>
        <w:tc>
          <w:tcPr>
            <w:tcW w:w="795" w:type="dxa"/>
            <w:shd w:val="clear" w:color="auto" w:fill="auto"/>
          </w:tcPr>
          <w:p w14:paraId="7D84C0A2" w14:textId="1A315C3B" w:rsidR="00357AC8" w:rsidRPr="00DB2303" w:rsidRDefault="00357AC8" w:rsidP="00680FAB">
            <w:pPr>
              <w:jc w:val="right"/>
              <w:rPr>
                <w:color w:val="000000"/>
                <w:sz w:val="16"/>
                <w:szCs w:val="16"/>
              </w:rPr>
            </w:pPr>
            <w:r w:rsidRPr="00DB2303">
              <w:rPr>
                <w:color w:val="000000"/>
                <w:sz w:val="16"/>
                <w:szCs w:val="16"/>
              </w:rPr>
              <w:t>2</w:t>
            </w:r>
            <w:r w:rsidR="00680FAB">
              <w:rPr>
                <w:color w:val="000000"/>
                <w:sz w:val="16"/>
                <w:szCs w:val="16"/>
              </w:rPr>
              <w:t>,</w:t>
            </w:r>
            <w:r w:rsidRPr="00DB2303">
              <w:rPr>
                <w:color w:val="000000"/>
                <w:sz w:val="16"/>
                <w:szCs w:val="16"/>
              </w:rPr>
              <w:t>704</w:t>
            </w:r>
          </w:p>
        </w:tc>
        <w:tc>
          <w:tcPr>
            <w:tcW w:w="860" w:type="dxa"/>
          </w:tcPr>
          <w:p w14:paraId="68DF022E" w14:textId="77777777" w:rsidR="00357AC8" w:rsidRPr="00DB2303" w:rsidRDefault="00357AC8" w:rsidP="00357AC8">
            <w:pPr>
              <w:jc w:val="right"/>
              <w:rPr>
                <w:color w:val="000000"/>
                <w:sz w:val="16"/>
                <w:szCs w:val="16"/>
              </w:rPr>
            </w:pPr>
            <w:r w:rsidRPr="00DB2303">
              <w:rPr>
                <w:color w:val="000000"/>
                <w:sz w:val="16"/>
                <w:szCs w:val="16"/>
              </w:rPr>
              <w:t>27,040</w:t>
            </w:r>
          </w:p>
        </w:tc>
      </w:tr>
      <w:tr w:rsidR="00357AC8" w:rsidRPr="00DB2303" w14:paraId="532966FD" w14:textId="77777777" w:rsidTr="00F63B3A">
        <w:tc>
          <w:tcPr>
            <w:tcW w:w="2619" w:type="dxa"/>
            <w:gridSpan w:val="3"/>
            <w:shd w:val="clear" w:color="auto" w:fill="auto"/>
          </w:tcPr>
          <w:p w14:paraId="5EBD49B6" w14:textId="77777777" w:rsidR="00357AC8" w:rsidRPr="00DB2303" w:rsidRDefault="00357AC8" w:rsidP="00357AC8">
            <w:pPr>
              <w:spacing w:after="60"/>
              <w:jc w:val="left"/>
              <w:rPr>
                <w:sz w:val="16"/>
                <w:szCs w:val="16"/>
              </w:rPr>
            </w:pPr>
            <w:r w:rsidRPr="00DB2303">
              <w:rPr>
                <w:sz w:val="16"/>
                <w:szCs w:val="16"/>
              </w:rPr>
              <w:t>Total project costs requested in principle (US$)</w:t>
            </w:r>
          </w:p>
        </w:tc>
        <w:tc>
          <w:tcPr>
            <w:tcW w:w="771" w:type="dxa"/>
          </w:tcPr>
          <w:p w14:paraId="1EC1C57A" w14:textId="77777777" w:rsidR="00357AC8" w:rsidRPr="00DB2303" w:rsidRDefault="00357AC8" w:rsidP="00357AC8">
            <w:pPr>
              <w:jc w:val="right"/>
              <w:rPr>
                <w:color w:val="000000"/>
                <w:sz w:val="16"/>
                <w:szCs w:val="16"/>
              </w:rPr>
            </w:pPr>
            <w:r w:rsidRPr="00DB2303">
              <w:rPr>
                <w:color w:val="000000"/>
                <w:sz w:val="16"/>
                <w:szCs w:val="16"/>
              </w:rPr>
              <w:t>412,500</w:t>
            </w:r>
          </w:p>
        </w:tc>
        <w:tc>
          <w:tcPr>
            <w:tcW w:w="600" w:type="dxa"/>
            <w:shd w:val="clear" w:color="auto" w:fill="auto"/>
          </w:tcPr>
          <w:p w14:paraId="0AC1A48D" w14:textId="77777777" w:rsidR="00357AC8" w:rsidRPr="00DB2303" w:rsidRDefault="00357AC8" w:rsidP="00357AC8">
            <w:pPr>
              <w:jc w:val="right"/>
              <w:rPr>
                <w:color w:val="000000"/>
                <w:sz w:val="16"/>
                <w:szCs w:val="16"/>
              </w:rPr>
            </w:pPr>
            <w:r w:rsidRPr="00DB2303">
              <w:rPr>
                <w:color w:val="000000"/>
                <w:sz w:val="16"/>
                <w:szCs w:val="16"/>
              </w:rPr>
              <w:t>0</w:t>
            </w:r>
          </w:p>
        </w:tc>
        <w:tc>
          <w:tcPr>
            <w:tcW w:w="784" w:type="dxa"/>
            <w:shd w:val="clear" w:color="auto" w:fill="auto"/>
          </w:tcPr>
          <w:p w14:paraId="41D276C9" w14:textId="77777777" w:rsidR="00357AC8" w:rsidRPr="00DB2303" w:rsidRDefault="00357AC8" w:rsidP="00357AC8">
            <w:pPr>
              <w:jc w:val="right"/>
              <w:rPr>
                <w:color w:val="000000"/>
                <w:sz w:val="16"/>
                <w:szCs w:val="16"/>
              </w:rPr>
            </w:pPr>
            <w:r w:rsidRPr="00DB2303">
              <w:rPr>
                <w:color w:val="000000"/>
                <w:sz w:val="16"/>
                <w:szCs w:val="16"/>
              </w:rPr>
              <w:t>412,500</w:t>
            </w:r>
          </w:p>
        </w:tc>
        <w:tc>
          <w:tcPr>
            <w:tcW w:w="801" w:type="dxa"/>
            <w:shd w:val="clear" w:color="auto" w:fill="auto"/>
          </w:tcPr>
          <w:p w14:paraId="4223D463" w14:textId="77777777" w:rsidR="00357AC8" w:rsidRPr="00DB2303" w:rsidRDefault="00357AC8" w:rsidP="00357AC8">
            <w:pPr>
              <w:jc w:val="right"/>
              <w:rPr>
                <w:color w:val="000000"/>
                <w:sz w:val="16"/>
                <w:szCs w:val="16"/>
              </w:rPr>
            </w:pPr>
            <w:r w:rsidRPr="00DB2303">
              <w:rPr>
                <w:color w:val="000000"/>
                <w:sz w:val="16"/>
                <w:szCs w:val="16"/>
              </w:rPr>
              <w:t>0</w:t>
            </w:r>
          </w:p>
        </w:tc>
        <w:tc>
          <w:tcPr>
            <w:tcW w:w="647" w:type="dxa"/>
          </w:tcPr>
          <w:p w14:paraId="7397ABDC" w14:textId="77777777" w:rsidR="00357AC8" w:rsidRPr="00DB2303" w:rsidRDefault="00357AC8" w:rsidP="00357AC8">
            <w:pPr>
              <w:jc w:val="right"/>
              <w:rPr>
                <w:color w:val="000000"/>
                <w:sz w:val="16"/>
                <w:szCs w:val="16"/>
              </w:rPr>
            </w:pPr>
            <w:r w:rsidRPr="00DB2303">
              <w:rPr>
                <w:color w:val="000000"/>
                <w:sz w:val="16"/>
                <w:szCs w:val="16"/>
              </w:rPr>
              <w:t>0</w:t>
            </w:r>
          </w:p>
        </w:tc>
        <w:tc>
          <w:tcPr>
            <w:tcW w:w="801" w:type="dxa"/>
          </w:tcPr>
          <w:p w14:paraId="1CA90538" w14:textId="77777777" w:rsidR="00357AC8" w:rsidRPr="00DB2303" w:rsidRDefault="00357AC8" w:rsidP="00357AC8">
            <w:pPr>
              <w:jc w:val="right"/>
              <w:rPr>
                <w:color w:val="000000"/>
                <w:sz w:val="16"/>
                <w:szCs w:val="16"/>
              </w:rPr>
            </w:pPr>
            <w:r w:rsidRPr="00DB2303">
              <w:rPr>
                <w:color w:val="000000"/>
                <w:sz w:val="16"/>
                <w:szCs w:val="16"/>
              </w:rPr>
              <w:t>412,500</w:t>
            </w:r>
          </w:p>
        </w:tc>
        <w:tc>
          <w:tcPr>
            <w:tcW w:w="636" w:type="dxa"/>
            <w:shd w:val="clear" w:color="auto" w:fill="auto"/>
          </w:tcPr>
          <w:p w14:paraId="1B39F735" w14:textId="77777777" w:rsidR="00357AC8" w:rsidRPr="00DB2303" w:rsidRDefault="00357AC8" w:rsidP="00357AC8">
            <w:pPr>
              <w:jc w:val="right"/>
              <w:rPr>
                <w:color w:val="000000"/>
                <w:sz w:val="16"/>
                <w:szCs w:val="16"/>
              </w:rPr>
            </w:pPr>
            <w:r w:rsidRPr="00DB2303">
              <w:rPr>
                <w:color w:val="000000"/>
                <w:sz w:val="16"/>
                <w:szCs w:val="16"/>
              </w:rPr>
              <w:t>0</w:t>
            </w:r>
          </w:p>
        </w:tc>
        <w:tc>
          <w:tcPr>
            <w:tcW w:w="671" w:type="dxa"/>
            <w:shd w:val="clear" w:color="auto" w:fill="auto"/>
          </w:tcPr>
          <w:p w14:paraId="19CD7922" w14:textId="77777777" w:rsidR="00357AC8" w:rsidRPr="00DB2303" w:rsidRDefault="00357AC8" w:rsidP="00357AC8">
            <w:pPr>
              <w:jc w:val="right"/>
              <w:rPr>
                <w:color w:val="000000"/>
                <w:sz w:val="16"/>
                <w:szCs w:val="16"/>
              </w:rPr>
            </w:pPr>
            <w:r w:rsidRPr="00DB2303">
              <w:rPr>
                <w:color w:val="000000"/>
                <w:sz w:val="16"/>
                <w:szCs w:val="16"/>
              </w:rPr>
              <w:t>0</w:t>
            </w:r>
          </w:p>
        </w:tc>
        <w:tc>
          <w:tcPr>
            <w:tcW w:w="795" w:type="dxa"/>
          </w:tcPr>
          <w:p w14:paraId="7AACCEC3" w14:textId="77777777" w:rsidR="00357AC8" w:rsidRPr="00DB2303" w:rsidRDefault="00357AC8" w:rsidP="00357AC8">
            <w:pPr>
              <w:jc w:val="right"/>
              <w:rPr>
                <w:color w:val="000000"/>
                <w:sz w:val="16"/>
                <w:szCs w:val="16"/>
              </w:rPr>
            </w:pPr>
            <w:r w:rsidRPr="00DB2303">
              <w:rPr>
                <w:color w:val="000000"/>
                <w:sz w:val="16"/>
                <w:szCs w:val="16"/>
              </w:rPr>
              <w:t>137,500</w:t>
            </w:r>
          </w:p>
        </w:tc>
        <w:tc>
          <w:tcPr>
            <w:tcW w:w="860" w:type="dxa"/>
          </w:tcPr>
          <w:p w14:paraId="5284FEA2" w14:textId="77777777" w:rsidR="00357AC8" w:rsidRPr="00DB2303" w:rsidRDefault="00357AC8" w:rsidP="00357AC8">
            <w:pPr>
              <w:jc w:val="right"/>
              <w:rPr>
                <w:color w:val="000000"/>
                <w:sz w:val="16"/>
                <w:szCs w:val="16"/>
                <w:lang w:val="en-CA"/>
              </w:rPr>
            </w:pPr>
            <w:r w:rsidRPr="00DB2303">
              <w:rPr>
                <w:color w:val="000000"/>
                <w:sz w:val="16"/>
                <w:szCs w:val="16"/>
              </w:rPr>
              <w:t>1,375,000</w:t>
            </w:r>
          </w:p>
        </w:tc>
      </w:tr>
      <w:tr w:rsidR="00357AC8" w:rsidRPr="00DB2303" w14:paraId="394760D1" w14:textId="77777777" w:rsidTr="00F63B3A">
        <w:tc>
          <w:tcPr>
            <w:tcW w:w="2619" w:type="dxa"/>
            <w:gridSpan w:val="3"/>
            <w:shd w:val="clear" w:color="auto" w:fill="auto"/>
          </w:tcPr>
          <w:p w14:paraId="7660E574" w14:textId="77777777" w:rsidR="00357AC8" w:rsidRPr="00DB2303" w:rsidRDefault="00357AC8" w:rsidP="00357AC8">
            <w:pPr>
              <w:spacing w:after="60"/>
              <w:jc w:val="left"/>
              <w:rPr>
                <w:sz w:val="16"/>
                <w:szCs w:val="16"/>
              </w:rPr>
            </w:pPr>
            <w:r w:rsidRPr="00DB2303">
              <w:rPr>
                <w:sz w:val="16"/>
                <w:szCs w:val="16"/>
              </w:rPr>
              <w:t>Total support costs requested in principle (US$)</w:t>
            </w:r>
          </w:p>
        </w:tc>
        <w:tc>
          <w:tcPr>
            <w:tcW w:w="771" w:type="dxa"/>
          </w:tcPr>
          <w:p w14:paraId="7E4F8268" w14:textId="77777777" w:rsidR="00357AC8" w:rsidRPr="00DB2303" w:rsidRDefault="00357AC8" w:rsidP="00357AC8">
            <w:pPr>
              <w:jc w:val="right"/>
              <w:rPr>
                <w:color w:val="000000"/>
                <w:sz w:val="16"/>
                <w:szCs w:val="16"/>
              </w:rPr>
            </w:pPr>
            <w:r w:rsidRPr="00DB2303">
              <w:rPr>
                <w:color w:val="000000"/>
                <w:sz w:val="16"/>
                <w:szCs w:val="16"/>
              </w:rPr>
              <w:t>32,619</w:t>
            </w:r>
          </w:p>
        </w:tc>
        <w:tc>
          <w:tcPr>
            <w:tcW w:w="600" w:type="dxa"/>
            <w:shd w:val="clear" w:color="auto" w:fill="auto"/>
          </w:tcPr>
          <w:p w14:paraId="4B4AC5F1" w14:textId="77777777" w:rsidR="00357AC8" w:rsidRPr="00DB2303" w:rsidRDefault="00357AC8" w:rsidP="00357AC8">
            <w:pPr>
              <w:jc w:val="right"/>
              <w:rPr>
                <w:color w:val="000000"/>
                <w:sz w:val="16"/>
                <w:szCs w:val="16"/>
              </w:rPr>
            </w:pPr>
            <w:r w:rsidRPr="00DB2303">
              <w:rPr>
                <w:color w:val="000000"/>
                <w:sz w:val="16"/>
                <w:szCs w:val="16"/>
              </w:rPr>
              <w:t>0</w:t>
            </w:r>
          </w:p>
        </w:tc>
        <w:tc>
          <w:tcPr>
            <w:tcW w:w="784" w:type="dxa"/>
            <w:shd w:val="clear" w:color="auto" w:fill="auto"/>
          </w:tcPr>
          <w:p w14:paraId="0E9899A0" w14:textId="77777777" w:rsidR="00357AC8" w:rsidRPr="00DB2303" w:rsidRDefault="00357AC8" w:rsidP="00357AC8">
            <w:pPr>
              <w:jc w:val="right"/>
              <w:rPr>
                <w:color w:val="000000"/>
                <w:sz w:val="16"/>
                <w:szCs w:val="16"/>
              </w:rPr>
            </w:pPr>
            <w:r w:rsidRPr="00DB2303">
              <w:rPr>
                <w:color w:val="000000"/>
                <w:sz w:val="16"/>
                <w:szCs w:val="16"/>
              </w:rPr>
              <w:t>32,619</w:t>
            </w:r>
          </w:p>
        </w:tc>
        <w:tc>
          <w:tcPr>
            <w:tcW w:w="801" w:type="dxa"/>
            <w:shd w:val="clear" w:color="auto" w:fill="auto"/>
          </w:tcPr>
          <w:p w14:paraId="0F4A5842" w14:textId="77777777" w:rsidR="00357AC8" w:rsidRPr="00DB2303" w:rsidRDefault="00357AC8" w:rsidP="00357AC8">
            <w:pPr>
              <w:jc w:val="right"/>
              <w:rPr>
                <w:color w:val="000000"/>
                <w:sz w:val="16"/>
                <w:szCs w:val="16"/>
              </w:rPr>
            </w:pPr>
            <w:r w:rsidRPr="00DB2303">
              <w:rPr>
                <w:color w:val="000000"/>
                <w:sz w:val="16"/>
                <w:szCs w:val="16"/>
              </w:rPr>
              <w:t>0</w:t>
            </w:r>
          </w:p>
        </w:tc>
        <w:tc>
          <w:tcPr>
            <w:tcW w:w="647" w:type="dxa"/>
          </w:tcPr>
          <w:p w14:paraId="32289A3E" w14:textId="77777777" w:rsidR="00357AC8" w:rsidRPr="00DB2303" w:rsidRDefault="00357AC8" w:rsidP="00357AC8">
            <w:pPr>
              <w:jc w:val="right"/>
              <w:rPr>
                <w:color w:val="000000"/>
                <w:sz w:val="16"/>
                <w:szCs w:val="16"/>
              </w:rPr>
            </w:pPr>
            <w:r w:rsidRPr="00DB2303">
              <w:rPr>
                <w:color w:val="000000"/>
                <w:sz w:val="16"/>
                <w:szCs w:val="16"/>
              </w:rPr>
              <w:t>0</w:t>
            </w:r>
          </w:p>
        </w:tc>
        <w:tc>
          <w:tcPr>
            <w:tcW w:w="801" w:type="dxa"/>
          </w:tcPr>
          <w:p w14:paraId="5AB21430" w14:textId="77777777" w:rsidR="00357AC8" w:rsidRPr="00DB2303" w:rsidRDefault="00357AC8" w:rsidP="00357AC8">
            <w:pPr>
              <w:jc w:val="right"/>
              <w:rPr>
                <w:color w:val="000000"/>
                <w:sz w:val="16"/>
                <w:szCs w:val="16"/>
              </w:rPr>
            </w:pPr>
            <w:r w:rsidRPr="00DB2303">
              <w:rPr>
                <w:color w:val="000000"/>
                <w:sz w:val="16"/>
                <w:szCs w:val="16"/>
              </w:rPr>
              <w:t>32,619</w:t>
            </w:r>
          </w:p>
        </w:tc>
        <w:tc>
          <w:tcPr>
            <w:tcW w:w="636" w:type="dxa"/>
            <w:shd w:val="clear" w:color="auto" w:fill="auto"/>
          </w:tcPr>
          <w:p w14:paraId="7CBD6334" w14:textId="77777777" w:rsidR="00357AC8" w:rsidRPr="00DB2303" w:rsidRDefault="00357AC8" w:rsidP="00357AC8">
            <w:pPr>
              <w:jc w:val="right"/>
              <w:rPr>
                <w:color w:val="000000"/>
                <w:sz w:val="16"/>
                <w:szCs w:val="16"/>
              </w:rPr>
            </w:pPr>
            <w:r w:rsidRPr="00DB2303">
              <w:rPr>
                <w:color w:val="000000"/>
                <w:sz w:val="16"/>
                <w:szCs w:val="16"/>
              </w:rPr>
              <w:t>0</w:t>
            </w:r>
          </w:p>
        </w:tc>
        <w:tc>
          <w:tcPr>
            <w:tcW w:w="671" w:type="dxa"/>
            <w:shd w:val="clear" w:color="auto" w:fill="auto"/>
          </w:tcPr>
          <w:p w14:paraId="0893C611" w14:textId="77777777" w:rsidR="00357AC8" w:rsidRPr="00DB2303" w:rsidRDefault="00357AC8" w:rsidP="00357AC8">
            <w:pPr>
              <w:jc w:val="right"/>
              <w:rPr>
                <w:color w:val="000000"/>
                <w:sz w:val="16"/>
                <w:szCs w:val="16"/>
              </w:rPr>
            </w:pPr>
            <w:r w:rsidRPr="00DB2303">
              <w:rPr>
                <w:color w:val="000000"/>
                <w:sz w:val="16"/>
                <w:szCs w:val="16"/>
              </w:rPr>
              <w:t>0</w:t>
            </w:r>
          </w:p>
        </w:tc>
        <w:tc>
          <w:tcPr>
            <w:tcW w:w="795" w:type="dxa"/>
          </w:tcPr>
          <w:p w14:paraId="28223D8A" w14:textId="77777777" w:rsidR="00357AC8" w:rsidRPr="00DB2303" w:rsidRDefault="00357AC8" w:rsidP="00357AC8">
            <w:pPr>
              <w:jc w:val="right"/>
              <w:rPr>
                <w:color w:val="000000"/>
                <w:sz w:val="16"/>
                <w:szCs w:val="16"/>
              </w:rPr>
            </w:pPr>
            <w:r w:rsidRPr="00DB2303">
              <w:rPr>
                <w:color w:val="000000"/>
                <w:sz w:val="16"/>
                <w:szCs w:val="16"/>
              </w:rPr>
              <w:t>10,873</w:t>
            </w:r>
          </w:p>
        </w:tc>
        <w:tc>
          <w:tcPr>
            <w:tcW w:w="860" w:type="dxa"/>
          </w:tcPr>
          <w:p w14:paraId="449F95EC" w14:textId="77777777" w:rsidR="00357AC8" w:rsidRPr="00DB2303" w:rsidRDefault="00357AC8" w:rsidP="00357AC8">
            <w:pPr>
              <w:jc w:val="right"/>
              <w:rPr>
                <w:color w:val="000000"/>
                <w:sz w:val="16"/>
                <w:szCs w:val="16"/>
              </w:rPr>
            </w:pPr>
            <w:r w:rsidRPr="00DB2303">
              <w:rPr>
                <w:color w:val="000000"/>
                <w:sz w:val="16"/>
                <w:szCs w:val="16"/>
              </w:rPr>
              <w:t>108,730</w:t>
            </w:r>
          </w:p>
        </w:tc>
      </w:tr>
      <w:tr w:rsidR="00357AC8" w:rsidRPr="00DB2303" w14:paraId="199B8C2F" w14:textId="77777777" w:rsidTr="00F63B3A">
        <w:tc>
          <w:tcPr>
            <w:tcW w:w="2619" w:type="dxa"/>
            <w:gridSpan w:val="3"/>
            <w:shd w:val="clear" w:color="auto" w:fill="auto"/>
          </w:tcPr>
          <w:p w14:paraId="025A02DA" w14:textId="77777777" w:rsidR="00357AC8" w:rsidRPr="00DB2303" w:rsidRDefault="00357AC8" w:rsidP="00357AC8">
            <w:pPr>
              <w:spacing w:after="60"/>
              <w:jc w:val="left"/>
              <w:rPr>
                <w:sz w:val="16"/>
                <w:szCs w:val="16"/>
              </w:rPr>
            </w:pPr>
            <w:r w:rsidRPr="00DB2303">
              <w:rPr>
                <w:sz w:val="16"/>
                <w:szCs w:val="16"/>
              </w:rPr>
              <w:t>Total funds requested for approval at this meeting (US$)</w:t>
            </w:r>
          </w:p>
        </w:tc>
        <w:tc>
          <w:tcPr>
            <w:tcW w:w="771" w:type="dxa"/>
          </w:tcPr>
          <w:p w14:paraId="522C1F44" w14:textId="77777777" w:rsidR="00357AC8" w:rsidRPr="00DB2303" w:rsidRDefault="00357AC8" w:rsidP="00357AC8">
            <w:pPr>
              <w:jc w:val="right"/>
              <w:rPr>
                <w:color w:val="000000"/>
                <w:sz w:val="16"/>
                <w:szCs w:val="16"/>
              </w:rPr>
            </w:pPr>
            <w:r w:rsidRPr="00DB2303">
              <w:rPr>
                <w:color w:val="000000"/>
                <w:sz w:val="16"/>
                <w:szCs w:val="16"/>
              </w:rPr>
              <w:t>445,119</w:t>
            </w:r>
          </w:p>
        </w:tc>
        <w:tc>
          <w:tcPr>
            <w:tcW w:w="600" w:type="dxa"/>
            <w:shd w:val="clear" w:color="auto" w:fill="auto"/>
          </w:tcPr>
          <w:p w14:paraId="01B844C8" w14:textId="77777777" w:rsidR="00357AC8" w:rsidRPr="00DB2303" w:rsidRDefault="00357AC8" w:rsidP="00357AC8">
            <w:pPr>
              <w:jc w:val="right"/>
              <w:rPr>
                <w:color w:val="000000"/>
                <w:sz w:val="16"/>
                <w:szCs w:val="16"/>
              </w:rPr>
            </w:pPr>
            <w:r w:rsidRPr="00DB2303">
              <w:rPr>
                <w:color w:val="000000"/>
                <w:sz w:val="16"/>
                <w:szCs w:val="16"/>
              </w:rPr>
              <w:t>0</w:t>
            </w:r>
          </w:p>
        </w:tc>
        <w:tc>
          <w:tcPr>
            <w:tcW w:w="784" w:type="dxa"/>
            <w:shd w:val="clear" w:color="auto" w:fill="auto"/>
          </w:tcPr>
          <w:p w14:paraId="1533654E" w14:textId="77777777" w:rsidR="00357AC8" w:rsidRPr="00DB2303" w:rsidRDefault="00357AC8" w:rsidP="00357AC8">
            <w:pPr>
              <w:jc w:val="right"/>
              <w:rPr>
                <w:color w:val="000000"/>
                <w:sz w:val="16"/>
                <w:szCs w:val="16"/>
              </w:rPr>
            </w:pPr>
            <w:r w:rsidRPr="00DB2303">
              <w:rPr>
                <w:color w:val="000000"/>
                <w:sz w:val="16"/>
                <w:szCs w:val="16"/>
              </w:rPr>
              <w:t>445,119</w:t>
            </w:r>
          </w:p>
        </w:tc>
        <w:tc>
          <w:tcPr>
            <w:tcW w:w="801" w:type="dxa"/>
            <w:shd w:val="clear" w:color="auto" w:fill="auto"/>
          </w:tcPr>
          <w:p w14:paraId="6FC2211A" w14:textId="77777777" w:rsidR="00357AC8" w:rsidRPr="00DB2303" w:rsidRDefault="00357AC8" w:rsidP="00357AC8">
            <w:pPr>
              <w:jc w:val="right"/>
              <w:rPr>
                <w:color w:val="000000"/>
                <w:sz w:val="16"/>
                <w:szCs w:val="16"/>
              </w:rPr>
            </w:pPr>
            <w:r w:rsidRPr="00DB2303">
              <w:rPr>
                <w:color w:val="000000"/>
                <w:sz w:val="16"/>
                <w:szCs w:val="16"/>
              </w:rPr>
              <w:t>0</w:t>
            </w:r>
          </w:p>
        </w:tc>
        <w:tc>
          <w:tcPr>
            <w:tcW w:w="647" w:type="dxa"/>
          </w:tcPr>
          <w:p w14:paraId="057CC308" w14:textId="77777777" w:rsidR="00357AC8" w:rsidRPr="00DB2303" w:rsidRDefault="00357AC8" w:rsidP="00357AC8">
            <w:pPr>
              <w:jc w:val="right"/>
              <w:rPr>
                <w:color w:val="000000"/>
                <w:sz w:val="16"/>
                <w:szCs w:val="16"/>
              </w:rPr>
            </w:pPr>
            <w:r w:rsidRPr="00DB2303">
              <w:rPr>
                <w:color w:val="000000"/>
                <w:sz w:val="16"/>
                <w:szCs w:val="16"/>
              </w:rPr>
              <w:t>0</w:t>
            </w:r>
          </w:p>
        </w:tc>
        <w:tc>
          <w:tcPr>
            <w:tcW w:w="801" w:type="dxa"/>
          </w:tcPr>
          <w:p w14:paraId="1E52C2A1" w14:textId="77777777" w:rsidR="00357AC8" w:rsidRPr="00DB2303" w:rsidRDefault="00357AC8" w:rsidP="00357AC8">
            <w:pPr>
              <w:jc w:val="right"/>
              <w:rPr>
                <w:color w:val="000000"/>
                <w:sz w:val="16"/>
                <w:szCs w:val="16"/>
              </w:rPr>
            </w:pPr>
            <w:r w:rsidRPr="00DB2303">
              <w:rPr>
                <w:color w:val="000000"/>
                <w:sz w:val="16"/>
                <w:szCs w:val="16"/>
              </w:rPr>
              <w:t>445,119</w:t>
            </w:r>
          </w:p>
        </w:tc>
        <w:tc>
          <w:tcPr>
            <w:tcW w:w="636" w:type="dxa"/>
            <w:shd w:val="clear" w:color="auto" w:fill="auto"/>
          </w:tcPr>
          <w:p w14:paraId="68016138" w14:textId="77777777" w:rsidR="00357AC8" w:rsidRPr="00DB2303" w:rsidRDefault="00357AC8" w:rsidP="00357AC8">
            <w:pPr>
              <w:jc w:val="right"/>
              <w:rPr>
                <w:color w:val="000000"/>
                <w:sz w:val="16"/>
                <w:szCs w:val="16"/>
              </w:rPr>
            </w:pPr>
            <w:r w:rsidRPr="00DB2303">
              <w:rPr>
                <w:color w:val="000000"/>
                <w:sz w:val="16"/>
                <w:szCs w:val="16"/>
              </w:rPr>
              <w:t>0</w:t>
            </w:r>
          </w:p>
        </w:tc>
        <w:tc>
          <w:tcPr>
            <w:tcW w:w="671" w:type="dxa"/>
            <w:shd w:val="clear" w:color="auto" w:fill="auto"/>
          </w:tcPr>
          <w:p w14:paraId="17FB8D2B" w14:textId="77777777" w:rsidR="00357AC8" w:rsidRPr="00DB2303" w:rsidRDefault="00357AC8" w:rsidP="00357AC8">
            <w:pPr>
              <w:jc w:val="right"/>
              <w:rPr>
                <w:color w:val="000000"/>
                <w:sz w:val="16"/>
                <w:szCs w:val="16"/>
              </w:rPr>
            </w:pPr>
            <w:r w:rsidRPr="00DB2303">
              <w:rPr>
                <w:color w:val="000000"/>
                <w:sz w:val="16"/>
                <w:szCs w:val="16"/>
              </w:rPr>
              <w:t>0</w:t>
            </w:r>
          </w:p>
        </w:tc>
        <w:tc>
          <w:tcPr>
            <w:tcW w:w="795" w:type="dxa"/>
          </w:tcPr>
          <w:p w14:paraId="28636CB6" w14:textId="77777777" w:rsidR="00357AC8" w:rsidRPr="00DB2303" w:rsidRDefault="00357AC8" w:rsidP="00357AC8">
            <w:pPr>
              <w:jc w:val="right"/>
              <w:rPr>
                <w:color w:val="000000"/>
                <w:sz w:val="16"/>
                <w:szCs w:val="16"/>
              </w:rPr>
            </w:pPr>
            <w:r w:rsidRPr="00DB2303">
              <w:rPr>
                <w:color w:val="000000"/>
                <w:sz w:val="16"/>
                <w:szCs w:val="16"/>
              </w:rPr>
              <w:t>148,373</w:t>
            </w:r>
          </w:p>
        </w:tc>
        <w:tc>
          <w:tcPr>
            <w:tcW w:w="860" w:type="dxa"/>
          </w:tcPr>
          <w:p w14:paraId="094E3D8A" w14:textId="77777777" w:rsidR="00357AC8" w:rsidRPr="00DB2303" w:rsidRDefault="00357AC8" w:rsidP="00357AC8">
            <w:pPr>
              <w:jc w:val="right"/>
              <w:rPr>
                <w:color w:val="000000"/>
                <w:sz w:val="16"/>
                <w:szCs w:val="16"/>
              </w:rPr>
            </w:pPr>
            <w:r w:rsidRPr="00DB2303">
              <w:rPr>
                <w:color w:val="000000"/>
                <w:sz w:val="16"/>
                <w:szCs w:val="16"/>
              </w:rPr>
              <w:t>1,483,730</w:t>
            </w:r>
          </w:p>
        </w:tc>
      </w:tr>
    </w:tbl>
    <w:p w14:paraId="7F5DB1A0" w14:textId="77777777" w:rsidR="00C355C5" w:rsidRPr="00DB2303" w:rsidRDefault="00C355C5" w:rsidP="00C355C5">
      <w:pPr>
        <w:spacing w:after="60"/>
        <w:jc w:val="left"/>
        <w:rPr>
          <w:sz w:val="16"/>
          <w:szCs w:val="16"/>
          <w:lang w:val="en-CA"/>
        </w:rPr>
      </w:pPr>
    </w:p>
    <w:tbl>
      <w:tblPr>
        <w:tblStyle w:val="TableGrid"/>
        <w:tblW w:w="534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48DD4" w:themeColor="text2" w:themeTint="99"/>
        </w:tblBorders>
        <w:tblLook w:val="04A0" w:firstRow="1" w:lastRow="0" w:firstColumn="1" w:lastColumn="0" w:noHBand="0" w:noVBand="1"/>
      </w:tblPr>
      <w:tblGrid>
        <w:gridCol w:w="1414"/>
        <w:gridCol w:w="3315"/>
        <w:gridCol w:w="5257"/>
      </w:tblGrid>
      <w:tr w:rsidR="00C355C5" w:rsidRPr="00DB2303" w14:paraId="2E57650E" w14:textId="77777777" w:rsidTr="00F63B3A">
        <w:trPr>
          <w:trHeight w:val="240"/>
        </w:trPr>
        <w:tc>
          <w:tcPr>
            <w:tcW w:w="5000" w:type="pct"/>
            <w:gridSpan w:val="3"/>
            <w:hideMark/>
          </w:tcPr>
          <w:p w14:paraId="48743D10" w14:textId="77777777" w:rsidR="00C355C5" w:rsidRPr="00DB2303" w:rsidRDefault="00C355C5" w:rsidP="00DD6ED9">
            <w:pPr>
              <w:spacing w:after="60"/>
              <w:jc w:val="left"/>
              <w:rPr>
                <w:b/>
                <w:sz w:val="16"/>
                <w:szCs w:val="16"/>
              </w:rPr>
            </w:pPr>
            <w:r w:rsidRPr="00DB2303">
              <w:rPr>
                <w:b/>
                <w:sz w:val="16"/>
                <w:szCs w:val="16"/>
              </w:rPr>
              <w:t>(VII) Request for funding for the first tranche (2017)</w:t>
            </w:r>
          </w:p>
        </w:tc>
      </w:tr>
      <w:tr w:rsidR="00C355C5" w:rsidRPr="00DB2303" w14:paraId="73038E53" w14:textId="77777777" w:rsidTr="00F63B3A">
        <w:trPr>
          <w:trHeight w:val="240"/>
        </w:trPr>
        <w:tc>
          <w:tcPr>
            <w:tcW w:w="708" w:type="pct"/>
            <w:tcBorders>
              <w:right w:val="single" w:sz="4" w:space="0" w:color="595959" w:themeColor="text1" w:themeTint="A6"/>
            </w:tcBorders>
            <w:hideMark/>
          </w:tcPr>
          <w:p w14:paraId="69CCA68C" w14:textId="77777777" w:rsidR="00C355C5" w:rsidRPr="00DB2303" w:rsidRDefault="00C355C5" w:rsidP="00DD6ED9">
            <w:pPr>
              <w:spacing w:after="60"/>
              <w:jc w:val="center"/>
              <w:rPr>
                <w:b/>
                <w:sz w:val="16"/>
                <w:szCs w:val="16"/>
              </w:rPr>
            </w:pPr>
            <w:r w:rsidRPr="00DB2303">
              <w:rPr>
                <w:b/>
                <w:sz w:val="16"/>
                <w:szCs w:val="16"/>
              </w:rPr>
              <w:t>Agency</w:t>
            </w:r>
          </w:p>
        </w:tc>
        <w:tc>
          <w:tcPr>
            <w:tcW w:w="1660" w:type="pct"/>
            <w:tcBorders>
              <w:left w:val="single" w:sz="4" w:space="0" w:color="595959" w:themeColor="text1" w:themeTint="A6"/>
              <w:right w:val="single" w:sz="4" w:space="0" w:color="595959" w:themeColor="text1" w:themeTint="A6"/>
            </w:tcBorders>
            <w:hideMark/>
          </w:tcPr>
          <w:p w14:paraId="6B1E283E" w14:textId="77777777" w:rsidR="00C355C5" w:rsidRPr="00DB2303" w:rsidRDefault="00C355C5" w:rsidP="00DD6ED9">
            <w:pPr>
              <w:spacing w:after="60"/>
              <w:jc w:val="center"/>
              <w:rPr>
                <w:b/>
                <w:sz w:val="16"/>
                <w:szCs w:val="16"/>
              </w:rPr>
            </w:pPr>
            <w:r w:rsidRPr="00DB2303">
              <w:rPr>
                <w:b/>
                <w:sz w:val="16"/>
                <w:szCs w:val="16"/>
              </w:rPr>
              <w:t>Funds requested (</w:t>
            </w:r>
            <w:r w:rsidR="00682B63">
              <w:rPr>
                <w:b/>
                <w:sz w:val="16"/>
                <w:szCs w:val="16"/>
              </w:rPr>
              <w:t>US $</w:t>
            </w:r>
            <w:r w:rsidRPr="00DB2303">
              <w:rPr>
                <w:b/>
                <w:sz w:val="16"/>
                <w:szCs w:val="16"/>
              </w:rPr>
              <w:t>)</w:t>
            </w:r>
          </w:p>
        </w:tc>
        <w:tc>
          <w:tcPr>
            <w:tcW w:w="2632" w:type="pct"/>
            <w:tcBorders>
              <w:left w:val="single" w:sz="4" w:space="0" w:color="595959" w:themeColor="text1" w:themeTint="A6"/>
            </w:tcBorders>
            <w:hideMark/>
          </w:tcPr>
          <w:p w14:paraId="7EFAB520" w14:textId="77777777" w:rsidR="00C355C5" w:rsidRPr="00DB2303" w:rsidRDefault="00C355C5" w:rsidP="00DD6ED9">
            <w:pPr>
              <w:spacing w:after="60"/>
              <w:jc w:val="center"/>
              <w:rPr>
                <w:b/>
                <w:sz w:val="16"/>
                <w:szCs w:val="16"/>
              </w:rPr>
            </w:pPr>
            <w:r w:rsidRPr="00DB2303">
              <w:rPr>
                <w:b/>
                <w:sz w:val="16"/>
                <w:szCs w:val="16"/>
              </w:rPr>
              <w:t>Support costs (</w:t>
            </w:r>
            <w:r w:rsidR="00682B63">
              <w:rPr>
                <w:b/>
                <w:sz w:val="16"/>
                <w:szCs w:val="16"/>
              </w:rPr>
              <w:t>US $</w:t>
            </w:r>
            <w:r w:rsidRPr="00DB2303">
              <w:rPr>
                <w:b/>
                <w:sz w:val="16"/>
                <w:szCs w:val="16"/>
              </w:rPr>
              <w:t>)</w:t>
            </w:r>
          </w:p>
        </w:tc>
      </w:tr>
      <w:tr w:rsidR="00C355C5" w:rsidRPr="00DB2303" w14:paraId="4E872140" w14:textId="77777777" w:rsidTr="00F63B3A">
        <w:trPr>
          <w:trHeight w:val="40"/>
        </w:trPr>
        <w:tc>
          <w:tcPr>
            <w:tcW w:w="708" w:type="pct"/>
            <w:tcBorders>
              <w:right w:val="single" w:sz="4" w:space="0" w:color="595959" w:themeColor="text1" w:themeTint="A6"/>
            </w:tcBorders>
          </w:tcPr>
          <w:p w14:paraId="6A77F02C" w14:textId="77777777" w:rsidR="00C355C5" w:rsidRPr="00DB2303" w:rsidRDefault="00C355C5" w:rsidP="00E86E46">
            <w:pPr>
              <w:spacing w:after="60"/>
              <w:jc w:val="left"/>
              <w:rPr>
                <w:sz w:val="16"/>
                <w:szCs w:val="16"/>
              </w:rPr>
            </w:pPr>
            <w:r w:rsidRPr="00DB2303">
              <w:rPr>
                <w:sz w:val="16"/>
                <w:szCs w:val="16"/>
              </w:rPr>
              <w:t>UNDP (lead)</w:t>
            </w:r>
          </w:p>
        </w:tc>
        <w:tc>
          <w:tcPr>
            <w:tcW w:w="1660" w:type="pct"/>
            <w:tcBorders>
              <w:left w:val="single" w:sz="4" w:space="0" w:color="595959" w:themeColor="text1" w:themeTint="A6"/>
              <w:right w:val="single" w:sz="4" w:space="0" w:color="595959" w:themeColor="text1" w:themeTint="A6"/>
            </w:tcBorders>
            <w:vAlign w:val="center"/>
          </w:tcPr>
          <w:p w14:paraId="1645C917" w14:textId="77777777" w:rsidR="00C355C5" w:rsidRPr="00DB2303" w:rsidRDefault="009B77C8" w:rsidP="00DD6ED9">
            <w:pPr>
              <w:jc w:val="right"/>
              <w:rPr>
                <w:sz w:val="16"/>
                <w:szCs w:val="16"/>
              </w:rPr>
            </w:pPr>
            <w:r w:rsidRPr="00DB2303">
              <w:rPr>
                <w:sz w:val="16"/>
                <w:szCs w:val="16"/>
              </w:rPr>
              <w:t>350,100</w:t>
            </w:r>
          </w:p>
        </w:tc>
        <w:tc>
          <w:tcPr>
            <w:tcW w:w="2632" w:type="pct"/>
            <w:tcBorders>
              <w:left w:val="single" w:sz="4" w:space="0" w:color="595959" w:themeColor="text1" w:themeTint="A6"/>
            </w:tcBorders>
          </w:tcPr>
          <w:p w14:paraId="0E402990" w14:textId="77777777" w:rsidR="00C355C5" w:rsidRPr="00DB2303" w:rsidRDefault="009B77C8" w:rsidP="009B77C8">
            <w:pPr>
              <w:spacing w:after="60"/>
              <w:jc w:val="right"/>
              <w:rPr>
                <w:sz w:val="16"/>
                <w:szCs w:val="16"/>
              </w:rPr>
            </w:pPr>
            <w:r w:rsidRPr="00DB2303">
              <w:rPr>
                <w:sz w:val="16"/>
                <w:szCs w:val="16"/>
              </w:rPr>
              <w:t>24,507</w:t>
            </w:r>
          </w:p>
        </w:tc>
      </w:tr>
      <w:tr w:rsidR="00C355C5" w:rsidRPr="00DB2303" w14:paraId="113396CA" w14:textId="77777777" w:rsidTr="00F63B3A">
        <w:trPr>
          <w:trHeight w:val="80"/>
        </w:trPr>
        <w:tc>
          <w:tcPr>
            <w:tcW w:w="708" w:type="pct"/>
            <w:tcBorders>
              <w:right w:val="single" w:sz="4" w:space="0" w:color="595959" w:themeColor="text1" w:themeTint="A6"/>
            </w:tcBorders>
          </w:tcPr>
          <w:p w14:paraId="311366F9" w14:textId="77777777" w:rsidR="00C355C5" w:rsidRPr="00DB2303" w:rsidRDefault="00C355C5" w:rsidP="00E86E46">
            <w:pPr>
              <w:spacing w:after="60"/>
              <w:jc w:val="left"/>
              <w:rPr>
                <w:sz w:val="16"/>
                <w:szCs w:val="16"/>
              </w:rPr>
            </w:pPr>
            <w:r w:rsidRPr="00DB2303">
              <w:rPr>
                <w:sz w:val="16"/>
                <w:szCs w:val="16"/>
              </w:rPr>
              <w:t>UNEP</w:t>
            </w:r>
          </w:p>
        </w:tc>
        <w:tc>
          <w:tcPr>
            <w:tcW w:w="1660" w:type="pct"/>
            <w:tcBorders>
              <w:left w:val="single" w:sz="4" w:space="0" w:color="595959" w:themeColor="text1" w:themeTint="A6"/>
              <w:right w:val="single" w:sz="4" w:space="0" w:color="595959" w:themeColor="text1" w:themeTint="A6"/>
            </w:tcBorders>
          </w:tcPr>
          <w:p w14:paraId="50622650" w14:textId="77777777" w:rsidR="00C355C5" w:rsidRPr="00DB2303" w:rsidRDefault="009B77C8" w:rsidP="00DD6ED9">
            <w:pPr>
              <w:spacing w:after="60"/>
              <w:jc w:val="right"/>
              <w:rPr>
                <w:sz w:val="16"/>
                <w:szCs w:val="16"/>
              </w:rPr>
            </w:pPr>
            <w:r w:rsidRPr="00DB2303">
              <w:rPr>
                <w:sz w:val="16"/>
                <w:szCs w:val="16"/>
              </w:rPr>
              <w:t>62,400</w:t>
            </w:r>
          </w:p>
        </w:tc>
        <w:tc>
          <w:tcPr>
            <w:tcW w:w="2632" w:type="pct"/>
            <w:tcBorders>
              <w:left w:val="single" w:sz="4" w:space="0" w:color="595959" w:themeColor="text1" w:themeTint="A6"/>
            </w:tcBorders>
          </w:tcPr>
          <w:p w14:paraId="6064AC51" w14:textId="77777777" w:rsidR="00C355C5" w:rsidRPr="00DB2303" w:rsidRDefault="009B77C8" w:rsidP="00DD6ED9">
            <w:pPr>
              <w:jc w:val="right"/>
              <w:rPr>
                <w:rFonts w:eastAsiaTheme="minorHAnsi"/>
                <w:sz w:val="16"/>
                <w:szCs w:val="16"/>
              </w:rPr>
            </w:pPr>
            <w:r w:rsidRPr="00DB2303">
              <w:rPr>
                <w:rFonts w:eastAsiaTheme="minorHAnsi"/>
                <w:sz w:val="16"/>
                <w:szCs w:val="16"/>
              </w:rPr>
              <w:t>8,112</w:t>
            </w:r>
          </w:p>
        </w:tc>
      </w:tr>
    </w:tbl>
    <w:p w14:paraId="032C846D" w14:textId="77777777" w:rsidR="00C355C5" w:rsidRPr="00DB2303" w:rsidRDefault="00C355C5" w:rsidP="00C355C5">
      <w:pPr>
        <w:jc w:val="left"/>
        <w:rPr>
          <w:sz w:val="16"/>
          <w:szCs w:val="16"/>
          <w:lang w:val="en-CA"/>
        </w:rPr>
      </w:pPr>
    </w:p>
    <w:tbl>
      <w:tblPr>
        <w:tblStyle w:val="TableGrid"/>
        <w:tblpPr w:leftFromText="180" w:rightFromText="180" w:vertAnchor="text" w:horzAnchor="margin" w:tblpY="-1"/>
        <w:tblW w:w="534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255"/>
        <w:gridCol w:w="6731"/>
      </w:tblGrid>
      <w:tr w:rsidR="00C355C5" w:rsidRPr="00DB2303" w14:paraId="3F30399A" w14:textId="77777777" w:rsidTr="00F63B3A">
        <w:trPr>
          <w:trHeight w:val="240"/>
        </w:trPr>
        <w:tc>
          <w:tcPr>
            <w:tcW w:w="1630" w:type="pct"/>
            <w:tcBorders>
              <w:top w:val="single" w:sz="4" w:space="0" w:color="666699"/>
              <w:left w:val="single" w:sz="4" w:space="0" w:color="666699"/>
              <w:bottom w:val="single" w:sz="4" w:space="0" w:color="666699"/>
              <w:right w:val="single" w:sz="4" w:space="0" w:color="666699"/>
            </w:tcBorders>
            <w:hideMark/>
          </w:tcPr>
          <w:p w14:paraId="5DE0F02F" w14:textId="77777777" w:rsidR="00C355C5" w:rsidRPr="00DB2303" w:rsidRDefault="00C355C5" w:rsidP="00DD6ED9">
            <w:pPr>
              <w:jc w:val="center"/>
              <w:rPr>
                <w:b/>
                <w:sz w:val="16"/>
                <w:szCs w:val="16"/>
              </w:rPr>
            </w:pPr>
            <w:r w:rsidRPr="00DB2303">
              <w:rPr>
                <w:b/>
                <w:sz w:val="16"/>
                <w:szCs w:val="16"/>
              </w:rPr>
              <w:lastRenderedPageBreak/>
              <w:t>Funding request:</w:t>
            </w:r>
          </w:p>
        </w:tc>
        <w:tc>
          <w:tcPr>
            <w:tcW w:w="3370" w:type="pct"/>
            <w:tcBorders>
              <w:top w:val="single" w:sz="4" w:space="0" w:color="666699"/>
              <w:left w:val="single" w:sz="4" w:space="0" w:color="666699"/>
              <w:bottom w:val="single" w:sz="4" w:space="0" w:color="666699"/>
              <w:right w:val="single" w:sz="4" w:space="0" w:color="666699"/>
            </w:tcBorders>
            <w:hideMark/>
          </w:tcPr>
          <w:p w14:paraId="196B29D3" w14:textId="77777777" w:rsidR="00C355C5" w:rsidRPr="00DB2303" w:rsidRDefault="00C355C5" w:rsidP="00DD6ED9">
            <w:pPr>
              <w:jc w:val="center"/>
              <w:rPr>
                <w:b/>
                <w:sz w:val="16"/>
                <w:szCs w:val="16"/>
              </w:rPr>
            </w:pPr>
            <w:r w:rsidRPr="00DB2303">
              <w:rPr>
                <w:b/>
                <w:sz w:val="16"/>
                <w:szCs w:val="16"/>
              </w:rPr>
              <w:t>Approval of funding for the first tranche (2017) as indicated above</w:t>
            </w:r>
          </w:p>
        </w:tc>
      </w:tr>
      <w:tr w:rsidR="00E86E46" w:rsidRPr="00DB2303" w14:paraId="26396DF0" w14:textId="77777777" w:rsidTr="00F63B3A">
        <w:trPr>
          <w:trHeight w:val="240"/>
        </w:trPr>
        <w:tc>
          <w:tcPr>
            <w:tcW w:w="1630" w:type="pct"/>
            <w:tcBorders>
              <w:top w:val="single" w:sz="4" w:space="0" w:color="666699"/>
              <w:left w:val="single" w:sz="4" w:space="0" w:color="666699"/>
              <w:bottom w:val="single" w:sz="4" w:space="0" w:color="666699"/>
              <w:right w:val="single" w:sz="4" w:space="0" w:color="666699"/>
            </w:tcBorders>
          </w:tcPr>
          <w:p w14:paraId="381E9A65" w14:textId="77777777" w:rsidR="00E86E46" w:rsidRPr="00DB2303" w:rsidRDefault="00E86E46" w:rsidP="00DD6ED9">
            <w:pPr>
              <w:jc w:val="center"/>
              <w:rPr>
                <w:sz w:val="16"/>
                <w:szCs w:val="16"/>
              </w:rPr>
            </w:pPr>
            <w:r w:rsidRPr="00DB2303">
              <w:rPr>
                <w:sz w:val="16"/>
                <w:szCs w:val="16"/>
              </w:rPr>
              <w:t>Secretariat’s recommendation</w:t>
            </w:r>
          </w:p>
        </w:tc>
        <w:tc>
          <w:tcPr>
            <w:tcW w:w="3370" w:type="pct"/>
            <w:tcBorders>
              <w:top w:val="single" w:sz="4" w:space="0" w:color="666699"/>
              <w:left w:val="single" w:sz="4" w:space="0" w:color="666699"/>
              <w:bottom w:val="single" w:sz="4" w:space="0" w:color="666699"/>
              <w:right w:val="single" w:sz="4" w:space="0" w:color="666699"/>
            </w:tcBorders>
          </w:tcPr>
          <w:p w14:paraId="0915D92E" w14:textId="77777777" w:rsidR="00E86E46" w:rsidRPr="00DB2303" w:rsidRDefault="00E86E46" w:rsidP="00DD6ED9">
            <w:pPr>
              <w:jc w:val="center"/>
              <w:rPr>
                <w:sz w:val="16"/>
                <w:szCs w:val="16"/>
              </w:rPr>
            </w:pPr>
            <w:r w:rsidRPr="00DB2303">
              <w:rPr>
                <w:sz w:val="16"/>
                <w:szCs w:val="16"/>
              </w:rPr>
              <w:t>For individual consideration</w:t>
            </w:r>
          </w:p>
        </w:tc>
      </w:tr>
    </w:tbl>
    <w:p w14:paraId="043B5AD2" w14:textId="77777777" w:rsidR="00C355C5" w:rsidRPr="00DB2303" w:rsidRDefault="00C355C5" w:rsidP="00C355C5">
      <w:pPr>
        <w:pStyle w:val="StyleHeader4Para4Left0Firstline0"/>
        <w:numPr>
          <w:ilvl w:val="0"/>
          <w:numId w:val="0"/>
        </w:numPr>
        <w:rPr>
          <w:sz w:val="17"/>
          <w:szCs w:val="17"/>
        </w:rPr>
      </w:pPr>
      <w:r w:rsidRPr="00DB2303">
        <w:rPr>
          <w:sz w:val="17"/>
          <w:szCs w:val="17"/>
        </w:rPr>
        <w:br w:type="page"/>
      </w:r>
    </w:p>
    <w:p w14:paraId="7417DA77" w14:textId="77777777" w:rsidR="00BD1867" w:rsidRPr="00DB2303" w:rsidRDefault="00BD1867" w:rsidP="0023662F">
      <w:pPr>
        <w:jc w:val="center"/>
        <w:rPr>
          <w:b/>
          <w:lang w:val="en-CA"/>
        </w:rPr>
      </w:pPr>
      <w:r w:rsidRPr="00DB2303">
        <w:rPr>
          <w:b/>
          <w:lang w:val="en-CA"/>
        </w:rPr>
        <w:lastRenderedPageBreak/>
        <w:t>PROJECT DESCRIPTION</w:t>
      </w:r>
    </w:p>
    <w:p w14:paraId="5224FF91" w14:textId="77777777" w:rsidR="00BD1867" w:rsidRPr="00DB2303" w:rsidRDefault="00BD1867" w:rsidP="0023662F">
      <w:pPr>
        <w:rPr>
          <w:lang w:val="en-CA"/>
        </w:rPr>
      </w:pPr>
    </w:p>
    <w:p w14:paraId="706D2CB9" w14:textId="77777777" w:rsidR="00BD1867" w:rsidRPr="00DB2303" w:rsidRDefault="00BD1867" w:rsidP="0023662F">
      <w:pPr>
        <w:numPr>
          <w:ilvl w:val="0"/>
          <w:numId w:val="1"/>
        </w:numPr>
        <w:rPr>
          <w:lang w:val="en-CA"/>
        </w:rPr>
      </w:pPr>
      <w:r w:rsidRPr="00DB2303">
        <w:rPr>
          <w:lang w:val="en-CA"/>
        </w:rPr>
        <w:t>On behalf of the Government of Peru, UNDP as the lead implementing agency, has submitted stage</w:t>
      </w:r>
      <w:r w:rsidR="0023662F">
        <w:rPr>
          <w:lang w:val="en-CA"/>
        </w:rPr>
        <w:t> </w:t>
      </w:r>
      <w:r w:rsidRPr="00DB2303">
        <w:rPr>
          <w:lang w:val="en-CA"/>
        </w:rPr>
        <w:t xml:space="preserve">II of the HCFC phase-out management plan (HPMP) at a total cost of </w:t>
      </w:r>
      <w:r w:rsidR="00682B63">
        <w:rPr>
          <w:lang w:val="en-CA"/>
        </w:rPr>
        <w:t>US $</w:t>
      </w:r>
      <w:r w:rsidRPr="00DB2303">
        <w:rPr>
          <w:lang w:val="en-CA"/>
        </w:rPr>
        <w:t>1,4</w:t>
      </w:r>
      <w:r w:rsidR="00323C8D" w:rsidRPr="00DB2303">
        <w:rPr>
          <w:lang w:val="en-CA"/>
        </w:rPr>
        <w:t>83</w:t>
      </w:r>
      <w:r w:rsidR="002E4EAA" w:rsidRPr="00DB2303">
        <w:rPr>
          <w:lang w:val="en-CA"/>
        </w:rPr>
        <w:t>,</w:t>
      </w:r>
      <w:r w:rsidR="00323C8D" w:rsidRPr="00DB2303">
        <w:rPr>
          <w:lang w:val="en-CA"/>
        </w:rPr>
        <w:t>48</w:t>
      </w:r>
      <w:r w:rsidR="002E4EAA" w:rsidRPr="00DB2303">
        <w:rPr>
          <w:lang w:val="en-CA"/>
        </w:rPr>
        <w:t>9</w:t>
      </w:r>
      <w:r w:rsidRPr="00DB2303">
        <w:rPr>
          <w:lang w:val="en-CA"/>
        </w:rPr>
        <w:t xml:space="preserve">, consisting of </w:t>
      </w:r>
      <w:r w:rsidR="00682B63">
        <w:rPr>
          <w:lang w:val="en-CA"/>
        </w:rPr>
        <w:t>US $</w:t>
      </w:r>
      <w:r w:rsidRPr="00DB2303">
        <w:rPr>
          <w:lang w:val="en-CA"/>
        </w:rPr>
        <w:t xml:space="preserve">1,166,775, plus agency support costs of </w:t>
      </w:r>
      <w:r w:rsidR="00682B63">
        <w:rPr>
          <w:lang w:val="en-CA"/>
        </w:rPr>
        <w:t>US $</w:t>
      </w:r>
      <w:r w:rsidRPr="00DB2303">
        <w:rPr>
          <w:lang w:val="en-CA"/>
        </w:rPr>
        <w:t>81,674 for UNDP</w:t>
      </w:r>
      <w:r w:rsidR="00357AC8">
        <w:rPr>
          <w:lang w:val="en-CA"/>
        </w:rPr>
        <w:t>,</w:t>
      </w:r>
      <w:r w:rsidRPr="00DB2303">
        <w:rPr>
          <w:lang w:val="en-CA"/>
        </w:rPr>
        <w:t xml:space="preserve"> and </w:t>
      </w:r>
      <w:r w:rsidR="00682B63">
        <w:rPr>
          <w:lang w:val="en-CA"/>
        </w:rPr>
        <w:t>US $</w:t>
      </w:r>
      <w:r w:rsidRPr="00DB2303">
        <w:rPr>
          <w:lang w:val="en-CA"/>
        </w:rPr>
        <w:t xml:space="preserve">208,000, plus agency support costs of </w:t>
      </w:r>
      <w:r w:rsidR="00682B63">
        <w:rPr>
          <w:lang w:val="en-CA"/>
        </w:rPr>
        <w:t>US $</w:t>
      </w:r>
      <w:r w:rsidR="00323C8D" w:rsidRPr="00DB2303">
        <w:rPr>
          <w:lang w:val="en-CA"/>
        </w:rPr>
        <w:t>27,040</w:t>
      </w:r>
      <w:r w:rsidRPr="00DB2303">
        <w:rPr>
          <w:lang w:val="en-CA"/>
        </w:rPr>
        <w:t xml:space="preserve"> for UNEP, as originally submitted</w:t>
      </w:r>
      <w:r w:rsidRPr="00DB2303">
        <w:rPr>
          <w:rStyle w:val="FootnoteReference"/>
          <w:lang w:val="en-CA"/>
        </w:rPr>
        <w:footnoteReference w:id="1"/>
      </w:r>
      <w:r w:rsidRPr="00DB2303">
        <w:rPr>
          <w:lang w:val="en-CA"/>
        </w:rPr>
        <w:t>. The implementation of s</w:t>
      </w:r>
      <w:r w:rsidR="00682B63">
        <w:rPr>
          <w:lang w:val="en-CA"/>
        </w:rPr>
        <w:t>tage I</w:t>
      </w:r>
      <w:r w:rsidRPr="00DB2303">
        <w:rPr>
          <w:lang w:val="en-CA"/>
        </w:rPr>
        <w:t xml:space="preserve">I of the HPMP will phase out </w:t>
      </w:r>
      <w:r w:rsidR="00EF53CA" w:rsidRPr="00DB2303">
        <w:rPr>
          <w:lang w:val="en-CA"/>
        </w:rPr>
        <w:t>1</w:t>
      </w:r>
      <w:r w:rsidR="00FF0290" w:rsidRPr="00DB2303">
        <w:rPr>
          <w:lang w:val="en-CA"/>
        </w:rPr>
        <w:t>4</w:t>
      </w:r>
      <w:r w:rsidR="00EF53CA" w:rsidRPr="00DB2303">
        <w:rPr>
          <w:lang w:val="en-CA"/>
        </w:rPr>
        <w:t>.4</w:t>
      </w:r>
      <w:r w:rsidR="00FF0290" w:rsidRPr="00DB2303">
        <w:rPr>
          <w:lang w:val="en-CA"/>
        </w:rPr>
        <w:t>0</w:t>
      </w:r>
      <w:r w:rsidR="008C2783">
        <w:rPr>
          <w:lang w:val="en-CA"/>
        </w:rPr>
        <w:t> ODP ton</w:t>
      </w:r>
      <w:r w:rsidRPr="00DB2303">
        <w:rPr>
          <w:lang w:val="en-CA"/>
        </w:rPr>
        <w:t>nes of HCFCs</w:t>
      </w:r>
      <w:r w:rsidR="00FF0290" w:rsidRPr="00DB2303">
        <w:rPr>
          <w:lang w:val="en-CA"/>
        </w:rPr>
        <w:t xml:space="preserve"> to</w:t>
      </w:r>
      <w:r w:rsidRPr="00DB2303">
        <w:rPr>
          <w:lang w:val="en-CA"/>
        </w:rPr>
        <w:t xml:space="preserve"> meet </w:t>
      </w:r>
      <w:r w:rsidR="00BE2F64" w:rsidRPr="00DB2303">
        <w:rPr>
          <w:lang w:val="en-CA"/>
        </w:rPr>
        <w:t xml:space="preserve">the target of </w:t>
      </w:r>
      <w:r w:rsidR="00FF0290" w:rsidRPr="00DB2303">
        <w:rPr>
          <w:lang w:val="en-CA"/>
        </w:rPr>
        <w:t>67.5</w:t>
      </w:r>
      <w:r w:rsidR="00EF53CA" w:rsidRPr="00DB2303">
        <w:rPr>
          <w:lang w:val="en-CA"/>
        </w:rPr>
        <w:t xml:space="preserve"> </w:t>
      </w:r>
      <w:r w:rsidRPr="00DB2303">
        <w:rPr>
          <w:lang w:val="en-CA"/>
        </w:rPr>
        <w:t xml:space="preserve">per cent reduction </w:t>
      </w:r>
      <w:r w:rsidR="00FF0290" w:rsidRPr="00DB2303">
        <w:rPr>
          <w:lang w:val="en-CA"/>
        </w:rPr>
        <w:t>in HCFC</w:t>
      </w:r>
      <w:r w:rsidR="007A1535" w:rsidRPr="00DB2303">
        <w:rPr>
          <w:lang w:val="en-CA"/>
        </w:rPr>
        <w:t xml:space="preserve"> baseline</w:t>
      </w:r>
      <w:r w:rsidR="00FF0290" w:rsidRPr="00DB2303">
        <w:rPr>
          <w:lang w:val="en-CA"/>
        </w:rPr>
        <w:t xml:space="preserve"> consumption </w:t>
      </w:r>
      <w:r w:rsidRPr="00DB2303">
        <w:rPr>
          <w:lang w:val="en-CA"/>
        </w:rPr>
        <w:t xml:space="preserve">by </w:t>
      </w:r>
      <w:r w:rsidR="00EF53CA" w:rsidRPr="00DB2303">
        <w:rPr>
          <w:lang w:val="en-CA"/>
        </w:rPr>
        <w:t>202</w:t>
      </w:r>
      <w:r w:rsidR="00FF0290" w:rsidRPr="00DB2303">
        <w:rPr>
          <w:lang w:val="en-CA"/>
        </w:rPr>
        <w:t>5</w:t>
      </w:r>
      <w:r w:rsidR="00F63BFE" w:rsidRPr="00DB2303">
        <w:rPr>
          <w:lang w:val="en-CA"/>
        </w:rPr>
        <w:t>, as originally submitted.</w:t>
      </w:r>
    </w:p>
    <w:p w14:paraId="2759A740" w14:textId="77777777" w:rsidR="00BD1867" w:rsidRPr="00DB2303" w:rsidRDefault="00BD1867" w:rsidP="0023662F">
      <w:pPr>
        <w:rPr>
          <w:lang w:val="en-CA"/>
        </w:rPr>
      </w:pPr>
    </w:p>
    <w:p w14:paraId="35720769" w14:textId="77777777" w:rsidR="00BD1867" w:rsidRPr="00DB2303" w:rsidRDefault="00BD1867" w:rsidP="0023662F">
      <w:pPr>
        <w:numPr>
          <w:ilvl w:val="0"/>
          <w:numId w:val="1"/>
        </w:numPr>
        <w:rPr>
          <w:lang w:val="en-CA"/>
        </w:rPr>
      </w:pPr>
      <w:r w:rsidRPr="00DB2303">
        <w:rPr>
          <w:lang w:val="en-CA"/>
        </w:rPr>
        <w:t>The first tranche for s</w:t>
      </w:r>
      <w:r w:rsidR="00682B63">
        <w:rPr>
          <w:lang w:val="en-CA"/>
        </w:rPr>
        <w:t>tage I</w:t>
      </w:r>
      <w:r w:rsidRPr="00DB2303">
        <w:rPr>
          <w:lang w:val="en-CA"/>
        </w:rPr>
        <w:t xml:space="preserve">I of the HPMP being requested at this meeting amounts to </w:t>
      </w:r>
      <w:r w:rsidR="00682B63">
        <w:rPr>
          <w:lang w:val="en-CA"/>
        </w:rPr>
        <w:t>US $</w:t>
      </w:r>
      <w:r w:rsidR="00FF0290" w:rsidRPr="00DB2303">
        <w:rPr>
          <w:lang w:val="en-CA"/>
        </w:rPr>
        <w:t>7</w:t>
      </w:r>
      <w:r w:rsidR="00861A41" w:rsidRPr="00DB2303">
        <w:rPr>
          <w:lang w:val="en-CA"/>
        </w:rPr>
        <w:t>32</w:t>
      </w:r>
      <w:r w:rsidR="00FF0290" w:rsidRPr="00DB2303">
        <w:rPr>
          <w:lang w:val="en-CA"/>
        </w:rPr>
        <w:t>,</w:t>
      </w:r>
      <w:r w:rsidR="00861A41" w:rsidRPr="00DB2303">
        <w:rPr>
          <w:lang w:val="en-CA"/>
        </w:rPr>
        <w:t>661</w:t>
      </w:r>
      <w:r w:rsidRPr="00DB2303">
        <w:rPr>
          <w:lang w:val="en-CA"/>
        </w:rPr>
        <w:t xml:space="preserve">, consisting of </w:t>
      </w:r>
      <w:r w:rsidR="00682B63">
        <w:rPr>
          <w:lang w:val="en-CA"/>
        </w:rPr>
        <w:t>US $</w:t>
      </w:r>
      <w:r w:rsidR="00FF0290" w:rsidRPr="00DB2303">
        <w:rPr>
          <w:lang w:val="en-CA"/>
        </w:rPr>
        <w:t>606,475</w:t>
      </w:r>
      <w:r w:rsidRPr="00DB2303">
        <w:rPr>
          <w:lang w:val="en-CA"/>
        </w:rPr>
        <w:t xml:space="preserve">, plus agency support costs of </w:t>
      </w:r>
      <w:r w:rsidR="00682B63">
        <w:rPr>
          <w:lang w:val="en-CA"/>
        </w:rPr>
        <w:t>US $</w:t>
      </w:r>
      <w:r w:rsidR="00FF0290" w:rsidRPr="00DB2303">
        <w:rPr>
          <w:lang w:val="en-CA"/>
        </w:rPr>
        <w:t>42,453</w:t>
      </w:r>
      <w:r w:rsidR="00BE2F64" w:rsidRPr="00DB2303">
        <w:rPr>
          <w:lang w:val="en-CA"/>
        </w:rPr>
        <w:t xml:space="preserve"> </w:t>
      </w:r>
      <w:r w:rsidRPr="00DB2303">
        <w:rPr>
          <w:lang w:val="en-CA"/>
        </w:rPr>
        <w:t xml:space="preserve">for </w:t>
      </w:r>
      <w:r w:rsidR="004E05ED" w:rsidRPr="00DB2303">
        <w:rPr>
          <w:lang w:val="en-CA"/>
        </w:rPr>
        <w:t>UNDP</w:t>
      </w:r>
      <w:r w:rsidRPr="00DB2303">
        <w:rPr>
          <w:lang w:val="en-CA"/>
        </w:rPr>
        <w:t>¸</w:t>
      </w:r>
      <w:r w:rsidR="004E05ED" w:rsidRPr="00DB2303">
        <w:rPr>
          <w:lang w:val="en-CA"/>
        </w:rPr>
        <w:t xml:space="preserve"> and </w:t>
      </w:r>
      <w:r w:rsidR="00682B63">
        <w:rPr>
          <w:lang w:val="en-CA"/>
        </w:rPr>
        <w:t>US $</w:t>
      </w:r>
      <w:r w:rsidR="004E05ED" w:rsidRPr="00DB2303">
        <w:rPr>
          <w:lang w:val="en-CA"/>
        </w:rPr>
        <w:t>74,100</w:t>
      </w:r>
      <w:r w:rsidRPr="00DB2303">
        <w:rPr>
          <w:lang w:val="en-CA"/>
        </w:rPr>
        <w:t>,</w:t>
      </w:r>
      <w:r w:rsidR="004E05ED" w:rsidRPr="00DB2303">
        <w:rPr>
          <w:lang w:val="en-CA"/>
        </w:rPr>
        <w:t xml:space="preserve"> plus agency support costs of </w:t>
      </w:r>
      <w:r w:rsidR="00682B63">
        <w:rPr>
          <w:lang w:val="en-CA"/>
        </w:rPr>
        <w:t>US $</w:t>
      </w:r>
      <w:r w:rsidR="00861A41" w:rsidRPr="00DB2303">
        <w:rPr>
          <w:lang w:val="en-CA"/>
        </w:rPr>
        <w:t>9,633</w:t>
      </w:r>
      <w:r w:rsidR="004E05ED" w:rsidRPr="00DB2303">
        <w:rPr>
          <w:lang w:val="en-CA"/>
        </w:rPr>
        <w:t xml:space="preserve"> for UNEP,</w:t>
      </w:r>
      <w:r w:rsidRPr="00DB2303">
        <w:rPr>
          <w:lang w:val="en-CA"/>
        </w:rPr>
        <w:t xml:space="preserve"> as originally submitted.</w:t>
      </w:r>
    </w:p>
    <w:p w14:paraId="729313B8" w14:textId="77777777" w:rsidR="00B04161" w:rsidRPr="00DB2303" w:rsidRDefault="00B04161" w:rsidP="0023662F">
      <w:pPr>
        <w:rPr>
          <w:lang w:val="en-CA"/>
        </w:rPr>
      </w:pPr>
    </w:p>
    <w:p w14:paraId="0F686C1D" w14:textId="77777777" w:rsidR="00FD4C26" w:rsidRDefault="00FD4C26" w:rsidP="0023662F">
      <w:pPr>
        <w:rPr>
          <w:b/>
        </w:rPr>
      </w:pPr>
      <w:r w:rsidRPr="00DB2303">
        <w:rPr>
          <w:b/>
        </w:rPr>
        <w:t>Status of implementation of stage I of the HPMP</w:t>
      </w:r>
    </w:p>
    <w:p w14:paraId="34084829" w14:textId="77777777" w:rsidR="00357AC8" w:rsidRPr="00DB2303" w:rsidRDefault="00357AC8" w:rsidP="0023662F"/>
    <w:p w14:paraId="3CC52C81" w14:textId="77777777" w:rsidR="00FD4C26" w:rsidRPr="00DB2303" w:rsidRDefault="00FD4C26" w:rsidP="0023662F">
      <w:pPr>
        <w:numPr>
          <w:ilvl w:val="0"/>
          <w:numId w:val="1"/>
        </w:numPr>
        <w:tabs>
          <w:tab w:val="clear" w:pos="0"/>
        </w:tabs>
        <w:spacing w:after="240"/>
        <w:outlineLvl w:val="0"/>
      </w:pPr>
      <w:r w:rsidRPr="00DB2303">
        <w:rPr>
          <w:lang w:val="en-CA"/>
        </w:rPr>
        <w:t>Stage</w:t>
      </w:r>
      <w:r w:rsidRPr="00DB2303">
        <w:t xml:space="preserve"> I of the HPMP for Peru was approved by the Executive Committee at its </w:t>
      </w:r>
      <w:r w:rsidR="004442FF" w:rsidRPr="00DB2303">
        <w:t>68</w:t>
      </w:r>
      <w:r w:rsidR="004442FF" w:rsidRPr="00DB2303">
        <w:rPr>
          <w:vertAlign w:val="superscript"/>
        </w:rPr>
        <w:t>th </w:t>
      </w:r>
      <w:r w:rsidRPr="00DB2303">
        <w:t xml:space="preserve">meeting to meet </w:t>
      </w:r>
      <w:r w:rsidR="004442FF" w:rsidRPr="00DB2303">
        <w:t>10</w:t>
      </w:r>
      <w:r w:rsidRPr="00DB2303">
        <w:t xml:space="preserve"> per cent reduction by </w:t>
      </w:r>
      <w:r w:rsidR="004442FF" w:rsidRPr="00DB2303">
        <w:t>2015</w:t>
      </w:r>
      <w:r w:rsidR="004442FF" w:rsidRPr="00DB2303">
        <w:rPr>
          <w:rStyle w:val="FootnoteReference"/>
        </w:rPr>
        <w:footnoteReference w:id="2"/>
      </w:r>
      <w:r w:rsidRPr="00DB2303">
        <w:t xml:space="preserve">, at a total cost of </w:t>
      </w:r>
      <w:r w:rsidR="00682B63">
        <w:t>US $</w:t>
      </w:r>
      <w:r w:rsidR="00367D79" w:rsidRPr="00DB2303">
        <w:t xml:space="preserve">310,110 including </w:t>
      </w:r>
      <w:r w:rsidR="00357AC8">
        <w:t xml:space="preserve">agency </w:t>
      </w:r>
      <w:r w:rsidR="00367D79" w:rsidRPr="00DB2303">
        <w:t>support costs</w:t>
      </w:r>
      <w:r w:rsidR="00357AC8">
        <w:t>,</w:t>
      </w:r>
      <w:r w:rsidR="00367D79" w:rsidRPr="00DB2303">
        <w:t xml:space="preserve"> to phase</w:t>
      </w:r>
      <w:r w:rsidR="007A1535" w:rsidRPr="00DB2303">
        <w:t> </w:t>
      </w:r>
      <w:r w:rsidR="00367D79" w:rsidRPr="00DB2303">
        <w:t>out 1.</w:t>
      </w:r>
      <w:r w:rsidR="00357AC8">
        <w:t>79</w:t>
      </w:r>
      <w:r w:rsidR="008C2783">
        <w:t> ODP ton</w:t>
      </w:r>
      <w:r w:rsidR="00367D79" w:rsidRPr="00DB2303">
        <w:t xml:space="preserve">nes of </w:t>
      </w:r>
      <w:r w:rsidRPr="00DB2303">
        <w:t>HCFC</w:t>
      </w:r>
      <w:r w:rsidRPr="00DB2303">
        <w:noBreakHyphen/>
        <w:t xml:space="preserve">141b </w:t>
      </w:r>
      <w:r w:rsidR="00367D79" w:rsidRPr="00DB2303">
        <w:t>and 1.95</w:t>
      </w:r>
      <w:r w:rsidR="008C2783">
        <w:t> ODP ton</w:t>
      </w:r>
      <w:r w:rsidRPr="00DB2303">
        <w:t>nes of HCFC</w:t>
      </w:r>
      <w:r w:rsidRPr="00DB2303">
        <w:noBreakHyphen/>
        <w:t xml:space="preserve">22 </w:t>
      </w:r>
      <w:r w:rsidR="00367D79" w:rsidRPr="00DB2303">
        <w:t>in the refrigeration</w:t>
      </w:r>
      <w:r w:rsidR="00DE40FB" w:rsidRPr="00DB2303">
        <w:t xml:space="preserve"> </w:t>
      </w:r>
      <w:r w:rsidR="00367D79" w:rsidRPr="00DB2303">
        <w:t>servicing</w:t>
      </w:r>
      <w:r w:rsidRPr="00DB2303">
        <w:t xml:space="preserve"> sector. </w:t>
      </w:r>
    </w:p>
    <w:p w14:paraId="73492202" w14:textId="77777777" w:rsidR="00DD6ED9" w:rsidRPr="00DB2303" w:rsidRDefault="00DD6ED9" w:rsidP="0023662F">
      <w:pPr>
        <w:pStyle w:val="Heading1"/>
        <w:numPr>
          <w:ilvl w:val="0"/>
          <w:numId w:val="0"/>
        </w:numPr>
        <w:rPr>
          <w:u w:val="single"/>
          <w:lang w:val="en-CA"/>
        </w:rPr>
      </w:pPr>
      <w:r w:rsidRPr="00DB2303">
        <w:rPr>
          <w:u w:val="single"/>
          <w:lang w:val="en-CA"/>
        </w:rPr>
        <w:t>Progress in implementation of stage I activities</w:t>
      </w:r>
    </w:p>
    <w:p w14:paraId="57AA9C10" w14:textId="53ACC6FD" w:rsidR="007B60A0" w:rsidRPr="007B60A0" w:rsidRDefault="005C65ED" w:rsidP="007B60A0">
      <w:pPr>
        <w:pStyle w:val="Heading1"/>
      </w:pPr>
      <w:r w:rsidRPr="00DB2303">
        <w:t xml:space="preserve">Peru has an operational </w:t>
      </w:r>
      <w:r w:rsidR="00C81092" w:rsidRPr="00DB2303">
        <w:t>HCFC import licensing and quota system</w:t>
      </w:r>
      <w:r w:rsidRPr="00DB2303">
        <w:t>, which has been strengthened</w:t>
      </w:r>
      <w:r w:rsidR="00C81092" w:rsidRPr="00DB2303">
        <w:t xml:space="preserve"> during the implementation of stage I.</w:t>
      </w:r>
      <w:r w:rsidRPr="00DB2303">
        <w:t xml:space="preserve"> </w:t>
      </w:r>
      <w:r w:rsidR="00357AC8">
        <w:t>T</w:t>
      </w:r>
      <w:r w:rsidRPr="00DB2303">
        <w:t>he Ministry of Production (PRODUCE) establishe</w:t>
      </w:r>
      <w:r w:rsidR="001C25AA" w:rsidRPr="00DB2303">
        <w:t>s</w:t>
      </w:r>
      <w:r w:rsidRPr="00DB2303">
        <w:t xml:space="preserve"> annual import quotas through Directorial Resolutions</w:t>
      </w:r>
      <w:r w:rsidR="00357AC8">
        <w:t>;</w:t>
      </w:r>
      <w:r w:rsidRPr="00DB2303">
        <w:t xml:space="preserve"> importers and distributors are required to register</w:t>
      </w:r>
      <w:r w:rsidR="00357AC8">
        <w:t>.</w:t>
      </w:r>
      <w:r w:rsidRPr="00DB2303">
        <w:t xml:space="preserve"> </w:t>
      </w:r>
      <w:r w:rsidR="00892AA0" w:rsidRPr="00DB2303">
        <w:t xml:space="preserve">A manual on procedures to import ODS and ODS-based equipment was produced </w:t>
      </w:r>
      <w:r w:rsidR="001839E4" w:rsidRPr="00DB2303">
        <w:t>to facilitate</w:t>
      </w:r>
      <w:r w:rsidR="00892AA0" w:rsidRPr="00DB2303">
        <w:t xml:space="preserve"> the operationalization of the licensing and quota system</w:t>
      </w:r>
      <w:r w:rsidR="00357AC8">
        <w:t xml:space="preserve"> and </w:t>
      </w:r>
      <w:r w:rsidR="00357AC8" w:rsidRPr="00DB2303">
        <w:t>the monitoring and enforcement of import controls</w:t>
      </w:r>
      <w:r w:rsidR="00892AA0" w:rsidRPr="00DB2303">
        <w:t xml:space="preserve">. The Government of Peru has established a zero (0) </w:t>
      </w:r>
      <w:r w:rsidR="00BE2F64" w:rsidRPr="00DB2303">
        <w:t xml:space="preserve">quota </w:t>
      </w:r>
      <w:r w:rsidR="00892AA0" w:rsidRPr="00DB2303">
        <w:t>for imports of HCFC</w:t>
      </w:r>
      <w:r w:rsidR="0046165B" w:rsidRPr="00DB2303">
        <w:noBreakHyphen/>
      </w:r>
      <w:r w:rsidR="00892AA0" w:rsidRPr="00DB2303">
        <w:t xml:space="preserve">141b </w:t>
      </w:r>
      <w:r w:rsidR="0046165B" w:rsidRPr="00DB2303">
        <w:t xml:space="preserve">pure </w:t>
      </w:r>
      <w:r w:rsidR="00892AA0" w:rsidRPr="00DB2303">
        <w:t>from 1 January 2017.</w:t>
      </w:r>
      <w:r w:rsidR="007B60A0" w:rsidRPr="007B60A0">
        <w:t xml:space="preserve"> To ensure the sustainability of the phase-out of HCFC-141b pure while the permanent ban is being discussed in Congress, the Government will continue issuing an annual zero quota for imports until the permanent ban is approved. </w:t>
      </w:r>
    </w:p>
    <w:p w14:paraId="4731FD09" w14:textId="77777777" w:rsidR="00CC5C2C" w:rsidRPr="006710BF" w:rsidRDefault="005C65ED" w:rsidP="00BD7C67">
      <w:pPr>
        <w:pStyle w:val="Heading1"/>
      </w:pPr>
      <w:r w:rsidRPr="006710BF">
        <w:t>Additional</w:t>
      </w:r>
      <w:r w:rsidR="0046165B" w:rsidRPr="006710BF">
        <w:t xml:space="preserve"> </w:t>
      </w:r>
      <w:r w:rsidRPr="006710BF">
        <w:t>measures</w:t>
      </w:r>
      <w:r w:rsidR="00892AA0" w:rsidRPr="006710BF">
        <w:t xml:space="preserve"> </w:t>
      </w:r>
      <w:r w:rsidRPr="006710BF">
        <w:t xml:space="preserve">include </w:t>
      </w:r>
      <w:r w:rsidR="001C25AA" w:rsidRPr="006710BF">
        <w:t xml:space="preserve">the requirement of </w:t>
      </w:r>
      <w:r w:rsidR="00892AA0" w:rsidRPr="006710BF">
        <w:t>a</w:t>
      </w:r>
      <w:r w:rsidR="00BD7C67" w:rsidRPr="006710BF">
        <w:t xml:space="preserve">n authorization from the </w:t>
      </w:r>
      <w:r w:rsidR="00892AA0" w:rsidRPr="006710BF">
        <w:t>national ozone unit</w:t>
      </w:r>
      <w:r w:rsidR="00BD7C67" w:rsidRPr="006710BF">
        <w:t xml:space="preserve"> (NOU) to</w:t>
      </w:r>
      <w:r w:rsidR="00892AA0" w:rsidRPr="006710BF">
        <w:t xml:space="preserve"> import refrigeration and air</w:t>
      </w:r>
      <w:r w:rsidR="00892AA0" w:rsidRPr="006710BF">
        <w:noBreakHyphen/>
        <w:t xml:space="preserve">conditioning </w:t>
      </w:r>
      <w:r w:rsidR="00F7716C" w:rsidRPr="006710BF">
        <w:t xml:space="preserve">(RAC) </w:t>
      </w:r>
      <w:r w:rsidR="00B73BAC" w:rsidRPr="006710BF">
        <w:t>equipment</w:t>
      </w:r>
      <w:r w:rsidR="007E245C" w:rsidRPr="006710BF">
        <w:t xml:space="preserve"> containing ODS</w:t>
      </w:r>
      <w:r w:rsidR="00892AA0" w:rsidRPr="006710BF">
        <w:t xml:space="preserve">; </w:t>
      </w:r>
      <w:r w:rsidR="00CC5C2C" w:rsidRPr="006710BF">
        <w:t xml:space="preserve">mandatory </w:t>
      </w:r>
      <w:r w:rsidR="00BD7C67" w:rsidRPr="006710BF">
        <w:t xml:space="preserve">labeling for containers or </w:t>
      </w:r>
      <w:r w:rsidR="003458AC" w:rsidRPr="006710BF">
        <w:t xml:space="preserve">RAC </w:t>
      </w:r>
      <w:r w:rsidR="00BD7C67" w:rsidRPr="006710BF">
        <w:t xml:space="preserve">equipment, indicating the kind of material and substance used as a refrigerant or foaming agent; </w:t>
      </w:r>
      <w:r w:rsidR="00CC5C2C" w:rsidRPr="006710BF">
        <w:t xml:space="preserve"> </w:t>
      </w:r>
      <w:r w:rsidR="003458AC" w:rsidRPr="006710BF">
        <w:t xml:space="preserve">labelling on </w:t>
      </w:r>
      <w:r w:rsidR="00892AA0" w:rsidRPr="006710BF">
        <w:t xml:space="preserve">energy </w:t>
      </w:r>
      <w:r w:rsidR="003458AC" w:rsidRPr="006710BF">
        <w:t>efficiency</w:t>
      </w:r>
      <w:r w:rsidR="00892AA0" w:rsidRPr="006710BF">
        <w:t xml:space="preserve"> for all electric </w:t>
      </w:r>
      <w:r w:rsidR="00CC5C2C" w:rsidRPr="006710BF">
        <w:t>equipment</w:t>
      </w:r>
      <w:r w:rsidR="00892AA0" w:rsidRPr="006710BF">
        <w:t xml:space="preserve"> and appliances</w:t>
      </w:r>
      <w:r w:rsidR="00CC5C2C" w:rsidRPr="006710BF">
        <w:t>;</w:t>
      </w:r>
      <w:r w:rsidR="00892AA0" w:rsidRPr="006710BF">
        <w:t xml:space="preserve"> and sanctions for non</w:t>
      </w:r>
      <w:r w:rsidR="00CB3BF9" w:rsidRPr="006710BF">
        <w:noBreakHyphen/>
      </w:r>
      <w:r w:rsidR="00892AA0" w:rsidRPr="006710BF">
        <w:t>complianc</w:t>
      </w:r>
      <w:r w:rsidR="00BE2F64" w:rsidRPr="006710BF">
        <w:t>e</w:t>
      </w:r>
      <w:r w:rsidR="00892AA0" w:rsidRPr="006710BF">
        <w:t xml:space="preserve"> with these measures. </w:t>
      </w:r>
    </w:p>
    <w:p w14:paraId="63C51956" w14:textId="77777777" w:rsidR="00F41D23" w:rsidRPr="00DB2303" w:rsidRDefault="007A1535" w:rsidP="0023662F">
      <w:pPr>
        <w:pStyle w:val="Heading1"/>
      </w:pPr>
      <w:r w:rsidRPr="00DB2303">
        <w:lastRenderedPageBreak/>
        <w:t>Fifty</w:t>
      </w:r>
      <w:r w:rsidR="00357AC8">
        <w:t>-</w:t>
      </w:r>
      <w:r w:rsidRPr="00DB2303">
        <w:t>six</w:t>
      </w:r>
      <w:r w:rsidR="007444C6" w:rsidRPr="00DB2303">
        <w:t xml:space="preserve"> </w:t>
      </w:r>
      <w:r w:rsidR="004F6C6E" w:rsidRPr="00DB2303">
        <w:t>c</w:t>
      </w:r>
      <w:r w:rsidR="007444C6" w:rsidRPr="00DB2303">
        <w:t xml:space="preserve">ustoms </w:t>
      </w:r>
      <w:r w:rsidR="004F6C6E" w:rsidRPr="00DB2303">
        <w:t>o</w:t>
      </w:r>
      <w:r w:rsidR="007444C6" w:rsidRPr="00DB2303">
        <w:t>fficers</w:t>
      </w:r>
      <w:r w:rsidR="004F6C6E" w:rsidRPr="00DB2303">
        <w:t xml:space="preserve"> and 25 customs brokers</w:t>
      </w:r>
      <w:r w:rsidR="007444C6" w:rsidRPr="00DB2303">
        <w:t xml:space="preserve"> </w:t>
      </w:r>
      <w:r w:rsidR="00892AA0" w:rsidRPr="00DB2303">
        <w:t xml:space="preserve">have been trained </w:t>
      </w:r>
      <w:r w:rsidR="0003568E" w:rsidRPr="00DB2303">
        <w:t>o</w:t>
      </w:r>
      <w:r w:rsidR="007444C6" w:rsidRPr="00DB2303">
        <w:t>n</w:t>
      </w:r>
      <w:r w:rsidR="00892AA0" w:rsidRPr="00DB2303">
        <w:t xml:space="preserve"> the </w:t>
      </w:r>
      <w:r w:rsidR="007444C6" w:rsidRPr="00DB2303">
        <w:t xml:space="preserve">HCFC </w:t>
      </w:r>
      <w:r w:rsidR="00892AA0" w:rsidRPr="00DB2303">
        <w:t xml:space="preserve">licensing </w:t>
      </w:r>
      <w:r w:rsidR="007444C6" w:rsidRPr="00DB2303">
        <w:t xml:space="preserve">and </w:t>
      </w:r>
      <w:r w:rsidR="004F6C6E" w:rsidRPr="00DB2303">
        <w:t>q</w:t>
      </w:r>
      <w:r w:rsidR="007444C6" w:rsidRPr="00DB2303">
        <w:t xml:space="preserve">uota </w:t>
      </w:r>
      <w:r w:rsidR="004F6C6E" w:rsidRPr="00DB2303">
        <w:t>s</w:t>
      </w:r>
      <w:r w:rsidR="00892AA0" w:rsidRPr="00DB2303">
        <w:t xml:space="preserve">ystem, </w:t>
      </w:r>
      <w:r w:rsidR="004F6C6E" w:rsidRPr="00DB2303">
        <w:t>c</w:t>
      </w:r>
      <w:r w:rsidR="007444C6" w:rsidRPr="00DB2303">
        <w:t xml:space="preserve">ustoms </w:t>
      </w:r>
      <w:r w:rsidR="004F6C6E" w:rsidRPr="00DB2303">
        <w:t>c</w:t>
      </w:r>
      <w:r w:rsidR="007444C6" w:rsidRPr="00DB2303">
        <w:t>odes</w:t>
      </w:r>
      <w:r w:rsidR="00BE2F64" w:rsidRPr="00DB2303">
        <w:t>,</w:t>
      </w:r>
      <w:r w:rsidR="0003568E" w:rsidRPr="00DB2303">
        <w:t xml:space="preserve"> </w:t>
      </w:r>
      <w:r w:rsidR="007444C6" w:rsidRPr="00DB2303">
        <w:t>technical</w:t>
      </w:r>
      <w:r w:rsidR="004F6C6E" w:rsidRPr="00DB2303">
        <w:t xml:space="preserve"> analysis</w:t>
      </w:r>
      <w:r w:rsidR="007444C6" w:rsidRPr="00DB2303">
        <w:t xml:space="preserve"> for detecting HCF</w:t>
      </w:r>
      <w:r w:rsidR="00884701" w:rsidRPr="00DB2303">
        <w:t>C</w:t>
      </w:r>
      <w:r w:rsidR="00884701" w:rsidRPr="00DB2303">
        <w:noBreakHyphen/>
      </w:r>
      <w:r w:rsidR="007444C6" w:rsidRPr="00DB2303">
        <w:t>141b in</w:t>
      </w:r>
      <w:r w:rsidR="00357AC8">
        <w:t xml:space="preserve"> imported</w:t>
      </w:r>
      <w:r w:rsidR="007444C6" w:rsidRPr="00DB2303">
        <w:t xml:space="preserve"> pre-blended polyols</w:t>
      </w:r>
      <w:r w:rsidR="00892AA0" w:rsidRPr="00DB2303">
        <w:t>,</w:t>
      </w:r>
      <w:r w:rsidR="007444C6" w:rsidRPr="00DB2303">
        <w:t xml:space="preserve"> refrigerant sampling from iso-tanks</w:t>
      </w:r>
      <w:r w:rsidR="00892AA0" w:rsidRPr="00DB2303">
        <w:t>,</w:t>
      </w:r>
      <w:r w:rsidR="007444C6" w:rsidRPr="00DB2303">
        <w:t xml:space="preserve"> and proper </w:t>
      </w:r>
      <w:r w:rsidR="00892AA0" w:rsidRPr="00DB2303">
        <w:t>disposal of seized ODS and ODS</w:t>
      </w:r>
      <w:r w:rsidR="007444C6" w:rsidRPr="00DB2303">
        <w:t>-based equipment</w:t>
      </w:r>
      <w:r w:rsidR="00072C0D" w:rsidRPr="00DB2303">
        <w:t>.</w:t>
      </w:r>
    </w:p>
    <w:p w14:paraId="1B69D4A2" w14:textId="77777777" w:rsidR="007444C6" w:rsidRPr="00DB2303" w:rsidRDefault="00DD6ED9" w:rsidP="0023662F">
      <w:pPr>
        <w:pStyle w:val="Heading1"/>
        <w:keepNext/>
      </w:pPr>
      <w:r w:rsidRPr="00016B26">
        <w:t>In the refrigeration servicing sector, f</w:t>
      </w:r>
      <w:r w:rsidR="00104CE5" w:rsidRPr="00016B26">
        <w:t xml:space="preserve">our sets </w:t>
      </w:r>
      <w:r w:rsidR="00BE2F64" w:rsidRPr="00016B26">
        <w:t xml:space="preserve">of </w:t>
      </w:r>
      <w:r w:rsidR="00104CE5" w:rsidRPr="00016B26">
        <w:t>equipment and tools for good practices on RAC</w:t>
      </w:r>
      <w:r w:rsidR="00F7716C" w:rsidRPr="00016B26">
        <w:t xml:space="preserve"> servicing</w:t>
      </w:r>
      <w:r w:rsidR="00D577FC" w:rsidRPr="00016B26">
        <w:t xml:space="preserve"> (</w:t>
      </w:r>
      <w:r w:rsidR="00A53E66" w:rsidRPr="00016B26">
        <w:t>i.e., recovery units, vacuum pumps, refrigerant identifier, cylinders, welding equipment, mini</w:t>
      </w:r>
      <w:r w:rsidR="00C85260" w:rsidRPr="00016B26">
        <w:noBreakHyphen/>
      </w:r>
      <w:r w:rsidR="00A53E66" w:rsidRPr="00016B26">
        <w:t>split AC unit and refrigerant</w:t>
      </w:r>
      <w:r w:rsidR="00D577FC" w:rsidRPr="00016B26">
        <w:t>)</w:t>
      </w:r>
      <w:r w:rsidR="00104CE5" w:rsidRPr="00016B26">
        <w:t xml:space="preserve"> </w:t>
      </w:r>
      <w:r w:rsidR="001C25AA" w:rsidRPr="00016B26">
        <w:t>have been</w:t>
      </w:r>
      <w:r w:rsidR="00104CE5" w:rsidRPr="00016B26">
        <w:t xml:space="preserve"> distributed to </w:t>
      </w:r>
      <w:r w:rsidR="006445DA" w:rsidRPr="00016B26">
        <w:rPr>
          <w:color w:val="000000"/>
          <w:lang w:eastAsia="es-ES"/>
        </w:rPr>
        <w:t>r</w:t>
      </w:r>
      <w:r w:rsidR="001C25AA" w:rsidRPr="00016B26">
        <w:rPr>
          <w:color w:val="000000"/>
          <w:lang w:eastAsia="es-ES"/>
        </w:rPr>
        <w:t>efrigeration training centre</w:t>
      </w:r>
      <w:r w:rsidR="006445DA" w:rsidRPr="00016B26">
        <w:rPr>
          <w:color w:val="000000"/>
          <w:lang w:eastAsia="es-ES"/>
        </w:rPr>
        <w:t>s</w:t>
      </w:r>
      <w:r w:rsidRPr="00016B26">
        <w:rPr>
          <w:color w:val="000000"/>
          <w:lang w:eastAsia="es-ES"/>
        </w:rPr>
        <w:t>;</w:t>
      </w:r>
      <w:r w:rsidR="00104CE5" w:rsidRPr="00016B26">
        <w:rPr>
          <w:color w:val="000000"/>
          <w:lang w:eastAsia="es-ES"/>
        </w:rPr>
        <w:t xml:space="preserve"> </w:t>
      </w:r>
      <w:r w:rsidR="00954CE1" w:rsidRPr="00016B26">
        <w:rPr>
          <w:color w:val="000000"/>
          <w:lang w:eastAsia="es-ES"/>
        </w:rPr>
        <w:t>70 trainers</w:t>
      </w:r>
      <w:r w:rsidR="00954CE1" w:rsidRPr="00016B26">
        <w:t xml:space="preserve"> </w:t>
      </w:r>
      <w:r w:rsidR="00C576AB" w:rsidRPr="00016B26">
        <w:rPr>
          <w:color w:val="000000"/>
          <w:lang w:eastAsia="es-ES"/>
        </w:rPr>
        <w:t xml:space="preserve">and </w:t>
      </w:r>
      <w:r w:rsidR="00954CE1" w:rsidRPr="00016B26">
        <w:rPr>
          <w:color w:val="000000"/>
          <w:lang w:eastAsia="es-ES"/>
        </w:rPr>
        <w:t xml:space="preserve">1,000 technicians </w:t>
      </w:r>
      <w:r w:rsidR="00104CE5" w:rsidRPr="00016B26">
        <w:rPr>
          <w:color w:val="000000"/>
          <w:lang w:eastAsia="es-ES"/>
        </w:rPr>
        <w:t xml:space="preserve">have received training </w:t>
      </w:r>
      <w:r w:rsidR="00954CE1" w:rsidRPr="00016B26">
        <w:rPr>
          <w:color w:val="000000"/>
          <w:lang w:eastAsia="es-ES"/>
        </w:rPr>
        <w:t xml:space="preserve">on </w:t>
      </w:r>
      <w:r w:rsidR="00710A99" w:rsidRPr="00016B26">
        <w:rPr>
          <w:color w:val="000000"/>
          <w:lang w:eastAsia="es-ES"/>
        </w:rPr>
        <w:t xml:space="preserve">HCFC-free </w:t>
      </w:r>
      <w:r w:rsidR="00357AC8" w:rsidRPr="00016B26">
        <w:rPr>
          <w:color w:val="000000"/>
          <w:lang w:eastAsia="es-ES"/>
        </w:rPr>
        <w:t>t</w:t>
      </w:r>
      <w:r w:rsidR="00104CE5" w:rsidRPr="00016B26">
        <w:rPr>
          <w:color w:val="000000"/>
          <w:lang w:eastAsia="es-ES"/>
        </w:rPr>
        <w:t xml:space="preserve">echnologies for flushing </w:t>
      </w:r>
      <w:r w:rsidR="00EC250E" w:rsidRPr="00016B26">
        <w:rPr>
          <w:color w:val="000000"/>
          <w:lang w:eastAsia="es-ES"/>
        </w:rPr>
        <w:t>refrigeration s</w:t>
      </w:r>
      <w:r w:rsidR="00710A99" w:rsidRPr="00016B26">
        <w:rPr>
          <w:color w:val="000000"/>
          <w:lang w:eastAsia="es-ES"/>
        </w:rPr>
        <w:t>ystems</w:t>
      </w:r>
      <w:r w:rsidR="00EC250E" w:rsidRPr="00016B26">
        <w:rPr>
          <w:color w:val="000000"/>
          <w:lang w:eastAsia="es-ES"/>
        </w:rPr>
        <w:t xml:space="preserve"> </w:t>
      </w:r>
      <w:r w:rsidR="00104CE5" w:rsidRPr="00016B26">
        <w:rPr>
          <w:color w:val="000000"/>
          <w:lang w:eastAsia="es-ES"/>
        </w:rPr>
        <w:t xml:space="preserve">and good practices </w:t>
      </w:r>
      <w:r w:rsidR="00996BAF" w:rsidRPr="00016B26">
        <w:rPr>
          <w:color w:val="000000"/>
          <w:lang w:eastAsia="es-ES"/>
        </w:rPr>
        <w:t xml:space="preserve">in </w:t>
      </w:r>
      <w:r w:rsidR="001C25AA" w:rsidRPr="00016B26">
        <w:rPr>
          <w:color w:val="000000"/>
          <w:lang w:eastAsia="es-ES"/>
        </w:rPr>
        <w:t>RAC</w:t>
      </w:r>
      <w:r w:rsidR="00104CE5" w:rsidRPr="00016B26">
        <w:rPr>
          <w:color w:val="000000"/>
          <w:lang w:eastAsia="es-ES"/>
        </w:rPr>
        <w:t>, including a session exclusive</w:t>
      </w:r>
      <w:r w:rsidR="00996BAF" w:rsidRPr="00016B26">
        <w:rPr>
          <w:color w:val="000000"/>
          <w:lang w:eastAsia="es-ES"/>
        </w:rPr>
        <w:t>ly</w:t>
      </w:r>
      <w:r w:rsidR="00104CE5" w:rsidRPr="00016B26">
        <w:rPr>
          <w:color w:val="000000"/>
          <w:lang w:eastAsia="es-ES"/>
        </w:rPr>
        <w:t xml:space="preserve"> for women with the participation of 30 technicians;</w:t>
      </w:r>
      <w:r w:rsidR="00104CE5" w:rsidRPr="00DB2303">
        <w:rPr>
          <w:color w:val="000000"/>
          <w:lang w:eastAsia="es-ES"/>
        </w:rPr>
        <w:t xml:space="preserve"> and </w:t>
      </w:r>
      <w:r w:rsidR="002D4892" w:rsidRPr="00DB2303">
        <w:rPr>
          <w:color w:val="000000"/>
          <w:lang w:eastAsia="es-ES"/>
        </w:rPr>
        <w:t>training videos</w:t>
      </w:r>
      <w:r w:rsidR="00122CEC" w:rsidRPr="00DB2303">
        <w:rPr>
          <w:color w:val="000000"/>
          <w:lang w:eastAsia="es-ES"/>
        </w:rPr>
        <w:t xml:space="preserve"> and brochures on best practices and alternatives to HCFCs </w:t>
      </w:r>
      <w:r w:rsidR="00996BAF" w:rsidRPr="00DB2303">
        <w:rPr>
          <w:color w:val="000000"/>
          <w:lang w:eastAsia="es-ES"/>
        </w:rPr>
        <w:t>i</w:t>
      </w:r>
      <w:r w:rsidR="00122CEC" w:rsidRPr="00DB2303">
        <w:rPr>
          <w:color w:val="000000"/>
          <w:lang w:eastAsia="es-ES"/>
        </w:rPr>
        <w:t>n flushing activities</w:t>
      </w:r>
      <w:r w:rsidR="00104CE5" w:rsidRPr="00DB2303">
        <w:rPr>
          <w:color w:val="000000"/>
          <w:lang w:eastAsia="es-ES"/>
        </w:rPr>
        <w:t xml:space="preserve"> have been developed</w:t>
      </w:r>
      <w:r w:rsidR="00122CEC" w:rsidRPr="00DB2303">
        <w:t>.</w:t>
      </w:r>
    </w:p>
    <w:p w14:paraId="460EFCE7" w14:textId="77777777" w:rsidR="00B259BC" w:rsidRPr="00016B26" w:rsidRDefault="0045083E" w:rsidP="0023662F">
      <w:pPr>
        <w:pStyle w:val="Heading1"/>
        <w:rPr>
          <w:u w:val="single"/>
        </w:rPr>
      </w:pPr>
      <w:r w:rsidRPr="00016B26">
        <w:t xml:space="preserve">During the second half of 2017, training will be provided to </w:t>
      </w:r>
      <w:r w:rsidR="00EC250E" w:rsidRPr="00016B26">
        <w:t>50</w:t>
      </w:r>
      <w:r w:rsidRPr="00016B26">
        <w:t xml:space="preserve"> </w:t>
      </w:r>
      <w:r w:rsidR="00B259BC" w:rsidRPr="00016B26">
        <w:t xml:space="preserve">additional </w:t>
      </w:r>
      <w:r w:rsidRPr="00016B26">
        <w:t>customs officers and custom brokers, three multi</w:t>
      </w:r>
      <w:r w:rsidR="00B01EC0" w:rsidRPr="00016B26">
        <w:t>-</w:t>
      </w:r>
      <w:r w:rsidRPr="00016B26">
        <w:t>refrigerant identifiers will be distributed to custom offices</w:t>
      </w:r>
      <w:r w:rsidR="00B259BC" w:rsidRPr="00016B26">
        <w:t xml:space="preserve">, six refrigeration training modules (comprising compressor, evaporator and condenser) will be provided to a Good Practices </w:t>
      </w:r>
      <w:r w:rsidR="000D5B85" w:rsidRPr="00016B26">
        <w:t>Centre</w:t>
      </w:r>
      <w:r w:rsidR="00B259BC" w:rsidRPr="00016B26">
        <w:t xml:space="preserve">; and laboratory tools (e.g., refrigerant identifiers, refrigerant samples, welding equipment, cylinders) will be provided to training institutes and the refrigeration association. Additional training will </w:t>
      </w:r>
      <w:r w:rsidR="00543C3A" w:rsidRPr="00016B26">
        <w:t xml:space="preserve">also </w:t>
      </w:r>
      <w:r w:rsidR="00B259BC" w:rsidRPr="00016B26">
        <w:t>be given to technicians and distributors on</w:t>
      </w:r>
      <w:r w:rsidR="00710A99" w:rsidRPr="00016B26">
        <w:t xml:space="preserve"> HCFC-free</w:t>
      </w:r>
      <w:r w:rsidR="00B259BC" w:rsidRPr="00016B26">
        <w:t xml:space="preserve"> </w:t>
      </w:r>
      <w:r w:rsidR="000D5B85" w:rsidRPr="00016B26">
        <w:t xml:space="preserve">techniques </w:t>
      </w:r>
      <w:r w:rsidR="00B259BC" w:rsidRPr="00016B26">
        <w:t>for flushing refrigeration equipment</w:t>
      </w:r>
      <w:r w:rsidR="00710A99" w:rsidRPr="00016B26">
        <w:t>.</w:t>
      </w:r>
    </w:p>
    <w:p w14:paraId="480910A5" w14:textId="77777777" w:rsidR="00F41D23" w:rsidRPr="00016B26" w:rsidRDefault="00562336" w:rsidP="0023662F">
      <w:pPr>
        <w:rPr>
          <w:u w:val="single"/>
        </w:rPr>
      </w:pPr>
      <w:r w:rsidRPr="00016B26">
        <w:rPr>
          <w:u w:val="single"/>
        </w:rPr>
        <w:t>Status of disbursements</w:t>
      </w:r>
    </w:p>
    <w:p w14:paraId="1ED064E8" w14:textId="77777777" w:rsidR="00562336" w:rsidRPr="00016B26" w:rsidRDefault="00562336" w:rsidP="0023662F">
      <w:pPr>
        <w:rPr>
          <w:u w:val="single"/>
        </w:rPr>
      </w:pPr>
    </w:p>
    <w:p w14:paraId="3BBBDF64" w14:textId="77777777" w:rsidR="00562336" w:rsidRPr="00016B26" w:rsidRDefault="00562336" w:rsidP="0023662F">
      <w:pPr>
        <w:pStyle w:val="Heading1"/>
      </w:pPr>
      <w:r w:rsidRPr="00016B26">
        <w:t xml:space="preserve">As of </w:t>
      </w:r>
      <w:r w:rsidR="00E25F6B" w:rsidRPr="00016B26">
        <w:t>August</w:t>
      </w:r>
      <w:r w:rsidRPr="00016B26">
        <w:t xml:space="preserve"> 2017, of the total funds </w:t>
      </w:r>
      <w:r w:rsidR="00E25F6B" w:rsidRPr="00016B26">
        <w:t xml:space="preserve">of </w:t>
      </w:r>
      <w:r w:rsidR="00682B63" w:rsidRPr="00016B26">
        <w:t>US $</w:t>
      </w:r>
      <w:r w:rsidR="00E25F6B" w:rsidRPr="00016B26">
        <w:t>28</w:t>
      </w:r>
      <w:r w:rsidR="00EC250E" w:rsidRPr="00016B26">
        <w:t>2</w:t>
      </w:r>
      <w:r w:rsidR="00E25F6B" w:rsidRPr="00016B26">
        <w:t xml:space="preserve">,671 </w:t>
      </w:r>
      <w:r w:rsidR="00843454" w:rsidRPr="00016B26">
        <w:t>app</w:t>
      </w:r>
      <w:r w:rsidR="00E25F6B" w:rsidRPr="00016B26">
        <w:t>roved</w:t>
      </w:r>
      <w:r w:rsidR="00843454" w:rsidRPr="00016B26">
        <w:t xml:space="preserve"> so far</w:t>
      </w:r>
      <w:r w:rsidR="00E25F6B" w:rsidRPr="00016B26">
        <w:t xml:space="preserve">, </w:t>
      </w:r>
      <w:r w:rsidR="00682B63" w:rsidRPr="00016B26">
        <w:t>US $</w:t>
      </w:r>
      <w:r w:rsidR="001C1399" w:rsidRPr="00016B26">
        <w:t>236,977 (84</w:t>
      </w:r>
      <w:r w:rsidR="00E25F6B" w:rsidRPr="00016B26">
        <w:t xml:space="preserve"> per cent) </w:t>
      </w:r>
      <w:r w:rsidR="00185300" w:rsidRPr="00016B26">
        <w:t>has</w:t>
      </w:r>
      <w:r w:rsidR="00E25F6B" w:rsidRPr="00016B26">
        <w:t xml:space="preserve"> been disbursed.  The remaining </w:t>
      </w:r>
      <w:r w:rsidR="00682B63" w:rsidRPr="00016B26">
        <w:t>US $</w:t>
      </w:r>
      <w:r w:rsidR="00E25F6B" w:rsidRPr="00016B26">
        <w:t>4</w:t>
      </w:r>
      <w:r w:rsidR="00EC250E" w:rsidRPr="00016B26">
        <w:t>5</w:t>
      </w:r>
      <w:r w:rsidR="00E25F6B" w:rsidRPr="00016B26">
        <w:t xml:space="preserve">,694 will be disbursed </w:t>
      </w:r>
      <w:r w:rsidR="00DD6ED9" w:rsidRPr="00016B26">
        <w:t xml:space="preserve">during </w:t>
      </w:r>
      <w:r w:rsidR="00E25F6B" w:rsidRPr="00016B26">
        <w:t>20</w:t>
      </w:r>
      <w:r w:rsidR="00FD78F7" w:rsidRPr="00016B26">
        <w:t>17</w:t>
      </w:r>
      <w:r w:rsidR="00710014" w:rsidRPr="00016B26">
        <w:t>.</w:t>
      </w:r>
    </w:p>
    <w:p w14:paraId="3175C144" w14:textId="77777777" w:rsidR="007A5564" w:rsidRPr="00DB2303" w:rsidRDefault="00E25F6B" w:rsidP="0023662F">
      <w:pPr>
        <w:rPr>
          <w:b/>
        </w:rPr>
      </w:pPr>
      <w:r w:rsidRPr="00DB2303">
        <w:rPr>
          <w:b/>
        </w:rPr>
        <w:t>Stage II of the HPMP</w:t>
      </w:r>
    </w:p>
    <w:p w14:paraId="0D84218D" w14:textId="77777777" w:rsidR="00E25F6B" w:rsidRPr="00DB2303" w:rsidRDefault="00E25F6B" w:rsidP="0023662F">
      <w:pPr>
        <w:rPr>
          <w:rFonts w:eastAsia="Calibri"/>
          <w:u w:val="single"/>
        </w:rPr>
      </w:pPr>
    </w:p>
    <w:p w14:paraId="2107DB84" w14:textId="77777777" w:rsidR="00FD4C26" w:rsidRPr="00DB2303" w:rsidRDefault="00FB4FEF" w:rsidP="0023662F">
      <w:pPr>
        <w:rPr>
          <w:rFonts w:eastAsia="Calibri"/>
          <w:u w:val="single"/>
        </w:rPr>
      </w:pPr>
      <w:r w:rsidRPr="00DB2303">
        <w:rPr>
          <w:rFonts w:eastAsia="Calibri"/>
          <w:u w:val="single"/>
        </w:rPr>
        <w:t>Remaining eligible consumption in Peru</w:t>
      </w:r>
    </w:p>
    <w:p w14:paraId="457D20C2" w14:textId="77777777" w:rsidR="00FB4FEF" w:rsidRPr="00DB2303" w:rsidRDefault="00FB4FEF" w:rsidP="0023662F">
      <w:pPr>
        <w:rPr>
          <w:rFonts w:eastAsia="Calibri"/>
          <w:u w:val="single"/>
        </w:rPr>
      </w:pPr>
    </w:p>
    <w:p w14:paraId="6C5E8917" w14:textId="77777777" w:rsidR="00FB4FEF" w:rsidRPr="00DB2303" w:rsidRDefault="00FB4FEF" w:rsidP="0023662F">
      <w:pPr>
        <w:pStyle w:val="Heading1"/>
      </w:pPr>
      <w:r w:rsidRPr="00DB2303">
        <w:t xml:space="preserve">After deducting </w:t>
      </w:r>
      <w:r w:rsidR="00B37E7D" w:rsidRPr="00DB2303">
        <w:t>3.74</w:t>
      </w:r>
      <w:r w:rsidR="008C2783">
        <w:t> ODP ton</w:t>
      </w:r>
      <w:r w:rsidRPr="00DB2303">
        <w:t xml:space="preserve">nes of HCFCs associated with stage I and </w:t>
      </w:r>
      <w:r w:rsidR="00B37E7D" w:rsidRPr="00DB2303">
        <w:t>14.40</w:t>
      </w:r>
      <w:r w:rsidR="008C2783">
        <w:t> ODP ton</w:t>
      </w:r>
      <w:r w:rsidRPr="00DB2303">
        <w:t>nes</w:t>
      </w:r>
      <w:r w:rsidR="00035D8D" w:rsidRPr="00DB2303">
        <w:t xml:space="preserve"> </w:t>
      </w:r>
      <w:r w:rsidRPr="00DB2303">
        <w:t xml:space="preserve">proposed for stage II, the remaining consumption of HCFCs eligible for funding amounts to </w:t>
      </w:r>
      <w:r w:rsidR="00B37E7D" w:rsidRPr="00DB2303">
        <w:t>8.74</w:t>
      </w:r>
      <w:r w:rsidR="008C2783">
        <w:t> ODP ton</w:t>
      </w:r>
      <w:r w:rsidRPr="00DB2303">
        <w:t>nes, as shown in Table 1.</w:t>
      </w:r>
    </w:p>
    <w:p w14:paraId="01BE36AA" w14:textId="77777777" w:rsidR="00FB4FEF" w:rsidRPr="00DB2303" w:rsidRDefault="00FB4FEF" w:rsidP="0023662F">
      <w:pPr>
        <w:keepNext/>
        <w:rPr>
          <w:b/>
          <w:sz w:val="20"/>
          <w:szCs w:val="20"/>
        </w:rPr>
      </w:pPr>
      <w:r w:rsidRPr="00DB2303">
        <w:rPr>
          <w:b/>
          <w:sz w:val="20"/>
          <w:szCs w:val="20"/>
        </w:rPr>
        <w:t>Table 1: Overview of the remaining HCFC consumption eligible for funding (ODP tonnes)</w:t>
      </w:r>
    </w:p>
    <w:tbl>
      <w:tblPr>
        <w:tblW w:w="5000" w:type="pct"/>
        <w:tblLayout w:type="fixed"/>
        <w:tblLook w:val="04A0" w:firstRow="1" w:lastRow="0" w:firstColumn="1" w:lastColumn="0" w:noHBand="0" w:noVBand="1"/>
      </w:tblPr>
      <w:tblGrid>
        <w:gridCol w:w="1932"/>
        <w:gridCol w:w="1075"/>
        <w:gridCol w:w="1492"/>
        <w:gridCol w:w="1642"/>
        <w:gridCol w:w="1352"/>
        <w:gridCol w:w="1857"/>
      </w:tblGrid>
      <w:tr w:rsidR="00FB4FEF" w:rsidRPr="00DB2303" w14:paraId="500E7FBC" w14:textId="77777777" w:rsidTr="0081486F">
        <w:trPr>
          <w:trHeight w:val="219"/>
        </w:trPr>
        <w:tc>
          <w:tcPr>
            <w:tcW w:w="10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3BC3F" w14:textId="77777777" w:rsidR="00FB4FEF" w:rsidRPr="00DB2303" w:rsidRDefault="00FB4FEF" w:rsidP="0023662F">
            <w:pPr>
              <w:keepNext/>
              <w:jc w:val="center"/>
              <w:rPr>
                <w:b/>
                <w:sz w:val="19"/>
                <w:szCs w:val="19"/>
              </w:rPr>
            </w:pPr>
            <w:r w:rsidRPr="00DB2303">
              <w:rPr>
                <w:b/>
                <w:sz w:val="19"/>
                <w:szCs w:val="19"/>
              </w:rPr>
              <w:t>HCFC</w:t>
            </w:r>
          </w:p>
        </w:tc>
        <w:tc>
          <w:tcPr>
            <w:tcW w:w="575" w:type="pct"/>
            <w:tcBorders>
              <w:top w:val="single" w:sz="4" w:space="0" w:color="auto"/>
              <w:left w:val="nil"/>
              <w:bottom w:val="single" w:sz="4" w:space="0" w:color="auto"/>
              <w:right w:val="single" w:sz="4" w:space="0" w:color="auto"/>
            </w:tcBorders>
            <w:shd w:val="clear" w:color="auto" w:fill="auto"/>
            <w:vAlign w:val="center"/>
            <w:hideMark/>
          </w:tcPr>
          <w:p w14:paraId="3699A856" w14:textId="77777777" w:rsidR="00FB4FEF" w:rsidRPr="00DB2303" w:rsidRDefault="00FB4FEF" w:rsidP="0023662F">
            <w:pPr>
              <w:keepNext/>
              <w:jc w:val="center"/>
              <w:rPr>
                <w:b/>
                <w:sz w:val="19"/>
                <w:szCs w:val="19"/>
              </w:rPr>
            </w:pPr>
            <w:r w:rsidRPr="00DB2303">
              <w:rPr>
                <w:b/>
                <w:sz w:val="19"/>
                <w:szCs w:val="19"/>
              </w:rPr>
              <w:t>Starting point</w:t>
            </w:r>
          </w:p>
        </w:tc>
        <w:tc>
          <w:tcPr>
            <w:tcW w:w="798" w:type="pct"/>
            <w:tcBorders>
              <w:top w:val="single" w:sz="4" w:space="0" w:color="auto"/>
              <w:left w:val="nil"/>
              <w:bottom w:val="single" w:sz="4" w:space="0" w:color="auto"/>
              <w:right w:val="single" w:sz="4" w:space="0" w:color="auto"/>
            </w:tcBorders>
            <w:shd w:val="clear" w:color="auto" w:fill="auto"/>
            <w:noWrap/>
            <w:vAlign w:val="center"/>
            <w:hideMark/>
          </w:tcPr>
          <w:p w14:paraId="3FDBC7EE" w14:textId="77777777" w:rsidR="00FB4FEF" w:rsidRPr="00DB2303" w:rsidRDefault="00FB4FEF" w:rsidP="0023662F">
            <w:pPr>
              <w:keepNext/>
              <w:jc w:val="center"/>
              <w:rPr>
                <w:b/>
                <w:sz w:val="19"/>
                <w:szCs w:val="19"/>
              </w:rPr>
            </w:pPr>
            <w:r w:rsidRPr="00DB2303">
              <w:rPr>
                <w:b/>
                <w:sz w:val="19"/>
                <w:szCs w:val="19"/>
              </w:rPr>
              <w:t>Reduction in stage</w:t>
            </w:r>
            <w:r w:rsidR="00946A7A" w:rsidRPr="00DB2303">
              <w:rPr>
                <w:b/>
                <w:sz w:val="19"/>
                <w:szCs w:val="19"/>
              </w:rPr>
              <w:t xml:space="preserve"> </w:t>
            </w:r>
            <w:r w:rsidRPr="00DB2303">
              <w:rPr>
                <w:b/>
                <w:sz w:val="19"/>
                <w:szCs w:val="19"/>
              </w:rPr>
              <w:t>I</w:t>
            </w:r>
          </w:p>
        </w:tc>
        <w:tc>
          <w:tcPr>
            <w:tcW w:w="878" w:type="pct"/>
            <w:tcBorders>
              <w:top w:val="single" w:sz="4" w:space="0" w:color="auto"/>
              <w:left w:val="single" w:sz="4" w:space="0" w:color="auto"/>
              <w:bottom w:val="single" w:sz="4" w:space="0" w:color="auto"/>
              <w:right w:val="single" w:sz="4" w:space="0" w:color="auto"/>
            </w:tcBorders>
            <w:vAlign w:val="center"/>
          </w:tcPr>
          <w:p w14:paraId="6D91C362" w14:textId="77777777" w:rsidR="00FB4FEF" w:rsidRPr="00DB2303" w:rsidRDefault="00FB4FEF" w:rsidP="0023662F">
            <w:pPr>
              <w:keepNext/>
              <w:jc w:val="center"/>
              <w:rPr>
                <w:b/>
                <w:sz w:val="19"/>
                <w:szCs w:val="19"/>
              </w:rPr>
            </w:pPr>
            <w:r w:rsidRPr="00DB2303">
              <w:rPr>
                <w:b/>
                <w:sz w:val="19"/>
                <w:szCs w:val="19"/>
              </w:rPr>
              <w:t>Remaining consumption</w:t>
            </w:r>
          </w:p>
        </w:tc>
        <w:tc>
          <w:tcPr>
            <w:tcW w:w="723" w:type="pct"/>
            <w:tcBorders>
              <w:top w:val="single" w:sz="4" w:space="0" w:color="auto"/>
              <w:left w:val="single" w:sz="4" w:space="0" w:color="auto"/>
              <w:bottom w:val="single" w:sz="4" w:space="0" w:color="auto"/>
              <w:right w:val="single" w:sz="4" w:space="0" w:color="auto"/>
            </w:tcBorders>
            <w:vAlign w:val="center"/>
          </w:tcPr>
          <w:p w14:paraId="0C018336" w14:textId="77777777" w:rsidR="00FB4FEF" w:rsidRPr="00DB2303" w:rsidRDefault="00FB4FEF" w:rsidP="0023662F">
            <w:pPr>
              <w:keepNext/>
              <w:jc w:val="center"/>
              <w:rPr>
                <w:b/>
                <w:sz w:val="19"/>
                <w:szCs w:val="19"/>
              </w:rPr>
            </w:pPr>
            <w:r w:rsidRPr="00DB2303">
              <w:rPr>
                <w:b/>
                <w:sz w:val="19"/>
                <w:szCs w:val="19"/>
              </w:rPr>
              <w:t>Reduction in stage II</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1364CB" w14:textId="77777777" w:rsidR="00FB4FEF" w:rsidRPr="00DB2303" w:rsidRDefault="00FB4FEF" w:rsidP="0023662F">
            <w:pPr>
              <w:keepNext/>
              <w:jc w:val="center"/>
              <w:rPr>
                <w:b/>
                <w:sz w:val="19"/>
                <w:szCs w:val="19"/>
              </w:rPr>
            </w:pPr>
            <w:r w:rsidRPr="00DB2303">
              <w:rPr>
                <w:b/>
                <w:sz w:val="19"/>
                <w:szCs w:val="19"/>
              </w:rPr>
              <w:t>Remaining consumption</w:t>
            </w:r>
          </w:p>
        </w:tc>
      </w:tr>
      <w:tr w:rsidR="0081486F" w:rsidRPr="00DB2303" w14:paraId="71F7B9E4" w14:textId="77777777" w:rsidTr="0081486F">
        <w:trPr>
          <w:trHeight w:val="53"/>
        </w:trPr>
        <w:tc>
          <w:tcPr>
            <w:tcW w:w="10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472DC8" w14:textId="77777777" w:rsidR="0081486F" w:rsidRPr="00DB2303" w:rsidRDefault="0081486F" w:rsidP="0023662F">
            <w:pPr>
              <w:keepNext/>
              <w:rPr>
                <w:sz w:val="19"/>
                <w:szCs w:val="19"/>
              </w:rPr>
            </w:pPr>
            <w:r w:rsidRPr="00DB2303">
              <w:rPr>
                <w:sz w:val="19"/>
                <w:szCs w:val="19"/>
              </w:rPr>
              <w:t>HCFC-22</w:t>
            </w:r>
          </w:p>
        </w:tc>
        <w:tc>
          <w:tcPr>
            <w:tcW w:w="575" w:type="pct"/>
            <w:tcBorders>
              <w:top w:val="single" w:sz="4" w:space="0" w:color="auto"/>
              <w:bottom w:val="single" w:sz="4" w:space="0" w:color="auto"/>
              <w:right w:val="single" w:sz="4" w:space="0" w:color="auto"/>
            </w:tcBorders>
            <w:shd w:val="clear" w:color="auto" w:fill="auto"/>
            <w:noWrap/>
            <w:vAlign w:val="center"/>
          </w:tcPr>
          <w:p w14:paraId="60B42D5E" w14:textId="77777777" w:rsidR="0081486F" w:rsidRPr="00DB2303" w:rsidRDefault="0081486F" w:rsidP="0023662F">
            <w:pPr>
              <w:jc w:val="right"/>
              <w:rPr>
                <w:color w:val="000000"/>
                <w:sz w:val="19"/>
                <w:szCs w:val="19"/>
                <w:lang w:eastAsia="es-CO"/>
              </w:rPr>
            </w:pPr>
            <w:r w:rsidRPr="00DB2303">
              <w:rPr>
                <w:color w:val="000000"/>
                <w:sz w:val="19"/>
                <w:szCs w:val="19"/>
                <w:lang w:eastAsia="es-CO"/>
              </w:rPr>
              <w:t>23.85</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3D5592" w14:textId="77777777" w:rsidR="0081486F" w:rsidRPr="00DB2303" w:rsidRDefault="0081486F" w:rsidP="0023662F">
            <w:pPr>
              <w:jc w:val="right"/>
              <w:rPr>
                <w:color w:val="000000"/>
                <w:sz w:val="19"/>
                <w:szCs w:val="19"/>
                <w:lang w:eastAsia="es-CO"/>
              </w:rPr>
            </w:pPr>
            <w:r w:rsidRPr="00DB2303">
              <w:rPr>
                <w:color w:val="000000"/>
                <w:sz w:val="19"/>
                <w:szCs w:val="19"/>
                <w:lang w:eastAsia="es-CO"/>
              </w:rPr>
              <w:t>1</w:t>
            </w:r>
            <w:r w:rsidR="005D7538" w:rsidRPr="00DB2303">
              <w:rPr>
                <w:color w:val="000000"/>
                <w:sz w:val="19"/>
                <w:szCs w:val="19"/>
                <w:lang w:eastAsia="es-CO"/>
              </w:rPr>
              <w:t>.</w:t>
            </w:r>
            <w:r w:rsidRPr="00DB2303">
              <w:rPr>
                <w:color w:val="000000"/>
                <w:sz w:val="19"/>
                <w:szCs w:val="19"/>
                <w:lang w:eastAsia="es-CO"/>
              </w:rPr>
              <w:t>95</w:t>
            </w:r>
          </w:p>
        </w:tc>
        <w:tc>
          <w:tcPr>
            <w:tcW w:w="878" w:type="pct"/>
            <w:tcBorders>
              <w:left w:val="single" w:sz="4" w:space="0" w:color="auto"/>
            </w:tcBorders>
            <w:shd w:val="clear" w:color="auto" w:fill="auto"/>
            <w:vAlign w:val="center"/>
          </w:tcPr>
          <w:p w14:paraId="7B08CDDA" w14:textId="77777777" w:rsidR="0081486F" w:rsidRPr="00DB2303" w:rsidRDefault="0081486F" w:rsidP="0023662F">
            <w:pPr>
              <w:jc w:val="right"/>
              <w:rPr>
                <w:color w:val="000000"/>
                <w:sz w:val="19"/>
                <w:szCs w:val="19"/>
                <w:lang w:eastAsia="es-CO"/>
              </w:rPr>
            </w:pPr>
            <w:r w:rsidRPr="00DB2303">
              <w:rPr>
                <w:color w:val="000000"/>
                <w:sz w:val="19"/>
                <w:szCs w:val="19"/>
                <w:lang w:eastAsia="es-CO"/>
              </w:rPr>
              <w:t>21.90</w:t>
            </w:r>
          </w:p>
        </w:tc>
        <w:tc>
          <w:tcPr>
            <w:tcW w:w="723" w:type="pct"/>
            <w:tcBorders>
              <w:top w:val="single" w:sz="4" w:space="0" w:color="auto"/>
              <w:left w:val="single" w:sz="4" w:space="0" w:color="auto"/>
              <w:bottom w:val="single" w:sz="4" w:space="0" w:color="auto"/>
              <w:right w:val="single" w:sz="4" w:space="0" w:color="auto"/>
            </w:tcBorders>
          </w:tcPr>
          <w:p w14:paraId="1BCE224D" w14:textId="77777777" w:rsidR="0081486F" w:rsidRPr="00DB2303" w:rsidRDefault="007C58C1" w:rsidP="0023662F">
            <w:pPr>
              <w:keepNext/>
              <w:jc w:val="right"/>
              <w:rPr>
                <w:sz w:val="19"/>
                <w:szCs w:val="19"/>
              </w:rPr>
            </w:pPr>
            <w:r w:rsidRPr="00DB2303">
              <w:rPr>
                <w:sz w:val="19"/>
                <w:szCs w:val="19"/>
              </w:rPr>
              <w:t>1</w:t>
            </w:r>
            <w:r w:rsidR="00A905B0" w:rsidRPr="00DB2303">
              <w:rPr>
                <w:sz w:val="19"/>
                <w:szCs w:val="19"/>
              </w:rPr>
              <w:t>4</w:t>
            </w:r>
            <w:r w:rsidRPr="00DB2303">
              <w:rPr>
                <w:sz w:val="19"/>
                <w:szCs w:val="19"/>
              </w:rPr>
              <w:t>.</w:t>
            </w:r>
            <w:r w:rsidR="00A905B0" w:rsidRPr="00DB2303">
              <w:rPr>
                <w:sz w:val="19"/>
                <w:szCs w:val="19"/>
              </w:rPr>
              <w:t>00</w:t>
            </w:r>
          </w:p>
        </w:tc>
        <w:tc>
          <w:tcPr>
            <w:tcW w:w="993" w:type="pct"/>
            <w:tcBorders>
              <w:top w:val="single" w:sz="4" w:space="0" w:color="auto"/>
              <w:left w:val="single" w:sz="4" w:space="0" w:color="auto"/>
              <w:bottom w:val="single" w:sz="4" w:space="0" w:color="auto"/>
              <w:right w:val="single" w:sz="4" w:space="0" w:color="auto"/>
            </w:tcBorders>
            <w:shd w:val="clear" w:color="auto" w:fill="auto"/>
            <w:noWrap/>
          </w:tcPr>
          <w:p w14:paraId="4E06B26C" w14:textId="77777777" w:rsidR="0081486F" w:rsidRPr="00DB2303" w:rsidRDefault="00A905B0" w:rsidP="0023662F">
            <w:pPr>
              <w:keepNext/>
              <w:jc w:val="right"/>
              <w:rPr>
                <w:sz w:val="19"/>
                <w:szCs w:val="19"/>
              </w:rPr>
            </w:pPr>
            <w:r w:rsidRPr="00DB2303">
              <w:rPr>
                <w:sz w:val="19"/>
                <w:szCs w:val="19"/>
              </w:rPr>
              <w:t>7</w:t>
            </w:r>
            <w:r w:rsidR="007C58C1" w:rsidRPr="00DB2303">
              <w:rPr>
                <w:sz w:val="19"/>
                <w:szCs w:val="19"/>
              </w:rPr>
              <w:t>.</w:t>
            </w:r>
            <w:r w:rsidRPr="00DB2303">
              <w:rPr>
                <w:sz w:val="19"/>
                <w:szCs w:val="19"/>
              </w:rPr>
              <w:t>90</w:t>
            </w:r>
          </w:p>
        </w:tc>
      </w:tr>
      <w:tr w:rsidR="0081486F" w:rsidRPr="00DB2303" w14:paraId="2EFD75E0" w14:textId="77777777" w:rsidTr="0081486F">
        <w:trPr>
          <w:trHeight w:val="40"/>
        </w:trPr>
        <w:tc>
          <w:tcPr>
            <w:tcW w:w="1033" w:type="pct"/>
            <w:tcBorders>
              <w:top w:val="single" w:sz="4" w:space="0" w:color="auto"/>
              <w:left w:val="single" w:sz="4" w:space="0" w:color="auto"/>
              <w:bottom w:val="single" w:sz="4" w:space="0" w:color="auto"/>
              <w:right w:val="single" w:sz="4" w:space="0" w:color="auto"/>
            </w:tcBorders>
            <w:shd w:val="clear" w:color="auto" w:fill="auto"/>
            <w:noWrap/>
          </w:tcPr>
          <w:p w14:paraId="47A345CE" w14:textId="77777777" w:rsidR="0081486F" w:rsidRPr="00DB2303" w:rsidRDefault="0081486F" w:rsidP="0023662F">
            <w:pPr>
              <w:keepNext/>
              <w:rPr>
                <w:sz w:val="19"/>
                <w:szCs w:val="19"/>
              </w:rPr>
            </w:pPr>
            <w:r w:rsidRPr="00DB2303">
              <w:rPr>
                <w:sz w:val="19"/>
                <w:szCs w:val="19"/>
              </w:rPr>
              <w:t>HCFC-123</w:t>
            </w:r>
          </w:p>
        </w:tc>
        <w:tc>
          <w:tcPr>
            <w:tcW w:w="575" w:type="pct"/>
            <w:tcBorders>
              <w:top w:val="single" w:sz="4" w:space="0" w:color="auto"/>
              <w:left w:val="nil"/>
              <w:bottom w:val="single" w:sz="4" w:space="0" w:color="auto"/>
              <w:right w:val="single" w:sz="4" w:space="0" w:color="auto"/>
            </w:tcBorders>
            <w:shd w:val="clear" w:color="auto" w:fill="auto"/>
            <w:noWrap/>
          </w:tcPr>
          <w:p w14:paraId="5DB9D1EA" w14:textId="77777777" w:rsidR="0081486F" w:rsidRPr="00DB2303" w:rsidRDefault="0081486F" w:rsidP="0023662F">
            <w:pPr>
              <w:keepNext/>
              <w:jc w:val="right"/>
              <w:rPr>
                <w:sz w:val="19"/>
                <w:szCs w:val="19"/>
              </w:rPr>
            </w:pPr>
            <w:r w:rsidRPr="00DB2303">
              <w:rPr>
                <w:sz w:val="19"/>
                <w:szCs w:val="19"/>
              </w:rPr>
              <w:t>0</w:t>
            </w:r>
          </w:p>
        </w:tc>
        <w:tc>
          <w:tcPr>
            <w:tcW w:w="798" w:type="pct"/>
            <w:tcBorders>
              <w:top w:val="single" w:sz="4" w:space="0" w:color="auto"/>
              <w:left w:val="nil"/>
              <w:bottom w:val="single" w:sz="4" w:space="0" w:color="auto"/>
              <w:right w:val="single" w:sz="4" w:space="0" w:color="auto"/>
            </w:tcBorders>
            <w:shd w:val="clear" w:color="auto" w:fill="auto"/>
            <w:noWrap/>
          </w:tcPr>
          <w:p w14:paraId="3CB6F54B" w14:textId="77777777" w:rsidR="0081486F" w:rsidRPr="00DB2303" w:rsidRDefault="0081486F" w:rsidP="0023662F">
            <w:pPr>
              <w:keepNext/>
              <w:jc w:val="right"/>
              <w:rPr>
                <w:sz w:val="19"/>
                <w:szCs w:val="19"/>
              </w:rPr>
            </w:pPr>
            <w:r w:rsidRPr="00DB2303">
              <w:rPr>
                <w:sz w:val="19"/>
                <w:szCs w:val="19"/>
              </w:rPr>
              <w:t>0</w:t>
            </w:r>
          </w:p>
        </w:tc>
        <w:tc>
          <w:tcPr>
            <w:tcW w:w="878" w:type="pct"/>
            <w:tcBorders>
              <w:top w:val="single" w:sz="4" w:space="0" w:color="auto"/>
              <w:left w:val="single" w:sz="4" w:space="0" w:color="auto"/>
              <w:bottom w:val="single" w:sz="4" w:space="0" w:color="auto"/>
              <w:right w:val="single" w:sz="4" w:space="0" w:color="auto"/>
            </w:tcBorders>
          </w:tcPr>
          <w:p w14:paraId="51ED1EAE" w14:textId="77777777" w:rsidR="0081486F" w:rsidRPr="00DB2303" w:rsidRDefault="0081486F" w:rsidP="0023662F">
            <w:pPr>
              <w:keepNext/>
              <w:jc w:val="right"/>
              <w:rPr>
                <w:sz w:val="19"/>
                <w:szCs w:val="19"/>
              </w:rPr>
            </w:pPr>
            <w:r w:rsidRPr="00DB2303">
              <w:rPr>
                <w:sz w:val="19"/>
                <w:szCs w:val="19"/>
              </w:rPr>
              <w:t>0</w:t>
            </w:r>
          </w:p>
        </w:tc>
        <w:tc>
          <w:tcPr>
            <w:tcW w:w="723" w:type="pct"/>
            <w:tcBorders>
              <w:top w:val="single" w:sz="4" w:space="0" w:color="auto"/>
              <w:left w:val="single" w:sz="4" w:space="0" w:color="auto"/>
              <w:bottom w:val="single" w:sz="4" w:space="0" w:color="auto"/>
              <w:right w:val="single" w:sz="4" w:space="0" w:color="auto"/>
            </w:tcBorders>
          </w:tcPr>
          <w:p w14:paraId="10BECA49" w14:textId="77777777" w:rsidR="0081486F" w:rsidRPr="00DB2303" w:rsidRDefault="007C58C1" w:rsidP="0023662F">
            <w:pPr>
              <w:keepNext/>
              <w:jc w:val="right"/>
              <w:rPr>
                <w:sz w:val="19"/>
                <w:szCs w:val="19"/>
              </w:rPr>
            </w:pPr>
            <w:r w:rsidRPr="00DB2303">
              <w:rPr>
                <w:sz w:val="19"/>
                <w:szCs w:val="19"/>
              </w:rPr>
              <w:t>0</w:t>
            </w:r>
          </w:p>
        </w:tc>
        <w:tc>
          <w:tcPr>
            <w:tcW w:w="993" w:type="pct"/>
            <w:tcBorders>
              <w:top w:val="single" w:sz="4" w:space="0" w:color="auto"/>
              <w:left w:val="single" w:sz="4" w:space="0" w:color="auto"/>
              <w:bottom w:val="single" w:sz="4" w:space="0" w:color="auto"/>
              <w:right w:val="single" w:sz="4" w:space="0" w:color="auto"/>
            </w:tcBorders>
            <w:shd w:val="clear" w:color="auto" w:fill="auto"/>
            <w:noWrap/>
          </w:tcPr>
          <w:p w14:paraId="02631A88" w14:textId="77777777" w:rsidR="0081486F" w:rsidRPr="00DB2303" w:rsidRDefault="007C58C1" w:rsidP="0023662F">
            <w:pPr>
              <w:keepNext/>
              <w:jc w:val="right"/>
              <w:rPr>
                <w:sz w:val="19"/>
                <w:szCs w:val="19"/>
              </w:rPr>
            </w:pPr>
            <w:r w:rsidRPr="00DB2303">
              <w:rPr>
                <w:sz w:val="19"/>
                <w:szCs w:val="19"/>
              </w:rPr>
              <w:t>0</w:t>
            </w:r>
          </w:p>
        </w:tc>
      </w:tr>
      <w:tr w:rsidR="0081486F" w:rsidRPr="00DB2303" w14:paraId="5817E2AD" w14:textId="77777777" w:rsidTr="0081486F">
        <w:trPr>
          <w:trHeight w:val="40"/>
        </w:trPr>
        <w:tc>
          <w:tcPr>
            <w:tcW w:w="1033" w:type="pct"/>
            <w:tcBorders>
              <w:top w:val="single" w:sz="4" w:space="0" w:color="auto"/>
              <w:left w:val="single" w:sz="4" w:space="0" w:color="auto"/>
              <w:bottom w:val="single" w:sz="4" w:space="0" w:color="auto"/>
              <w:right w:val="single" w:sz="4" w:space="0" w:color="auto"/>
            </w:tcBorders>
            <w:shd w:val="clear" w:color="auto" w:fill="auto"/>
            <w:noWrap/>
          </w:tcPr>
          <w:p w14:paraId="4C9FDB22" w14:textId="77777777" w:rsidR="0081486F" w:rsidRPr="00DB2303" w:rsidRDefault="0081486F" w:rsidP="0023662F">
            <w:pPr>
              <w:keepNext/>
              <w:rPr>
                <w:sz w:val="19"/>
                <w:szCs w:val="19"/>
              </w:rPr>
            </w:pPr>
            <w:r w:rsidRPr="00DB2303">
              <w:rPr>
                <w:sz w:val="19"/>
                <w:szCs w:val="19"/>
              </w:rPr>
              <w:t>HCFC-124</w:t>
            </w:r>
          </w:p>
        </w:tc>
        <w:tc>
          <w:tcPr>
            <w:tcW w:w="575" w:type="pct"/>
            <w:tcBorders>
              <w:top w:val="single" w:sz="4" w:space="0" w:color="auto"/>
              <w:bottom w:val="single" w:sz="4" w:space="0" w:color="auto"/>
              <w:right w:val="single" w:sz="4" w:space="0" w:color="auto"/>
            </w:tcBorders>
            <w:shd w:val="clear" w:color="auto" w:fill="auto"/>
            <w:noWrap/>
            <w:vAlign w:val="center"/>
          </w:tcPr>
          <w:p w14:paraId="2BA68025" w14:textId="77777777" w:rsidR="0081486F" w:rsidRPr="00DB2303" w:rsidRDefault="0081486F" w:rsidP="0023662F">
            <w:pPr>
              <w:jc w:val="right"/>
              <w:rPr>
                <w:color w:val="000000"/>
                <w:sz w:val="19"/>
                <w:szCs w:val="19"/>
                <w:lang w:eastAsia="es-CO"/>
              </w:rPr>
            </w:pPr>
            <w:r w:rsidRPr="00DB2303">
              <w:rPr>
                <w:color w:val="000000"/>
                <w:sz w:val="19"/>
                <w:szCs w:val="19"/>
                <w:lang w:eastAsia="es-CO"/>
              </w:rPr>
              <w:t>0.06</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8EC849" w14:textId="77777777" w:rsidR="0081486F" w:rsidRPr="00DB2303" w:rsidRDefault="0081486F" w:rsidP="0023662F">
            <w:pPr>
              <w:jc w:val="right"/>
              <w:rPr>
                <w:color w:val="000000"/>
                <w:sz w:val="19"/>
                <w:szCs w:val="19"/>
                <w:lang w:eastAsia="es-CO"/>
              </w:rPr>
            </w:pPr>
            <w:r w:rsidRPr="00DB2303">
              <w:rPr>
                <w:color w:val="000000"/>
                <w:sz w:val="19"/>
                <w:szCs w:val="19"/>
                <w:lang w:eastAsia="es-CO"/>
              </w:rPr>
              <w:t>0</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59A65EE0" w14:textId="77777777" w:rsidR="0081486F" w:rsidRPr="00DB2303" w:rsidRDefault="0081486F" w:rsidP="0023662F">
            <w:pPr>
              <w:jc w:val="right"/>
              <w:rPr>
                <w:color w:val="000000"/>
                <w:sz w:val="19"/>
                <w:szCs w:val="19"/>
                <w:lang w:eastAsia="es-CO"/>
              </w:rPr>
            </w:pPr>
            <w:r w:rsidRPr="00DB2303">
              <w:rPr>
                <w:color w:val="000000"/>
                <w:sz w:val="19"/>
                <w:szCs w:val="19"/>
                <w:lang w:eastAsia="es-CO"/>
              </w:rPr>
              <w:t>0.06</w:t>
            </w:r>
          </w:p>
        </w:tc>
        <w:tc>
          <w:tcPr>
            <w:tcW w:w="723" w:type="pct"/>
            <w:tcBorders>
              <w:left w:val="single" w:sz="4" w:space="0" w:color="auto"/>
            </w:tcBorders>
            <w:shd w:val="clear" w:color="auto" w:fill="auto"/>
            <w:vAlign w:val="center"/>
          </w:tcPr>
          <w:p w14:paraId="5E92A6B8" w14:textId="77777777" w:rsidR="0081486F" w:rsidRPr="00DB2303" w:rsidRDefault="007C58C1" w:rsidP="0023662F">
            <w:pPr>
              <w:jc w:val="right"/>
              <w:rPr>
                <w:color w:val="000000"/>
                <w:sz w:val="19"/>
                <w:szCs w:val="19"/>
                <w:lang w:eastAsia="es-CO"/>
              </w:rPr>
            </w:pPr>
            <w:r w:rsidRPr="00DB2303">
              <w:rPr>
                <w:color w:val="000000"/>
                <w:sz w:val="19"/>
                <w:szCs w:val="19"/>
                <w:lang w:eastAsia="es-CO"/>
              </w:rPr>
              <w:t>0.</w:t>
            </w:r>
            <w:r w:rsidR="00A905B0" w:rsidRPr="00DB2303">
              <w:rPr>
                <w:color w:val="000000"/>
                <w:sz w:val="19"/>
                <w:szCs w:val="19"/>
                <w:lang w:eastAsia="es-CO"/>
              </w:rPr>
              <w:t>01</w:t>
            </w:r>
          </w:p>
        </w:tc>
        <w:tc>
          <w:tcPr>
            <w:tcW w:w="993" w:type="pct"/>
            <w:tcBorders>
              <w:top w:val="single" w:sz="4" w:space="0" w:color="auto"/>
              <w:left w:val="single" w:sz="4" w:space="0" w:color="auto"/>
              <w:bottom w:val="single" w:sz="4" w:space="0" w:color="auto"/>
              <w:right w:val="single" w:sz="4" w:space="0" w:color="auto"/>
            </w:tcBorders>
            <w:shd w:val="clear" w:color="auto" w:fill="auto"/>
            <w:noWrap/>
          </w:tcPr>
          <w:p w14:paraId="3B12B789" w14:textId="77777777" w:rsidR="0081486F" w:rsidRPr="00DB2303" w:rsidRDefault="00A905B0" w:rsidP="0023662F">
            <w:pPr>
              <w:keepNext/>
              <w:jc w:val="right"/>
              <w:rPr>
                <w:sz w:val="19"/>
                <w:szCs w:val="19"/>
              </w:rPr>
            </w:pPr>
            <w:r w:rsidRPr="00DB2303">
              <w:rPr>
                <w:sz w:val="19"/>
                <w:szCs w:val="19"/>
              </w:rPr>
              <w:t>0.05</w:t>
            </w:r>
          </w:p>
        </w:tc>
      </w:tr>
      <w:tr w:rsidR="0081486F" w:rsidRPr="00DB2303" w14:paraId="7AEF20F9" w14:textId="77777777" w:rsidTr="0081486F">
        <w:trPr>
          <w:trHeight w:val="40"/>
        </w:trPr>
        <w:tc>
          <w:tcPr>
            <w:tcW w:w="10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5FF3DF" w14:textId="77777777" w:rsidR="0081486F" w:rsidRPr="00DB2303" w:rsidRDefault="0081486F" w:rsidP="0023662F">
            <w:pPr>
              <w:keepNext/>
              <w:rPr>
                <w:sz w:val="19"/>
                <w:szCs w:val="19"/>
              </w:rPr>
            </w:pPr>
            <w:r w:rsidRPr="00DB2303">
              <w:rPr>
                <w:sz w:val="19"/>
                <w:szCs w:val="19"/>
              </w:rPr>
              <w:t>HCFC-141b</w:t>
            </w:r>
          </w:p>
        </w:tc>
        <w:tc>
          <w:tcPr>
            <w:tcW w:w="575" w:type="pct"/>
            <w:tcBorders>
              <w:top w:val="single" w:sz="4" w:space="0" w:color="auto"/>
              <w:bottom w:val="single" w:sz="4" w:space="0" w:color="auto"/>
              <w:right w:val="single" w:sz="4" w:space="0" w:color="auto"/>
            </w:tcBorders>
            <w:shd w:val="clear" w:color="auto" w:fill="auto"/>
            <w:noWrap/>
            <w:vAlign w:val="center"/>
          </w:tcPr>
          <w:p w14:paraId="271B7081" w14:textId="77777777" w:rsidR="0081486F" w:rsidRPr="00DB2303" w:rsidRDefault="0081486F" w:rsidP="0023662F">
            <w:pPr>
              <w:jc w:val="right"/>
              <w:rPr>
                <w:color w:val="000000"/>
                <w:sz w:val="19"/>
                <w:szCs w:val="19"/>
                <w:lang w:eastAsia="es-CO"/>
              </w:rPr>
            </w:pPr>
            <w:r w:rsidRPr="00DB2303">
              <w:rPr>
                <w:color w:val="000000"/>
                <w:sz w:val="19"/>
                <w:szCs w:val="19"/>
                <w:lang w:eastAsia="es-CO"/>
              </w:rPr>
              <w:t>1.79</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B7CB12" w14:textId="77777777" w:rsidR="0081486F" w:rsidRPr="00DB2303" w:rsidRDefault="0081486F" w:rsidP="0023662F">
            <w:pPr>
              <w:jc w:val="right"/>
              <w:rPr>
                <w:color w:val="000000"/>
                <w:sz w:val="19"/>
                <w:szCs w:val="19"/>
                <w:lang w:eastAsia="es-CO"/>
              </w:rPr>
            </w:pPr>
            <w:r w:rsidRPr="00DB2303">
              <w:rPr>
                <w:color w:val="000000"/>
                <w:sz w:val="19"/>
                <w:szCs w:val="19"/>
                <w:lang w:eastAsia="es-CO"/>
              </w:rPr>
              <w:t>1.79</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3FF652F2" w14:textId="77777777" w:rsidR="0081486F" w:rsidRPr="00DB2303" w:rsidRDefault="0081486F" w:rsidP="0023662F">
            <w:pPr>
              <w:jc w:val="right"/>
              <w:rPr>
                <w:color w:val="000000"/>
                <w:sz w:val="19"/>
                <w:szCs w:val="19"/>
                <w:lang w:eastAsia="es-CO"/>
              </w:rPr>
            </w:pPr>
            <w:r w:rsidRPr="00DB2303">
              <w:rPr>
                <w:color w:val="000000"/>
                <w:sz w:val="19"/>
                <w:szCs w:val="19"/>
                <w:lang w:eastAsia="es-CO"/>
              </w:rPr>
              <w:t>0</w:t>
            </w:r>
          </w:p>
        </w:tc>
        <w:tc>
          <w:tcPr>
            <w:tcW w:w="723" w:type="pct"/>
            <w:tcBorders>
              <w:top w:val="single" w:sz="4" w:space="0" w:color="auto"/>
              <w:left w:val="single" w:sz="4" w:space="0" w:color="auto"/>
              <w:bottom w:val="single" w:sz="4" w:space="0" w:color="auto"/>
              <w:right w:val="single" w:sz="4" w:space="0" w:color="auto"/>
            </w:tcBorders>
          </w:tcPr>
          <w:p w14:paraId="67D8ECD9" w14:textId="77777777" w:rsidR="0081486F" w:rsidRPr="00DB2303" w:rsidRDefault="007C58C1" w:rsidP="0023662F">
            <w:pPr>
              <w:keepNext/>
              <w:jc w:val="right"/>
              <w:rPr>
                <w:sz w:val="19"/>
                <w:szCs w:val="19"/>
              </w:rPr>
            </w:pPr>
            <w:r w:rsidRPr="00DB2303">
              <w:rPr>
                <w:sz w:val="19"/>
                <w:szCs w:val="19"/>
              </w:rPr>
              <w:t>0</w:t>
            </w:r>
          </w:p>
        </w:tc>
        <w:tc>
          <w:tcPr>
            <w:tcW w:w="993" w:type="pct"/>
            <w:tcBorders>
              <w:top w:val="single" w:sz="4" w:space="0" w:color="auto"/>
              <w:left w:val="single" w:sz="4" w:space="0" w:color="auto"/>
              <w:bottom w:val="single" w:sz="4" w:space="0" w:color="auto"/>
              <w:right w:val="single" w:sz="4" w:space="0" w:color="auto"/>
            </w:tcBorders>
            <w:shd w:val="clear" w:color="auto" w:fill="auto"/>
            <w:noWrap/>
          </w:tcPr>
          <w:p w14:paraId="08031FFF" w14:textId="77777777" w:rsidR="0081486F" w:rsidRPr="00DB2303" w:rsidRDefault="007C58C1" w:rsidP="0023662F">
            <w:pPr>
              <w:keepNext/>
              <w:jc w:val="right"/>
              <w:rPr>
                <w:sz w:val="19"/>
                <w:szCs w:val="19"/>
              </w:rPr>
            </w:pPr>
            <w:r w:rsidRPr="00DB2303">
              <w:rPr>
                <w:sz w:val="19"/>
                <w:szCs w:val="19"/>
              </w:rPr>
              <w:t>0</w:t>
            </w:r>
          </w:p>
        </w:tc>
      </w:tr>
      <w:tr w:rsidR="0081486F" w:rsidRPr="00DB2303" w14:paraId="720F663D" w14:textId="77777777" w:rsidTr="0081486F">
        <w:trPr>
          <w:trHeight w:val="40"/>
        </w:trPr>
        <w:tc>
          <w:tcPr>
            <w:tcW w:w="10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0D828" w14:textId="77777777" w:rsidR="0081486F" w:rsidRPr="00DB2303" w:rsidRDefault="0081486F" w:rsidP="0023662F">
            <w:pPr>
              <w:keepNext/>
              <w:rPr>
                <w:sz w:val="19"/>
                <w:szCs w:val="19"/>
              </w:rPr>
            </w:pPr>
            <w:r w:rsidRPr="00DB2303">
              <w:rPr>
                <w:sz w:val="19"/>
                <w:szCs w:val="19"/>
              </w:rPr>
              <w:t>HCFC-142b</w:t>
            </w:r>
          </w:p>
        </w:tc>
        <w:tc>
          <w:tcPr>
            <w:tcW w:w="575" w:type="pct"/>
            <w:tcBorders>
              <w:top w:val="single" w:sz="4" w:space="0" w:color="auto"/>
              <w:bottom w:val="single" w:sz="4" w:space="0" w:color="auto"/>
              <w:right w:val="single" w:sz="4" w:space="0" w:color="auto"/>
            </w:tcBorders>
            <w:shd w:val="clear" w:color="auto" w:fill="auto"/>
            <w:noWrap/>
            <w:vAlign w:val="center"/>
          </w:tcPr>
          <w:p w14:paraId="61015F5B" w14:textId="77777777" w:rsidR="0081486F" w:rsidRPr="00DB2303" w:rsidRDefault="0081486F" w:rsidP="0023662F">
            <w:pPr>
              <w:jc w:val="right"/>
              <w:rPr>
                <w:color w:val="000000"/>
                <w:sz w:val="19"/>
                <w:szCs w:val="19"/>
                <w:lang w:eastAsia="es-CO"/>
              </w:rPr>
            </w:pPr>
            <w:r w:rsidRPr="00DB2303">
              <w:rPr>
                <w:color w:val="000000"/>
                <w:sz w:val="19"/>
                <w:szCs w:val="19"/>
                <w:lang w:eastAsia="es-CO"/>
              </w:rPr>
              <w:t>1.18</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40452" w14:textId="77777777" w:rsidR="0081486F" w:rsidRPr="00DB2303" w:rsidRDefault="0081486F" w:rsidP="0023662F">
            <w:pPr>
              <w:jc w:val="right"/>
              <w:rPr>
                <w:color w:val="000000"/>
                <w:sz w:val="19"/>
                <w:szCs w:val="19"/>
                <w:lang w:eastAsia="es-CO"/>
              </w:rPr>
            </w:pPr>
            <w:r w:rsidRPr="00DB2303">
              <w:rPr>
                <w:color w:val="000000"/>
                <w:sz w:val="19"/>
                <w:szCs w:val="19"/>
                <w:lang w:eastAsia="es-CO"/>
              </w:rPr>
              <w:t>0.00</w:t>
            </w:r>
          </w:p>
        </w:tc>
        <w:tc>
          <w:tcPr>
            <w:tcW w:w="878" w:type="pct"/>
            <w:tcBorders>
              <w:top w:val="single" w:sz="4" w:space="0" w:color="auto"/>
              <w:left w:val="single" w:sz="4" w:space="0" w:color="auto"/>
              <w:bottom w:val="single" w:sz="4" w:space="0" w:color="auto"/>
            </w:tcBorders>
            <w:shd w:val="clear" w:color="auto" w:fill="auto"/>
            <w:vAlign w:val="center"/>
          </w:tcPr>
          <w:p w14:paraId="71168498" w14:textId="77777777" w:rsidR="0081486F" w:rsidRPr="00DB2303" w:rsidRDefault="0081486F" w:rsidP="0023662F">
            <w:pPr>
              <w:jc w:val="right"/>
              <w:rPr>
                <w:color w:val="000000"/>
                <w:sz w:val="19"/>
                <w:szCs w:val="19"/>
                <w:lang w:eastAsia="es-CO"/>
              </w:rPr>
            </w:pPr>
            <w:r w:rsidRPr="00DB2303">
              <w:rPr>
                <w:color w:val="000000"/>
                <w:sz w:val="19"/>
                <w:szCs w:val="19"/>
                <w:lang w:eastAsia="es-CO"/>
              </w:rPr>
              <w:t>1.18</w:t>
            </w:r>
          </w:p>
        </w:tc>
        <w:tc>
          <w:tcPr>
            <w:tcW w:w="723" w:type="pct"/>
            <w:tcBorders>
              <w:top w:val="single" w:sz="4" w:space="0" w:color="auto"/>
              <w:left w:val="single" w:sz="4" w:space="0" w:color="auto"/>
              <w:bottom w:val="single" w:sz="4" w:space="0" w:color="auto"/>
              <w:right w:val="single" w:sz="4" w:space="0" w:color="auto"/>
            </w:tcBorders>
          </w:tcPr>
          <w:p w14:paraId="07E9AE03" w14:textId="77777777" w:rsidR="0081486F" w:rsidRPr="00DB2303" w:rsidRDefault="00A905B0" w:rsidP="0023662F">
            <w:pPr>
              <w:keepNext/>
              <w:jc w:val="right"/>
              <w:rPr>
                <w:sz w:val="19"/>
                <w:szCs w:val="19"/>
              </w:rPr>
            </w:pPr>
            <w:r w:rsidRPr="00DB2303">
              <w:rPr>
                <w:sz w:val="19"/>
                <w:szCs w:val="19"/>
              </w:rPr>
              <w:t>0.39</w:t>
            </w:r>
          </w:p>
        </w:tc>
        <w:tc>
          <w:tcPr>
            <w:tcW w:w="993" w:type="pct"/>
            <w:tcBorders>
              <w:top w:val="single" w:sz="4" w:space="0" w:color="auto"/>
              <w:left w:val="single" w:sz="4" w:space="0" w:color="auto"/>
              <w:bottom w:val="single" w:sz="4" w:space="0" w:color="auto"/>
              <w:right w:val="single" w:sz="4" w:space="0" w:color="auto"/>
            </w:tcBorders>
            <w:shd w:val="clear" w:color="auto" w:fill="auto"/>
            <w:noWrap/>
          </w:tcPr>
          <w:p w14:paraId="2AC5670F" w14:textId="77777777" w:rsidR="0081486F" w:rsidRPr="00DB2303" w:rsidRDefault="007C58C1" w:rsidP="0023662F">
            <w:pPr>
              <w:keepNext/>
              <w:jc w:val="right"/>
              <w:rPr>
                <w:sz w:val="19"/>
                <w:szCs w:val="19"/>
              </w:rPr>
            </w:pPr>
            <w:r w:rsidRPr="00DB2303">
              <w:rPr>
                <w:sz w:val="19"/>
                <w:szCs w:val="19"/>
              </w:rPr>
              <w:t>0</w:t>
            </w:r>
            <w:r w:rsidR="00A905B0" w:rsidRPr="00DB2303">
              <w:rPr>
                <w:sz w:val="19"/>
                <w:szCs w:val="19"/>
              </w:rPr>
              <w:t>.79</w:t>
            </w:r>
          </w:p>
        </w:tc>
      </w:tr>
      <w:tr w:rsidR="0081486F" w:rsidRPr="00DB2303" w14:paraId="32E14238" w14:textId="77777777" w:rsidTr="0081486F">
        <w:trPr>
          <w:trHeight w:val="40"/>
        </w:trPr>
        <w:tc>
          <w:tcPr>
            <w:tcW w:w="10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D2306A" w14:textId="77777777" w:rsidR="0081486F" w:rsidRPr="00DB2303" w:rsidRDefault="0081486F" w:rsidP="0023662F">
            <w:pPr>
              <w:keepNext/>
              <w:jc w:val="left"/>
              <w:rPr>
                <w:b/>
                <w:sz w:val="19"/>
                <w:szCs w:val="19"/>
              </w:rPr>
            </w:pPr>
            <w:r w:rsidRPr="00DB2303">
              <w:rPr>
                <w:b/>
                <w:sz w:val="19"/>
                <w:szCs w:val="19"/>
              </w:rPr>
              <w:t>Total (ODP tonnes)</w:t>
            </w:r>
          </w:p>
        </w:tc>
        <w:tc>
          <w:tcPr>
            <w:tcW w:w="575" w:type="pct"/>
            <w:tcBorders>
              <w:top w:val="single" w:sz="4" w:space="0" w:color="auto"/>
              <w:left w:val="nil"/>
              <w:bottom w:val="single" w:sz="4" w:space="0" w:color="auto"/>
              <w:right w:val="single" w:sz="4" w:space="0" w:color="auto"/>
            </w:tcBorders>
            <w:shd w:val="clear" w:color="auto" w:fill="auto"/>
            <w:noWrap/>
          </w:tcPr>
          <w:p w14:paraId="41982EE5" w14:textId="77777777" w:rsidR="0081486F" w:rsidRPr="00DB2303" w:rsidRDefault="0081486F" w:rsidP="0023662F">
            <w:pPr>
              <w:keepNext/>
              <w:jc w:val="right"/>
              <w:rPr>
                <w:b/>
                <w:sz w:val="19"/>
                <w:szCs w:val="19"/>
              </w:rPr>
            </w:pPr>
            <w:r w:rsidRPr="00DB2303">
              <w:rPr>
                <w:b/>
                <w:sz w:val="19"/>
                <w:szCs w:val="19"/>
              </w:rPr>
              <w:t>26.88</w:t>
            </w:r>
          </w:p>
        </w:tc>
        <w:tc>
          <w:tcPr>
            <w:tcW w:w="798" w:type="pct"/>
            <w:tcBorders>
              <w:top w:val="single" w:sz="4" w:space="0" w:color="auto"/>
              <w:left w:val="nil"/>
              <w:bottom w:val="single" w:sz="4" w:space="0" w:color="auto"/>
              <w:right w:val="single" w:sz="4" w:space="0" w:color="auto"/>
            </w:tcBorders>
            <w:shd w:val="clear" w:color="auto" w:fill="auto"/>
            <w:noWrap/>
          </w:tcPr>
          <w:p w14:paraId="064BDF9C" w14:textId="77777777" w:rsidR="0081486F" w:rsidRPr="00DB2303" w:rsidRDefault="0081486F" w:rsidP="0023662F">
            <w:pPr>
              <w:keepNext/>
              <w:jc w:val="right"/>
              <w:rPr>
                <w:b/>
                <w:sz w:val="19"/>
                <w:szCs w:val="19"/>
              </w:rPr>
            </w:pPr>
            <w:r w:rsidRPr="00DB2303">
              <w:rPr>
                <w:b/>
                <w:sz w:val="19"/>
                <w:szCs w:val="19"/>
              </w:rPr>
              <w:t>3.74</w:t>
            </w:r>
          </w:p>
        </w:tc>
        <w:tc>
          <w:tcPr>
            <w:tcW w:w="878" w:type="pct"/>
            <w:tcBorders>
              <w:top w:val="single" w:sz="4" w:space="0" w:color="auto"/>
              <w:left w:val="single" w:sz="4" w:space="0" w:color="auto"/>
              <w:bottom w:val="single" w:sz="4" w:space="0" w:color="auto"/>
              <w:right w:val="single" w:sz="4" w:space="0" w:color="auto"/>
            </w:tcBorders>
          </w:tcPr>
          <w:p w14:paraId="27CE2409" w14:textId="77777777" w:rsidR="0081486F" w:rsidRPr="00DB2303" w:rsidRDefault="0081486F" w:rsidP="0023662F">
            <w:pPr>
              <w:keepNext/>
              <w:jc w:val="right"/>
              <w:rPr>
                <w:b/>
                <w:sz w:val="19"/>
                <w:szCs w:val="19"/>
              </w:rPr>
            </w:pPr>
            <w:r w:rsidRPr="00DB2303">
              <w:rPr>
                <w:b/>
                <w:sz w:val="19"/>
                <w:szCs w:val="19"/>
              </w:rPr>
              <w:t>23.14</w:t>
            </w:r>
          </w:p>
        </w:tc>
        <w:tc>
          <w:tcPr>
            <w:tcW w:w="723" w:type="pct"/>
            <w:tcBorders>
              <w:top w:val="single" w:sz="4" w:space="0" w:color="auto"/>
              <w:left w:val="single" w:sz="4" w:space="0" w:color="auto"/>
              <w:bottom w:val="single" w:sz="4" w:space="0" w:color="auto"/>
              <w:right w:val="single" w:sz="4" w:space="0" w:color="auto"/>
            </w:tcBorders>
          </w:tcPr>
          <w:p w14:paraId="2A49483C" w14:textId="77777777" w:rsidR="0081486F" w:rsidRPr="00DB2303" w:rsidRDefault="007C58C1" w:rsidP="0023662F">
            <w:pPr>
              <w:keepNext/>
              <w:jc w:val="right"/>
              <w:rPr>
                <w:b/>
                <w:sz w:val="19"/>
                <w:szCs w:val="19"/>
              </w:rPr>
            </w:pPr>
            <w:r w:rsidRPr="00DB2303">
              <w:rPr>
                <w:b/>
                <w:sz w:val="19"/>
                <w:szCs w:val="19"/>
              </w:rPr>
              <w:t xml:space="preserve">14.40 </w:t>
            </w:r>
          </w:p>
        </w:tc>
        <w:tc>
          <w:tcPr>
            <w:tcW w:w="993" w:type="pct"/>
            <w:tcBorders>
              <w:top w:val="single" w:sz="4" w:space="0" w:color="auto"/>
              <w:left w:val="single" w:sz="4" w:space="0" w:color="auto"/>
              <w:bottom w:val="single" w:sz="4" w:space="0" w:color="auto"/>
              <w:right w:val="single" w:sz="4" w:space="0" w:color="auto"/>
            </w:tcBorders>
            <w:shd w:val="clear" w:color="auto" w:fill="auto"/>
            <w:noWrap/>
          </w:tcPr>
          <w:p w14:paraId="5864ECE7" w14:textId="77777777" w:rsidR="0081486F" w:rsidRPr="00DB2303" w:rsidRDefault="007C58C1" w:rsidP="0023662F">
            <w:pPr>
              <w:keepNext/>
              <w:jc w:val="right"/>
              <w:rPr>
                <w:b/>
                <w:sz w:val="19"/>
                <w:szCs w:val="19"/>
              </w:rPr>
            </w:pPr>
            <w:r w:rsidRPr="00DB2303">
              <w:rPr>
                <w:b/>
                <w:sz w:val="19"/>
                <w:szCs w:val="19"/>
              </w:rPr>
              <w:t>8.74</w:t>
            </w:r>
          </w:p>
        </w:tc>
      </w:tr>
    </w:tbl>
    <w:p w14:paraId="06B63231" w14:textId="77777777" w:rsidR="00FB4FEF" w:rsidRPr="00DB2303" w:rsidRDefault="00FB4FEF" w:rsidP="0023662F">
      <w:pPr>
        <w:pStyle w:val="Heading1"/>
        <w:numPr>
          <w:ilvl w:val="0"/>
          <w:numId w:val="0"/>
        </w:numPr>
        <w:spacing w:after="0"/>
      </w:pPr>
    </w:p>
    <w:p w14:paraId="16B03F18" w14:textId="77777777" w:rsidR="00B64FD4" w:rsidRPr="00DB2303" w:rsidRDefault="00B64FD4" w:rsidP="0023662F">
      <w:pPr>
        <w:rPr>
          <w:u w:val="single"/>
          <w:lang w:val="en-CA"/>
        </w:rPr>
      </w:pPr>
      <w:r w:rsidRPr="00DB2303">
        <w:rPr>
          <w:u w:val="single"/>
          <w:lang w:val="en-CA"/>
        </w:rPr>
        <w:t>HCFC consumption and sector distribution</w:t>
      </w:r>
    </w:p>
    <w:p w14:paraId="02714587" w14:textId="77777777" w:rsidR="00B64FD4" w:rsidRPr="00DB2303" w:rsidRDefault="00B64FD4" w:rsidP="0023662F">
      <w:pPr>
        <w:rPr>
          <w:lang w:val="en-CA"/>
        </w:rPr>
      </w:pPr>
    </w:p>
    <w:p w14:paraId="4E84FC4C" w14:textId="7F3AA0E7" w:rsidR="00B64FD4" w:rsidRPr="00DB2303" w:rsidRDefault="00B64FD4" w:rsidP="0023662F">
      <w:pPr>
        <w:pStyle w:val="Heading1"/>
        <w:rPr>
          <w:lang w:val="en-CA"/>
        </w:rPr>
      </w:pPr>
      <w:r w:rsidRPr="00DB2303">
        <w:rPr>
          <w:lang w:val="en-CA"/>
        </w:rPr>
        <w:lastRenderedPageBreak/>
        <w:t xml:space="preserve">The Government of Peru reported a consumption of </w:t>
      </w:r>
      <w:r w:rsidR="00D41FF5" w:rsidRPr="00DB2303">
        <w:rPr>
          <w:lang w:val="en-CA"/>
        </w:rPr>
        <w:t>22.21</w:t>
      </w:r>
      <w:r w:rsidR="008C2783">
        <w:rPr>
          <w:lang w:val="en-CA"/>
        </w:rPr>
        <w:t> ODP ton</w:t>
      </w:r>
      <w:r w:rsidRPr="00DB2303">
        <w:rPr>
          <w:lang w:val="en-CA"/>
        </w:rPr>
        <w:t>nes of HCFC in 201</w:t>
      </w:r>
      <w:r w:rsidR="00057A98" w:rsidRPr="00DB2303">
        <w:rPr>
          <w:lang w:val="en-CA"/>
        </w:rPr>
        <w:t>6</w:t>
      </w:r>
      <w:r w:rsidR="00DC4165">
        <w:rPr>
          <w:lang w:val="en-CA"/>
        </w:rPr>
        <w:t>, which</w:t>
      </w:r>
      <w:r w:rsidR="00DC4165" w:rsidRPr="00DC4165">
        <w:rPr>
          <w:lang w:val="en-CA"/>
        </w:rPr>
        <w:t xml:space="preserve"> </w:t>
      </w:r>
      <w:r w:rsidR="00DC4165" w:rsidRPr="00DB2303">
        <w:rPr>
          <w:lang w:val="en-CA"/>
        </w:rPr>
        <w:t>was 17.4 per cent below the HCFC bas</w:t>
      </w:r>
      <w:r w:rsidR="00DC4165">
        <w:rPr>
          <w:lang w:val="en-CA"/>
        </w:rPr>
        <w:t>e</w:t>
      </w:r>
      <w:r w:rsidR="00DC4165" w:rsidRPr="00DB2303">
        <w:rPr>
          <w:lang w:val="en-CA"/>
        </w:rPr>
        <w:t>line consumption and 8.2 per cent below the limits established in</w:t>
      </w:r>
      <w:r w:rsidR="00DC4165">
        <w:rPr>
          <w:lang w:val="en-CA"/>
        </w:rPr>
        <w:t xml:space="preserve"> its</w:t>
      </w:r>
      <w:r w:rsidR="00DC4165" w:rsidRPr="00DB2303">
        <w:rPr>
          <w:lang w:val="en-CA"/>
        </w:rPr>
        <w:t xml:space="preserve"> Agreement</w:t>
      </w:r>
      <w:r w:rsidR="00E8778F">
        <w:rPr>
          <w:lang w:val="en-CA"/>
        </w:rPr>
        <w:t xml:space="preserve"> with the Executive Committee</w:t>
      </w:r>
      <w:r w:rsidR="00DC4165" w:rsidRPr="00DB2303">
        <w:rPr>
          <w:lang w:val="en-CA"/>
        </w:rPr>
        <w:t xml:space="preserve"> (24.19</w:t>
      </w:r>
      <w:r w:rsidR="00DC4165">
        <w:rPr>
          <w:lang w:val="en-CA"/>
        </w:rPr>
        <w:t> ODP ton</w:t>
      </w:r>
      <w:r w:rsidR="00DC4165" w:rsidRPr="00DB2303">
        <w:rPr>
          <w:lang w:val="en-CA"/>
        </w:rPr>
        <w:t>nes)</w:t>
      </w:r>
      <w:r w:rsidRPr="00DB2303">
        <w:rPr>
          <w:lang w:val="en-CA"/>
        </w:rPr>
        <w:t>.</w:t>
      </w:r>
      <w:r w:rsidR="00DA42B2">
        <w:rPr>
          <w:lang w:val="en-CA"/>
        </w:rPr>
        <w:t xml:space="preserve"> </w:t>
      </w:r>
      <w:r w:rsidRPr="00DB2303">
        <w:rPr>
          <w:lang w:val="en-CA"/>
        </w:rPr>
        <w:t xml:space="preserve"> </w:t>
      </w:r>
      <w:r w:rsidR="00D41FF5" w:rsidRPr="00DB2303">
        <w:rPr>
          <w:lang w:val="en-CA"/>
        </w:rPr>
        <w:t>Peru also imported 23.94</w:t>
      </w:r>
      <w:r w:rsidR="008C2783">
        <w:rPr>
          <w:lang w:val="en-CA"/>
        </w:rPr>
        <w:t> ODP ton</w:t>
      </w:r>
      <w:r w:rsidR="00D41FF5" w:rsidRPr="00DB2303">
        <w:rPr>
          <w:lang w:val="en-CA"/>
        </w:rPr>
        <w:t>nes of HCFC-141b contained in pre</w:t>
      </w:r>
      <w:r w:rsidR="00A640D4">
        <w:rPr>
          <w:lang w:val="en-CA"/>
        </w:rPr>
        <w:noBreakHyphen/>
      </w:r>
      <w:r w:rsidR="00D41FF5" w:rsidRPr="00DB2303">
        <w:rPr>
          <w:lang w:val="en-CA"/>
        </w:rPr>
        <w:t xml:space="preserve">blended polyols. </w:t>
      </w:r>
      <w:r w:rsidRPr="00DB2303">
        <w:rPr>
          <w:lang w:val="en-CA"/>
        </w:rPr>
        <w:t>The 201</w:t>
      </w:r>
      <w:r w:rsidR="00057A98" w:rsidRPr="00DB2303">
        <w:rPr>
          <w:lang w:val="en-CA"/>
        </w:rPr>
        <w:t>2</w:t>
      </w:r>
      <w:r w:rsidRPr="00DB2303">
        <w:rPr>
          <w:lang w:val="en-CA"/>
        </w:rPr>
        <w:noBreakHyphen/>
        <w:t>201</w:t>
      </w:r>
      <w:r w:rsidR="00057A98" w:rsidRPr="00DB2303">
        <w:rPr>
          <w:lang w:val="en-CA"/>
        </w:rPr>
        <w:t>6</w:t>
      </w:r>
      <w:r w:rsidRPr="00DB2303">
        <w:rPr>
          <w:lang w:val="en-CA"/>
        </w:rPr>
        <w:t xml:space="preserve"> HCFC consumption is shown in Table </w:t>
      </w:r>
      <w:r w:rsidR="0019498A" w:rsidRPr="00DB2303">
        <w:rPr>
          <w:lang w:val="en-CA"/>
        </w:rPr>
        <w:t>2</w:t>
      </w:r>
      <w:r w:rsidRPr="00DB2303">
        <w:rPr>
          <w:lang w:val="en-CA"/>
        </w:rPr>
        <w:t>.</w:t>
      </w:r>
    </w:p>
    <w:p w14:paraId="5ECFC88D" w14:textId="77777777" w:rsidR="0049030D" w:rsidRPr="00DB2303" w:rsidRDefault="0049030D" w:rsidP="0023662F">
      <w:pPr>
        <w:keepNext/>
        <w:rPr>
          <w:b/>
          <w:sz w:val="20"/>
          <w:szCs w:val="20"/>
          <w:lang w:val="en-CA"/>
        </w:rPr>
      </w:pPr>
      <w:r w:rsidRPr="00DB2303">
        <w:rPr>
          <w:b/>
          <w:sz w:val="20"/>
          <w:szCs w:val="20"/>
          <w:lang w:val="en-CA"/>
        </w:rPr>
        <w:t xml:space="preserve">Table </w:t>
      </w:r>
      <w:r w:rsidR="0019498A" w:rsidRPr="00DB2303">
        <w:rPr>
          <w:b/>
          <w:sz w:val="20"/>
          <w:szCs w:val="20"/>
          <w:lang w:val="en-CA"/>
        </w:rPr>
        <w:t>2</w:t>
      </w:r>
      <w:r w:rsidRPr="00DB2303">
        <w:rPr>
          <w:b/>
          <w:sz w:val="20"/>
          <w:szCs w:val="20"/>
          <w:lang w:val="en-CA"/>
        </w:rPr>
        <w:t>. HCFC consumption in Peru (2012-2016 Article 7 data)</w:t>
      </w:r>
    </w:p>
    <w:tbl>
      <w:tblPr>
        <w:tblW w:w="4953" w:type="pct"/>
        <w:tblLayout w:type="fixed"/>
        <w:tblLook w:val="04A0" w:firstRow="1" w:lastRow="0" w:firstColumn="1" w:lastColumn="0" w:noHBand="0" w:noVBand="1"/>
      </w:tblPr>
      <w:tblGrid>
        <w:gridCol w:w="3072"/>
        <w:gridCol w:w="962"/>
        <w:gridCol w:w="1001"/>
        <w:gridCol w:w="1026"/>
        <w:gridCol w:w="995"/>
        <w:gridCol w:w="993"/>
        <w:gridCol w:w="1213"/>
      </w:tblGrid>
      <w:tr w:rsidR="00ED4FFF" w:rsidRPr="00DB2303" w14:paraId="24648176" w14:textId="77777777" w:rsidTr="008315F8">
        <w:trPr>
          <w:tblHeader/>
        </w:trPr>
        <w:tc>
          <w:tcPr>
            <w:tcW w:w="1658"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44DAB01" w14:textId="77777777" w:rsidR="00ED4FFF" w:rsidRPr="00DB2303" w:rsidRDefault="00ED4FFF" w:rsidP="0023662F">
            <w:pPr>
              <w:keepNext/>
              <w:jc w:val="left"/>
              <w:rPr>
                <w:b/>
                <w:bCs/>
                <w:color w:val="000000"/>
                <w:sz w:val="19"/>
                <w:szCs w:val="19"/>
                <w:lang w:val="en-CA"/>
              </w:rPr>
            </w:pPr>
            <w:r w:rsidRPr="00DB2303">
              <w:rPr>
                <w:b/>
                <w:bCs/>
                <w:color w:val="000000"/>
                <w:sz w:val="19"/>
                <w:szCs w:val="19"/>
                <w:lang w:val="en-CA"/>
              </w:rPr>
              <w:t>HCFC</w:t>
            </w:r>
          </w:p>
        </w:tc>
        <w:tc>
          <w:tcPr>
            <w:tcW w:w="519" w:type="pct"/>
            <w:tcBorders>
              <w:top w:val="single" w:sz="4" w:space="0" w:color="auto"/>
              <w:left w:val="single" w:sz="4" w:space="0" w:color="auto"/>
              <w:bottom w:val="single" w:sz="4" w:space="0" w:color="auto"/>
              <w:right w:val="single" w:sz="4" w:space="0" w:color="auto"/>
            </w:tcBorders>
          </w:tcPr>
          <w:p w14:paraId="12A620C7" w14:textId="77777777" w:rsidR="00ED4FFF" w:rsidRPr="00DB2303" w:rsidRDefault="00ED4FFF" w:rsidP="0023662F">
            <w:pPr>
              <w:keepNext/>
              <w:jc w:val="center"/>
              <w:rPr>
                <w:b/>
                <w:bCs/>
                <w:color w:val="000000"/>
                <w:sz w:val="19"/>
                <w:szCs w:val="19"/>
                <w:lang w:val="en-CA"/>
              </w:rPr>
            </w:pPr>
            <w:r w:rsidRPr="00DB2303">
              <w:rPr>
                <w:b/>
                <w:bCs/>
                <w:color w:val="000000"/>
                <w:sz w:val="19"/>
                <w:szCs w:val="19"/>
                <w:lang w:val="en-CA"/>
              </w:rPr>
              <w:t>2012</w:t>
            </w:r>
          </w:p>
        </w:tc>
        <w:tc>
          <w:tcPr>
            <w:tcW w:w="540" w:type="pct"/>
            <w:tcBorders>
              <w:top w:val="single" w:sz="4" w:space="0" w:color="auto"/>
              <w:left w:val="single" w:sz="4" w:space="0" w:color="auto"/>
              <w:bottom w:val="single" w:sz="4" w:space="0" w:color="auto"/>
              <w:right w:val="single" w:sz="4" w:space="0" w:color="auto"/>
            </w:tcBorders>
            <w:vAlign w:val="center"/>
          </w:tcPr>
          <w:p w14:paraId="0A443CDA" w14:textId="77777777" w:rsidR="00ED4FFF" w:rsidRPr="00DB2303" w:rsidRDefault="00ED4FFF" w:rsidP="0023662F">
            <w:pPr>
              <w:keepNext/>
              <w:jc w:val="center"/>
              <w:rPr>
                <w:b/>
                <w:bCs/>
                <w:color w:val="000000"/>
                <w:sz w:val="19"/>
                <w:szCs w:val="19"/>
                <w:lang w:val="en-CA"/>
              </w:rPr>
            </w:pPr>
            <w:r w:rsidRPr="00DB2303">
              <w:rPr>
                <w:b/>
                <w:bCs/>
                <w:color w:val="000000"/>
                <w:sz w:val="19"/>
                <w:szCs w:val="19"/>
                <w:lang w:val="en-CA"/>
              </w:rPr>
              <w:t>2013</w:t>
            </w:r>
          </w:p>
        </w:tc>
        <w:tc>
          <w:tcPr>
            <w:tcW w:w="554" w:type="pct"/>
            <w:tcBorders>
              <w:top w:val="single" w:sz="4" w:space="0" w:color="auto"/>
              <w:left w:val="single" w:sz="4" w:space="0" w:color="auto"/>
              <w:bottom w:val="single" w:sz="4" w:space="0" w:color="auto"/>
              <w:right w:val="single" w:sz="4" w:space="0" w:color="auto"/>
            </w:tcBorders>
          </w:tcPr>
          <w:p w14:paraId="76DF2067" w14:textId="77777777" w:rsidR="00ED4FFF" w:rsidRPr="00DB2303" w:rsidRDefault="00ED4FFF" w:rsidP="0023662F">
            <w:pPr>
              <w:keepNext/>
              <w:jc w:val="center"/>
              <w:rPr>
                <w:b/>
                <w:bCs/>
                <w:color w:val="000000"/>
                <w:sz w:val="19"/>
                <w:szCs w:val="19"/>
                <w:lang w:val="en-CA"/>
              </w:rPr>
            </w:pPr>
            <w:r w:rsidRPr="00DB2303">
              <w:rPr>
                <w:b/>
                <w:bCs/>
                <w:color w:val="000000"/>
                <w:sz w:val="19"/>
                <w:szCs w:val="19"/>
                <w:lang w:val="en-CA"/>
              </w:rPr>
              <w:t>2014</w:t>
            </w:r>
          </w:p>
        </w:tc>
        <w:tc>
          <w:tcPr>
            <w:tcW w:w="537" w:type="pct"/>
            <w:tcBorders>
              <w:top w:val="single" w:sz="4" w:space="0" w:color="auto"/>
              <w:left w:val="single" w:sz="4" w:space="0" w:color="auto"/>
              <w:bottom w:val="single" w:sz="4" w:space="0" w:color="auto"/>
              <w:right w:val="single" w:sz="4" w:space="0" w:color="auto"/>
            </w:tcBorders>
          </w:tcPr>
          <w:p w14:paraId="68EB0BDF" w14:textId="77777777" w:rsidR="00ED4FFF" w:rsidRPr="00DB2303" w:rsidRDefault="00ED4FFF" w:rsidP="0023662F">
            <w:pPr>
              <w:keepNext/>
              <w:jc w:val="center"/>
              <w:rPr>
                <w:b/>
                <w:bCs/>
                <w:color w:val="000000"/>
                <w:sz w:val="19"/>
                <w:szCs w:val="19"/>
                <w:lang w:val="en-CA"/>
              </w:rPr>
            </w:pPr>
            <w:r w:rsidRPr="00DB2303">
              <w:rPr>
                <w:b/>
                <w:bCs/>
                <w:color w:val="000000"/>
                <w:sz w:val="19"/>
                <w:szCs w:val="19"/>
                <w:lang w:val="en-CA"/>
              </w:rPr>
              <w:t>2015</w:t>
            </w:r>
          </w:p>
        </w:tc>
        <w:tc>
          <w:tcPr>
            <w:tcW w:w="536" w:type="pct"/>
            <w:tcBorders>
              <w:top w:val="single" w:sz="4" w:space="0" w:color="auto"/>
              <w:left w:val="single" w:sz="4" w:space="0" w:color="auto"/>
              <w:bottom w:val="single" w:sz="4" w:space="0" w:color="auto"/>
              <w:right w:val="single" w:sz="4" w:space="0" w:color="auto"/>
            </w:tcBorders>
          </w:tcPr>
          <w:p w14:paraId="1C335EFA" w14:textId="77777777" w:rsidR="00ED4FFF" w:rsidRPr="00DB2303" w:rsidRDefault="00ED4FFF" w:rsidP="0023662F">
            <w:pPr>
              <w:keepNext/>
              <w:jc w:val="center"/>
              <w:rPr>
                <w:b/>
                <w:bCs/>
                <w:color w:val="000000"/>
                <w:sz w:val="19"/>
                <w:szCs w:val="19"/>
                <w:lang w:val="en-CA"/>
              </w:rPr>
            </w:pPr>
            <w:r w:rsidRPr="00DB2303">
              <w:rPr>
                <w:b/>
                <w:bCs/>
                <w:color w:val="000000"/>
                <w:sz w:val="19"/>
                <w:szCs w:val="19"/>
                <w:lang w:val="en-CA"/>
              </w:rPr>
              <w:t>2016</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F650C" w14:textId="77777777" w:rsidR="00ED4FFF" w:rsidRPr="00DB2303" w:rsidRDefault="00ED4FFF" w:rsidP="0023662F">
            <w:pPr>
              <w:keepNext/>
              <w:jc w:val="center"/>
              <w:rPr>
                <w:b/>
                <w:bCs/>
                <w:color w:val="000000"/>
                <w:sz w:val="19"/>
                <w:szCs w:val="19"/>
                <w:lang w:val="en-CA"/>
              </w:rPr>
            </w:pPr>
            <w:r w:rsidRPr="00DB2303">
              <w:rPr>
                <w:b/>
                <w:bCs/>
                <w:color w:val="000000"/>
                <w:sz w:val="19"/>
                <w:szCs w:val="19"/>
                <w:lang w:val="en-CA"/>
              </w:rPr>
              <w:t>Baseline</w:t>
            </w:r>
          </w:p>
        </w:tc>
      </w:tr>
      <w:tr w:rsidR="00ED4FFF" w:rsidRPr="00DB2303" w14:paraId="76D14DA2" w14:textId="77777777" w:rsidTr="008315F8">
        <w:tc>
          <w:tcPr>
            <w:tcW w:w="1658"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EC74856" w14:textId="77777777" w:rsidR="00ED4FFF" w:rsidRPr="00DB2303" w:rsidRDefault="00ED4FFF" w:rsidP="0023662F">
            <w:pPr>
              <w:keepNext/>
              <w:jc w:val="left"/>
              <w:rPr>
                <w:b/>
                <w:bCs/>
                <w:color w:val="000000"/>
                <w:sz w:val="19"/>
                <w:szCs w:val="19"/>
                <w:lang w:val="en-CA"/>
              </w:rPr>
            </w:pPr>
            <w:r w:rsidRPr="00DB2303">
              <w:rPr>
                <w:b/>
                <w:bCs/>
                <w:color w:val="000000"/>
                <w:sz w:val="19"/>
                <w:szCs w:val="19"/>
                <w:lang w:val="en-CA"/>
              </w:rPr>
              <w:t>Metric tonnes (mt)</w:t>
            </w:r>
          </w:p>
        </w:tc>
        <w:tc>
          <w:tcPr>
            <w:tcW w:w="519" w:type="pct"/>
            <w:tcBorders>
              <w:top w:val="single" w:sz="4" w:space="0" w:color="auto"/>
              <w:left w:val="single" w:sz="4" w:space="0" w:color="auto"/>
              <w:bottom w:val="single" w:sz="4" w:space="0" w:color="auto"/>
              <w:right w:val="single" w:sz="4" w:space="0" w:color="auto"/>
            </w:tcBorders>
          </w:tcPr>
          <w:p w14:paraId="7E2ED51E" w14:textId="77777777" w:rsidR="00ED4FFF" w:rsidRPr="00DB2303" w:rsidRDefault="00ED4FFF" w:rsidP="0023662F">
            <w:pPr>
              <w:keepNext/>
              <w:jc w:val="center"/>
              <w:rPr>
                <w:b/>
                <w:bCs/>
                <w:color w:val="000000"/>
                <w:sz w:val="19"/>
                <w:szCs w:val="19"/>
                <w:lang w:val="en-CA"/>
              </w:rPr>
            </w:pPr>
          </w:p>
        </w:tc>
        <w:tc>
          <w:tcPr>
            <w:tcW w:w="540" w:type="pct"/>
            <w:tcBorders>
              <w:top w:val="single" w:sz="4" w:space="0" w:color="auto"/>
              <w:left w:val="single" w:sz="4" w:space="0" w:color="auto"/>
              <w:bottom w:val="single" w:sz="4" w:space="0" w:color="auto"/>
              <w:right w:val="single" w:sz="4" w:space="0" w:color="auto"/>
            </w:tcBorders>
            <w:vAlign w:val="center"/>
          </w:tcPr>
          <w:p w14:paraId="65B2E3D8" w14:textId="77777777" w:rsidR="00ED4FFF" w:rsidRPr="00DB2303" w:rsidRDefault="00ED4FFF" w:rsidP="0023662F">
            <w:pPr>
              <w:keepNext/>
              <w:jc w:val="center"/>
              <w:rPr>
                <w:b/>
                <w:bCs/>
                <w:color w:val="000000"/>
                <w:sz w:val="19"/>
                <w:szCs w:val="19"/>
                <w:lang w:val="en-CA"/>
              </w:rPr>
            </w:pPr>
          </w:p>
        </w:tc>
        <w:tc>
          <w:tcPr>
            <w:tcW w:w="554" w:type="pct"/>
            <w:tcBorders>
              <w:top w:val="single" w:sz="4" w:space="0" w:color="auto"/>
              <w:left w:val="single" w:sz="4" w:space="0" w:color="auto"/>
              <w:bottom w:val="single" w:sz="4" w:space="0" w:color="auto"/>
              <w:right w:val="single" w:sz="4" w:space="0" w:color="auto"/>
            </w:tcBorders>
          </w:tcPr>
          <w:p w14:paraId="1ADBD0BA" w14:textId="77777777" w:rsidR="00ED4FFF" w:rsidRPr="00DB2303" w:rsidRDefault="00ED4FFF" w:rsidP="0023662F">
            <w:pPr>
              <w:keepNext/>
              <w:jc w:val="center"/>
              <w:rPr>
                <w:b/>
                <w:bCs/>
                <w:color w:val="000000"/>
                <w:sz w:val="19"/>
                <w:szCs w:val="19"/>
                <w:lang w:val="en-CA"/>
              </w:rPr>
            </w:pPr>
          </w:p>
        </w:tc>
        <w:tc>
          <w:tcPr>
            <w:tcW w:w="537" w:type="pct"/>
            <w:tcBorders>
              <w:top w:val="single" w:sz="4" w:space="0" w:color="auto"/>
              <w:left w:val="single" w:sz="4" w:space="0" w:color="auto"/>
              <w:bottom w:val="single" w:sz="4" w:space="0" w:color="auto"/>
              <w:right w:val="single" w:sz="4" w:space="0" w:color="auto"/>
            </w:tcBorders>
          </w:tcPr>
          <w:p w14:paraId="7DE341B0" w14:textId="77777777" w:rsidR="00ED4FFF" w:rsidRPr="00DB2303" w:rsidRDefault="00ED4FFF" w:rsidP="0023662F">
            <w:pPr>
              <w:keepNext/>
              <w:jc w:val="center"/>
              <w:rPr>
                <w:b/>
                <w:bCs/>
                <w:color w:val="000000"/>
                <w:sz w:val="19"/>
                <w:szCs w:val="19"/>
                <w:lang w:val="en-CA"/>
              </w:rPr>
            </w:pPr>
          </w:p>
        </w:tc>
        <w:tc>
          <w:tcPr>
            <w:tcW w:w="536" w:type="pct"/>
            <w:tcBorders>
              <w:top w:val="single" w:sz="4" w:space="0" w:color="auto"/>
              <w:left w:val="single" w:sz="4" w:space="0" w:color="auto"/>
              <w:bottom w:val="single" w:sz="4" w:space="0" w:color="auto"/>
              <w:right w:val="single" w:sz="4" w:space="0" w:color="auto"/>
            </w:tcBorders>
          </w:tcPr>
          <w:p w14:paraId="125C0024" w14:textId="77777777" w:rsidR="00ED4FFF" w:rsidRPr="00DB2303" w:rsidRDefault="00ED4FFF" w:rsidP="0023662F">
            <w:pPr>
              <w:keepNext/>
              <w:jc w:val="center"/>
              <w:rPr>
                <w:b/>
                <w:bCs/>
                <w:color w:val="000000"/>
                <w:sz w:val="19"/>
                <w:szCs w:val="19"/>
                <w:lang w:val="en-CA"/>
              </w:rPr>
            </w:pP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E1AA6" w14:textId="77777777" w:rsidR="00ED4FFF" w:rsidRPr="00DB2303" w:rsidRDefault="00ED4FFF" w:rsidP="0023662F">
            <w:pPr>
              <w:keepNext/>
              <w:jc w:val="center"/>
              <w:rPr>
                <w:b/>
                <w:bCs/>
                <w:color w:val="000000"/>
                <w:sz w:val="19"/>
                <w:szCs w:val="19"/>
                <w:lang w:val="en-CA"/>
              </w:rPr>
            </w:pPr>
          </w:p>
        </w:tc>
      </w:tr>
      <w:tr w:rsidR="00843454" w:rsidRPr="00DB2303" w14:paraId="141D1954" w14:textId="77777777" w:rsidTr="00DA42B2">
        <w:trPr>
          <w:trHeight w:val="80"/>
        </w:trPr>
        <w:tc>
          <w:tcPr>
            <w:tcW w:w="1658"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69C3F74" w14:textId="77777777" w:rsidR="00843454" w:rsidRPr="00DB2303" w:rsidRDefault="00843454" w:rsidP="0023662F">
            <w:pPr>
              <w:keepNext/>
              <w:jc w:val="left"/>
              <w:rPr>
                <w:color w:val="000000"/>
                <w:sz w:val="19"/>
                <w:szCs w:val="19"/>
                <w:lang w:val="en-CA"/>
              </w:rPr>
            </w:pPr>
            <w:r w:rsidRPr="00DB2303">
              <w:rPr>
                <w:color w:val="000000"/>
                <w:sz w:val="19"/>
                <w:szCs w:val="19"/>
                <w:lang w:val="en-CA"/>
              </w:rPr>
              <w:t>HCFC-22</w:t>
            </w:r>
          </w:p>
        </w:tc>
        <w:tc>
          <w:tcPr>
            <w:tcW w:w="519" w:type="pct"/>
            <w:tcBorders>
              <w:top w:val="single" w:sz="4" w:space="0" w:color="auto"/>
              <w:left w:val="single" w:sz="4" w:space="0" w:color="auto"/>
              <w:bottom w:val="single" w:sz="4" w:space="0" w:color="auto"/>
              <w:right w:val="single" w:sz="4" w:space="0" w:color="auto"/>
            </w:tcBorders>
            <w:vAlign w:val="center"/>
          </w:tcPr>
          <w:p w14:paraId="433B2BDE"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451.50</w:t>
            </w:r>
          </w:p>
        </w:tc>
        <w:tc>
          <w:tcPr>
            <w:tcW w:w="540" w:type="pct"/>
            <w:tcBorders>
              <w:top w:val="single" w:sz="4" w:space="0" w:color="auto"/>
              <w:left w:val="single" w:sz="4" w:space="0" w:color="auto"/>
              <w:bottom w:val="single" w:sz="4" w:space="0" w:color="auto"/>
              <w:right w:val="single" w:sz="4" w:space="0" w:color="auto"/>
            </w:tcBorders>
            <w:vAlign w:val="center"/>
          </w:tcPr>
          <w:p w14:paraId="500EBE9C"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434.84</w:t>
            </w:r>
          </w:p>
        </w:tc>
        <w:tc>
          <w:tcPr>
            <w:tcW w:w="554" w:type="pct"/>
            <w:tcBorders>
              <w:top w:val="single" w:sz="4" w:space="0" w:color="auto"/>
              <w:left w:val="single" w:sz="4" w:space="0" w:color="auto"/>
              <w:bottom w:val="single" w:sz="4" w:space="0" w:color="auto"/>
              <w:right w:val="single" w:sz="4" w:space="0" w:color="auto"/>
            </w:tcBorders>
            <w:vAlign w:val="center"/>
          </w:tcPr>
          <w:p w14:paraId="60B35424"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359.69</w:t>
            </w:r>
          </w:p>
        </w:tc>
        <w:tc>
          <w:tcPr>
            <w:tcW w:w="537" w:type="pct"/>
            <w:tcBorders>
              <w:top w:val="single" w:sz="4" w:space="0" w:color="auto"/>
              <w:left w:val="single" w:sz="4" w:space="0" w:color="auto"/>
              <w:bottom w:val="single" w:sz="4" w:space="0" w:color="auto"/>
              <w:right w:val="single" w:sz="4" w:space="0" w:color="auto"/>
            </w:tcBorders>
          </w:tcPr>
          <w:p w14:paraId="5AAFD161"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374.91</w:t>
            </w:r>
          </w:p>
        </w:tc>
        <w:tc>
          <w:tcPr>
            <w:tcW w:w="536" w:type="pct"/>
            <w:tcBorders>
              <w:top w:val="single" w:sz="4" w:space="0" w:color="auto"/>
              <w:left w:val="single" w:sz="4" w:space="0" w:color="auto"/>
              <w:bottom w:val="single" w:sz="4" w:space="0" w:color="auto"/>
              <w:right w:val="single" w:sz="4" w:space="0" w:color="auto"/>
            </w:tcBorders>
          </w:tcPr>
          <w:p w14:paraId="26004A16"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369.91</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26EB48"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433.29</w:t>
            </w:r>
          </w:p>
        </w:tc>
      </w:tr>
      <w:tr w:rsidR="00843454" w:rsidRPr="00DB2303" w14:paraId="21AAFB79" w14:textId="77777777" w:rsidTr="00DA42B2">
        <w:trPr>
          <w:trHeight w:val="125"/>
        </w:trPr>
        <w:tc>
          <w:tcPr>
            <w:tcW w:w="1658"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14:paraId="3B615BD8" w14:textId="77777777" w:rsidR="00843454" w:rsidRPr="00DB2303" w:rsidRDefault="00843454" w:rsidP="0023662F">
            <w:pPr>
              <w:keepNext/>
              <w:jc w:val="left"/>
              <w:rPr>
                <w:color w:val="000000"/>
                <w:sz w:val="19"/>
                <w:szCs w:val="19"/>
                <w:lang w:val="en-CA"/>
              </w:rPr>
            </w:pPr>
            <w:r w:rsidRPr="00DB2303">
              <w:rPr>
                <w:color w:val="000000"/>
                <w:sz w:val="19"/>
                <w:szCs w:val="19"/>
                <w:lang w:val="en-CA"/>
              </w:rPr>
              <w:t>HCFC-123</w:t>
            </w:r>
            <w:r w:rsidRPr="00DB2303">
              <w:rPr>
                <w:bCs/>
                <w:color w:val="000000"/>
                <w:sz w:val="19"/>
                <w:szCs w:val="19"/>
                <w:lang w:val="en-CA" w:eastAsia="en-CA"/>
              </w:rPr>
              <w:t>*</w:t>
            </w:r>
          </w:p>
        </w:tc>
        <w:tc>
          <w:tcPr>
            <w:tcW w:w="519" w:type="pct"/>
            <w:tcBorders>
              <w:top w:val="single" w:sz="4" w:space="0" w:color="auto"/>
              <w:left w:val="single" w:sz="4" w:space="0" w:color="auto"/>
              <w:bottom w:val="single" w:sz="4" w:space="0" w:color="auto"/>
              <w:right w:val="single" w:sz="4" w:space="0" w:color="auto"/>
            </w:tcBorders>
            <w:vAlign w:val="center"/>
          </w:tcPr>
          <w:p w14:paraId="210D4D61"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0</w:t>
            </w:r>
          </w:p>
        </w:tc>
        <w:tc>
          <w:tcPr>
            <w:tcW w:w="540" w:type="pct"/>
            <w:tcBorders>
              <w:top w:val="single" w:sz="4" w:space="0" w:color="auto"/>
              <w:left w:val="single" w:sz="4" w:space="0" w:color="auto"/>
              <w:bottom w:val="single" w:sz="4" w:space="0" w:color="auto"/>
              <w:right w:val="single" w:sz="4" w:space="0" w:color="auto"/>
            </w:tcBorders>
            <w:vAlign w:val="center"/>
          </w:tcPr>
          <w:p w14:paraId="165E48E6"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0</w:t>
            </w:r>
          </w:p>
        </w:tc>
        <w:tc>
          <w:tcPr>
            <w:tcW w:w="554" w:type="pct"/>
            <w:tcBorders>
              <w:top w:val="single" w:sz="4" w:space="0" w:color="auto"/>
              <w:left w:val="single" w:sz="4" w:space="0" w:color="auto"/>
              <w:bottom w:val="single" w:sz="4" w:space="0" w:color="auto"/>
              <w:right w:val="single" w:sz="4" w:space="0" w:color="auto"/>
            </w:tcBorders>
            <w:vAlign w:val="center"/>
          </w:tcPr>
          <w:p w14:paraId="3A1F5E0C"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0</w:t>
            </w:r>
          </w:p>
        </w:tc>
        <w:tc>
          <w:tcPr>
            <w:tcW w:w="537" w:type="pct"/>
            <w:tcBorders>
              <w:top w:val="single" w:sz="4" w:space="0" w:color="auto"/>
              <w:left w:val="single" w:sz="4" w:space="0" w:color="auto"/>
              <w:bottom w:val="single" w:sz="4" w:space="0" w:color="auto"/>
              <w:right w:val="single" w:sz="4" w:space="0" w:color="auto"/>
            </w:tcBorders>
          </w:tcPr>
          <w:p w14:paraId="6067B891"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2.98</w:t>
            </w:r>
          </w:p>
        </w:tc>
        <w:tc>
          <w:tcPr>
            <w:tcW w:w="536" w:type="pct"/>
            <w:tcBorders>
              <w:top w:val="single" w:sz="4" w:space="0" w:color="auto"/>
              <w:left w:val="single" w:sz="4" w:space="0" w:color="auto"/>
              <w:bottom w:val="single" w:sz="4" w:space="0" w:color="auto"/>
              <w:right w:val="single" w:sz="4" w:space="0" w:color="auto"/>
            </w:tcBorders>
          </w:tcPr>
          <w:p w14:paraId="06207416"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1.29</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22891"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0</w:t>
            </w:r>
          </w:p>
        </w:tc>
      </w:tr>
      <w:tr w:rsidR="00843454" w:rsidRPr="00DB2303" w14:paraId="6F340DF7" w14:textId="77777777" w:rsidTr="008315F8">
        <w:tc>
          <w:tcPr>
            <w:tcW w:w="1658"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77E1EA9" w14:textId="77777777" w:rsidR="00843454" w:rsidRPr="00DB2303" w:rsidRDefault="00843454" w:rsidP="0023662F">
            <w:pPr>
              <w:keepNext/>
              <w:jc w:val="left"/>
              <w:rPr>
                <w:color w:val="000000"/>
                <w:sz w:val="19"/>
                <w:szCs w:val="19"/>
                <w:lang w:val="en-CA"/>
              </w:rPr>
            </w:pPr>
            <w:r w:rsidRPr="00DB2303">
              <w:rPr>
                <w:color w:val="000000"/>
                <w:sz w:val="19"/>
                <w:szCs w:val="19"/>
                <w:lang w:val="en-CA"/>
              </w:rPr>
              <w:t>HCFC-124</w:t>
            </w:r>
          </w:p>
        </w:tc>
        <w:tc>
          <w:tcPr>
            <w:tcW w:w="519" w:type="pct"/>
            <w:tcBorders>
              <w:top w:val="single" w:sz="4" w:space="0" w:color="auto"/>
              <w:left w:val="single" w:sz="4" w:space="0" w:color="auto"/>
              <w:bottom w:val="single" w:sz="4" w:space="0" w:color="auto"/>
              <w:right w:val="single" w:sz="4" w:space="0" w:color="auto"/>
            </w:tcBorders>
            <w:vAlign w:val="center"/>
          </w:tcPr>
          <w:p w14:paraId="7C6AFABB"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1.97</w:t>
            </w:r>
          </w:p>
        </w:tc>
        <w:tc>
          <w:tcPr>
            <w:tcW w:w="540" w:type="pct"/>
            <w:tcBorders>
              <w:top w:val="single" w:sz="4" w:space="0" w:color="auto"/>
              <w:left w:val="single" w:sz="4" w:space="0" w:color="auto"/>
              <w:bottom w:val="single" w:sz="4" w:space="0" w:color="auto"/>
              <w:right w:val="single" w:sz="4" w:space="0" w:color="auto"/>
            </w:tcBorders>
            <w:vAlign w:val="center"/>
          </w:tcPr>
          <w:p w14:paraId="2F21C0C2"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2.14</w:t>
            </w:r>
          </w:p>
        </w:tc>
        <w:tc>
          <w:tcPr>
            <w:tcW w:w="554" w:type="pct"/>
            <w:tcBorders>
              <w:top w:val="single" w:sz="4" w:space="0" w:color="auto"/>
              <w:left w:val="single" w:sz="4" w:space="0" w:color="auto"/>
              <w:bottom w:val="single" w:sz="4" w:space="0" w:color="auto"/>
              <w:right w:val="single" w:sz="4" w:space="0" w:color="auto"/>
            </w:tcBorders>
            <w:vAlign w:val="center"/>
          </w:tcPr>
          <w:p w14:paraId="3CECB0D0"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1.02</w:t>
            </w:r>
          </w:p>
        </w:tc>
        <w:tc>
          <w:tcPr>
            <w:tcW w:w="537" w:type="pct"/>
            <w:tcBorders>
              <w:top w:val="single" w:sz="4" w:space="0" w:color="auto"/>
              <w:left w:val="single" w:sz="4" w:space="0" w:color="auto"/>
              <w:bottom w:val="single" w:sz="4" w:space="0" w:color="auto"/>
              <w:right w:val="single" w:sz="4" w:space="0" w:color="auto"/>
            </w:tcBorders>
          </w:tcPr>
          <w:p w14:paraId="5F47E956"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0.28</w:t>
            </w:r>
          </w:p>
        </w:tc>
        <w:tc>
          <w:tcPr>
            <w:tcW w:w="536" w:type="pct"/>
            <w:tcBorders>
              <w:top w:val="single" w:sz="4" w:space="0" w:color="auto"/>
              <w:left w:val="single" w:sz="4" w:space="0" w:color="auto"/>
              <w:bottom w:val="single" w:sz="4" w:space="0" w:color="auto"/>
              <w:right w:val="single" w:sz="4" w:space="0" w:color="auto"/>
            </w:tcBorders>
          </w:tcPr>
          <w:p w14:paraId="64CF76E9"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0.27</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11AD5A"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2.77</w:t>
            </w:r>
          </w:p>
        </w:tc>
      </w:tr>
      <w:tr w:rsidR="00843454" w:rsidRPr="00DB2303" w14:paraId="57309C9D" w14:textId="77777777" w:rsidTr="008315F8">
        <w:tc>
          <w:tcPr>
            <w:tcW w:w="1658"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B08A661" w14:textId="77777777" w:rsidR="00843454" w:rsidRPr="00DB2303" w:rsidRDefault="00843454" w:rsidP="0023662F">
            <w:pPr>
              <w:keepNext/>
              <w:jc w:val="left"/>
              <w:rPr>
                <w:color w:val="000000"/>
                <w:sz w:val="19"/>
                <w:szCs w:val="19"/>
                <w:lang w:val="en-CA"/>
              </w:rPr>
            </w:pPr>
            <w:r w:rsidRPr="00DB2303">
              <w:rPr>
                <w:color w:val="000000"/>
                <w:sz w:val="19"/>
                <w:szCs w:val="19"/>
                <w:lang w:val="en-CA"/>
              </w:rPr>
              <w:t>HCFC-141b</w:t>
            </w:r>
          </w:p>
        </w:tc>
        <w:tc>
          <w:tcPr>
            <w:tcW w:w="519" w:type="pct"/>
            <w:tcBorders>
              <w:top w:val="single" w:sz="4" w:space="0" w:color="auto"/>
              <w:left w:val="single" w:sz="4" w:space="0" w:color="auto"/>
              <w:bottom w:val="single" w:sz="4" w:space="0" w:color="auto"/>
              <w:right w:val="single" w:sz="4" w:space="0" w:color="auto"/>
            </w:tcBorders>
            <w:vAlign w:val="center"/>
          </w:tcPr>
          <w:p w14:paraId="55E3B592"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13.16</w:t>
            </w:r>
          </w:p>
        </w:tc>
        <w:tc>
          <w:tcPr>
            <w:tcW w:w="540" w:type="pct"/>
            <w:tcBorders>
              <w:top w:val="single" w:sz="4" w:space="0" w:color="auto"/>
              <w:left w:val="single" w:sz="4" w:space="0" w:color="auto"/>
              <w:bottom w:val="single" w:sz="4" w:space="0" w:color="auto"/>
              <w:right w:val="single" w:sz="4" w:space="0" w:color="auto"/>
            </w:tcBorders>
            <w:vAlign w:val="center"/>
          </w:tcPr>
          <w:p w14:paraId="1BB9962E"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9.95</w:t>
            </w:r>
          </w:p>
        </w:tc>
        <w:tc>
          <w:tcPr>
            <w:tcW w:w="554" w:type="pct"/>
            <w:tcBorders>
              <w:top w:val="single" w:sz="4" w:space="0" w:color="auto"/>
              <w:left w:val="single" w:sz="4" w:space="0" w:color="auto"/>
              <w:bottom w:val="single" w:sz="4" w:space="0" w:color="auto"/>
              <w:right w:val="single" w:sz="4" w:space="0" w:color="auto"/>
            </w:tcBorders>
            <w:vAlign w:val="center"/>
          </w:tcPr>
          <w:p w14:paraId="39C32B04"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17.53</w:t>
            </w:r>
          </w:p>
        </w:tc>
        <w:tc>
          <w:tcPr>
            <w:tcW w:w="537" w:type="pct"/>
            <w:tcBorders>
              <w:top w:val="single" w:sz="4" w:space="0" w:color="auto"/>
              <w:left w:val="single" w:sz="4" w:space="0" w:color="auto"/>
              <w:bottom w:val="single" w:sz="4" w:space="0" w:color="auto"/>
              <w:right w:val="single" w:sz="4" w:space="0" w:color="auto"/>
            </w:tcBorders>
          </w:tcPr>
          <w:p w14:paraId="0F561D29"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17.62</w:t>
            </w:r>
          </w:p>
        </w:tc>
        <w:tc>
          <w:tcPr>
            <w:tcW w:w="536" w:type="pct"/>
            <w:tcBorders>
              <w:top w:val="single" w:sz="4" w:space="0" w:color="auto"/>
              <w:left w:val="single" w:sz="4" w:space="0" w:color="auto"/>
              <w:bottom w:val="single" w:sz="4" w:space="0" w:color="auto"/>
              <w:right w:val="single" w:sz="4" w:space="0" w:color="auto"/>
            </w:tcBorders>
          </w:tcPr>
          <w:p w14:paraId="75A9662A"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13.13</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C142E7"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16.25</w:t>
            </w:r>
          </w:p>
        </w:tc>
      </w:tr>
      <w:tr w:rsidR="00843454" w:rsidRPr="00DB2303" w14:paraId="795DA686" w14:textId="77777777" w:rsidTr="008315F8">
        <w:tc>
          <w:tcPr>
            <w:tcW w:w="1658"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EF5273F" w14:textId="77777777" w:rsidR="00843454" w:rsidRPr="00DB2303" w:rsidRDefault="00843454" w:rsidP="0023662F">
            <w:pPr>
              <w:keepNext/>
              <w:jc w:val="left"/>
              <w:rPr>
                <w:color w:val="000000"/>
                <w:sz w:val="19"/>
                <w:szCs w:val="19"/>
                <w:lang w:val="en-CA"/>
              </w:rPr>
            </w:pPr>
            <w:r w:rsidRPr="00DB2303">
              <w:rPr>
                <w:color w:val="000000"/>
                <w:sz w:val="19"/>
                <w:szCs w:val="19"/>
                <w:lang w:val="en-CA"/>
              </w:rPr>
              <w:t>HCFC-142b</w:t>
            </w:r>
          </w:p>
        </w:tc>
        <w:tc>
          <w:tcPr>
            <w:tcW w:w="519" w:type="pct"/>
            <w:tcBorders>
              <w:top w:val="single" w:sz="4" w:space="0" w:color="auto"/>
              <w:left w:val="single" w:sz="4" w:space="0" w:color="auto"/>
              <w:bottom w:val="single" w:sz="4" w:space="0" w:color="auto"/>
              <w:right w:val="single" w:sz="4" w:space="0" w:color="auto"/>
            </w:tcBorders>
            <w:vAlign w:val="center"/>
          </w:tcPr>
          <w:p w14:paraId="1DEF9187"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10.15</w:t>
            </w:r>
          </w:p>
        </w:tc>
        <w:tc>
          <w:tcPr>
            <w:tcW w:w="540" w:type="pct"/>
            <w:tcBorders>
              <w:top w:val="single" w:sz="4" w:space="0" w:color="auto"/>
              <w:left w:val="single" w:sz="4" w:space="0" w:color="auto"/>
              <w:bottom w:val="single" w:sz="4" w:space="0" w:color="auto"/>
              <w:right w:val="single" w:sz="4" w:space="0" w:color="auto"/>
            </w:tcBorders>
            <w:vAlign w:val="center"/>
          </w:tcPr>
          <w:p w14:paraId="0AAEA26A"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11.57</w:t>
            </w:r>
          </w:p>
        </w:tc>
        <w:tc>
          <w:tcPr>
            <w:tcW w:w="554" w:type="pct"/>
            <w:tcBorders>
              <w:top w:val="single" w:sz="4" w:space="0" w:color="auto"/>
              <w:left w:val="single" w:sz="4" w:space="0" w:color="auto"/>
              <w:bottom w:val="single" w:sz="4" w:space="0" w:color="auto"/>
              <w:right w:val="single" w:sz="4" w:space="0" w:color="auto"/>
            </w:tcBorders>
            <w:vAlign w:val="center"/>
          </w:tcPr>
          <w:p w14:paraId="68998317"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4.31</w:t>
            </w:r>
          </w:p>
        </w:tc>
        <w:tc>
          <w:tcPr>
            <w:tcW w:w="537" w:type="pct"/>
            <w:tcBorders>
              <w:top w:val="single" w:sz="4" w:space="0" w:color="auto"/>
              <w:left w:val="single" w:sz="4" w:space="0" w:color="auto"/>
              <w:bottom w:val="single" w:sz="4" w:space="0" w:color="auto"/>
              <w:right w:val="single" w:sz="4" w:space="0" w:color="auto"/>
            </w:tcBorders>
          </w:tcPr>
          <w:p w14:paraId="6446E73D"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2.00</w:t>
            </w:r>
          </w:p>
        </w:tc>
        <w:tc>
          <w:tcPr>
            <w:tcW w:w="536" w:type="pct"/>
            <w:tcBorders>
              <w:top w:val="single" w:sz="4" w:space="0" w:color="auto"/>
              <w:left w:val="single" w:sz="4" w:space="0" w:color="auto"/>
              <w:bottom w:val="single" w:sz="4" w:space="0" w:color="auto"/>
              <w:right w:val="single" w:sz="4" w:space="0" w:color="auto"/>
            </w:tcBorders>
          </w:tcPr>
          <w:p w14:paraId="0F21FFDB"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6.03</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612F3B"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18.15</w:t>
            </w:r>
          </w:p>
        </w:tc>
      </w:tr>
      <w:tr w:rsidR="00843454" w:rsidRPr="00DB2303" w14:paraId="48FB86BC" w14:textId="77777777" w:rsidTr="008315F8">
        <w:tc>
          <w:tcPr>
            <w:tcW w:w="1658"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18CA5672" w14:textId="77777777" w:rsidR="00843454" w:rsidRPr="00DB2303" w:rsidRDefault="00843454" w:rsidP="0023662F">
            <w:pPr>
              <w:keepNext/>
              <w:jc w:val="left"/>
              <w:rPr>
                <w:rFonts w:eastAsiaTheme="minorHAnsi"/>
                <w:b/>
                <w:color w:val="000000"/>
                <w:sz w:val="19"/>
                <w:szCs w:val="19"/>
                <w:lang w:val="en-CA"/>
              </w:rPr>
            </w:pPr>
            <w:r w:rsidRPr="00DB2303">
              <w:rPr>
                <w:b/>
                <w:color w:val="000000"/>
                <w:sz w:val="19"/>
                <w:szCs w:val="19"/>
                <w:lang w:val="en-CA"/>
              </w:rPr>
              <w:t>Total (mt)</w:t>
            </w:r>
          </w:p>
        </w:tc>
        <w:tc>
          <w:tcPr>
            <w:tcW w:w="519" w:type="pct"/>
            <w:tcBorders>
              <w:top w:val="single" w:sz="4" w:space="0" w:color="auto"/>
              <w:left w:val="single" w:sz="4" w:space="0" w:color="auto"/>
              <w:bottom w:val="single" w:sz="4" w:space="0" w:color="auto"/>
              <w:right w:val="single" w:sz="4" w:space="0" w:color="auto"/>
            </w:tcBorders>
            <w:vAlign w:val="center"/>
          </w:tcPr>
          <w:p w14:paraId="25631F52" w14:textId="77777777" w:rsidR="00843454" w:rsidRPr="00DB2303" w:rsidRDefault="00843454" w:rsidP="0023662F">
            <w:pPr>
              <w:keepNext/>
              <w:jc w:val="right"/>
              <w:rPr>
                <w:b/>
                <w:bCs/>
                <w:color w:val="000000"/>
                <w:sz w:val="19"/>
                <w:szCs w:val="19"/>
                <w:lang w:val="en-CA" w:eastAsia="en-CA"/>
              </w:rPr>
            </w:pPr>
            <w:r w:rsidRPr="00DB2303">
              <w:rPr>
                <w:b/>
                <w:bCs/>
                <w:color w:val="000000"/>
                <w:sz w:val="19"/>
                <w:szCs w:val="19"/>
                <w:lang w:val="en-CA" w:eastAsia="en-CA"/>
              </w:rPr>
              <w:t>476.78</w:t>
            </w:r>
          </w:p>
        </w:tc>
        <w:tc>
          <w:tcPr>
            <w:tcW w:w="540" w:type="pct"/>
            <w:tcBorders>
              <w:top w:val="single" w:sz="4" w:space="0" w:color="auto"/>
              <w:left w:val="single" w:sz="4" w:space="0" w:color="auto"/>
              <w:bottom w:val="single" w:sz="4" w:space="0" w:color="auto"/>
              <w:right w:val="single" w:sz="4" w:space="0" w:color="auto"/>
            </w:tcBorders>
            <w:vAlign w:val="center"/>
          </w:tcPr>
          <w:p w14:paraId="66B54056" w14:textId="77777777" w:rsidR="00843454" w:rsidRPr="00DB2303" w:rsidRDefault="00843454" w:rsidP="0023662F">
            <w:pPr>
              <w:keepNext/>
              <w:jc w:val="right"/>
              <w:rPr>
                <w:b/>
                <w:bCs/>
                <w:color w:val="000000"/>
                <w:sz w:val="19"/>
                <w:szCs w:val="19"/>
                <w:lang w:val="en-CA" w:eastAsia="en-CA"/>
              </w:rPr>
            </w:pPr>
            <w:r w:rsidRPr="00DB2303">
              <w:rPr>
                <w:b/>
                <w:bCs/>
                <w:color w:val="000000"/>
                <w:sz w:val="19"/>
                <w:szCs w:val="19"/>
                <w:lang w:val="en-CA" w:eastAsia="en-CA"/>
              </w:rPr>
              <w:t>458.5</w:t>
            </w:r>
          </w:p>
        </w:tc>
        <w:tc>
          <w:tcPr>
            <w:tcW w:w="554" w:type="pct"/>
            <w:tcBorders>
              <w:top w:val="single" w:sz="4" w:space="0" w:color="auto"/>
              <w:left w:val="single" w:sz="4" w:space="0" w:color="auto"/>
              <w:bottom w:val="single" w:sz="4" w:space="0" w:color="auto"/>
              <w:right w:val="single" w:sz="4" w:space="0" w:color="auto"/>
            </w:tcBorders>
            <w:vAlign w:val="center"/>
          </w:tcPr>
          <w:p w14:paraId="5272223F" w14:textId="77777777" w:rsidR="00843454" w:rsidRPr="00DB2303" w:rsidRDefault="00843454" w:rsidP="0023662F">
            <w:pPr>
              <w:keepNext/>
              <w:jc w:val="right"/>
              <w:rPr>
                <w:b/>
                <w:bCs/>
                <w:color w:val="000000"/>
                <w:sz w:val="19"/>
                <w:szCs w:val="19"/>
                <w:lang w:val="en-CA" w:eastAsia="en-CA"/>
              </w:rPr>
            </w:pPr>
            <w:r w:rsidRPr="00DB2303">
              <w:rPr>
                <w:b/>
                <w:bCs/>
                <w:color w:val="000000"/>
                <w:sz w:val="19"/>
                <w:szCs w:val="19"/>
                <w:lang w:val="en-CA" w:eastAsia="en-CA"/>
              </w:rPr>
              <w:t>382.55</w:t>
            </w:r>
          </w:p>
        </w:tc>
        <w:tc>
          <w:tcPr>
            <w:tcW w:w="537" w:type="pct"/>
            <w:tcBorders>
              <w:top w:val="single" w:sz="4" w:space="0" w:color="auto"/>
              <w:left w:val="single" w:sz="4" w:space="0" w:color="auto"/>
              <w:bottom w:val="single" w:sz="4" w:space="0" w:color="auto"/>
              <w:right w:val="single" w:sz="4" w:space="0" w:color="auto"/>
            </w:tcBorders>
          </w:tcPr>
          <w:p w14:paraId="7F98A027" w14:textId="77777777" w:rsidR="00843454" w:rsidRPr="00DB2303" w:rsidRDefault="00843454" w:rsidP="0023662F">
            <w:pPr>
              <w:keepNext/>
              <w:jc w:val="right"/>
              <w:rPr>
                <w:b/>
                <w:color w:val="000000"/>
                <w:sz w:val="19"/>
                <w:szCs w:val="19"/>
                <w:lang w:val="en-CA"/>
              </w:rPr>
            </w:pPr>
            <w:r w:rsidRPr="00DB2303">
              <w:rPr>
                <w:b/>
                <w:color w:val="000000"/>
                <w:sz w:val="19"/>
                <w:szCs w:val="19"/>
                <w:lang w:val="en-CA"/>
              </w:rPr>
              <w:t>397.79</w:t>
            </w:r>
          </w:p>
        </w:tc>
        <w:tc>
          <w:tcPr>
            <w:tcW w:w="536" w:type="pct"/>
            <w:tcBorders>
              <w:top w:val="single" w:sz="4" w:space="0" w:color="auto"/>
              <w:left w:val="single" w:sz="4" w:space="0" w:color="auto"/>
              <w:bottom w:val="single" w:sz="4" w:space="0" w:color="auto"/>
              <w:right w:val="single" w:sz="4" w:space="0" w:color="auto"/>
            </w:tcBorders>
          </w:tcPr>
          <w:p w14:paraId="1D44ED22" w14:textId="77777777" w:rsidR="00843454" w:rsidRPr="00DB2303" w:rsidRDefault="00843454" w:rsidP="0023662F">
            <w:pPr>
              <w:keepNext/>
              <w:jc w:val="right"/>
              <w:rPr>
                <w:b/>
                <w:bCs/>
                <w:color w:val="000000"/>
                <w:sz w:val="19"/>
                <w:szCs w:val="19"/>
                <w:lang w:val="en-CA" w:eastAsia="en-CA"/>
              </w:rPr>
            </w:pPr>
            <w:r w:rsidRPr="00DB2303">
              <w:rPr>
                <w:b/>
                <w:bCs/>
                <w:color w:val="000000"/>
                <w:sz w:val="19"/>
                <w:szCs w:val="19"/>
                <w:lang w:val="en-CA" w:eastAsia="en-CA"/>
              </w:rPr>
              <w:t>390.63</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49F9A7" w14:textId="77777777" w:rsidR="00843454" w:rsidRPr="00DB2303" w:rsidRDefault="00843454" w:rsidP="0023662F">
            <w:pPr>
              <w:keepNext/>
              <w:jc w:val="right"/>
              <w:rPr>
                <w:b/>
                <w:bCs/>
                <w:color w:val="000000"/>
                <w:sz w:val="19"/>
                <w:szCs w:val="19"/>
                <w:lang w:val="en-CA" w:eastAsia="en-CA"/>
              </w:rPr>
            </w:pPr>
            <w:r w:rsidRPr="00DB2303">
              <w:rPr>
                <w:b/>
                <w:bCs/>
                <w:color w:val="000000"/>
                <w:sz w:val="19"/>
                <w:szCs w:val="19"/>
                <w:lang w:val="en-CA" w:eastAsia="en-CA"/>
              </w:rPr>
              <w:t>470.46</w:t>
            </w:r>
          </w:p>
        </w:tc>
      </w:tr>
      <w:tr w:rsidR="00843454" w:rsidRPr="00DB2303" w14:paraId="61EFEC0F" w14:textId="77777777" w:rsidTr="008315F8">
        <w:tc>
          <w:tcPr>
            <w:tcW w:w="1658"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746CB8EE" w14:textId="77777777" w:rsidR="00843454" w:rsidRPr="00DB2303" w:rsidRDefault="00843454" w:rsidP="0023662F">
            <w:pPr>
              <w:keepNext/>
              <w:jc w:val="left"/>
              <w:rPr>
                <w:b/>
                <w:bCs/>
                <w:color w:val="000000"/>
                <w:sz w:val="19"/>
                <w:szCs w:val="19"/>
                <w:lang w:val="en-CA"/>
              </w:rPr>
            </w:pPr>
            <w:r w:rsidRPr="00DB2303">
              <w:rPr>
                <w:color w:val="000000"/>
                <w:sz w:val="19"/>
                <w:szCs w:val="19"/>
                <w:lang w:val="en-CA"/>
              </w:rPr>
              <w:t>HCFC-141b in imported pre-blended polyols**</w:t>
            </w:r>
          </w:p>
        </w:tc>
        <w:tc>
          <w:tcPr>
            <w:tcW w:w="519" w:type="pct"/>
            <w:tcBorders>
              <w:top w:val="single" w:sz="4" w:space="0" w:color="auto"/>
              <w:left w:val="single" w:sz="4" w:space="0" w:color="auto"/>
              <w:bottom w:val="single" w:sz="4" w:space="0" w:color="auto"/>
              <w:right w:val="single" w:sz="4" w:space="0" w:color="auto"/>
            </w:tcBorders>
          </w:tcPr>
          <w:p w14:paraId="09FF6C1D"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98.04</w:t>
            </w:r>
          </w:p>
        </w:tc>
        <w:tc>
          <w:tcPr>
            <w:tcW w:w="540" w:type="pct"/>
            <w:tcBorders>
              <w:top w:val="single" w:sz="4" w:space="0" w:color="auto"/>
              <w:left w:val="single" w:sz="4" w:space="0" w:color="auto"/>
              <w:bottom w:val="single" w:sz="4" w:space="0" w:color="auto"/>
              <w:right w:val="single" w:sz="4" w:space="0" w:color="auto"/>
            </w:tcBorders>
          </w:tcPr>
          <w:p w14:paraId="26E34C82"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842.78</w:t>
            </w:r>
          </w:p>
        </w:tc>
        <w:tc>
          <w:tcPr>
            <w:tcW w:w="554" w:type="pct"/>
            <w:tcBorders>
              <w:top w:val="single" w:sz="4" w:space="0" w:color="auto"/>
              <w:left w:val="single" w:sz="4" w:space="0" w:color="auto"/>
              <w:bottom w:val="single" w:sz="4" w:space="0" w:color="auto"/>
              <w:right w:val="single" w:sz="4" w:space="0" w:color="auto"/>
            </w:tcBorders>
          </w:tcPr>
          <w:p w14:paraId="78FAE500"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230.37</w:t>
            </w:r>
          </w:p>
        </w:tc>
        <w:tc>
          <w:tcPr>
            <w:tcW w:w="537" w:type="pct"/>
            <w:tcBorders>
              <w:top w:val="single" w:sz="4" w:space="0" w:color="auto"/>
              <w:left w:val="single" w:sz="4" w:space="0" w:color="auto"/>
              <w:bottom w:val="single" w:sz="4" w:space="0" w:color="auto"/>
              <w:right w:val="single" w:sz="4" w:space="0" w:color="auto"/>
            </w:tcBorders>
          </w:tcPr>
          <w:p w14:paraId="4C301FAB"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295.58</w:t>
            </w:r>
          </w:p>
        </w:tc>
        <w:tc>
          <w:tcPr>
            <w:tcW w:w="536" w:type="pct"/>
            <w:tcBorders>
              <w:top w:val="single" w:sz="4" w:space="0" w:color="auto"/>
              <w:left w:val="single" w:sz="4" w:space="0" w:color="auto"/>
              <w:bottom w:val="single" w:sz="4" w:space="0" w:color="auto"/>
              <w:right w:val="single" w:sz="4" w:space="0" w:color="auto"/>
            </w:tcBorders>
          </w:tcPr>
          <w:p w14:paraId="6D3BC7E6" w14:textId="77777777" w:rsidR="00843454" w:rsidRPr="00DB2303" w:rsidRDefault="00843454" w:rsidP="0023662F">
            <w:pPr>
              <w:keepNext/>
              <w:jc w:val="right"/>
              <w:rPr>
                <w:bCs/>
                <w:color w:val="000000"/>
                <w:sz w:val="19"/>
                <w:szCs w:val="19"/>
                <w:lang w:val="en-CA" w:eastAsia="en-CA"/>
              </w:rPr>
            </w:pPr>
            <w:r w:rsidRPr="00DB2303">
              <w:rPr>
                <w:bCs/>
                <w:color w:val="000000"/>
                <w:sz w:val="19"/>
                <w:szCs w:val="19"/>
                <w:lang w:val="en-CA" w:eastAsia="en-CA"/>
              </w:rPr>
              <w:t>217.67</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14:paraId="2970A829" w14:textId="77777777" w:rsidR="00843454" w:rsidRPr="00DB2303" w:rsidRDefault="00843454" w:rsidP="00C85260">
            <w:pPr>
              <w:keepNext/>
              <w:jc w:val="right"/>
              <w:rPr>
                <w:bCs/>
                <w:color w:val="000000"/>
                <w:sz w:val="19"/>
                <w:szCs w:val="19"/>
                <w:lang w:val="en-CA" w:eastAsia="en-CA"/>
              </w:rPr>
            </w:pPr>
            <w:r w:rsidRPr="00DB2303">
              <w:rPr>
                <w:bCs/>
                <w:color w:val="000000"/>
                <w:sz w:val="19"/>
                <w:szCs w:val="19"/>
                <w:lang w:val="en-CA" w:eastAsia="en-CA"/>
              </w:rPr>
              <w:t>n</w:t>
            </w:r>
            <w:r w:rsidR="00C85260">
              <w:rPr>
                <w:bCs/>
                <w:color w:val="000000"/>
                <w:sz w:val="19"/>
                <w:szCs w:val="19"/>
                <w:lang w:val="en-CA" w:eastAsia="en-CA"/>
              </w:rPr>
              <w:t>/</w:t>
            </w:r>
            <w:r w:rsidRPr="00DB2303">
              <w:rPr>
                <w:bCs/>
                <w:color w:val="000000"/>
                <w:sz w:val="19"/>
                <w:szCs w:val="19"/>
                <w:lang w:val="en-CA" w:eastAsia="en-CA"/>
              </w:rPr>
              <w:t>a</w:t>
            </w:r>
          </w:p>
        </w:tc>
      </w:tr>
      <w:tr w:rsidR="00843454" w:rsidRPr="00DB2303" w14:paraId="45DCF081" w14:textId="77777777" w:rsidTr="008315F8">
        <w:tc>
          <w:tcPr>
            <w:tcW w:w="1658"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C3FDA02" w14:textId="77777777" w:rsidR="00843454" w:rsidRPr="00DB2303" w:rsidRDefault="00843454" w:rsidP="0023662F">
            <w:pPr>
              <w:widowControl w:val="0"/>
              <w:jc w:val="left"/>
              <w:rPr>
                <w:b/>
                <w:bCs/>
                <w:color w:val="000000"/>
                <w:sz w:val="19"/>
                <w:szCs w:val="19"/>
                <w:lang w:val="en-CA"/>
              </w:rPr>
            </w:pPr>
            <w:r w:rsidRPr="00DB2303">
              <w:rPr>
                <w:b/>
                <w:bCs/>
                <w:color w:val="000000"/>
                <w:sz w:val="19"/>
                <w:szCs w:val="19"/>
                <w:lang w:val="en-CA"/>
              </w:rPr>
              <w:t>ODP tonnes</w:t>
            </w:r>
          </w:p>
        </w:tc>
        <w:tc>
          <w:tcPr>
            <w:tcW w:w="519" w:type="pct"/>
            <w:tcBorders>
              <w:top w:val="single" w:sz="4" w:space="0" w:color="auto"/>
              <w:left w:val="single" w:sz="4" w:space="0" w:color="auto"/>
              <w:bottom w:val="single" w:sz="4" w:space="0" w:color="auto"/>
              <w:right w:val="single" w:sz="4" w:space="0" w:color="auto"/>
            </w:tcBorders>
            <w:vAlign w:val="center"/>
          </w:tcPr>
          <w:p w14:paraId="489B6168" w14:textId="77777777" w:rsidR="00843454" w:rsidRPr="00DB2303" w:rsidRDefault="00843454" w:rsidP="0023662F">
            <w:pPr>
              <w:widowControl w:val="0"/>
              <w:jc w:val="right"/>
              <w:rPr>
                <w:bCs/>
                <w:color w:val="000000"/>
                <w:sz w:val="19"/>
                <w:szCs w:val="19"/>
                <w:lang w:val="en-CA" w:eastAsia="en-CA"/>
              </w:rPr>
            </w:pPr>
          </w:p>
        </w:tc>
        <w:tc>
          <w:tcPr>
            <w:tcW w:w="540" w:type="pct"/>
            <w:tcBorders>
              <w:top w:val="single" w:sz="4" w:space="0" w:color="auto"/>
              <w:left w:val="single" w:sz="4" w:space="0" w:color="auto"/>
              <w:bottom w:val="single" w:sz="4" w:space="0" w:color="auto"/>
              <w:right w:val="single" w:sz="4" w:space="0" w:color="auto"/>
            </w:tcBorders>
            <w:vAlign w:val="center"/>
          </w:tcPr>
          <w:p w14:paraId="0BF4B517" w14:textId="77777777" w:rsidR="00843454" w:rsidRPr="00DB2303" w:rsidRDefault="00843454" w:rsidP="0023662F">
            <w:pPr>
              <w:widowControl w:val="0"/>
              <w:jc w:val="right"/>
              <w:rPr>
                <w:bCs/>
                <w:color w:val="000000"/>
                <w:sz w:val="19"/>
                <w:szCs w:val="19"/>
                <w:lang w:val="en-CA" w:eastAsia="en-CA"/>
              </w:rPr>
            </w:pPr>
          </w:p>
        </w:tc>
        <w:tc>
          <w:tcPr>
            <w:tcW w:w="554" w:type="pct"/>
            <w:tcBorders>
              <w:top w:val="single" w:sz="4" w:space="0" w:color="auto"/>
              <w:left w:val="single" w:sz="4" w:space="0" w:color="auto"/>
              <w:bottom w:val="single" w:sz="4" w:space="0" w:color="auto"/>
              <w:right w:val="single" w:sz="4" w:space="0" w:color="auto"/>
            </w:tcBorders>
            <w:vAlign w:val="center"/>
          </w:tcPr>
          <w:p w14:paraId="45D3F2D2" w14:textId="77777777" w:rsidR="00843454" w:rsidRPr="00DB2303" w:rsidRDefault="00843454" w:rsidP="0023662F">
            <w:pPr>
              <w:widowControl w:val="0"/>
              <w:jc w:val="right"/>
              <w:rPr>
                <w:bCs/>
                <w:color w:val="000000"/>
                <w:sz w:val="19"/>
                <w:szCs w:val="19"/>
                <w:lang w:val="en-CA" w:eastAsia="en-CA"/>
              </w:rPr>
            </w:pPr>
          </w:p>
        </w:tc>
        <w:tc>
          <w:tcPr>
            <w:tcW w:w="537" w:type="pct"/>
            <w:tcBorders>
              <w:top w:val="single" w:sz="4" w:space="0" w:color="auto"/>
              <w:left w:val="single" w:sz="4" w:space="0" w:color="auto"/>
              <w:bottom w:val="single" w:sz="4" w:space="0" w:color="auto"/>
              <w:right w:val="single" w:sz="4" w:space="0" w:color="auto"/>
            </w:tcBorders>
          </w:tcPr>
          <w:p w14:paraId="6F17365B" w14:textId="77777777" w:rsidR="00843454" w:rsidRPr="00DB2303" w:rsidRDefault="00843454" w:rsidP="0023662F">
            <w:pPr>
              <w:widowControl w:val="0"/>
              <w:jc w:val="right"/>
              <w:rPr>
                <w:color w:val="000000"/>
                <w:sz w:val="19"/>
                <w:szCs w:val="19"/>
                <w:lang w:val="en-CA"/>
              </w:rPr>
            </w:pPr>
          </w:p>
        </w:tc>
        <w:tc>
          <w:tcPr>
            <w:tcW w:w="536" w:type="pct"/>
            <w:tcBorders>
              <w:top w:val="single" w:sz="4" w:space="0" w:color="auto"/>
              <w:left w:val="single" w:sz="4" w:space="0" w:color="auto"/>
              <w:bottom w:val="single" w:sz="4" w:space="0" w:color="auto"/>
              <w:right w:val="single" w:sz="4" w:space="0" w:color="auto"/>
            </w:tcBorders>
          </w:tcPr>
          <w:p w14:paraId="688D399E" w14:textId="77777777" w:rsidR="00843454" w:rsidRPr="00DB2303" w:rsidRDefault="00843454" w:rsidP="0023662F">
            <w:pPr>
              <w:widowControl w:val="0"/>
              <w:jc w:val="right"/>
              <w:rPr>
                <w:bCs/>
                <w:color w:val="000000"/>
                <w:sz w:val="19"/>
                <w:szCs w:val="19"/>
                <w:lang w:val="en-CA" w:eastAsia="en-CA"/>
              </w:rPr>
            </w:pP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E84648" w14:textId="77777777" w:rsidR="00843454" w:rsidRPr="00DB2303" w:rsidRDefault="00843454" w:rsidP="0023662F">
            <w:pPr>
              <w:widowControl w:val="0"/>
              <w:jc w:val="right"/>
              <w:rPr>
                <w:bCs/>
                <w:color w:val="000000"/>
                <w:sz w:val="19"/>
                <w:szCs w:val="19"/>
                <w:lang w:val="en-CA" w:eastAsia="en-CA"/>
              </w:rPr>
            </w:pPr>
          </w:p>
        </w:tc>
      </w:tr>
      <w:tr w:rsidR="00843454" w:rsidRPr="00DB2303" w14:paraId="7DB9BDE7" w14:textId="77777777" w:rsidTr="008315F8">
        <w:tc>
          <w:tcPr>
            <w:tcW w:w="1658"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8034F1E" w14:textId="77777777" w:rsidR="00843454" w:rsidRPr="00DB2303" w:rsidRDefault="00843454" w:rsidP="0023662F">
            <w:pPr>
              <w:widowControl w:val="0"/>
              <w:jc w:val="left"/>
              <w:rPr>
                <w:color w:val="000000"/>
                <w:sz w:val="19"/>
                <w:szCs w:val="19"/>
                <w:lang w:val="en-CA"/>
              </w:rPr>
            </w:pPr>
            <w:r w:rsidRPr="00DB2303">
              <w:rPr>
                <w:color w:val="000000"/>
                <w:sz w:val="19"/>
                <w:szCs w:val="19"/>
                <w:lang w:val="en-CA"/>
              </w:rPr>
              <w:t>HCFC-22</w:t>
            </w:r>
          </w:p>
        </w:tc>
        <w:tc>
          <w:tcPr>
            <w:tcW w:w="519" w:type="pct"/>
            <w:tcBorders>
              <w:top w:val="single" w:sz="4" w:space="0" w:color="auto"/>
              <w:left w:val="single" w:sz="4" w:space="0" w:color="auto"/>
              <w:bottom w:val="single" w:sz="4" w:space="0" w:color="auto"/>
              <w:right w:val="single" w:sz="4" w:space="0" w:color="auto"/>
            </w:tcBorders>
            <w:vAlign w:val="center"/>
          </w:tcPr>
          <w:p w14:paraId="41FF0BF6" w14:textId="77777777" w:rsidR="00843454" w:rsidRPr="00DB2303" w:rsidRDefault="00843454" w:rsidP="0023662F">
            <w:pPr>
              <w:widowControl w:val="0"/>
              <w:jc w:val="right"/>
              <w:rPr>
                <w:bCs/>
                <w:color w:val="000000"/>
                <w:sz w:val="19"/>
                <w:szCs w:val="19"/>
                <w:lang w:val="en-CA" w:eastAsia="en-CA"/>
              </w:rPr>
            </w:pPr>
            <w:r w:rsidRPr="00DB2303">
              <w:rPr>
                <w:bCs/>
                <w:color w:val="000000"/>
                <w:sz w:val="19"/>
                <w:szCs w:val="19"/>
                <w:lang w:val="en-CA" w:eastAsia="en-CA"/>
              </w:rPr>
              <w:t>24.83</w:t>
            </w:r>
          </w:p>
        </w:tc>
        <w:tc>
          <w:tcPr>
            <w:tcW w:w="540" w:type="pct"/>
            <w:tcBorders>
              <w:top w:val="single" w:sz="4" w:space="0" w:color="auto"/>
              <w:left w:val="single" w:sz="4" w:space="0" w:color="auto"/>
              <w:bottom w:val="single" w:sz="4" w:space="0" w:color="auto"/>
              <w:right w:val="single" w:sz="4" w:space="0" w:color="auto"/>
            </w:tcBorders>
            <w:vAlign w:val="center"/>
          </w:tcPr>
          <w:p w14:paraId="707AC2F1" w14:textId="77777777" w:rsidR="00843454" w:rsidRPr="00DB2303" w:rsidRDefault="00843454" w:rsidP="0023662F">
            <w:pPr>
              <w:widowControl w:val="0"/>
              <w:jc w:val="right"/>
              <w:rPr>
                <w:bCs/>
                <w:color w:val="000000"/>
                <w:sz w:val="19"/>
                <w:szCs w:val="19"/>
                <w:lang w:val="en-CA" w:eastAsia="en-CA"/>
              </w:rPr>
            </w:pPr>
            <w:r w:rsidRPr="00DB2303">
              <w:rPr>
                <w:bCs/>
                <w:color w:val="000000"/>
                <w:sz w:val="19"/>
                <w:szCs w:val="19"/>
                <w:lang w:val="en-CA" w:eastAsia="en-CA"/>
              </w:rPr>
              <w:t>23.92</w:t>
            </w:r>
          </w:p>
        </w:tc>
        <w:tc>
          <w:tcPr>
            <w:tcW w:w="554" w:type="pct"/>
            <w:tcBorders>
              <w:top w:val="single" w:sz="4" w:space="0" w:color="auto"/>
              <w:left w:val="single" w:sz="4" w:space="0" w:color="auto"/>
              <w:bottom w:val="single" w:sz="4" w:space="0" w:color="auto"/>
              <w:right w:val="single" w:sz="4" w:space="0" w:color="auto"/>
            </w:tcBorders>
            <w:vAlign w:val="center"/>
          </w:tcPr>
          <w:p w14:paraId="30958AF1" w14:textId="77777777" w:rsidR="00843454" w:rsidRPr="00DB2303" w:rsidRDefault="00843454" w:rsidP="0023662F">
            <w:pPr>
              <w:widowControl w:val="0"/>
              <w:jc w:val="right"/>
              <w:rPr>
                <w:bCs/>
                <w:color w:val="000000"/>
                <w:sz w:val="19"/>
                <w:szCs w:val="19"/>
                <w:lang w:val="en-CA" w:eastAsia="en-CA"/>
              </w:rPr>
            </w:pPr>
            <w:r w:rsidRPr="00DB2303">
              <w:rPr>
                <w:bCs/>
                <w:color w:val="000000"/>
                <w:sz w:val="19"/>
                <w:szCs w:val="19"/>
                <w:lang w:val="en-CA" w:eastAsia="en-CA"/>
              </w:rPr>
              <w:t>19.78</w:t>
            </w:r>
          </w:p>
        </w:tc>
        <w:tc>
          <w:tcPr>
            <w:tcW w:w="537" w:type="pct"/>
            <w:tcBorders>
              <w:top w:val="single" w:sz="4" w:space="0" w:color="auto"/>
              <w:left w:val="single" w:sz="4" w:space="0" w:color="auto"/>
              <w:bottom w:val="single" w:sz="4" w:space="0" w:color="auto"/>
              <w:right w:val="single" w:sz="4" w:space="0" w:color="auto"/>
            </w:tcBorders>
            <w:vAlign w:val="bottom"/>
          </w:tcPr>
          <w:p w14:paraId="74000EE6" w14:textId="77777777" w:rsidR="00843454" w:rsidRPr="00DB2303" w:rsidRDefault="00843454" w:rsidP="0023662F">
            <w:pPr>
              <w:widowControl w:val="0"/>
              <w:jc w:val="right"/>
              <w:rPr>
                <w:bCs/>
                <w:color w:val="000000"/>
                <w:sz w:val="19"/>
                <w:szCs w:val="19"/>
                <w:lang w:val="en-CA" w:eastAsia="en-CA"/>
              </w:rPr>
            </w:pPr>
            <w:r w:rsidRPr="00DB2303">
              <w:rPr>
                <w:bCs/>
                <w:color w:val="000000"/>
                <w:sz w:val="19"/>
                <w:szCs w:val="19"/>
                <w:lang w:val="en-CA" w:eastAsia="en-CA"/>
              </w:rPr>
              <w:t>20.62</w:t>
            </w:r>
          </w:p>
        </w:tc>
        <w:tc>
          <w:tcPr>
            <w:tcW w:w="536" w:type="pct"/>
            <w:tcBorders>
              <w:top w:val="single" w:sz="4" w:space="0" w:color="auto"/>
              <w:left w:val="single" w:sz="4" w:space="0" w:color="auto"/>
              <w:bottom w:val="single" w:sz="4" w:space="0" w:color="auto"/>
              <w:right w:val="single" w:sz="4" w:space="0" w:color="auto"/>
            </w:tcBorders>
          </w:tcPr>
          <w:p w14:paraId="4148751B" w14:textId="77777777" w:rsidR="00843454" w:rsidRPr="00DB2303" w:rsidRDefault="00843454" w:rsidP="0023662F">
            <w:pPr>
              <w:widowControl w:val="0"/>
              <w:jc w:val="right"/>
              <w:rPr>
                <w:bCs/>
                <w:color w:val="000000"/>
                <w:sz w:val="19"/>
                <w:szCs w:val="19"/>
                <w:lang w:val="en-CA" w:eastAsia="en-CA"/>
              </w:rPr>
            </w:pPr>
            <w:r w:rsidRPr="00DB2303">
              <w:rPr>
                <w:bCs/>
                <w:color w:val="000000"/>
                <w:sz w:val="19"/>
                <w:szCs w:val="19"/>
                <w:lang w:val="en-CA" w:eastAsia="en-CA"/>
              </w:rPr>
              <w:t>20.35</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C167D9" w14:textId="77777777" w:rsidR="00843454" w:rsidRPr="00DB2303" w:rsidRDefault="00843454" w:rsidP="0023662F">
            <w:pPr>
              <w:widowControl w:val="0"/>
              <w:jc w:val="right"/>
              <w:rPr>
                <w:bCs/>
                <w:color w:val="000000"/>
                <w:sz w:val="19"/>
                <w:szCs w:val="19"/>
                <w:lang w:val="en-CA" w:eastAsia="en-CA"/>
              </w:rPr>
            </w:pPr>
            <w:r w:rsidRPr="00DB2303">
              <w:rPr>
                <w:bCs/>
                <w:color w:val="000000"/>
                <w:sz w:val="19"/>
                <w:szCs w:val="19"/>
                <w:lang w:val="en-CA" w:eastAsia="en-CA"/>
              </w:rPr>
              <w:t>23.85</w:t>
            </w:r>
          </w:p>
        </w:tc>
      </w:tr>
      <w:tr w:rsidR="00843454" w:rsidRPr="00DB2303" w14:paraId="3CF38B7E" w14:textId="77777777" w:rsidTr="008315F8">
        <w:tc>
          <w:tcPr>
            <w:tcW w:w="1658"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59B75176" w14:textId="77777777" w:rsidR="00843454" w:rsidRPr="00DB2303" w:rsidRDefault="00843454" w:rsidP="0023662F">
            <w:pPr>
              <w:widowControl w:val="0"/>
              <w:jc w:val="left"/>
              <w:rPr>
                <w:color w:val="000000"/>
                <w:sz w:val="19"/>
                <w:szCs w:val="19"/>
                <w:lang w:val="en-CA"/>
              </w:rPr>
            </w:pPr>
            <w:r w:rsidRPr="00DB2303">
              <w:rPr>
                <w:color w:val="000000"/>
                <w:sz w:val="19"/>
                <w:szCs w:val="19"/>
                <w:lang w:val="en-CA"/>
              </w:rPr>
              <w:t>HCFC-123</w:t>
            </w:r>
            <w:r w:rsidRPr="00DB2303">
              <w:rPr>
                <w:bCs/>
                <w:color w:val="000000"/>
                <w:sz w:val="19"/>
                <w:szCs w:val="19"/>
                <w:lang w:val="en-CA" w:eastAsia="en-CA"/>
              </w:rPr>
              <w:t>*</w:t>
            </w:r>
          </w:p>
        </w:tc>
        <w:tc>
          <w:tcPr>
            <w:tcW w:w="519" w:type="pct"/>
            <w:tcBorders>
              <w:top w:val="single" w:sz="4" w:space="0" w:color="auto"/>
              <w:left w:val="single" w:sz="4" w:space="0" w:color="auto"/>
              <w:bottom w:val="single" w:sz="4" w:space="0" w:color="auto"/>
              <w:right w:val="single" w:sz="4" w:space="0" w:color="auto"/>
            </w:tcBorders>
            <w:vAlign w:val="center"/>
          </w:tcPr>
          <w:p w14:paraId="68BCF029" w14:textId="77777777" w:rsidR="00843454" w:rsidRPr="00DB2303" w:rsidRDefault="00843454" w:rsidP="0023662F">
            <w:pPr>
              <w:widowControl w:val="0"/>
              <w:jc w:val="right"/>
              <w:rPr>
                <w:bCs/>
                <w:color w:val="000000"/>
                <w:sz w:val="19"/>
                <w:szCs w:val="19"/>
                <w:lang w:val="en-CA" w:eastAsia="en-CA"/>
              </w:rPr>
            </w:pPr>
            <w:r w:rsidRPr="00DB2303">
              <w:rPr>
                <w:bCs/>
                <w:color w:val="000000"/>
                <w:sz w:val="19"/>
                <w:szCs w:val="19"/>
                <w:lang w:val="en-CA" w:eastAsia="en-CA"/>
              </w:rPr>
              <w:t>0</w:t>
            </w:r>
            <w:r w:rsidR="0061223B" w:rsidRPr="00DB2303">
              <w:rPr>
                <w:bCs/>
                <w:color w:val="000000"/>
                <w:sz w:val="19"/>
                <w:szCs w:val="19"/>
                <w:lang w:val="en-CA" w:eastAsia="en-CA"/>
              </w:rPr>
              <w:t>.00</w:t>
            </w:r>
          </w:p>
        </w:tc>
        <w:tc>
          <w:tcPr>
            <w:tcW w:w="540" w:type="pct"/>
            <w:tcBorders>
              <w:top w:val="single" w:sz="4" w:space="0" w:color="auto"/>
              <w:left w:val="single" w:sz="4" w:space="0" w:color="auto"/>
              <w:bottom w:val="single" w:sz="4" w:space="0" w:color="auto"/>
              <w:right w:val="single" w:sz="4" w:space="0" w:color="auto"/>
            </w:tcBorders>
            <w:vAlign w:val="center"/>
          </w:tcPr>
          <w:p w14:paraId="33563BFF" w14:textId="77777777" w:rsidR="00843454" w:rsidRPr="00DB2303" w:rsidRDefault="00843454" w:rsidP="0023662F">
            <w:pPr>
              <w:widowControl w:val="0"/>
              <w:jc w:val="right"/>
              <w:rPr>
                <w:bCs/>
                <w:color w:val="000000"/>
                <w:sz w:val="19"/>
                <w:szCs w:val="19"/>
                <w:lang w:val="en-CA" w:eastAsia="en-CA"/>
              </w:rPr>
            </w:pPr>
            <w:r w:rsidRPr="00DB2303">
              <w:rPr>
                <w:bCs/>
                <w:color w:val="000000"/>
                <w:sz w:val="19"/>
                <w:szCs w:val="19"/>
                <w:lang w:val="en-CA" w:eastAsia="en-CA"/>
              </w:rPr>
              <w:t>0</w:t>
            </w:r>
            <w:r w:rsidR="0061223B" w:rsidRPr="00DB2303">
              <w:rPr>
                <w:bCs/>
                <w:color w:val="000000"/>
                <w:sz w:val="19"/>
                <w:szCs w:val="19"/>
                <w:lang w:val="en-CA" w:eastAsia="en-CA"/>
              </w:rPr>
              <w:t>.00</w:t>
            </w:r>
          </w:p>
        </w:tc>
        <w:tc>
          <w:tcPr>
            <w:tcW w:w="554" w:type="pct"/>
            <w:tcBorders>
              <w:top w:val="single" w:sz="4" w:space="0" w:color="auto"/>
              <w:left w:val="single" w:sz="4" w:space="0" w:color="auto"/>
              <w:bottom w:val="single" w:sz="4" w:space="0" w:color="auto"/>
              <w:right w:val="single" w:sz="4" w:space="0" w:color="auto"/>
            </w:tcBorders>
            <w:vAlign w:val="center"/>
          </w:tcPr>
          <w:p w14:paraId="0E487D15" w14:textId="77777777" w:rsidR="00843454" w:rsidRPr="00DB2303" w:rsidRDefault="00843454" w:rsidP="0023662F">
            <w:pPr>
              <w:widowControl w:val="0"/>
              <w:jc w:val="right"/>
              <w:rPr>
                <w:bCs/>
                <w:color w:val="000000"/>
                <w:sz w:val="19"/>
                <w:szCs w:val="19"/>
                <w:lang w:val="en-CA" w:eastAsia="en-CA"/>
              </w:rPr>
            </w:pPr>
            <w:r w:rsidRPr="00DB2303">
              <w:rPr>
                <w:bCs/>
                <w:color w:val="000000"/>
                <w:sz w:val="19"/>
                <w:szCs w:val="19"/>
                <w:lang w:val="en-CA" w:eastAsia="en-CA"/>
              </w:rPr>
              <w:t>0</w:t>
            </w:r>
            <w:r w:rsidR="0061223B" w:rsidRPr="00DB2303">
              <w:rPr>
                <w:bCs/>
                <w:color w:val="000000"/>
                <w:sz w:val="19"/>
                <w:szCs w:val="19"/>
                <w:lang w:val="en-CA" w:eastAsia="en-CA"/>
              </w:rPr>
              <w:t>.00</w:t>
            </w:r>
          </w:p>
        </w:tc>
        <w:tc>
          <w:tcPr>
            <w:tcW w:w="537" w:type="pct"/>
            <w:tcBorders>
              <w:top w:val="single" w:sz="4" w:space="0" w:color="auto"/>
              <w:left w:val="single" w:sz="4" w:space="0" w:color="auto"/>
              <w:bottom w:val="single" w:sz="4" w:space="0" w:color="auto"/>
              <w:right w:val="single" w:sz="4" w:space="0" w:color="auto"/>
            </w:tcBorders>
            <w:vAlign w:val="bottom"/>
          </w:tcPr>
          <w:p w14:paraId="0DF34122" w14:textId="77777777" w:rsidR="00843454" w:rsidRPr="00DB2303" w:rsidRDefault="00843454" w:rsidP="0023662F">
            <w:pPr>
              <w:widowControl w:val="0"/>
              <w:jc w:val="right"/>
              <w:rPr>
                <w:bCs/>
                <w:color w:val="000000"/>
                <w:sz w:val="19"/>
                <w:szCs w:val="19"/>
                <w:lang w:val="en-CA" w:eastAsia="en-CA"/>
              </w:rPr>
            </w:pPr>
            <w:r w:rsidRPr="00DB2303">
              <w:rPr>
                <w:bCs/>
                <w:color w:val="000000"/>
                <w:sz w:val="19"/>
                <w:szCs w:val="19"/>
                <w:lang w:val="en-CA" w:eastAsia="en-CA"/>
              </w:rPr>
              <w:t>0.06</w:t>
            </w:r>
          </w:p>
        </w:tc>
        <w:tc>
          <w:tcPr>
            <w:tcW w:w="536" w:type="pct"/>
            <w:tcBorders>
              <w:top w:val="single" w:sz="4" w:space="0" w:color="auto"/>
              <w:left w:val="single" w:sz="4" w:space="0" w:color="auto"/>
              <w:bottom w:val="single" w:sz="4" w:space="0" w:color="auto"/>
              <w:right w:val="single" w:sz="4" w:space="0" w:color="auto"/>
            </w:tcBorders>
          </w:tcPr>
          <w:p w14:paraId="48167929" w14:textId="77777777" w:rsidR="00843454" w:rsidRPr="00DB2303" w:rsidRDefault="00843454" w:rsidP="0023662F">
            <w:pPr>
              <w:widowControl w:val="0"/>
              <w:jc w:val="right"/>
              <w:rPr>
                <w:bCs/>
                <w:color w:val="000000"/>
                <w:sz w:val="19"/>
                <w:szCs w:val="19"/>
                <w:lang w:val="en-CA" w:eastAsia="en-CA"/>
              </w:rPr>
            </w:pPr>
            <w:r w:rsidRPr="00DB2303">
              <w:rPr>
                <w:bCs/>
                <w:color w:val="000000"/>
                <w:sz w:val="19"/>
                <w:szCs w:val="19"/>
                <w:lang w:val="en-CA" w:eastAsia="en-CA"/>
              </w:rPr>
              <w:t>0.03</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33027F" w14:textId="77777777" w:rsidR="00843454" w:rsidRPr="00DB2303" w:rsidRDefault="0061223B" w:rsidP="0023662F">
            <w:pPr>
              <w:widowControl w:val="0"/>
              <w:jc w:val="right"/>
              <w:rPr>
                <w:bCs/>
                <w:color w:val="000000"/>
                <w:sz w:val="19"/>
                <w:szCs w:val="19"/>
                <w:lang w:val="en-CA" w:eastAsia="en-CA"/>
              </w:rPr>
            </w:pPr>
            <w:r w:rsidRPr="00DB2303">
              <w:rPr>
                <w:bCs/>
                <w:color w:val="000000"/>
                <w:sz w:val="19"/>
                <w:szCs w:val="19"/>
                <w:lang w:val="en-CA" w:eastAsia="en-CA"/>
              </w:rPr>
              <w:t>0.00</w:t>
            </w:r>
          </w:p>
        </w:tc>
      </w:tr>
      <w:tr w:rsidR="00843454" w:rsidRPr="00DB2303" w14:paraId="5EF230FF" w14:textId="77777777" w:rsidTr="008315F8">
        <w:tc>
          <w:tcPr>
            <w:tcW w:w="1658"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63B33F1" w14:textId="77777777" w:rsidR="00843454" w:rsidRPr="00DB2303" w:rsidRDefault="00843454" w:rsidP="0023662F">
            <w:pPr>
              <w:widowControl w:val="0"/>
              <w:jc w:val="left"/>
              <w:rPr>
                <w:color w:val="000000"/>
                <w:sz w:val="19"/>
                <w:szCs w:val="19"/>
                <w:lang w:val="en-CA"/>
              </w:rPr>
            </w:pPr>
            <w:r w:rsidRPr="00DB2303">
              <w:rPr>
                <w:color w:val="000000"/>
                <w:sz w:val="19"/>
                <w:szCs w:val="19"/>
                <w:lang w:val="en-CA"/>
              </w:rPr>
              <w:t>HCFC-124</w:t>
            </w:r>
          </w:p>
        </w:tc>
        <w:tc>
          <w:tcPr>
            <w:tcW w:w="519" w:type="pct"/>
            <w:tcBorders>
              <w:top w:val="single" w:sz="4" w:space="0" w:color="auto"/>
              <w:left w:val="single" w:sz="4" w:space="0" w:color="auto"/>
              <w:bottom w:val="single" w:sz="4" w:space="0" w:color="auto"/>
              <w:right w:val="single" w:sz="4" w:space="0" w:color="auto"/>
            </w:tcBorders>
            <w:vAlign w:val="center"/>
          </w:tcPr>
          <w:p w14:paraId="08449639" w14:textId="77777777" w:rsidR="00843454" w:rsidRPr="00DB2303" w:rsidRDefault="00843454" w:rsidP="0023662F">
            <w:pPr>
              <w:widowControl w:val="0"/>
              <w:jc w:val="right"/>
              <w:rPr>
                <w:bCs/>
                <w:color w:val="000000"/>
                <w:sz w:val="19"/>
                <w:szCs w:val="19"/>
                <w:lang w:val="en-CA" w:eastAsia="en-CA"/>
              </w:rPr>
            </w:pPr>
            <w:r w:rsidRPr="00DB2303">
              <w:rPr>
                <w:bCs/>
                <w:color w:val="000000"/>
                <w:sz w:val="19"/>
                <w:szCs w:val="19"/>
                <w:lang w:val="en-CA" w:eastAsia="en-CA"/>
              </w:rPr>
              <w:t>0.04</w:t>
            </w:r>
          </w:p>
        </w:tc>
        <w:tc>
          <w:tcPr>
            <w:tcW w:w="540" w:type="pct"/>
            <w:tcBorders>
              <w:top w:val="single" w:sz="4" w:space="0" w:color="auto"/>
              <w:left w:val="single" w:sz="4" w:space="0" w:color="auto"/>
              <w:bottom w:val="single" w:sz="4" w:space="0" w:color="auto"/>
              <w:right w:val="single" w:sz="4" w:space="0" w:color="auto"/>
            </w:tcBorders>
            <w:vAlign w:val="center"/>
          </w:tcPr>
          <w:p w14:paraId="4A43AAE0" w14:textId="77777777" w:rsidR="00843454" w:rsidRPr="00DB2303" w:rsidRDefault="00843454" w:rsidP="0023662F">
            <w:pPr>
              <w:widowControl w:val="0"/>
              <w:jc w:val="right"/>
              <w:rPr>
                <w:bCs/>
                <w:color w:val="000000"/>
                <w:sz w:val="19"/>
                <w:szCs w:val="19"/>
                <w:lang w:val="en-CA" w:eastAsia="en-CA"/>
              </w:rPr>
            </w:pPr>
            <w:r w:rsidRPr="00DB2303">
              <w:rPr>
                <w:bCs/>
                <w:color w:val="000000"/>
                <w:sz w:val="19"/>
                <w:szCs w:val="19"/>
                <w:lang w:val="en-CA" w:eastAsia="en-CA"/>
              </w:rPr>
              <w:t>0.05</w:t>
            </w:r>
          </w:p>
        </w:tc>
        <w:tc>
          <w:tcPr>
            <w:tcW w:w="554" w:type="pct"/>
            <w:tcBorders>
              <w:top w:val="single" w:sz="4" w:space="0" w:color="auto"/>
              <w:left w:val="single" w:sz="4" w:space="0" w:color="auto"/>
              <w:bottom w:val="single" w:sz="4" w:space="0" w:color="auto"/>
              <w:right w:val="single" w:sz="4" w:space="0" w:color="auto"/>
            </w:tcBorders>
            <w:vAlign w:val="center"/>
          </w:tcPr>
          <w:p w14:paraId="20FF269F" w14:textId="77777777" w:rsidR="00843454" w:rsidRPr="00DB2303" w:rsidRDefault="00843454" w:rsidP="0023662F">
            <w:pPr>
              <w:widowControl w:val="0"/>
              <w:jc w:val="right"/>
              <w:rPr>
                <w:bCs/>
                <w:color w:val="000000"/>
                <w:sz w:val="19"/>
                <w:szCs w:val="19"/>
                <w:lang w:val="en-CA" w:eastAsia="en-CA"/>
              </w:rPr>
            </w:pPr>
            <w:r w:rsidRPr="00DB2303">
              <w:rPr>
                <w:bCs/>
                <w:color w:val="000000"/>
                <w:sz w:val="19"/>
                <w:szCs w:val="19"/>
                <w:lang w:val="en-CA" w:eastAsia="en-CA"/>
              </w:rPr>
              <w:t>0.02</w:t>
            </w:r>
          </w:p>
        </w:tc>
        <w:tc>
          <w:tcPr>
            <w:tcW w:w="537" w:type="pct"/>
            <w:tcBorders>
              <w:top w:val="single" w:sz="4" w:space="0" w:color="auto"/>
              <w:left w:val="single" w:sz="4" w:space="0" w:color="auto"/>
              <w:bottom w:val="single" w:sz="4" w:space="0" w:color="auto"/>
              <w:right w:val="single" w:sz="4" w:space="0" w:color="auto"/>
            </w:tcBorders>
            <w:vAlign w:val="bottom"/>
          </w:tcPr>
          <w:p w14:paraId="77797408" w14:textId="77777777" w:rsidR="00843454" w:rsidRPr="00DB2303" w:rsidRDefault="00843454" w:rsidP="0023662F">
            <w:pPr>
              <w:widowControl w:val="0"/>
              <w:jc w:val="right"/>
              <w:rPr>
                <w:bCs/>
                <w:color w:val="000000"/>
                <w:sz w:val="19"/>
                <w:szCs w:val="19"/>
                <w:lang w:val="en-CA" w:eastAsia="en-CA"/>
              </w:rPr>
            </w:pPr>
            <w:r w:rsidRPr="00DB2303">
              <w:rPr>
                <w:bCs/>
                <w:color w:val="000000"/>
                <w:sz w:val="19"/>
                <w:szCs w:val="19"/>
                <w:lang w:val="en-CA" w:eastAsia="en-CA"/>
              </w:rPr>
              <w:t>0.01</w:t>
            </w:r>
          </w:p>
        </w:tc>
        <w:tc>
          <w:tcPr>
            <w:tcW w:w="536" w:type="pct"/>
            <w:tcBorders>
              <w:top w:val="single" w:sz="4" w:space="0" w:color="auto"/>
              <w:left w:val="single" w:sz="4" w:space="0" w:color="auto"/>
              <w:bottom w:val="single" w:sz="4" w:space="0" w:color="auto"/>
              <w:right w:val="single" w:sz="4" w:space="0" w:color="auto"/>
            </w:tcBorders>
          </w:tcPr>
          <w:p w14:paraId="096541AF" w14:textId="77777777" w:rsidR="00843454" w:rsidRPr="00DB2303" w:rsidRDefault="00843454" w:rsidP="0023662F">
            <w:pPr>
              <w:widowControl w:val="0"/>
              <w:jc w:val="right"/>
              <w:rPr>
                <w:bCs/>
                <w:color w:val="000000"/>
                <w:sz w:val="19"/>
                <w:szCs w:val="19"/>
                <w:lang w:val="en-CA" w:eastAsia="en-CA"/>
              </w:rPr>
            </w:pPr>
            <w:r w:rsidRPr="00DB2303">
              <w:rPr>
                <w:bCs/>
                <w:color w:val="000000"/>
                <w:sz w:val="19"/>
                <w:szCs w:val="19"/>
                <w:lang w:val="en-CA" w:eastAsia="en-CA"/>
              </w:rPr>
              <w:t>0.01</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9583E9" w14:textId="77777777" w:rsidR="00843454" w:rsidRPr="00DB2303" w:rsidRDefault="00843454" w:rsidP="0023662F">
            <w:pPr>
              <w:widowControl w:val="0"/>
              <w:jc w:val="right"/>
              <w:rPr>
                <w:bCs/>
                <w:color w:val="000000"/>
                <w:sz w:val="19"/>
                <w:szCs w:val="19"/>
                <w:lang w:val="en-CA" w:eastAsia="en-CA"/>
              </w:rPr>
            </w:pPr>
            <w:r w:rsidRPr="00DB2303">
              <w:rPr>
                <w:bCs/>
                <w:color w:val="000000"/>
                <w:sz w:val="19"/>
                <w:szCs w:val="19"/>
                <w:lang w:val="en-CA" w:eastAsia="en-CA"/>
              </w:rPr>
              <w:t>0.06</w:t>
            </w:r>
          </w:p>
        </w:tc>
      </w:tr>
      <w:tr w:rsidR="00843454" w:rsidRPr="00DB2303" w14:paraId="7E01F609" w14:textId="77777777" w:rsidTr="008315F8">
        <w:tc>
          <w:tcPr>
            <w:tcW w:w="1658"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C4E9F0D" w14:textId="77777777" w:rsidR="00843454" w:rsidRPr="00DB2303" w:rsidRDefault="00843454" w:rsidP="0023662F">
            <w:pPr>
              <w:widowControl w:val="0"/>
              <w:jc w:val="left"/>
              <w:rPr>
                <w:color w:val="000000"/>
                <w:sz w:val="19"/>
                <w:szCs w:val="19"/>
                <w:lang w:val="en-CA"/>
              </w:rPr>
            </w:pPr>
            <w:r w:rsidRPr="00DB2303">
              <w:rPr>
                <w:color w:val="000000"/>
                <w:sz w:val="19"/>
                <w:szCs w:val="19"/>
                <w:lang w:val="en-CA"/>
              </w:rPr>
              <w:t>HCFC-141b</w:t>
            </w:r>
          </w:p>
        </w:tc>
        <w:tc>
          <w:tcPr>
            <w:tcW w:w="519" w:type="pct"/>
            <w:tcBorders>
              <w:top w:val="single" w:sz="4" w:space="0" w:color="auto"/>
              <w:left w:val="single" w:sz="4" w:space="0" w:color="auto"/>
              <w:bottom w:val="single" w:sz="4" w:space="0" w:color="auto"/>
              <w:right w:val="single" w:sz="4" w:space="0" w:color="auto"/>
            </w:tcBorders>
            <w:vAlign w:val="center"/>
          </w:tcPr>
          <w:p w14:paraId="3F38653A" w14:textId="77777777" w:rsidR="00843454" w:rsidRPr="00DB2303" w:rsidRDefault="00843454" w:rsidP="0023662F">
            <w:pPr>
              <w:widowControl w:val="0"/>
              <w:jc w:val="right"/>
              <w:rPr>
                <w:bCs/>
                <w:color w:val="000000"/>
                <w:sz w:val="19"/>
                <w:szCs w:val="19"/>
                <w:lang w:val="en-CA" w:eastAsia="en-CA"/>
              </w:rPr>
            </w:pPr>
            <w:r w:rsidRPr="00DB2303">
              <w:rPr>
                <w:bCs/>
                <w:color w:val="000000"/>
                <w:sz w:val="19"/>
                <w:szCs w:val="19"/>
                <w:lang w:val="en-CA" w:eastAsia="en-CA"/>
              </w:rPr>
              <w:t>1.45</w:t>
            </w:r>
          </w:p>
        </w:tc>
        <w:tc>
          <w:tcPr>
            <w:tcW w:w="540" w:type="pct"/>
            <w:tcBorders>
              <w:top w:val="single" w:sz="4" w:space="0" w:color="auto"/>
              <w:left w:val="single" w:sz="4" w:space="0" w:color="auto"/>
              <w:bottom w:val="single" w:sz="4" w:space="0" w:color="auto"/>
              <w:right w:val="single" w:sz="4" w:space="0" w:color="auto"/>
            </w:tcBorders>
            <w:vAlign w:val="center"/>
          </w:tcPr>
          <w:p w14:paraId="7190420D" w14:textId="77777777" w:rsidR="00843454" w:rsidRPr="00DB2303" w:rsidRDefault="00843454" w:rsidP="0023662F">
            <w:pPr>
              <w:widowControl w:val="0"/>
              <w:jc w:val="right"/>
              <w:rPr>
                <w:bCs/>
                <w:color w:val="000000"/>
                <w:sz w:val="19"/>
                <w:szCs w:val="19"/>
                <w:lang w:val="en-CA" w:eastAsia="en-CA"/>
              </w:rPr>
            </w:pPr>
            <w:r w:rsidRPr="00DB2303">
              <w:rPr>
                <w:bCs/>
                <w:color w:val="000000"/>
                <w:sz w:val="19"/>
                <w:szCs w:val="19"/>
                <w:lang w:val="en-CA" w:eastAsia="en-CA"/>
              </w:rPr>
              <w:t>1.09</w:t>
            </w:r>
          </w:p>
        </w:tc>
        <w:tc>
          <w:tcPr>
            <w:tcW w:w="554" w:type="pct"/>
            <w:tcBorders>
              <w:top w:val="single" w:sz="4" w:space="0" w:color="auto"/>
              <w:left w:val="single" w:sz="4" w:space="0" w:color="auto"/>
              <w:bottom w:val="single" w:sz="4" w:space="0" w:color="auto"/>
              <w:right w:val="single" w:sz="4" w:space="0" w:color="auto"/>
            </w:tcBorders>
            <w:vAlign w:val="center"/>
          </w:tcPr>
          <w:p w14:paraId="4642E0B6" w14:textId="77777777" w:rsidR="00843454" w:rsidRPr="00DB2303" w:rsidRDefault="00843454" w:rsidP="0023662F">
            <w:pPr>
              <w:widowControl w:val="0"/>
              <w:jc w:val="right"/>
              <w:rPr>
                <w:bCs/>
                <w:color w:val="000000"/>
                <w:sz w:val="19"/>
                <w:szCs w:val="19"/>
                <w:lang w:val="en-CA" w:eastAsia="en-CA"/>
              </w:rPr>
            </w:pPr>
            <w:r w:rsidRPr="00DB2303">
              <w:rPr>
                <w:bCs/>
                <w:color w:val="000000"/>
                <w:sz w:val="19"/>
                <w:szCs w:val="19"/>
                <w:lang w:val="en-CA" w:eastAsia="en-CA"/>
              </w:rPr>
              <w:t>1.93</w:t>
            </w:r>
          </w:p>
        </w:tc>
        <w:tc>
          <w:tcPr>
            <w:tcW w:w="537" w:type="pct"/>
            <w:tcBorders>
              <w:top w:val="single" w:sz="4" w:space="0" w:color="auto"/>
              <w:left w:val="single" w:sz="4" w:space="0" w:color="auto"/>
              <w:bottom w:val="single" w:sz="4" w:space="0" w:color="auto"/>
              <w:right w:val="single" w:sz="4" w:space="0" w:color="auto"/>
            </w:tcBorders>
            <w:vAlign w:val="bottom"/>
          </w:tcPr>
          <w:p w14:paraId="0EB386DA" w14:textId="77777777" w:rsidR="00843454" w:rsidRPr="00DB2303" w:rsidRDefault="00843454" w:rsidP="0023662F">
            <w:pPr>
              <w:widowControl w:val="0"/>
              <w:jc w:val="right"/>
              <w:rPr>
                <w:bCs/>
                <w:color w:val="000000"/>
                <w:sz w:val="19"/>
                <w:szCs w:val="19"/>
                <w:lang w:val="en-CA" w:eastAsia="en-CA"/>
              </w:rPr>
            </w:pPr>
            <w:r w:rsidRPr="00DB2303">
              <w:rPr>
                <w:bCs/>
                <w:color w:val="000000"/>
                <w:sz w:val="19"/>
                <w:szCs w:val="19"/>
                <w:lang w:val="en-CA" w:eastAsia="en-CA"/>
              </w:rPr>
              <w:t>1.94</w:t>
            </w:r>
          </w:p>
        </w:tc>
        <w:tc>
          <w:tcPr>
            <w:tcW w:w="536" w:type="pct"/>
            <w:tcBorders>
              <w:top w:val="single" w:sz="4" w:space="0" w:color="auto"/>
              <w:left w:val="single" w:sz="4" w:space="0" w:color="auto"/>
              <w:bottom w:val="single" w:sz="4" w:space="0" w:color="auto"/>
              <w:right w:val="single" w:sz="4" w:space="0" w:color="auto"/>
            </w:tcBorders>
          </w:tcPr>
          <w:p w14:paraId="18491FC8" w14:textId="77777777" w:rsidR="00843454" w:rsidRPr="00DB2303" w:rsidRDefault="00843454" w:rsidP="0023662F">
            <w:pPr>
              <w:widowControl w:val="0"/>
              <w:jc w:val="right"/>
              <w:rPr>
                <w:bCs/>
                <w:color w:val="000000"/>
                <w:sz w:val="19"/>
                <w:szCs w:val="19"/>
                <w:lang w:val="en-CA" w:eastAsia="en-CA"/>
              </w:rPr>
            </w:pPr>
            <w:r w:rsidRPr="00DB2303">
              <w:rPr>
                <w:bCs/>
                <w:color w:val="000000"/>
                <w:sz w:val="19"/>
                <w:szCs w:val="19"/>
                <w:lang w:val="en-CA" w:eastAsia="en-CA"/>
              </w:rPr>
              <w:t>1.44</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54F32E" w14:textId="77777777" w:rsidR="00843454" w:rsidRPr="00DB2303" w:rsidRDefault="00843454" w:rsidP="0023662F">
            <w:pPr>
              <w:widowControl w:val="0"/>
              <w:jc w:val="right"/>
              <w:rPr>
                <w:bCs/>
                <w:color w:val="000000"/>
                <w:sz w:val="19"/>
                <w:szCs w:val="19"/>
                <w:lang w:val="en-CA" w:eastAsia="en-CA"/>
              </w:rPr>
            </w:pPr>
            <w:r w:rsidRPr="00DB2303">
              <w:rPr>
                <w:bCs/>
                <w:color w:val="000000"/>
                <w:sz w:val="19"/>
                <w:szCs w:val="19"/>
                <w:lang w:val="en-CA" w:eastAsia="en-CA"/>
              </w:rPr>
              <w:t>1.79</w:t>
            </w:r>
          </w:p>
        </w:tc>
      </w:tr>
      <w:tr w:rsidR="00843454" w:rsidRPr="00DB2303" w14:paraId="383CD8D8" w14:textId="77777777" w:rsidTr="008315F8">
        <w:tc>
          <w:tcPr>
            <w:tcW w:w="1658"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C48BEAB" w14:textId="77777777" w:rsidR="00843454" w:rsidRPr="00DB2303" w:rsidRDefault="00843454" w:rsidP="0023662F">
            <w:pPr>
              <w:widowControl w:val="0"/>
              <w:jc w:val="left"/>
              <w:rPr>
                <w:color w:val="000000"/>
                <w:sz w:val="19"/>
                <w:szCs w:val="19"/>
                <w:lang w:val="en-CA"/>
              </w:rPr>
            </w:pPr>
            <w:r w:rsidRPr="00DB2303">
              <w:rPr>
                <w:color w:val="000000"/>
                <w:sz w:val="19"/>
                <w:szCs w:val="19"/>
                <w:lang w:val="en-CA"/>
              </w:rPr>
              <w:t>HCFC-142b</w:t>
            </w:r>
          </w:p>
        </w:tc>
        <w:tc>
          <w:tcPr>
            <w:tcW w:w="519" w:type="pct"/>
            <w:tcBorders>
              <w:top w:val="single" w:sz="4" w:space="0" w:color="auto"/>
              <w:left w:val="single" w:sz="4" w:space="0" w:color="auto"/>
              <w:bottom w:val="single" w:sz="4" w:space="0" w:color="auto"/>
              <w:right w:val="single" w:sz="4" w:space="0" w:color="auto"/>
            </w:tcBorders>
            <w:vAlign w:val="center"/>
          </w:tcPr>
          <w:p w14:paraId="7DC76249" w14:textId="77777777" w:rsidR="00843454" w:rsidRPr="00DB2303" w:rsidRDefault="00843454" w:rsidP="0023662F">
            <w:pPr>
              <w:widowControl w:val="0"/>
              <w:jc w:val="right"/>
              <w:rPr>
                <w:bCs/>
                <w:color w:val="000000"/>
                <w:sz w:val="19"/>
                <w:szCs w:val="19"/>
                <w:lang w:val="en-CA" w:eastAsia="en-CA"/>
              </w:rPr>
            </w:pPr>
            <w:r w:rsidRPr="00DB2303">
              <w:rPr>
                <w:bCs/>
                <w:color w:val="000000"/>
                <w:sz w:val="19"/>
                <w:szCs w:val="19"/>
                <w:lang w:val="en-CA" w:eastAsia="en-CA"/>
              </w:rPr>
              <w:t>0.66</w:t>
            </w:r>
          </w:p>
        </w:tc>
        <w:tc>
          <w:tcPr>
            <w:tcW w:w="540" w:type="pct"/>
            <w:tcBorders>
              <w:top w:val="single" w:sz="4" w:space="0" w:color="auto"/>
              <w:left w:val="single" w:sz="4" w:space="0" w:color="auto"/>
              <w:bottom w:val="single" w:sz="4" w:space="0" w:color="auto"/>
              <w:right w:val="single" w:sz="4" w:space="0" w:color="auto"/>
            </w:tcBorders>
            <w:vAlign w:val="center"/>
          </w:tcPr>
          <w:p w14:paraId="65128540" w14:textId="77777777" w:rsidR="00843454" w:rsidRPr="00DB2303" w:rsidRDefault="00843454" w:rsidP="0023662F">
            <w:pPr>
              <w:widowControl w:val="0"/>
              <w:jc w:val="right"/>
              <w:rPr>
                <w:bCs/>
                <w:color w:val="000000"/>
                <w:sz w:val="19"/>
                <w:szCs w:val="19"/>
                <w:lang w:val="en-CA" w:eastAsia="en-CA"/>
              </w:rPr>
            </w:pPr>
            <w:r w:rsidRPr="00DB2303">
              <w:rPr>
                <w:bCs/>
                <w:color w:val="000000"/>
                <w:sz w:val="19"/>
                <w:szCs w:val="19"/>
                <w:lang w:val="en-CA" w:eastAsia="en-CA"/>
              </w:rPr>
              <w:t>0.75</w:t>
            </w:r>
          </w:p>
        </w:tc>
        <w:tc>
          <w:tcPr>
            <w:tcW w:w="554" w:type="pct"/>
            <w:tcBorders>
              <w:top w:val="single" w:sz="4" w:space="0" w:color="auto"/>
              <w:left w:val="single" w:sz="4" w:space="0" w:color="auto"/>
              <w:bottom w:val="single" w:sz="4" w:space="0" w:color="auto"/>
              <w:right w:val="single" w:sz="4" w:space="0" w:color="auto"/>
            </w:tcBorders>
            <w:vAlign w:val="center"/>
          </w:tcPr>
          <w:p w14:paraId="128ED679" w14:textId="77777777" w:rsidR="00843454" w:rsidRPr="00DB2303" w:rsidRDefault="00843454" w:rsidP="0023662F">
            <w:pPr>
              <w:widowControl w:val="0"/>
              <w:jc w:val="right"/>
              <w:rPr>
                <w:bCs/>
                <w:color w:val="000000"/>
                <w:sz w:val="19"/>
                <w:szCs w:val="19"/>
                <w:lang w:val="en-CA" w:eastAsia="en-CA"/>
              </w:rPr>
            </w:pPr>
            <w:r w:rsidRPr="00DB2303">
              <w:rPr>
                <w:bCs/>
                <w:color w:val="000000"/>
                <w:sz w:val="19"/>
                <w:szCs w:val="19"/>
                <w:lang w:val="en-CA" w:eastAsia="en-CA"/>
              </w:rPr>
              <w:t>0.28</w:t>
            </w:r>
          </w:p>
        </w:tc>
        <w:tc>
          <w:tcPr>
            <w:tcW w:w="537" w:type="pct"/>
            <w:tcBorders>
              <w:top w:val="single" w:sz="4" w:space="0" w:color="auto"/>
              <w:left w:val="single" w:sz="4" w:space="0" w:color="auto"/>
              <w:bottom w:val="single" w:sz="4" w:space="0" w:color="auto"/>
              <w:right w:val="single" w:sz="4" w:space="0" w:color="auto"/>
            </w:tcBorders>
            <w:vAlign w:val="bottom"/>
          </w:tcPr>
          <w:p w14:paraId="0CC69ADB" w14:textId="77777777" w:rsidR="00843454" w:rsidRPr="00DB2303" w:rsidRDefault="00843454" w:rsidP="0023662F">
            <w:pPr>
              <w:widowControl w:val="0"/>
              <w:jc w:val="right"/>
              <w:rPr>
                <w:bCs/>
                <w:color w:val="000000"/>
                <w:sz w:val="19"/>
                <w:szCs w:val="19"/>
                <w:lang w:val="en-CA" w:eastAsia="en-CA"/>
              </w:rPr>
            </w:pPr>
            <w:r w:rsidRPr="00DB2303">
              <w:rPr>
                <w:bCs/>
                <w:color w:val="000000"/>
                <w:sz w:val="19"/>
                <w:szCs w:val="19"/>
                <w:lang w:val="en-CA" w:eastAsia="en-CA"/>
              </w:rPr>
              <w:t>0.19</w:t>
            </w:r>
          </w:p>
        </w:tc>
        <w:tc>
          <w:tcPr>
            <w:tcW w:w="536" w:type="pct"/>
            <w:tcBorders>
              <w:top w:val="single" w:sz="4" w:space="0" w:color="auto"/>
              <w:left w:val="single" w:sz="4" w:space="0" w:color="auto"/>
              <w:bottom w:val="single" w:sz="4" w:space="0" w:color="auto"/>
              <w:right w:val="single" w:sz="4" w:space="0" w:color="auto"/>
            </w:tcBorders>
          </w:tcPr>
          <w:p w14:paraId="3A2F6E32" w14:textId="77777777" w:rsidR="00843454" w:rsidRPr="00DB2303" w:rsidRDefault="00843454" w:rsidP="0023662F">
            <w:pPr>
              <w:widowControl w:val="0"/>
              <w:jc w:val="right"/>
              <w:rPr>
                <w:bCs/>
                <w:color w:val="000000"/>
                <w:sz w:val="19"/>
                <w:szCs w:val="19"/>
                <w:lang w:val="en-CA" w:eastAsia="en-CA"/>
              </w:rPr>
            </w:pPr>
            <w:r w:rsidRPr="00DB2303">
              <w:rPr>
                <w:bCs/>
                <w:color w:val="000000"/>
                <w:sz w:val="19"/>
                <w:szCs w:val="19"/>
                <w:lang w:val="en-CA" w:eastAsia="en-CA"/>
              </w:rPr>
              <w:t>0.39</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A33534" w14:textId="77777777" w:rsidR="00843454" w:rsidRPr="00DB2303" w:rsidRDefault="00843454" w:rsidP="0023662F">
            <w:pPr>
              <w:widowControl w:val="0"/>
              <w:jc w:val="right"/>
              <w:rPr>
                <w:bCs/>
                <w:color w:val="000000"/>
                <w:sz w:val="19"/>
                <w:szCs w:val="19"/>
                <w:lang w:val="en-CA" w:eastAsia="en-CA"/>
              </w:rPr>
            </w:pPr>
            <w:r w:rsidRPr="00DB2303">
              <w:rPr>
                <w:bCs/>
                <w:color w:val="000000"/>
                <w:sz w:val="19"/>
                <w:szCs w:val="19"/>
                <w:lang w:val="en-CA" w:eastAsia="en-CA"/>
              </w:rPr>
              <w:t>1.18</w:t>
            </w:r>
          </w:p>
        </w:tc>
      </w:tr>
      <w:tr w:rsidR="00843454" w:rsidRPr="00DB2303" w14:paraId="52C5A1CD" w14:textId="77777777" w:rsidTr="008315F8">
        <w:tc>
          <w:tcPr>
            <w:tcW w:w="1658"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11579EDA" w14:textId="77777777" w:rsidR="00843454" w:rsidRPr="00DB2303" w:rsidRDefault="00843454" w:rsidP="0023662F">
            <w:pPr>
              <w:jc w:val="left"/>
              <w:rPr>
                <w:rFonts w:eastAsiaTheme="minorHAnsi"/>
                <w:b/>
                <w:sz w:val="19"/>
                <w:szCs w:val="19"/>
                <w:lang w:val="en-CA"/>
              </w:rPr>
            </w:pPr>
            <w:r w:rsidRPr="00DB2303">
              <w:rPr>
                <w:b/>
                <w:sz w:val="19"/>
                <w:szCs w:val="19"/>
                <w:lang w:val="en-CA"/>
              </w:rPr>
              <w:t>Total (ODP tonnes)</w:t>
            </w:r>
          </w:p>
        </w:tc>
        <w:tc>
          <w:tcPr>
            <w:tcW w:w="519" w:type="pct"/>
            <w:tcBorders>
              <w:top w:val="single" w:sz="4" w:space="0" w:color="auto"/>
              <w:left w:val="single" w:sz="4" w:space="0" w:color="auto"/>
              <w:bottom w:val="single" w:sz="4" w:space="0" w:color="auto"/>
              <w:right w:val="single" w:sz="4" w:space="0" w:color="auto"/>
            </w:tcBorders>
            <w:vAlign w:val="center"/>
          </w:tcPr>
          <w:p w14:paraId="6975D680" w14:textId="77777777" w:rsidR="00843454" w:rsidRPr="00DB2303" w:rsidRDefault="00843454" w:rsidP="0023662F">
            <w:pPr>
              <w:widowControl w:val="0"/>
              <w:jc w:val="right"/>
              <w:rPr>
                <w:b/>
                <w:bCs/>
                <w:color w:val="000000"/>
                <w:sz w:val="19"/>
                <w:szCs w:val="19"/>
                <w:lang w:val="en-CA" w:eastAsia="en-CA"/>
              </w:rPr>
            </w:pPr>
            <w:r w:rsidRPr="00DB2303">
              <w:rPr>
                <w:b/>
                <w:bCs/>
                <w:color w:val="000000"/>
                <w:sz w:val="19"/>
                <w:szCs w:val="19"/>
                <w:lang w:val="en-CA" w:eastAsia="en-CA"/>
              </w:rPr>
              <w:t>26.98</w:t>
            </w:r>
          </w:p>
        </w:tc>
        <w:tc>
          <w:tcPr>
            <w:tcW w:w="540" w:type="pct"/>
            <w:tcBorders>
              <w:top w:val="single" w:sz="4" w:space="0" w:color="auto"/>
              <w:left w:val="single" w:sz="4" w:space="0" w:color="auto"/>
              <w:bottom w:val="single" w:sz="4" w:space="0" w:color="auto"/>
              <w:right w:val="single" w:sz="4" w:space="0" w:color="auto"/>
            </w:tcBorders>
            <w:vAlign w:val="center"/>
          </w:tcPr>
          <w:p w14:paraId="68B2ED60" w14:textId="77777777" w:rsidR="00843454" w:rsidRPr="00DB2303" w:rsidRDefault="00843454" w:rsidP="0023662F">
            <w:pPr>
              <w:widowControl w:val="0"/>
              <w:jc w:val="right"/>
              <w:rPr>
                <w:b/>
                <w:bCs/>
                <w:color w:val="000000"/>
                <w:sz w:val="19"/>
                <w:szCs w:val="19"/>
                <w:lang w:val="en-CA" w:eastAsia="en-CA"/>
              </w:rPr>
            </w:pPr>
            <w:r w:rsidRPr="00DB2303">
              <w:rPr>
                <w:b/>
                <w:bCs/>
                <w:color w:val="000000"/>
                <w:sz w:val="19"/>
                <w:szCs w:val="19"/>
                <w:lang w:val="en-CA" w:eastAsia="en-CA"/>
              </w:rPr>
              <w:t>25.81</w:t>
            </w:r>
          </w:p>
        </w:tc>
        <w:tc>
          <w:tcPr>
            <w:tcW w:w="554" w:type="pct"/>
            <w:tcBorders>
              <w:top w:val="single" w:sz="4" w:space="0" w:color="auto"/>
              <w:left w:val="single" w:sz="4" w:space="0" w:color="auto"/>
              <w:bottom w:val="single" w:sz="4" w:space="0" w:color="auto"/>
              <w:right w:val="single" w:sz="4" w:space="0" w:color="auto"/>
            </w:tcBorders>
            <w:vAlign w:val="center"/>
          </w:tcPr>
          <w:p w14:paraId="334965E6" w14:textId="77777777" w:rsidR="00843454" w:rsidRPr="00DB2303" w:rsidRDefault="00843454" w:rsidP="0023662F">
            <w:pPr>
              <w:widowControl w:val="0"/>
              <w:jc w:val="right"/>
              <w:rPr>
                <w:b/>
                <w:bCs/>
                <w:color w:val="000000"/>
                <w:sz w:val="19"/>
                <w:szCs w:val="19"/>
                <w:lang w:val="en-CA" w:eastAsia="en-CA"/>
              </w:rPr>
            </w:pPr>
            <w:r w:rsidRPr="00DB2303">
              <w:rPr>
                <w:b/>
                <w:bCs/>
                <w:color w:val="000000"/>
                <w:sz w:val="19"/>
                <w:szCs w:val="19"/>
                <w:lang w:val="en-CA" w:eastAsia="en-CA"/>
              </w:rPr>
              <w:t>22.01</w:t>
            </w:r>
          </w:p>
        </w:tc>
        <w:tc>
          <w:tcPr>
            <w:tcW w:w="537" w:type="pct"/>
            <w:tcBorders>
              <w:top w:val="single" w:sz="4" w:space="0" w:color="auto"/>
              <w:left w:val="single" w:sz="4" w:space="0" w:color="auto"/>
              <w:bottom w:val="single" w:sz="4" w:space="0" w:color="auto"/>
              <w:right w:val="single" w:sz="4" w:space="0" w:color="auto"/>
            </w:tcBorders>
            <w:vAlign w:val="bottom"/>
          </w:tcPr>
          <w:p w14:paraId="21D70338" w14:textId="77777777" w:rsidR="00843454" w:rsidRPr="00DB2303" w:rsidRDefault="00843454" w:rsidP="0023662F">
            <w:pPr>
              <w:widowControl w:val="0"/>
              <w:jc w:val="right"/>
              <w:rPr>
                <w:b/>
                <w:bCs/>
                <w:color w:val="000000"/>
                <w:sz w:val="19"/>
                <w:szCs w:val="19"/>
                <w:lang w:val="en-CA" w:eastAsia="en-CA"/>
              </w:rPr>
            </w:pPr>
            <w:r w:rsidRPr="00DB2303">
              <w:rPr>
                <w:b/>
                <w:bCs/>
                <w:color w:val="000000"/>
                <w:sz w:val="19"/>
                <w:szCs w:val="19"/>
                <w:lang w:val="en-CA" w:eastAsia="en-CA"/>
              </w:rPr>
              <w:t>22.82</w:t>
            </w:r>
          </w:p>
        </w:tc>
        <w:tc>
          <w:tcPr>
            <w:tcW w:w="536" w:type="pct"/>
            <w:tcBorders>
              <w:top w:val="single" w:sz="4" w:space="0" w:color="auto"/>
              <w:left w:val="single" w:sz="4" w:space="0" w:color="auto"/>
              <w:bottom w:val="single" w:sz="4" w:space="0" w:color="auto"/>
              <w:right w:val="single" w:sz="4" w:space="0" w:color="auto"/>
            </w:tcBorders>
          </w:tcPr>
          <w:p w14:paraId="50A34CF1" w14:textId="77777777" w:rsidR="00843454" w:rsidRPr="00DB2303" w:rsidRDefault="00843454" w:rsidP="0023662F">
            <w:pPr>
              <w:widowControl w:val="0"/>
              <w:jc w:val="right"/>
              <w:rPr>
                <w:b/>
                <w:bCs/>
                <w:color w:val="000000"/>
                <w:sz w:val="19"/>
                <w:szCs w:val="19"/>
                <w:lang w:val="en-CA" w:eastAsia="en-CA"/>
              </w:rPr>
            </w:pPr>
            <w:r w:rsidRPr="00DB2303">
              <w:rPr>
                <w:b/>
                <w:bCs/>
                <w:color w:val="000000"/>
                <w:sz w:val="19"/>
                <w:szCs w:val="19"/>
                <w:lang w:val="en-CA" w:eastAsia="en-CA"/>
              </w:rPr>
              <w:t>22.21</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B8BF9" w14:textId="77777777" w:rsidR="00843454" w:rsidRPr="00DB2303" w:rsidRDefault="00843454" w:rsidP="0023662F">
            <w:pPr>
              <w:widowControl w:val="0"/>
              <w:jc w:val="right"/>
              <w:rPr>
                <w:b/>
                <w:bCs/>
                <w:color w:val="000000"/>
                <w:sz w:val="19"/>
                <w:szCs w:val="19"/>
                <w:lang w:val="en-CA" w:eastAsia="en-CA"/>
              </w:rPr>
            </w:pPr>
            <w:r w:rsidRPr="00DB2303">
              <w:rPr>
                <w:b/>
                <w:bCs/>
                <w:color w:val="000000"/>
                <w:sz w:val="19"/>
                <w:szCs w:val="19"/>
                <w:lang w:val="en-CA" w:eastAsia="en-CA"/>
              </w:rPr>
              <w:t>26.88</w:t>
            </w:r>
          </w:p>
        </w:tc>
      </w:tr>
      <w:tr w:rsidR="00843454" w:rsidRPr="00DB2303" w14:paraId="47D7B717" w14:textId="77777777" w:rsidTr="008315F8">
        <w:tc>
          <w:tcPr>
            <w:tcW w:w="1658"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02DD2738" w14:textId="77777777" w:rsidR="00843454" w:rsidRPr="00DB2303" w:rsidRDefault="00843454" w:rsidP="0023662F">
            <w:pPr>
              <w:jc w:val="left"/>
              <w:rPr>
                <w:color w:val="000000"/>
                <w:sz w:val="19"/>
                <w:szCs w:val="19"/>
                <w:lang w:val="en-CA"/>
              </w:rPr>
            </w:pPr>
            <w:r w:rsidRPr="00DB2303">
              <w:rPr>
                <w:color w:val="000000"/>
                <w:sz w:val="19"/>
                <w:szCs w:val="19"/>
                <w:lang w:val="en-CA"/>
              </w:rPr>
              <w:t>HCFC-141b in imported pre-blended polyols**</w:t>
            </w:r>
          </w:p>
        </w:tc>
        <w:tc>
          <w:tcPr>
            <w:tcW w:w="519" w:type="pct"/>
            <w:tcBorders>
              <w:top w:val="single" w:sz="4" w:space="0" w:color="auto"/>
              <w:left w:val="single" w:sz="4" w:space="0" w:color="auto"/>
              <w:bottom w:val="single" w:sz="4" w:space="0" w:color="auto"/>
              <w:right w:val="single" w:sz="4" w:space="0" w:color="auto"/>
            </w:tcBorders>
          </w:tcPr>
          <w:p w14:paraId="7936387A" w14:textId="77777777" w:rsidR="00843454" w:rsidRPr="00DB2303" w:rsidRDefault="00843454" w:rsidP="0023662F">
            <w:pPr>
              <w:jc w:val="right"/>
              <w:rPr>
                <w:sz w:val="19"/>
                <w:szCs w:val="19"/>
              </w:rPr>
            </w:pPr>
            <w:r w:rsidRPr="00DB2303">
              <w:rPr>
                <w:sz w:val="19"/>
                <w:szCs w:val="19"/>
              </w:rPr>
              <w:t>10.78</w:t>
            </w:r>
          </w:p>
        </w:tc>
        <w:tc>
          <w:tcPr>
            <w:tcW w:w="540" w:type="pct"/>
            <w:tcBorders>
              <w:top w:val="single" w:sz="4" w:space="0" w:color="auto"/>
              <w:left w:val="single" w:sz="4" w:space="0" w:color="auto"/>
              <w:bottom w:val="single" w:sz="4" w:space="0" w:color="auto"/>
              <w:right w:val="single" w:sz="4" w:space="0" w:color="auto"/>
            </w:tcBorders>
          </w:tcPr>
          <w:p w14:paraId="302195D0" w14:textId="77777777" w:rsidR="00843454" w:rsidRPr="00DB2303" w:rsidRDefault="008315F8" w:rsidP="0023662F">
            <w:pPr>
              <w:jc w:val="right"/>
              <w:rPr>
                <w:sz w:val="19"/>
                <w:szCs w:val="19"/>
              </w:rPr>
            </w:pPr>
            <w:r w:rsidRPr="00DB2303">
              <w:rPr>
                <w:sz w:val="19"/>
                <w:szCs w:val="19"/>
              </w:rPr>
              <w:t>***</w:t>
            </w:r>
            <w:r w:rsidR="00843454" w:rsidRPr="00DB2303">
              <w:rPr>
                <w:sz w:val="19"/>
                <w:szCs w:val="19"/>
              </w:rPr>
              <w:t>92.71</w:t>
            </w:r>
          </w:p>
        </w:tc>
        <w:tc>
          <w:tcPr>
            <w:tcW w:w="554" w:type="pct"/>
            <w:tcBorders>
              <w:top w:val="single" w:sz="4" w:space="0" w:color="auto"/>
              <w:left w:val="single" w:sz="4" w:space="0" w:color="auto"/>
              <w:bottom w:val="single" w:sz="4" w:space="0" w:color="auto"/>
              <w:right w:val="single" w:sz="4" w:space="0" w:color="auto"/>
            </w:tcBorders>
          </w:tcPr>
          <w:p w14:paraId="137D0FED" w14:textId="77777777" w:rsidR="00843454" w:rsidRPr="00DB2303" w:rsidRDefault="00843454" w:rsidP="0023662F">
            <w:pPr>
              <w:widowControl w:val="0"/>
              <w:jc w:val="right"/>
              <w:rPr>
                <w:bCs/>
                <w:color w:val="000000"/>
                <w:sz w:val="19"/>
                <w:szCs w:val="19"/>
                <w:lang w:val="en-CA" w:eastAsia="en-CA"/>
              </w:rPr>
            </w:pPr>
            <w:r w:rsidRPr="00DB2303">
              <w:rPr>
                <w:bCs/>
                <w:color w:val="000000"/>
                <w:sz w:val="19"/>
                <w:szCs w:val="19"/>
                <w:lang w:val="en-CA" w:eastAsia="en-CA"/>
              </w:rPr>
              <w:t>25.34</w:t>
            </w:r>
          </w:p>
        </w:tc>
        <w:tc>
          <w:tcPr>
            <w:tcW w:w="537" w:type="pct"/>
            <w:tcBorders>
              <w:top w:val="single" w:sz="4" w:space="0" w:color="auto"/>
              <w:left w:val="single" w:sz="4" w:space="0" w:color="auto"/>
              <w:bottom w:val="single" w:sz="4" w:space="0" w:color="auto"/>
              <w:right w:val="single" w:sz="4" w:space="0" w:color="auto"/>
            </w:tcBorders>
          </w:tcPr>
          <w:p w14:paraId="3FD8B5E3" w14:textId="77777777" w:rsidR="00843454" w:rsidRPr="00DB2303" w:rsidRDefault="00843454" w:rsidP="0023662F">
            <w:pPr>
              <w:jc w:val="right"/>
              <w:rPr>
                <w:rFonts w:eastAsiaTheme="minorHAnsi"/>
                <w:color w:val="000000"/>
                <w:sz w:val="19"/>
                <w:szCs w:val="19"/>
                <w:lang w:val="en-CA"/>
              </w:rPr>
            </w:pPr>
            <w:r w:rsidRPr="00DB2303">
              <w:rPr>
                <w:rFonts w:eastAsiaTheme="minorHAnsi"/>
                <w:color w:val="000000"/>
                <w:sz w:val="19"/>
                <w:szCs w:val="19"/>
                <w:lang w:val="en-CA"/>
              </w:rPr>
              <w:t>32.51</w:t>
            </w:r>
          </w:p>
        </w:tc>
        <w:tc>
          <w:tcPr>
            <w:tcW w:w="536" w:type="pct"/>
            <w:tcBorders>
              <w:top w:val="single" w:sz="4" w:space="0" w:color="auto"/>
              <w:left w:val="single" w:sz="4" w:space="0" w:color="auto"/>
              <w:bottom w:val="single" w:sz="4" w:space="0" w:color="auto"/>
              <w:right w:val="single" w:sz="4" w:space="0" w:color="auto"/>
            </w:tcBorders>
          </w:tcPr>
          <w:p w14:paraId="77C6A78B" w14:textId="77777777" w:rsidR="00843454" w:rsidRPr="00DB2303" w:rsidRDefault="00843454" w:rsidP="0023662F">
            <w:pPr>
              <w:jc w:val="right"/>
              <w:rPr>
                <w:sz w:val="19"/>
                <w:szCs w:val="19"/>
              </w:rPr>
            </w:pPr>
            <w:r w:rsidRPr="00DB2303">
              <w:rPr>
                <w:sz w:val="19"/>
                <w:szCs w:val="19"/>
              </w:rPr>
              <w:t>23.94</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14:paraId="1B1676C9" w14:textId="77777777" w:rsidR="00843454" w:rsidRPr="00DB2303" w:rsidRDefault="00843454" w:rsidP="0023662F">
            <w:pPr>
              <w:widowControl w:val="0"/>
              <w:jc w:val="right"/>
              <w:rPr>
                <w:bCs/>
                <w:color w:val="000000"/>
                <w:sz w:val="19"/>
                <w:szCs w:val="19"/>
                <w:lang w:val="en-CA" w:eastAsia="en-CA"/>
              </w:rPr>
            </w:pPr>
            <w:r w:rsidRPr="00DB2303">
              <w:rPr>
                <w:bCs/>
                <w:color w:val="000000"/>
                <w:sz w:val="19"/>
                <w:szCs w:val="19"/>
                <w:lang w:val="en-CA" w:eastAsia="en-CA"/>
              </w:rPr>
              <w:t>n.a.</w:t>
            </w:r>
          </w:p>
        </w:tc>
      </w:tr>
    </w:tbl>
    <w:p w14:paraId="3997BE6E" w14:textId="77777777" w:rsidR="00035D8D" w:rsidRPr="00DB2303" w:rsidRDefault="00035D8D" w:rsidP="0023662F">
      <w:pPr>
        <w:rPr>
          <w:sz w:val="16"/>
          <w:szCs w:val="16"/>
          <w:lang w:val="en-CA"/>
        </w:rPr>
      </w:pPr>
      <w:r w:rsidRPr="00DB2303">
        <w:rPr>
          <w:sz w:val="16"/>
          <w:szCs w:val="16"/>
          <w:lang w:val="en-CA"/>
        </w:rPr>
        <w:t>*HCFC-123 was not consumed before 2015 and therefore, it is not included in the HCFC baseline or in the starting point for aggregated reductions on HCFC consumption.</w:t>
      </w:r>
    </w:p>
    <w:p w14:paraId="0D7149F8" w14:textId="77777777" w:rsidR="00E4070C" w:rsidRPr="00DB2303" w:rsidRDefault="00035D8D" w:rsidP="0023662F">
      <w:pPr>
        <w:rPr>
          <w:sz w:val="16"/>
          <w:szCs w:val="16"/>
          <w:lang w:val="en-CA"/>
        </w:rPr>
      </w:pPr>
      <w:r w:rsidRPr="00DB2303">
        <w:rPr>
          <w:sz w:val="16"/>
          <w:szCs w:val="16"/>
          <w:lang w:val="en-CA"/>
        </w:rPr>
        <w:t>**Country programme implementation reports.</w:t>
      </w:r>
    </w:p>
    <w:p w14:paraId="4E2F77EC" w14:textId="77777777" w:rsidR="008315F8" w:rsidRPr="00DB2303" w:rsidRDefault="008315F8" w:rsidP="0023662F">
      <w:pPr>
        <w:rPr>
          <w:sz w:val="16"/>
          <w:szCs w:val="16"/>
          <w:lang w:val="en-CA"/>
        </w:rPr>
      </w:pPr>
      <w:r w:rsidRPr="00DB2303">
        <w:rPr>
          <w:sz w:val="16"/>
          <w:szCs w:val="16"/>
          <w:lang w:val="en-CA"/>
        </w:rPr>
        <w:t>***</w:t>
      </w:r>
      <w:r w:rsidRPr="00DB2303">
        <w:t xml:space="preserve"> </w:t>
      </w:r>
      <w:r w:rsidRPr="00DB2303">
        <w:rPr>
          <w:sz w:val="16"/>
          <w:szCs w:val="16"/>
          <w:lang w:val="en-CA"/>
        </w:rPr>
        <w:t>Temporary increase due to a greater demand for PU foam to build structures, to host the 20</w:t>
      </w:r>
      <w:r w:rsidRPr="00DB2303">
        <w:rPr>
          <w:sz w:val="16"/>
          <w:szCs w:val="16"/>
          <w:vertAlign w:val="superscript"/>
          <w:lang w:val="en-CA"/>
        </w:rPr>
        <w:t>th</w:t>
      </w:r>
      <w:r w:rsidRPr="00DB2303">
        <w:rPr>
          <w:sz w:val="16"/>
          <w:szCs w:val="16"/>
          <w:lang w:val="en-CA"/>
        </w:rPr>
        <w:t xml:space="preserve"> session of the Conference of the Parties of the United Nations Framework Convention on Climate Change, held in Lima in December 2014.</w:t>
      </w:r>
    </w:p>
    <w:p w14:paraId="0E1887DB" w14:textId="77777777" w:rsidR="00DA42B2" w:rsidRDefault="00DA42B2" w:rsidP="00C85260">
      <w:pPr>
        <w:pStyle w:val="Heading1"/>
        <w:numPr>
          <w:ilvl w:val="0"/>
          <w:numId w:val="0"/>
        </w:numPr>
        <w:spacing w:after="0"/>
        <w:rPr>
          <w:lang w:val="en-CA"/>
        </w:rPr>
      </w:pPr>
    </w:p>
    <w:p w14:paraId="5E209E58" w14:textId="77777777" w:rsidR="002279AE" w:rsidRPr="00DB2303" w:rsidRDefault="002279AE" w:rsidP="00DA42B2">
      <w:pPr>
        <w:pStyle w:val="Heading1"/>
        <w:rPr>
          <w:lang w:val="en-CA"/>
        </w:rPr>
      </w:pPr>
      <w:r w:rsidRPr="00DB2303">
        <w:rPr>
          <w:lang w:val="en-CA"/>
        </w:rPr>
        <w:t>The verification report for 2016</w:t>
      </w:r>
      <w:r w:rsidR="00EC250E">
        <w:rPr>
          <w:rStyle w:val="FootnoteReference"/>
          <w:lang w:val="en-CA"/>
        </w:rPr>
        <w:footnoteReference w:id="3"/>
      </w:r>
      <w:r w:rsidRPr="00DB2303">
        <w:rPr>
          <w:lang w:val="en-CA"/>
        </w:rPr>
        <w:t xml:space="preserve"> confirmed that 22.21</w:t>
      </w:r>
      <w:r w:rsidR="008C2783">
        <w:rPr>
          <w:lang w:val="en-CA"/>
        </w:rPr>
        <w:t> ODP ton</w:t>
      </w:r>
      <w:r w:rsidRPr="00DB2303">
        <w:rPr>
          <w:lang w:val="en-CA"/>
        </w:rPr>
        <w:t>nes of HCFCs were imported, that no im</w:t>
      </w:r>
      <w:r w:rsidR="0061223B" w:rsidRPr="00DB2303">
        <w:rPr>
          <w:lang w:val="en-CA"/>
        </w:rPr>
        <w:t>port quota was issued for HCFC-</w:t>
      </w:r>
      <w:r w:rsidRPr="00DB2303">
        <w:rPr>
          <w:lang w:val="en-CA"/>
        </w:rPr>
        <w:t xml:space="preserve">141b for 2017 </w:t>
      </w:r>
      <w:r w:rsidR="004C7D13">
        <w:rPr>
          <w:lang w:val="en-CA"/>
        </w:rPr>
        <w:t>(</w:t>
      </w:r>
      <w:r w:rsidRPr="00DB2303">
        <w:rPr>
          <w:lang w:val="en-CA"/>
        </w:rPr>
        <w:t xml:space="preserve">as per the Government’s commitment </w:t>
      </w:r>
      <w:r w:rsidR="004C7D13">
        <w:rPr>
          <w:lang w:val="en-CA"/>
        </w:rPr>
        <w:t xml:space="preserve">in </w:t>
      </w:r>
      <w:r w:rsidRPr="00DB2303">
        <w:rPr>
          <w:lang w:val="en-CA"/>
        </w:rPr>
        <w:t>decision</w:t>
      </w:r>
      <w:r w:rsidR="00AB4FA4" w:rsidRPr="00DB2303">
        <w:rPr>
          <w:lang w:val="en-CA"/>
        </w:rPr>
        <w:t> </w:t>
      </w:r>
      <w:r w:rsidRPr="00DB2303">
        <w:rPr>
          <w:lang w:val="en-CA"/>
        </w:rPr>
        <w:t xml:space="preserve">75/63(a)(iii)), and that Peru continues to fulfill its commitment to reduce consumption by 10 per cent of the baseline. </w:t>
      </w:r>
    </w:p>
    <w:p w14:paraId="2467823E" w14:textId="77777777" w:rsidR="0061223B" w:rsidRPr="00DB2303" w:rsidRDefault="0061223B" w:rsidP="0023662F">
      <w:pPr>
        <w:pStyle w:val="Heading1"/>
        <w:numPr>
          <w:ilvl w:val="0"/>
          <w:numId w:val="0"/>
        </w:numPr>
        <w:rPr>
          <w:i/>
          <w:lang w:val="en-CA"/>
        </w:rPr>
      </w:pPr>
      <w:r w:rsidRPr="00DB2303">
        <w:rPr>
          <w:i/>
          <w:lang w:val="en-CA"/>
        </w:rPr>
        <w:t>Prices of HCFCs and alternatives</w:t>
      </w:r>
    </w:p>
    <w:p w14:paraId="31FC4A0F" w14:textId="77777777" w:rsidR="00C202E0" w:rsidRPr="00DB2303" w:rsidRDefault="003623F2" w:rsidP="0023662F">
      <w:pPr>
        <w:pStyle w:val="Heading1"/>
        <w:rPr>
          <w:lang w:val="en-US"/>
        </w:rPr>
      </w:pPr>
      <w:r w:rsidRPr="00DB2303">
        <w:rPr>
          <w:lang w:val="en-US"/>
        </w:rPr>
        <w:t>Prices of HCFCs and alternatives are shown in Table 3. It is estimated that in</w:t>
      </w:r>
      <w:r w:rsidR="00C202E0" w:rsidRPr="00DB2303">
        <w:rPr>
          <w:lang w:val="en-US"/>
        </w:rPr>
        <w:t xml:space="preserve"> 2017 the </w:t>
      </w:r>
      <w:r w:rsidRPr="00DB2303">
        <w:rPr>
          <w:lang w:val="en-US"/>
        </w:rPr>
        <w:t xml:space="preserve">price of </w:t>
      </w:r>
      <w:r w:rsidR="00C202E0" w:rsidRPr="00DB2303">
        <w:rPr>
          <w:lang w:val="en-US"/>
        </w:rPr>
        <w:t>R</w:t>
      </w:r>
      <w:r w:rsidR="00DA42B2">
        <w:rPr>
          <w:lang w:val="en-US"/>
        </w:rPr>
        <w:noBreakHyphen/>
      </w:r>
      <w:r w:rsidR="00C202E0" w:rsidRPr="00DB2303">
        <w:rPr>
          <w:lang w:val="en-US"/>
        </w:rPr>
        <w:t>600</w:t>
      </w:r>
      <w:r w:rsidR="00946A7A" w:rsidRPr="00DB2303">
        <w:rPr>
          <w:lang w:val="en-US"/>
        </w:rPr>
        <w:t>a</w:t>
      </w:r>
      <w:r w:rsidR="00C202E0" w:rsidRPr="00DB2303">
        <w:rPr>
          <w:lang w:val="en-US"/>
        </w:rPr>
        <w:t xml:space="preserve"> and R-290 </w:t>
      </w:r>
      <w:r w:rsidR="00C0052F" w:rsidRPr="00DB2303">
        <w:rPr>
          <w:lang w:val="en-US"/>
        </w:rPr>
        <w:t xml:space="preserve">could </w:t>
      </w:r>
      <w:r w:rsidR="00C202E0" w:rsidRPr="00DB2303">
        <w:rPr>
          <w:lang w:val="en-US"/>
        </w:rPr>
        <w:t xml:space="preserve">decrease </w:t>
      </w:r>
      <w:r w:rsidRPr="00DB2303">
        <w:rPr>
          <w:lang w:val="en-US"/>
        </w:rPr>
        <w:t xml:space="preserve">to </w:t>
      </w:r>
      <w:r w:rsidR="00682B63">
        <w:rPr>
          <w:lang w:val="en-US"/>
        </w:rPr>
        <w:t>US $</w:t>
      </w:r>
      <w:r w:rsidR="00C202E0" w:rsidRPr="00DB2303">
        <w:rPr>
          <w:lang w:val="en-US"/>
        </w:rPr>
        <w:t>28/</w:t>
      </w:r>
      <w:r w:rsidR="00A66EBA" w:rsidRPr="00DB2303">
        <w:rPr>
          <w:lang w:val="en-US"/>
        </w:rPr>
        <w:t xml:space="preserve">kg and </w:t>
      </w:r>
      <w:r w:rsidR="00682B63">
        <w:rPr>
          <w:lang w:val="en-US"/>
        </w:rPr>
        <w:t>US $</w:t>
      </w:r>
      <w:r w:rsidR="00A66EBA" w:rsidRPr="00DB2303">
        <w:rPr>
          <w:lang w:val="en-US"/>
        </w:rPr>
        <w:t>33/kg</w:t>
      </w:r>
      <w:r w:rsidR="00C0052F" w:rsidRPr="00DB2303">
        <w:rPr>
          <w:lang w:val="en-US"/>
        </w:rPr>
        <w:t xml:space="preserve">, respectively, </w:t>
      </w:r>
      <w:r w:rsidR="00DB65FC" w:rsidRPr="00DB2303">
        <w:rPr>
          <w:lang w:val="en-US"/>
        </w:rPr>
        <w:t>as their use is starting to increase.</w:t>
      </w:r>
    </w:p>
    <w:p w14:paraId="36B1EA81" w14:textId="77777777" w:rsidR="0019498A" w:rsidRPr="00DB2303" w:rsidRDefault="0019498A" w:rsidP="0023662F">
      <w:pPr>
        <w:keepNext/>
        <w:rPr>
          <w:b/>
          <w:sz w:val="20"/>
          <w:szCs w:val="20"/>
          <w:lang w:val="en-CA"/>
        </w:rPr>
      </w:pPr>
      <w:r w:rsidRPr="00DB2303">
        <w:rPr>
          <w:b/>
          <w:sz w:val="20"/>
          <w:szCs w:val="20"/>
          <w:lang w:val="en-CA"/>
        </w:rPr>
        <w:t>Table 3. Prices of HCFCs an</w:t>
      </w:r>
      <w:r w:rsidR="00C202E0" w:rsidRPr="00DB2303">
        <w:rPr>
          <w:b/>
          <w:sz w:val="20"/>
          <w:szCs w:val="20"/>
          <w:lang w:val="en-CA"/>
        </w:rPr>
        <w:t>d</w:t>
      </w:r>
      <w:r w:rsidRPr="00DB2303">
        <w:rPr>
          <w:b/>
          <w:sz w:val="20"/>
          <w:szCs w:val="20"/>
          <w:lang w:val="en-CA"/>
        </w:rPr>
        <w:t xml:space="preserve"> alternatives refrigerants</w:t>
      </w:r>
      <w:r w:rsidR="004C7D13">
        <w:rPr>
          <w:b/>
          <w:sz w:val="20"/>
          <w:szCs w:val="20"/>
          <w:lang w:val="en-CA"/>
        </w:rPr>
        <w:t xml:space="preserve"> in Peru</w:t>
      </w:r>
      <w:r w:rsidRPr="00DB2303">
        <w:rPr>
          <w:b/>
          <w:sz w:val="20"/>
          <w:szCs w:val="20"/>
          <w:lang w:val="en-CA"/>
        </w:rPr>
        <w:t xml:space="preserve"> (</w:t>
      </w:r>
      <w:r w:rsidR="00682B63">
        <w:rPr>
          <w:b/>
          <w:sz w:val="20"/>
          <w:szCs w:val="20"/>
          <w:lang w:val="en-CA"/>
        </w:rPr>
        <w:t>US $</w:t>
      </w:r>
      <w:r w:rsidRPr="00DB2303">
        <w:rPr>
          <w:b/>
          <w:sz w:val="20"/>
          <w:szCs w:val="20"/>
          <w:lang w:val="en-CA"/>
        </w:rPr>
        <w:t>/kg)</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
        <w:gridCol w:w="1081"/>
        <w:gridCol w:w="890"/>
        <w:gridCol w:w="902"/>
        <w:gridCol w:w="854"/>
        <w:gridCol w:w="759"/>
        <w:gridCol w:w="759"/>
        <w:gridCol w:w="759"/>
        <w:gridCol w:w="759"/>
        <w:gridCol w:w="786"/>
        <w:gridCol w:w="759"/>
        <w:gridCol w:w="663"/>
      </w:tblGrid>
      <w:tr w:rsidR="007A1535" w:rsidRPr="00DB2303" w14:paraId="7D33BE19" w14:textId="77777777" w:rsidTr="007A1535">
        <w:trPr>
          <w:trHeight w:val="300"/>
        </w:trPr>
        <w:tc>
          <w:tcPr>
            <w:tcW w:w="274" w:type="pct"/>
            <w:shd w:val="clear" w:color="auto" w:fill="auto"/>
            <w:noWrap/>
            <w:vAlign w:val="center"/>
            <w:hideMark/>
          </w:tcPr>
          <w:p w14:paraId="627E3486" w14:textId="77777777" w:rsidR="00A66EBA" w:rsidRPr="00DB2303" w:rsidRDefault="00A66EBA" w:rsidP="0023662F">
            <w:pPr>
              <w:jc w:val="left"/>
              <w:rPr>
                <w:b/>
                <w:sz w:val="17"/>
                <w:szCs w:val="17"/>
                <w:lang w:val="es-CO" w:eastAsia="es-CO"/>
              </w:rPr>
            </w:pPr>
            <w:r w:rsidRPr="00DB2303">
              <w:rPr>
                <w:b/>
                <w:sz w:val="17"/>
                <w:szCs w:val="17"/>
                <w:lang w:val="es-CO" w:eastAsia="es-CO"/>
              </w:rPr>
              <w:t>Year</w:t>
            </w:r>
          </w:p>
        </w:tc>
        <w:tc>
          <w:tcPr>
            <w:tcW w:w="569" w:type="pct"/>
            <w:shd w:val="clear" w:color="auto" w:fill="auto"/>
            <w:noWrap/>
            <w:vAlign w:val="center"/>
            <w:hideMark/>
          </w:tcPr>
          <w:p w14:paraId="1EB1D478" w14:textId="77777777" w:rsidR="00A66EBA" w:rsidRPr="00DB2303" w:rsidRDefault="00A66EBA" w:rsidP="0023662F">
            <w:pPr>
              <w:jc w:val="center"/>
              <w:rPr>
                <w:b/>
                <w:sz w:val="17"/>
                <w:szCs w:val="17"/>
                <w:lang w:val="es-CO" w:eastAsia="es-CO"/>
              </w:rPr>
            </w:pPr>
            <w:r w:rsidRPr="00DB2303">
              <w:rPr>
                <w:b/>
                <w:sz w:val="17"/>
                <w:szCs w:val="17"/>
                <w:lang w:val="es-CO" w:eastAsia="es-CO"/>
              </w:rPr>
              <w:t>HCFC-141b</w:t>
            </w:r>
          </w:p>
        </w:tc>
        <w:tc>
          <w:tcPr>
            <w:tcW w:w="469" w:type="pct"/>
            <w:shd w:val="clear" w:color="auto" w:fill="auto"/>
            <w:noWrap/>
            <w:vAlign w:val="center"/>
            <w:hideMark/>
          </w:tcPr>
          <w:p w14:paraId="2730C6A1" w14:textId="77777777" w:rsidR="00A66EBA" w:rsidRPr="00DB2303" w:rsidRDefault="00A66EBA" w:rsidP="0023662F">
            <w:pPr>
              <w:jc w:val="center"/>
              <w:rPr>
                <w:b/>
                <w:sz w:val="17"/>
                <w:szCs w:val="17"/>
                <w:lang w:val="es-CO" w:eastAsia="es-CO"/>
              </w:rPr>
            </w:pPr>
            <w:r w:rsidRPr="00DB2303">
              <w:rPr>
                <w:b/>
                <w:sz w:val="17"/>
                <w:szCs w:val="17"/>
                <w:lang w:val="es-CO" w:eastAsia="es-CO"/>
              </w:rPr>
              <w:t>HCFC-22</w:t>
            </w:r>
          </w:p>
        </w:tc>
        <w:tc>
          <w:tcPr>
            <w:tcW w:w="475" w:type="pct"/>
            <w:shd w:val="clear" w:color="auto" w:fill="auto"/>
            <w:noWrap/>
            <w:vAlign w:val="center"/>
            <w:hideMark/>
          </w:tcPr>
          <w:p w14:paraId="1540C976" w14:textId="77777777" w:rsidR="00A66EBA" w:rsidRPr="00DB2303" w:rsidRDefault="00A66EBA" w:rsidP="0023662F">
            <w:pPr>
              <w:jc w:val="center"/>
              <w:rPr>
                <w:b/>
                <w:sz w:val="17"/>
                <w:szCs w:val="17"/>
                <w:lang w:val="es-CO" w:eastAsia="es-CO"/>
              </w:rPr>
            </w:pPr>
            <w:r w:rsidRPr="00DB2303">
              <w:rPr>
                <w:b/>
                <w:sz w:val="17"/>
                <w:szCs w:val="17"/>
                <w:lang w:val="es-CO" w:eastAsia="es-CO"/>
              </w:rPr>
              <w:t>HFC-134a</w:t>
            </w:r>
          </w:p>
        </w:tc>
        <w:tc>
          <w:tcPr>
            <w:tcW w:w="450" w:type="pct"/>
            <w:shd w:val="clear" w:color="auto" w:fill="auto"/>
            <w:noWrap/>
            <w:vAlign w:val="center"/>
            <w:hideMark/>
          </w:tcPr>
          <w:p w14:paraId="717D6578" w14:textId="77777777" w:rsidR="00A66EBA" w:rsidRPr="00DB2303" w:rsidRDefault="00A66EBA" w:rsidP="0023662F">
            <w:pPr>
              <w:jc w:val="center"/>
              <w:rPr>
                <w:b/>
                <w:sz w:val="17"/>
                <w:szCs w:val="17"/>
                <w:lang w:val="es-CO" w:eastAsia="es-CO"/>
              </w:rPr>
            </w:pPr>
            <w:r w:rsidRPr="00DB2303">
              <w:rPr>
                <w:b/>
                <w:sz w:val="17"/>
                <w:szCs w:val="17"/>
                <w:lang w:val="es-CO" w:eastAsia="es-CO"/>
              </w:rPr>
              <w:t>R-404A</w:t>
            </w:r>
          </w:p>
        </w:tc>
        <w:tc>
          <w:tcPr>
            <w:tcW w:w="400" w:type="pct"/>
            <w:shd w:val="clear" w:color="auto" w:fill="auto"/>
            <w:noWrap/>
            <w:vAlign w:val="center"/>
            <w:hideMark/>
          </w:tcPr>
          <w:p w14:paraId="72AA8FDF" w14:textId="77777777" w:rsidR="00A66EBA" w:rsidRPr="00DB2303" w:rsidRDefault="00A66EBA" w:rsidP="0023662F">
            <w:pPr>
              <w:jc w:val="center"/>
              <w:rPr>
                <w:b/>
                <w:sz w:val="17"/>
                <w:szCs w:val="17"/>
                <w:lang w:val="es-CO" w:eastAsia="es-CO"/>
              </w:rPr>
            </w:pPr>
            <w:r w:rsidRPr="00DB2303">
              <w:rPr>
                <w:b/>
                <w:sz w:val="17"/>
                <w:szCs w:val="17"/>
                <w:lang w:val="es-CO" w:eastAsia="es-CO"/>
              </w:rPr>
              <w:t>R-406</w:t>
            </w:r>
            <w:r w:rsidR="00DA42B2">
              <w:rPr>
                <w:b/>
                <w:sz w:val="17"/>
                <w:szCs w:val="17"/>
                <w:lang w:val="es-CO" w:eastAsia="es-CO"/>
              </w:rPr>
              <w:t>ª</w:t>
            </w:r>
          </w:p>
        </w:tc>
        <w:tc>
          <w:tcPr>
            <w:tcW w:w="400" w:type="pct"/>
            <w:shd w:val="clear" w:color="auto" w:fill="auto"/>
            <w:noWrap/>
            <w:vAlign w:val="center"/>
            <w:hideMark/>
          </w:tcPr>
          <w:p w14:paraId="145E51C7" w14:textId="77777777" w:rsidR="00A66EBA" w:rsidRPr="00DB2303" w:rsidRDefault="00A66EBA" w:rsidP="0023662F">
            <w:pPr>
              <w:jc w:val="center"/>
              <w:rPr>
                <w:b/>
                <w:sz w:val="17"/>
                <w:szCs w:val="17"/>
                <w:lang w:val="es-CO" w:eastAsia="es-CO"/>
              </w:rPr>
            </w:pPr>
            <w:r w:rsidRPr="00DB2303">
              <w:rPr>
                <w:b/>
                <w:sz w:val="17"/>
                <w:szCs w:val="17"/>
                <w:lang w:val="es-CO" w:eastAsia="es-CO"/>
              </w:rPr>
              <w:t>R-407C</w:t>
            </w:r>
          </w:p>
        </w:tc>
        <w:tc>
          <w:tcPr>
            <w:tcW w:w="400" w:type="pct"/>
            <w:shd w:val="clear" w:color="auto" w:fill="auto"/>
            <w:noWrap/>
            <w:vAlign w:val="center"/>
            <w:hideMark/>
          </w:tcPr>
          <w:p w14:paraId="01740B33" w14:textId="77777777" w:rsidR="00A66EBA" w:rsidRPr="00DB2303" w:rsidRDefault="00A66EBA" w:rsidP="0023662F">
            <w:pPr>
              <w:jc w:val="center"/>
              <w:rPr>
                <w:b/>
                <w:sz w:val="17"/>
                <w:szCs w:val="17"/>
                <w:lang w:val="es-CO" w:eastAsia="es-CO"/>
              </w:rPr>
            </w:pPr>
            <w:r w:rsidRPr="00DB2303">
              <w:rPr>
                <w:b/>
                <w:sz w:val="17"/>
                <w:szCs w:val="17"/>
                <w:lang w:val="es-CO" w:eastAsia="es-CO"/>
              </w:rPr>
              <w:t>R-410A</w:t>
            </w:r>
          </w:p>
        </w:tc>
        <w:tc>
          <w:tcPr>
            <w:tcW w:w="400" w:type="pct"/>
            <w:shd w:val="clear" w:color="auto" w:fill="auto"/>
            <w:noWrap/>
            <w:vAlign w:val="center"/>
            <w:hideMark/>
          </w:tcPr>
          <w:p w14:paraId="5BDE5714" w14:textId="77777777" w:rsidR="00A66EBA" w:rsidRPr="00DB2303" w:rsidRDefault="00A66EBA" w:rsidP="0023662F">
            <w:pPr>
              <w:jc w:val="center"/>
              <w:rPr>
                <w:b/>
                <w:sz w:val="17"/>
                <w:szCs w:val="17"/>
                <w:lang w:val="es-CO" w:eastAsia="es-CO"/>
              </w:rPr>
            </w:pPr>
            <w:r w:rsidRPr="00DB2303">
              <w:rPr>
                <w:b/>
                <w:sz w:val="17"/>
                <w:szCs w:val="17"/>
                <w:lang w:val="es-CO" w:eastAsia="es-CO"/>
              </w:rPr>
              <w:t>R-507A</w:t>
            </w:r>
          </w:p>
        </w:tc>
        <w:tc>
          <w:tcPr>
            <w:tcW w:w="414" w:type="pct"/>
            <w:shd w:val="clear" w:color="auto" w:fill="auto"/>
            <w:noWrap/>
            <w:vAlign w:val="center"/>
            <w:hideMark/>
          </w:tcPr>
          <w:p w14:paraId="7BBF72E7" w14:textId="77777777" w:rsidR="00A66EBA" w:rsidRPr="00DB2303" w:rsidRDefault="00A66EBA" w:rsidP="0023662F">
            <w:pPr>
              <w:jc w:val="center"/>
              <w:rPr>
                <w:b/>
                <w:sz w:val="17"/>
                <w:szCs w:val="17"/>
                <w:lang w:val="es-CO" w:eastAsia="es-CO"/>
              </w:rPr>
            </w:pPr>
            <w:r w:rsidRPr="00DB2303">
              <w:rPr>
                <w:b/>
                <w:sz w:val="17"/>
                <w:szCs w:val="17"/>
                <w:lang w:val="es-CO" w:eastAsia="es-CO"/>
              </w:rPr>
              <w:t>R-600a</w:t>
            </w:r>
          </w:p>
        </w:tc>
        <w:tc>
          <w:tcPr>
            <w:tcW w:w="400" w:type="pct"/>
            <w:shd w:val="clear" w:color="auto" w:fill="auto"/>
            <w:noWrap/>
            <w:vAlign w:val="center"/>
            <w:hideMark/>
          </w:tcPr>
          <w:p w14:paraId="7AA80F03" w14:textId="77777777" w:rsidR="00A66EBA" w:rsidRPr="00DB2303" w:rsidRDefault="00A66EBA" w:rsidP="0023662F">
            <w:pPr>
              <w:jc w:val="center"/>
              <w:rPr>
                <w:b/>
                <w:sz w:val="17"/>
                <w:szCs w:val="17"/>
                <w:lang w:val="es-CO" w:eastAsia="es-CO"/>
              </w:rPr>
            </w:pPr>
            <w:r w:rsidRPr="00DB2303">
              <w:rPr>
                <w:b/>
                <w:sz w:val="17"/>
                <w:szCs w:val="17"/>
                <w:lang w:val="es-CO" w:eastAsia="es-CO"/>
              </w:rPr>
              <w:t>R-290</w:t>
            </w:r>
          </w:p>
        </w:tc>
        <w:tc>
          <w:tcPr>
            <w:tcW w:w="390" w:type="pct"/>
            <w:shd w:val="clear" w:color="auto" w:fill="auto"/>
            <w:noWrap/>
            <w:vAlign w:val="center"/>
            <w:hideMark/>
          </w:tcPr>
          <w:p w14:paraId="1C54D31D" w14:textId="77777777" w:rsidR="00A66EBA" w:rsidRPr="00DB2303" w:rsidRDefault="00A66EBA" w:rsidP="0023662F">
            <w:pPr>
              <w:jc w:val="center"/>
              <w:rPr>
                <w:b/>
                <w:sz w:val="17"/>
                <w:szCs w:val="17"/>
                <w:lang w:val="es-CO" w:eastAsia="es-CO"/>
              </w:rPr>
            </w:pPr>
            <w:r w:rsidRPr="00DB2303">
              <w:rPr>
                <w:b/>
                <w:sz w:val="17"/>
                <w:szCs w:val="17"/>
                <w:lang w:val="es-CO" w:eastAsia="es-CO"/>
              </w:rPr>
              <w:t>R-717</w:t>
            </w:r>
          </w:p>
        </w:tc>
      </w:tr>
      <w:tr w:rsidR="007A1535" w:rsidRPr="00DB2303" w14:paraId="15968879" w14:textId="77777777" w:rsidTr="007A1535">
        <w:trPr>
          <w:trHeight w:val="237"/>
        </w:trPr>
        <w:tc>
          <w:tcPr>
            <w:tcW w:w="274" w:type="pct"/>
            <w:shd w:val="clear" w:color="auto" w:fill="auto"/>
            <w:noWrap/>
            <w:vAlign w:val="bottom"/>
            <w:hideMark/>
          </w:tcPr>
          <w:p w14:paraId="4510B89F" w14:textId="77777777" w:rsidR="00A66EBA" w:rsidRPr="00DB2303" w:rsidRDefault="00A66EBA" w:rsidP="0023662F">
            <w:pPr>
              <w:jc w:val="left"/>
              <w:rPr>
                <w:sz w:val="17"/>
                <w:szCs w:val="17"/>
                <w:lang w:val="es-CO" w:eastAsia="es-CO"/>
              </w:rPr>
            </w:pPr>
            <w:r w:rsidRPr="00DB2303">
              <w:rPr>
                <w:sz w:val="17"/>
                <w:szCs w:val="17"/>
                <w:lang w:val="es-CO" w:eastAsia="es-CO"/>
              </w:rPr>
              <w:t>2012</w:t>
            </w:r>
          </w:p>
        </w:tc>
        <w:tc>
          <w:tcPr>
            <w:tcW w:w="569" w:type="pct"/>
            <w:shd w:val="clear" w:color="auto" w:fill="auto"/>
            <w:noWrap/>
            <w:vAlign w:val="bottom"/>
            <w:hideMark/>
          </w:tcPr>
          <w:p w14:paraId="2D878933" w14:textId="77777777" w:rsidR="00A66EBA" w:rsidRPr="00DB2303" w:rsidRDefault="00A66EBA" w:rsidP="0023662F">
            <w:pPr>
              <w:jc w:val="right"/>
              <w:rPr>
                <w:sz w:val="17"/>
                <w:szCs w:val="17"/>
                <w:lang w:val="es-CO" w:eastAsia="es-CO"/>
              </w:rPr>
            </w:pPr>
            <w:r w:rsidRPr="00DB2303">
              <w:rPr>
                <w:sz w:val="17"/>
                <w:szCs w:val="17"/>
                <w:lang w:val="es-CO" w:eastAsia="es-CO"/>
              </w:rPr>
              <w:t>7.06</w:t>
            </w:r>
          </w:p>
        </w:tc>
        <w:tc>
          <w:tcPr>
            <w:tcW w:w="469" w:type="pct"/>
            <w:shd w:val="clear" w:color="auto" w:fill="auto"/>
            <w:noWrap/>
            <w:vAlign w:val="bottom"/>
            <w:hideMark/>
          </w:tcPr>
          <w:p w14:paraId="43A73069" w14:textId="77777777" w:rsidR="00A66EBA" w:rsidRPr="00DB2303" w:rsidRDefault="00A66EBA" w:rsidP="0023662F">
            <w:pPr>
              <w:jc w:val="right"/>
              <w:rPr>
                <w:sz w:val="17"/>
                <w:szCs w:val="17"/>
                <w:lang w:val="es-CO" w:eastAsia="es-CO"/>
              </w:rPr>
            </w:pPr>
            <w:r w:rsidRPr="00DB2303">
              <w:rPr>
                <w:sz w:val="17"/>
                <w:szCs w:val="17"/>
                <w:lang w:val="es-CO" w:eastAsia="es-CO"/>
              </w:rPr>
              <w:t>3.95</w:t>
            </w:r>
          </w:p>
        </w:tc>
        <w:tc>
          <w:tcPr>
            <w:tcW w:w="475" w:type="pct"/>
            <w:shd w:val="clear" w:color="auto" w:fill="auto"/>
            <w:noWrap/>
            <w:vAlign w:val="bottom"/>
            <w:hideMark/>
          </w:tcPr>
          <w:p w14:paraId="7FF8FF89" w14:textId="77777777" w:rsidR="00A66EBA" w:rsidRPr="00DB2303" w:rsidRDefault="00A66EBA" w:rsidP="0023662F">
            <w:pPr>
              <w:jc w:val="right"/>
              <w:rPr>
                <w:sz w:val="17"/>
                <w:szCs w:val="17"/>
                <w:lang w:val="es-CO" w:eastAsia="es-CO"/>
              </w:rPr>
            </w:pPr>
            <w:r w:rsidRPr="00DB2303">
              <w:rPr>
                <w:sz w:val="17"/>
                <w:szCs w:val="17"/>
                <w:lang w:val="es-CO" w:eastAsia="es-CO"/>
              </w:rPr>
              <w:t>11.41</w:t>
            </w:r>
          </w:p>
        </w:tc>
        <w:tc>
          <w:tcPr>
            <w:tcW w:w="450" w:type="pct"/>
            <w:shd w:val="clear" w:color="auto" w:fill="auto"/>
            <w:noWrap/>
            <w:vAlign w:val="bottom"/>
            <w:hideMark/>
          </w:tcPr>
          <w:p w14:paraId="0E703158" w14:textId="77777777" w:rsidR="00A66EBA" w:rsidRPr="00DB2303" w:rsidRDefault="00A66EBA" w:rsidP="0023662F">
            <w:pPr>
              <w:jc w:val="right"/>
              <w:rPr>
                <w:sz w:val="17"/>
                <w:szCs w:val="17"/>
                <w:lang w:val="es-CO" w:eastAsia="es-CO"/>
              </w:rPr>
            </w:pPr>
            <w:r w:rsidRPr="00DB2303">
              <w:rPr>
                <w:sz w:val="17"/>
                <w:szCs w:val="17"/>
                <w:lang w:val="es-CO" w:eastAsia="es-CO"/>
              </w:rPr>
              <w:t>20.38</w:t>
            </w:r>
          </w:p>
        </w:tc>
        <w:tc>
          <w:tcPr>
            <w:tcW w:w="400" w:type="pct"/>
            <w:shd w:val="clear" w:color="auto" w:fill="auto"/>
            <w:noWrap/>
            <w:vAlign w:val="bottom"/>
            <w:hideMark/>
          </w:tcPr>
          <w:p w14:paraId="0121B924" w14:textId="77777777" w:rsidR="00A66EBA" w:rsidRPr="00DB2303" w:rsidRDefault="00A66EBA" w:rsidP="0023662F">
            <w:pPr>
              <w:jc w:val="right"/>
              <w:rPr>
                <w:sz w:val="17"/>
                <w:szCs w:val="17"/>
                <w:lang w:val="es-CO" w:eastAsia="es-CO"/>
              </w:rPr>
            </w:pPr>
            <w:r w:rsidRPr="00DB2303">
              <w:rPr>
                <w:sz w:val="17"/>
                <w:szCs w:val="17"/>
                <w:lang w:val="es-CO" w:eastAsia="es-CO"/>
              </w:rPr>
              <w:t>9.80</w:t>
            </w:r>
          </w:p>
        </w:tc>
        <w:tc>
          <w:tcPr>
            <w:tcW w:w="400" w:type="pct"/>
            <w:shd w:val="clear" w:color="auto" w:fill="auto"/>
            <w:noWrap/>
            <w:vAlign w:val="bottom"/>
            <w:hideMark/>
          </w:tcPr>
          <w:p w14:paraId="05C84817" w14:textId="77777777" w:rsidR="00A66EBA" w:rsidRPr="00DB2303" w:rsidRDefault="00A66EBA" w:rsidP="0023662F">
            <w:pPr>
              <w:jc w:val="right"/>
              <w:rPr>
                <w:sz w:val="17"/>
                <w:szCs w:val="17"/>
                <w:lang w:val="es-CO" w:eastAsia="es-CO"/>
              </w:rPr>
            </w:pPr>
            <w:r w:rsidRPr="00DB2303">
              <w:rPr>
                <w:sz w:val="17"/>
                <w:szCs w:val="17"/>
                <w:lang w:val="es-CO" w:eastAsia="es-CO"/>
              </w:rPr>
              <w:t>13.72</w:t>
            </w:r>
          </w:p>
        </w:tc>
        <w:tc>
          <w:tcPr>
            <w:tcW w:w="400" w:type="pct"/>
            <w:shd w:val="clear" w:color="auto" w:fill="auto"/>
            <w:noWrap/>
            <w:vAlign w:val="bottom"/>
            <w:hideMark/>
          </w:tcPr>
          <w:p w14:paraId="6F823BB2" w14:textId="77777777" w:rsidR="00A66EBA" w:rsidRPr="00DB2303" w:rsidRDefault="00A66EBA" w:rsidP="0023662F">
            <w:pPr>
              <w:jc w:val="right"/>
              <w:rPr>
                <w:sz w:val="17"/>
                <w:szCs w:val="17"/>
                <w:lang w:val="es-CO" w:eastAsia="es-CO"/>
              </w:rPr>
            </w:pPr>
            <w:r w:rsidRPr="00DB2303">
              <w:rPr>
                <w:sz w:val="17"/>
                <w:szCs w:val="17"/>
                <w:lang w:val="es-CO" w:eastAsia="es-CO"/>
              </w:rPr>
              <w:t>9.44</w:t>
            </w:r>
          </w:p>
        </w:tc>
        <w:tc>
          <w:tcPr>
            <w:tcW w:w="400" w:type="pct"/>
            <w:shd w:val="clear" w:color="auto" w:fill="auto"/>
            <w:noWrap/>
            <w:vAlign w:val="bottom"/>
            <w:hideMark/>
          </w:tcPr>
          <w:p w14:paraId="723920D7" w14:textId="77777777" w:rsidR="00A66EBA" w:rsidRPr="00DB2303" w:rsidRDefault="00A66EBA" w:rsidP="0023662F">
            <w:pPr>
              <w:jc w:val="right"/>
              <w:rPr>
                <w:sz w:val="17"/>
                <w:szCs w:val="17"/>
                <w:lang w:val="es-CO" w:eastAsia="es-CO"/>
              </w:rPr>
            </w:pPr>
            <w:r w:rsidRPr="00DB2303">
              <w:rPr>
                <w:sz w:val="17"/>
                <w:szCs w:val="17"/>
                <w:lang w:val="es-CO" w:eastAsia="es-CO"/>
              </w:rPr>
              <w:t>12.94</w:t>
            </w:r>
          </w:p>
        </w:tc>
        <w:tc>
          <w:tcPr>
            <w:tcW w:w="414" w:type="pct"/>
            <w:shd w:val="clear" w:color="auto" w:fill="auto"/>
            <w:noWrap/>
            <w:vAlign w:val="bottom"/>
            <w:hideMark/>
          </w:tcPr>
          <w:p w14:paraId="14ADDEC1" w14:textId="77777777" w:rsidR="00A66EBA" w:rsidRPr="00DB2303" w:rsidRDefault="00A66EBA" w:rsidP="0023662F">
            <w:pPr>
              <w:jc w:val="right"/>
              <w:rPr>
                <w:sz w:val="17"/>
                <w:szCs w:val="17"/>
                <w:lang w:val="es-CO" w:eastAsia="es-CO"/>
              </w:rPr>
            </w:pPr>
            <w:r w:rsidRPr="00DB2303">
              <w:rPr>
                <w:sz w:val="17"/>
                <w:szCs w:val="17"/>
                <w:lang w:val="es-CO" w:eastAsia="es-CO"/>
              </w:rPr>
              <w:t> </w:t>
            </w:r>
          </w:p>
        </w:tc>
        <w:tc>
          <w:tcPr>
            <w:tcW w:w="400" w:type="pct"/>
            <w:shd w:val="clear" w:color="auto" w:fill="auto"/>
            <w:noWrap/>
            <w:vAlign w:val="bottom"/>
            <w:hideMark/>
          </w:tcPr>
          <w:p w14:paraId="6D475552" w14:textId="77777777" w:rsidR="00A66EBA" w:rsidRPr="00DB2303" w:rsidRDefault="00A66EBA" w:rsidP="0023662F">
            <w:pPr>
              <w:jc w:val="right"/>
              <w:rPr>
                <w:sz w:val="17"/>
                <w:szCs w:val="17"/>
                <w:lang w:val="es-CO" w:eastAsia="es-CO"/>
              </w:rPr>
            </w:pPr>
            <w:r w:rsidRPr="00DB2303">
              <w:rPr>
                <w:sz w:val="17"/>
                <w:szCs w:val="17"/>
                <w:lang w:val="es-CO" w:eastAsia="es-CO"/>
              </w:rPr>
              <w:t> </w:t>
            </w:r>
          </w:p>
        </w:tc>
        <w:tc>
          <w:tcPr>
            <w:tcW w:w="390" w:type="pct"/>
            <w:shd w:val="clear" w:color="auto" w:fill="auto"/>
            <w:noWrap/>
            <w:vAlign w:val="bottom"/>
            <w:hideMark/>
          </w:tcPr>
          <w:p w14:paraId="64A1285E" w14:textId="77777777" w:rsidR="00A66EBA" w:rsidRPr="00DB2303" w:rsidRDefault="00A66EBA" w:rsidP="0023662F">
            <w:pPr>
              <w:jc w:val="right"/>
              <w:rPr>
                <w:sz w:val="17"/>
                <w:szCs w:val="17"/>
                <w:lang w:val="es-CO" w:eastAsia="es-CO"/>
              </w:rPr>
            </w:pPr>
            <w:r w:rsidRPr="00DB2303">
              <w:rPr>
                <w:sz w:val="17"/>
                <w:szCs w:val="17"/>
                <w:lang w:val="es-CO" w:eastAsia="es-CO"/>
              </w:rPr>
              <w:t>3.30</w:t>
            </w:r>
          </w:p>
        </w:tc>
      </w:tr>
      <w:tr w:rsidR="007A1535" w:rsidRPr="00DB2303" w14:paraId="5897CECF" w14:textId="77777777" w:rsidTr="007A1535">
        <w:trPr>
          <w:trHeight w:val="300"/>
        </w:trPr>
        <w:tc>
          <w:tcPr>
            <w:tcW w:w="274" w:type="pct"/>
            <w:shd w:val="clear" w:color="auto" w:fill="auto"/>
            <w:noWrap/>
            <w:vAlign w:val="bottom"/>
            <w:hideMark/>
          </w:tcPr>
          <w:p w14:paraId="4AFE5A21" w14:textId="77777777" w:rsidR="00A66EBA" w:rsidRPr="00DB2303" w:rsidRDefault="00A66EBA" w:rsidP="0023662F">
            <w:pPr>
              <w:jc w:val="left"/>
              <w:rPr>
                <w:sz w:val="17"/>
                <w:szCs w:val="17"/>
                <w:lang w:val="es-CO" w:eastAsia="es-CO"/>
              </w:rPr>
            </w:pPr>
            <w:r w:rsidRPr="00DB2303">
              <w:rPr>
                <w:sz w:val="17"/>
                <w:szCs w:val="17"/>
                <w:lang w:val="es-CO" w:eastAsia="es-CO"/>
              </w:rPr>
              <w:t>2013</w:t>
            </w:r>
          </w:p>
        </w:tc>
        <w:tc>
          <w:tcPr>
            <w:tcW w:w="569" w:type="pct"/>
            <w:shd w:val="clear" w:color="auto" w:fill="auto"/>
            <w:noWrap/>
            <w:vAlign w:val="bottom"/>
            <w:hideMark/>
          </w:tcPr>
          <w:p w14:paraId="1AD48B78" w14:textId="77777777" w:rsidR="00A66EBA" w:rsidRPr="00DB2303" w:rsidRDefault="00A66EBA" w:rsidP="0023662F">
            <w:pPr>
              <w:jc w:val="right"/>
              <w:rPr>
                <w:sz w:val="17"/>
                <w:szCs w:val="17"/>
                <w:lang w:val="es-CO" w:eastAsia="es-CO"/>
              </w:rPr>
            </w:pPr>
            <w:r w:rsidRPr="00DB2303">
              <w:rPr>
                <w:sz w:val="17"/>
                <w:szCs w:val="17"/>
                <w:lang w:val="es-CO" w:eastAsia="es-CO"/>
              </w:rPr>
              <w:t>7.06</w:t>
            </w:r>
          </w:p>
        </w:tc>
        <w:tc>
          <w:tcPr>
            <w:tcW w:w="469" w:type="pct"/>
            <w:shd w:val="clear" w:color="auto" w:fill="auto"/>
            <w:noWrap/>
            <w:vAlign w:val="bottom"/>
            <w:hideMark/>
          </w:tcPr>
          <w:p w14:paraId="66F72826" w14:textId="77777777" w:rsidR="00A66EBA" w:rsidRPr="00DB2303" w:rsidRDefault="00A66EBA" w:rsidP="0023662F">
            <w:pPr>
              <w:jc w:val="right"/>
              <w:rPr>
                <w:sz w:val="17"/>
                <w:szCs w:val="17"/>
                <w:lang w:val="es-CO" w:eastAsia="es-CO"/>
              </w:rPr>
            </w:pPr>
            <w:r w:rsidRPr="00DB2303">
              <w:rPr>
                <w:sz w:val="17"/>
                <w:szCs w:val="17"/>
                <w:lang w:val="es-CO" w:eastAsia="es-CO"/>
              </w:rPr>
              <w:t>3.38</w:t>
            </w:r>
          </w:p>
        </w:tc>
        <w:tc>
          <w:tcPr>
            <w:tcW w:w="475" w:type="pct"/>
            <w:shd w:val="clear" w:color="auto" w:fill="auto"/>
            <w:noWrap/>
            <w:vAlign w:val="bottom"/>
            <w:hideMark/>
          </w:tcPr>
          <w:p w14:paraId="32CC246E" w14:textId="77777777" w:rsidR="00A66EBA" w:rsidRPr="00DB2303" w:rsidRDefault="00A66EBA" w:rsidP="0023662F">
            <w:pPr>
              <w:jc w:val="right"/>
              <w:rPr>
                <w:sz w:val="17"/>
                <w:szCs w:val="17"/>
                <w:lang w:val="es-CO" w:eastAsia="es-CO"/>
              </w:rPr>
            </w:pPr>
            <w:r w:rsidRPr="00DB2303">
              <w:rPr>
                <w:sz w:val="17"/>
                <w:szCs w:val="17"/>
                <w:lang w:val="es-CO" w:eastAsia="es-CO"/>
              </w:rPr>
              <w:t>8.66</w:t>
            </w:r>
          </w:p>
        </w:tc>
        <w:tc>
          <w:tcPr>
            <w:tcW w:w="450" w:type="pct"/>
            <w:shd w:val="clear" w:color="auto" w:fill="auto"/>
            <w:noWrap/>
            <w:vAlign w:val="bottom"/>
            <w:hideMark/>
          </w:tcPr>
          <w:p w14:paraId="5C9E55A5" w14:textId="77777777" w:rsidR="00A66EBA" w:rsidRPr="00DB2303" w:rsidRDefault="00A66EBA" w:rsidP="0023662F">
            <w:pPr>
              <w:jc w:val="right"/>
              <w:rPr>
                <w:sz w:val="17"/>
                <w:szCs w:val="17"/>
                <w:lang w:val="es-CO" w:eastAsia="es-CO"/>
              </w:rPr>
            </w:pPr>
            <w:r w:rsidRPr="00DB2303">
              <w:rPr>
                <w:sz w:val="17"/>
                <w:szCs w:val="17"/>
                <w:lang w:val="es-CO" w:eastAsia="es-CO"/>
              </w:rPr>
              <w:t>9.82</w:t>
            </w:r>
          </w:p>
        </w:tc>
        <w:tc>
          <w:tcPr>
            <w:tcW w:w="400" w:type="pct"/>
            <w:shd w:val="clear" w:color="auto" w:fill="auto"/>
            <w:noWrap/>
            <w:vAlign w:val="bottom"/>
            <w:hideMark/>
          </w:tcPr>
          <w:p w14:paraId="414871EF" w14:textId="77777777" w:rsidR="00A66EBA" w:rsidRPr="00DB2303" w:rsidRDefault="00A66EBA" w:rsidP="0023662F">
            <w:pPr>
              <w:jc w:val="right"/>
              <w:rPr>
                <w:sz w:val="17"/>
                <w:szCs w:val="17"/>
                <w:lang w:val="es-CO" w:eastAsia="es-CO"/>
              </w:rPr>
            </w:pPr>
            <w:r w:rsidRPr="00DB2303">
              <w:rPr>
                <w:sz w:val="17"/>
                <w:szCs w:val="17"/>
                <w:lang w:val="es-CO" w:eastAsia="es-CO"/>
              </w:rPr>
              <w:t>8.23</w:t>
            </w:r>
          </w:p>
        </w:tc>
        <w:tc>
          <w:tcPr>
            <w:tcW w:w="400" w:type="pct"/>
            <w:shd w:val="clear" w:color="auto" w:fill="auto"/>
            <w:noWrap/>
            <w:vAlign w:val="bottom"/>
            <w:hideMark/>
          </w:tcPr>
          <w:p w14:paraId="1347B33F" w14:textId="77777777" w:rsidR="00A66EBA" w:rsidRPr="00DB2303" w:rsidRDefault="00A66EBA" w:rsidP="0023662F">
            <w:pPr>
              <w:jc w:val="right"/>
              <w:rPr>
                <w:sz w:val="17"/>
                <w:szCs w:val="17"/>
                <w:lang w:val="es-CO" w:eastAsia="es-CO"/>
              </w:rPr>
            </w:pPr>
            <w:r w:rsidRPr="00DB2303">
              <w:rPr>
                <w:sz w:val="17"/>
                <w:szCs w:val="17"/>
                <w:lang w:val="es-CO" w:eastAsia="es-CO"/>
              </w:rPr>
              <w:t>9.80</w:t>
            </w:r>
          </w:p>
        </w:tc>
        <w:tc>
          <w:tcPr>
            <w:tcW w:w="400" w:type="pct"/>
            <w:shd w:val="clear" w:color="auto" w:fill="auto"/>
            <w:noWrap/>
            <w:vAlign w:val="bottom"/>
            <w:hideMark/>
          </w:tcPr>
          <w:p w14:paraId="40B42E0F" w14:textId="77777777" w:rsidR="00A66EBA" w:rsidRPr="00DB2303" w:rsidRDefault="00A66EBA" w:rsidP="0023662F">
            <w:pPr>
              <w:jc w:val="right"/>
              <w:rPr>
                <w:sz w:val="17"/>
                <w:szCs w:val="17"/>
                <w:lang w:val="es-CO" w:eastAsia="es-CO"/>
              </w:rPr>
            </w:pPr>
            <w:r w:rsidRPr="00DB2303">
              <w:rPr>
                <w:sz w:val="17"/>
                <w:szCs w:val="17"/>
                <w:lang w:val="es-CO" w:eastAsia="es-CO"/>
              </w:rPr>
              <w:t>7.17</w:t>
            </w:r>
          </w:p>
        </w:tc>
        <w:tc>
          <w:tcPr>
            <w:tcW w:w="400" w:type="pct"/>
            <w:shd w:val="clear" w:color="auto" w:fill="auto"/>
            <w:noWrap/>
            <w:vAlign w:val="bottom"/>
            <w:hideMark/>
          </w:tcPr>
          <w:p w14:paraId="5B57DBCD" w14:textId="77777777" w:rsidR="00A66EBA" w:rsidRPr="00DB2303" w:rsidRDefault="00A66EBA" w:rsidP="0023662F">
            <w:pPr>
              <w:jc w:val="right"/>
              <w:rPr>
                <w:sz w:val="17"/>
                <w:szCs w:val="17"/>
                <w:lang w:val="es-CO" w:eastAsia="es-CO"/>
              </w:rPr>
            </w:pPr>
            <w:r w:rsidRPr="00DB2303">
              <w:rPr>
                <w:sz w:val="17"/>
                <w:szCs w:val="17"/>
                <w:lang w:val="es-CO" w:eastAsia="es-CO"/>
              </w:rPr>
              <w:t>9.80</w:t>
            </w:r>
          </w:p>
        </w:tc>
        <w:tc>
          <w:tcPr>
            <w:tcW w:w="414" w:type="pct"/>
            <w:shd w:val="clear" w:color="auto" w:fill="auto"/>
            <w:noWrap/>
            <w:vAlign w:val="bottom"/>
            <w:hideMark/>
          </w:tcPr>
          <w:p w14:paraId="549825F5" w14:textId="77777777" w:rsidR="00A66EBA" w:rsidRPr="00DB2303" w:rsidRDefault="00A66EBA" w:rsidP="0023662F">
            <w:pPr>
              <w:jc w:val="right"/>
              <w:rPr>
                <w:sz w:val="17"/>
                <w:szCs w:val="17"/>
                <w:lang w:val="es-CO" w:eastAsia="es-CO"/>
              </w:rPr>
            </w:pPr>
            <w:r w:rsidRPr="00DB2303">
              <w:rPr>
                <w:sz w:val="17"/>
                <w:szCs w:val="17"/>
                <w:lang w:val="es-CO" w:eastAsia="es-CO"/>
              </w:rPr>
              <w:t> </w:t>
            </w:r>
          </w:p>
        </w:tc>
        <w:tc>
          <w:tcPr>
            <w:tcW w:w="400" w:type="pct"/>
            <w:shd w:val="clear" w:color="auto" w:fill="auto"/>
            <w:noWrap/>
            <w:vAlign w:val="bottom"/>
            <w:hideMark/>
          </w:tcPr>
          <w:p w14:paraId="6BF503B7" w14:textId="77777777" w:rsidR="00A66EBA" w:rsidRPr="00DB2303" w:rsidRDefault="00A66EBA" w:rsidP="0023662F">
            <w:pPr>
              <w:jc w:val="right"/>
              <w:rPr>
                <w:sz w:val="17"/>
                <w:szCs w:val="17"/>
                <w:lang w:val="es-CO" w:eastAsia="es-CO"/>
              </w:rPr>
            </w:pPr>
            <w:r w:rsidRPr="00DB2303">
              <w:rPr>
                <w:sz w:val="17"/>
                <w:szCs w:val="17"/>
                <w:lang w:val="es-CO" w:eastAsia="es-CO"/>
              </w:rPr>
              <w:t> </w:t>
            </w:r>
          </w:p>
        </w:tc>
        <w:tc>
          <w:tcPr>
            <w:tcW w:w="390" w:type="pct"/>
            <w:shd w:val="clear" w:color="auto" w:fill="auto"/>
            <w:noWrap/>
            <w:vAlign w:val="bottom"/>
            <w:hideMark/>
          </w:tcPr>
          <w:p w14:paraId="319C69E9" w14:textId="77777777" w:rsidR="00A66EBA" w:rsidRPr="00DB2303" w:rsidRDefault="00A66EBA" w:rsidP="0023662F">
            <w:pPr>
              <w:jc w:val="right"/>
              <w:rPr>
                <w:sz w:val="17"/>
                <w:szCs w:val="17"/>
                <w:lang w:val="es-CO" w:eastAsia="es-CO"/>
              </w:rPr>
            </w:pPr>
            <w:r w:rsidRPr="00DB2303">
              <w:rPr>
                <w:sz w:val="17"/>
                <w:szCs w:val="17"/>
                <w:lang w:val="es-CO" w:eastAsia="es-CO"/>
              </w:rPr>
              <w:t>2.10</w:t>
            </w:r>
          </w:p>
        </w:tc>
      </w:tr>
      <w:tr w:rsidR="007A1535" w:rsidRPr="00DB2303" w14:paraId="2EDC266F" w14:textId="77777777" w:rsidTr="007A1535">
        <w:trPr>
          <w:trHeight w:val="300"/>
        </w:trPr>
        <w:tc>
          <w:tcPr>
            <w:tcW w:w="274" w:type="pct"/>
            <w:shd w:val="clear" w:color="auto" w:fill="auto"/>
            <w:noWrap/>
            <w:vAlign w:val="bottom"/>
            <w:hideMark/>
          </w:tcPr>
          <w:p w14:paraId="52E5B9C2" w14:textId="77777777" w:rsidR="00A66EBA" w:rsidRPr="00DB2303" w:rsidRDefault="00A66EBA" w:rsidP="0023662F">
            <w:pPr>
              <w:jc w:val="left"/>
              <w:rPr>
                <w:sz w:val="17"/>
                <w:szCs w:val="17"/>
                <w:lang w:val="es-CO" w:eastAsia="es-CO"/>
              </w:rPr>
            </w:pPr>
            <w:r w:rsidRPr="00DB2303">
              <w:rPr>
                <w:sz w:val="17"/>
                <w:szCs w:val="17"/>
                <w:lang w:val="es-CO" w:eastAsia="es-CO"/>
              </w:rPr>
              <w:t>2014</w:t>
            </w:r>
          </w:p>
        </w:tc>
        <w:tc>
          <w:tcPr>
            <w:tcW w:w="569" w:type="pct"/>
            <w:shd w:val="clear" w:color="auto" w:fill="auto"/>
            <w:noWrap/>
            <w:vAlign w:val="bottom"/>
            <w:hideMark/>
          </w:tcPr>
          <w:p w14:paraId="52142A28" w14:textId="77777777" w:rsidR="00A66EBA" w:rsidRPr="00DB2303" w:rsidRDefault="00A66EBA" w:rsidP="0023662F">
            <w:pPr>
              <w:jc w:val="right"/>
              <w:rPr>
                <w:sz w:val="17"/>
                <w:szCs w:val="17"/>
                <w:lang w:val="es-CO" w:eastAsia="es-CO"/>
              </w:rPr>
            </w:pPr>
            <w:r w:rsidRPr="00DB2303">
              <w:rPr>
                <w:sz w:val="17"/>
                <w:szCs w:val="17"/>
                <w:lang w:val="es-CO" w:eastAsia="es-CO"/>
              </w:rPr>
              <w:t>8.70</w:t>
            </w:r>
          </w:p>
        </w:tc>
        <w:tc>
          <w:tcPr>
            <w:tcW w:w="469" w:type="pct"/>
            <w:shd w:val="clear" w:color="auto" w:fill="auto"/>
            <w:noWrap/>
            <w:vAlign w:val="bottom"/>
            <w:hideMark/>
          </w:tcPr>
          <w:p w14:paraId="6AA222D6" w14:textId="77777777" w:rsidR="00A66EBA" w:rsidRPr="00DB2303" w:rsidRDefault="00A66EBA" w:rsidP="0023662F">
            <w:pPr>
              <w:jc w:val="right"/>
              <w:rPr>
                <w:sz w:val="17"/>
                <w:szCs w:val="17"/>
                <w:lang w:val="es-CO" w:eastAsia="es-CO"/>
              </w:rPr>
            </w:pPr>
            <w:r w:rsidRPr="00DB2303">
              <w:rPr>
                <w:sz w:val="17"/>
                <w:szCs w:val="17"/>
                <w:lang w:val="es-CO" w:eastAsia="es-CO"/>
              </w:rPr>
              <w:t>4.31</w:t>
            </w:r>
          </w:p>
        </w:tc>
        <w:tc>
          <w:tcPr>
            <w:tcW w:w="475" w:type="pct"/>
            <w:shd w:val="clear" w:color="auto" w:fill="auto"/>
            <w:noWrap/>
            <w:vAlign w:val="bottom"/>
            <w:hideMark/>
          </w:tcPr>
          <w:p w14:paraId="691F5191" w14:textId="77777777" w:rsidR="00A66EBA" w:rsidRPr="00DB2303" w:rsidRDefault="00A66EBA" w:rsidP="0023662F">
            <w:pPr>
              <w:jc w:val="right"/>
              <w:rPr>
                <w:sz w:val="17"/>
                <w:szCs w:val="17"/>
                <w:lang w:val="es-CO" w:eastAsia="es-CO"/>
              </w:rPr>
            </w:pPr>
            <w:r w:rsidRPr="00DB2303">
              <w:rPr>
                <w:sz w:val="17"/>
                <w:szCs w:val="17"/>
                <w:lang w:val="es-CO" w:eastAsia="es-CO"/>
              </w:rPr>
              <w:t>6.76</w:t>
            </w:r>
          </w:p>
        </w:tc>
        <w:tc>
          <w:tcPr>
            <w:tcW w:w="450" w:type="pct"/>
            <w:shd w:val="clear" w:color="auto" w:fill="auto"/>
            <w:noWrap/>
            <w:vAlign w:val="bottom"/>
            <w:hideMark/>
          </w:tcPr>
          <w:p w14:paraId="7189221B" w14:textId="77777777" w:rsidR="00A66EBA" w:rsidRPr="00DB2303" w:rsidRDefault="00A66EBA" w:rsidP="0023662F">
            <w:pPr>
              <w:jc w:val="right"/>
              <w:rPr>
                <w:sz w:val="17"/>
                <w:szCs w:val="17"/>
                <w:lang w:val="es-CO" w:eastAsia="es-CO"/>
              </w:rPr>
            </w:pPr>
            <w:r w:rsidRPr="00DB2303">
              <w:rPr>
                <w:sz w:val="17"/>
                <w:szCs w:val="17"/>
                <w:lang w:val="es-CO" w:eastAsia="es-CO"/>
              </w:rPr>
              <w:t>9.04</w:t>
            </w:r>
          </w:p>
        </w:tc>
        <w:tc>
          <w:tcPr>
            <w:tcW w:w="400" w:type="pct"/>
            <w:shd w:val="clear" w:color="auto" w:fill="auto"/>
            <w:noWrap/>
            <w:vAlign w:val="bottom"/>
            <w:hideMark/>
          </w:tcPr>
          <w:p w14:paraId="34EE5E5F" w14:textId="77777777" w:rsidR="00A66EBA" w:rsidRPr="00DB2303" w:rsidRDefault="00A66EBA" w:rsidP="0023662F">
            <w:pPr>
              <w:jc w:val="right"/>
              <w:rPr>
                <w:sz w:val="17"/>
                <w:szCs w:val="17"/>
                <w:lang w:val="es-CO" w:eastAsia="es-CO"/>
              </w:rPr>
            </w:pPr>
            <w:r w:rsidRPr="00DB2303">
              <w:rPr>
                <w:sz w:val="17"/>
                <w:szCs w:val="17"/>
                <w:lang w:val="es-CO" w:eastAsia="es-CO"/>
              </w:rPr>
              <w:t>6.69</w:t>
            </w:r>
          </w:p>
        </w:tc>
        <w:tc>
          <w:tcPr>
            <w:tcW w:w="400" w:type="pct"/>
            <w:shd w:val="clear" w:color="auto" w:fill="auto"/>
            <w:noWrap/>
            <w:vAlign w:val="bottom"/>
            <w:hideMark/>
          </w:tcPr>
          <w:p w14:paraId="37A72007" w14:textId="77777777" w:rsidR="00A66EBA" w:rsidRPr="00DB2303" w:rsidRDefault="00A66EBA" w:rsidP="0023662F">
            <w:pPr>
              <w:jc w:val="right"/>
              <w:rPr>
                <w:sz w:val="17"/>
                <w:szCs w:val="17"/>
                <w:lang w:val="es-CO" w:eastAsia="es-CO"/>
              </w:rPr>
            </w:pPr>
            <w:r w:rsidRPr="00DB2303">
              <w:rPr>
                <w:sz w:val="17"/>
                <w:szCs w:val="17"/>
                <w:lang w:val="es-CO" w:eastAsia="es-CO"/>
              </w:rPr>
              <w:t>8.03</w:t>
            </w:r>
          </w:p>
        </w:tc>
        <w:tc>
          <w:tcPr>
            <w:tcW w:w="400" w:type="pct"/>
            <w:shd w:val="clear" w:color="auto" w:fill="auto"/>
            <w:noWrap/>
            <w:vAlign w:val="bottom"/>
            <w:hideMark/>
          </w:tcPr>
          <w:p w14:paraId="21848B41" w14:textId="77777777" w:rsidR="00A66EBA" w:rsidRPr="00DB2303" w:rsidRDefault="00A66EBA" w:rsidP="0023662F">
            <w:pPr>
              <w:jc w:val="right"/>
              <w:rPr>
                <w:sz w:val="17"/>
                <w:szCs w:val="17"/>
                <w:lang w:val="es-CO" w:eastAsia="es-CO"/>
              </w:rPr>
            </w:pPr>
            <w:r w:rsidRPr="00DB2303">
              <w:rPr>
                <w:sz w:val="17"/>
                <w:szCs w:val="17"/>
                <w:lang w:val="es-CO" w:eastAsia="es-CO"/>
              </w:rPr>
              <w:t>6.95</w:t>
            </w:r>
          </w:p>
        </w:tc>
        <w:tc>
          <w:tcPr>
            <w:tcW w:w="400" w:type="pct"/>
            <w:shd w:val="clear" w:color="auto" w:fill="auto"/>
            <w:noWrap/>
            <w:vAlign w:val="bottom"/>
            <w:hideMark/>
          </w:tcPr>
          <w:p w14:paraId="74DF06DD" w14:textId="77777777" w:rsidR="00A66EBA" w:rsidRPr="00DB2303" w:rsidRDefault="00A66EBA" w:rsidP="0023662F">
            <w:pPr>
              <w:jc w:val="right"/>
              <w:rPr>
                <w:sz w:val="17"/>
                <w:szCs w:val="17"/>
                <w:lang w:val="es-CO" w:eastAsia="es-CO"/>
              </w:rPr>
            </w:pPr>
            <w:r w:rsidRPr="00DB2303">
              <w:rPr>
                <w:sz w:val="17"/>
                <w:szCs w:val="17"/>
                <w:lang w:val="es-CO" w:eastAsia="es-CO"/>
              </w:rPr>
              <w:t>7.69</w:t>
            </w:r>
          </w:p>
        </w:tc>
        <w:tc>
          <w:tcPr>
            <w:tcW w:w="414" w:type="pct"/>
            <w:shd w:val="clear" w:color="auto" w:fill="auto"/>
            <w:noWrap/>
            <w:vAlign w:val="bottom"/>
            <w:hideMark/>
          </w:tcPr>
          <w:p w14:paraId="2B174CB7" w14:textId="77777777" w:rsidR="00A66EBA" w:rsidRPr="00DB2303" w:rsidRDefault="00A66EBA" w:rsidP="0023662F">
            <w:pPr>
              <w:jc w:val="right"/>
              <w:rPr>
                <w:sz w:val="17"/>
                <w:szCs w:val="17"/>
                <w:lang w:val="es-CO" w:eastAsia="es-CO"/>
              </w:rPr>
            </w:pPr>
            <w:r w:rsidRPr="00DB2303">
              <w:rPr>
                <w:sz w:val="17"/>
                <w:szCs w:val="17"/>
                <w:lang w:val="es-CO" w:eastAsia="es-CO"/>
              </w:rPr>
              <w:t> </w:t>
            </w:r>
          </w:p>
        </w:tc>
        <w:tc>
          <w:tcPr>
            <w:tcW w:w="400" w:type="pct"/>
            <w:shd w:val="clear" w:color="auto" w:fill="auto"/>
            <w:noWrap/>
            <w:vAlign w:val="bottom"/>
            <w:hideMark/>
          </w:tcPr>
          <w:p w14:paraId="37E6C8D8" w14:textId="77777777" w:rsidR="00A66EBA" w:rsidRPr="00DB2303" w:rsidRDefault="00A66EBA" w:rsidP="0023662F">
            <w:pPr>
              <w:jc w:val="right"/>
              <w:rPr>
                <w:sz w:val="17"/>
                <w:szCs w:val="17"/>
                <w:lang w:val="es-CO" w:eastAsia="es-CO"/>
              </w:rPr>
            </w:pPr>
            <w:r w:rsidRPr="00DB2303">
              <w:rPr>
                <w:sz w:val="17"/>
                <w:szCs w:val="17"/>
                <w:lang w:val="es-CO" w:eastAsia="es-CO"/>
              </w:rPr>
              <w:t> </w:t>
            </w:r>
          </w:p>
        </w:tc>
        <w:tc>
          <w:tcPr>
            <w:tcW w:w="390" w:type="pct"/>
            <w:shd w:val="clear" w:color="auto" w:fill="auto"/>
            <w:noWrap/>
            <w:vAlign w:val="bottom"/>
            <w:hideMark/>
          </w:tcPr>
          <w:p w14:paraId="2BB3E16F" w14:textId="77777777" w:rsidR="00A66EBA" w:rsidRPr="00DB2303" w:rsidRDefault="00A66EBA" w:rsidP="0023662F">
            <w:pPr>
              <w:jc w:val="right"/>
              <w:rPr>
                <w:sz w:val="17"/>
                <w:szCs w:val="17"/>
                <w:lang w:val="es-CO" w:eastAsia="es-CO"/>
              </w:rPr>
            </w:pPr>
            <w:r w:rsidRPr="00DB2303">
              <w:rPr>
                <w:sz w:val="17"/>
                <w:szCs w:val="17"/>
                <w:lang w:val="es-CO" w:eastAsia="es-CO"/>
              </w:rPr>
              <w:t>2.70</w:t>
            </w:r>
          </w:p>
        </w:tc>
      </w:tr>
      <w:tr w:rsidR="007A1535" w:rsidRPr="00DB2303" w14:paraId="3D603021" w14:textId="77777777" w:rsidTr="007A1535">
        <w:trPr>
          <w:trHeight w:val="300"/>
        </w:trPr>
        <w:tc>
          <w:tcPr>
            <w:tcW w:w="274" w:type="pct"/>
            <w:shd w:val="clear" w:color="auto" w:fill="auto"/>
            <w:noWrap/>
            <w:vAlign w:val="bottom"/>
            <w:hideMark/>
          </w:tcPr>
          <w:p w14:paraId="4EBB3243" w14:textId="77777777" w:rsidR="00A66EBA" w:rsidRPr="00DB2303" w:rsidRDefault="00A66EBA" w:rsidP="0023662F">
            <w:pPr>
              <w:jc w:val="left"/>
              <w:rPr>
                <w:sz w:val="17"/>
                <w:szCs w:val="17"/>
                <w:lang w:val="es-CO" w:eastAsia="es-CO"/>
              </w:rPr>
            </w:pPr>
            <w:r w:rsidRPr="00DB2303">
              <w:rPr>
                <w:sz w:val="17"/>
                <w:szCs w:val="17"/>
                <w:lang w:val="es-CO" w:eastAsia="es-CO"/>
              </w:rPr>
              <w:t>2015</w:t>
            </w:r>
          </w:p>
        </w:tc>
        <w:tc>
          <w:tcPr>
            <w:tcW w:w="569" w:type="pct"/>
            <w:shd w:val="clear" w:color="auto" w:fill="auto"/>
            <w:noWrap/>
            <w:vAlign w:val="bottom"/>
            <w:hideMark/>
          </w:tcPr>
          <w:p w14:paraId="7E84082E" w14:textId="77777777" w:rsidR="00A66EBA" w:rsidRPr="00DB2303" w:rsidRDefault="00A66EBA" w:rsidP="0023662F">
            <w:pPr>
              <w:jc w:val="right"/>
              <w:rPr>
                <w:sz w:val="17"/>
                <w:szCs w:val="17"/>
                <w:lang w:val="es-CO" w:eastAsia="es-CO"/>
              </w:rPr>
            </w:pPr>
            <w:r w:rsidRPr="00DB2303">
              <w:rPr>
                <w:sz w:val="17"/>
                <w:szCs w:val="17"/>
                <w:lang w:val="es-CO" w:eastAsia="es-CO"/>
              </w:rPr>
              <w:t>9.97</w:t>
            </w:r>
          </w:p>
        </w:tc>
        <w:tc>
          <w:tcPr>
            <w:tcW w:w="469" w:type="pct"/>
            <w:shd w:val="clear" w:color="auto" w:fill="auto"/>
            <w:noWrap/>
            <w:vAlign w:val="bottom"/>
            <w:hideMark/>
          </w:tcPr>
          <w:p w14:paraId="2A3AD6BB" w14:textId="77777777" w:rsidR="00A66EBA" w:rsidRPr="00DB2303" w:rsidRDefault="00A66EBA" w:rsidP="0023662F">
            <w:pPr>
              <w:jc w:val="right"/>
              <w:rPr>
                <w:sz w:val="17"/>
                <w:szCs w:val="17"/>
                <w:lang w:val="es-CO" w:eastAsia="es-CO"/>
              </w:rPr>
            </w:pPr>
            <w:r w:rsidRPr="00DB2303">
              <w:rPr>
                <w:sz w:val="17"/>
                <w:szCs w:val="17"/>
                <w:lang w:val="es-CO" w:eastAsia="es-CO"/>
              </w:rPr>
              <w:t>4.96</w:t>
            </w:r>
          </w:p>
        </w:tc>
        <w:tc>
          <w:tcPr>
            <w:tcW w:w="475" w:type="pct"/>
            <w:shd w:val="clear" w:color="auto" w:fill="auto"/>
            <w:noWrap/>
            <w:vAlign w:val="bottom"/>
            <w:hideMark/>
          </w:tcPr>
          <w:p w14:paraId="2E4C8DE4" w14:textId="77777777" w:rsidR="00A66EBA" w:rsidRPr="00DB2303" w:rsidRDefault="00A66EBA" w:rsidP="0023662F">
            <w:pPr>
              <w:jc w:val="right"/>
              <w:rPr>
                <w:sz w:val="17"/>
                <w:szCs w:val="17"/>
                <w:lang w:val="es-CO" w:eastAsia="es-CO"/>
              </w:rPr>
            </w:pPr>
            <w:r w:rsidRPr="00DB2303">
              <w:rPr>
                <w:sz w:val="17"/>
                <w:szCs w:val="17"/>
                <w:lang w:val="es-CO" w:eastAsia="es-CO"/>
              </w:rPr>
              <w:t>5.51</w:t>
            </w:r>
          </w:p>
        </w:tc>
        <w:tc>
          <w:tcPr>
            <w:tcW w:w="450" w:type="pct"/>
            <w:shd w:val="clear" w:color="auto" w:fill="auto"/>
            <w:noWrap/>
            <w:vAlign w:val="bottom"/>
            <w:hideMark/>
          </w:tcPr>
          <w:p w14:paraId="49EC2205" w14:textId="77777777" w:rsidR="00A66EBA" w:rsidRPr="00DB2303" w:rsidRDefault="00A66EBA" w:rsidP="0023662F">
            <w:pPr>
              <w:jc w:val="right"/>
              <w:rPr>
                <w:sz w:val="17"/>
                <w:szCs w:val="17"/>
                <w:lang w:val="es-CO" w:eastAsia="es-CO"/>
              </w:rPr>
            </w:pPr>
            <w:r w:rsidRPr="00DB2303">
              <w:rPr>
                <w:sz w:val="17"/>
                <w:szCs w:val="17"/>
                <w:lang w:val="es-CO" w:eastAsia="es-CO"/>
              </w:rPr>
              <w:t>7.26</w:t>
            </w:r>
          </w:p>
        </w:tc>
        <w:tc>
          <w:tcPr>
            <w:tcW w:w="400" w:type="pct"/>
            <w:shd w:val="clear" w:color="auto" w:fill="auto"/>
            <w:noWrap/>
            <w:vAlign w:val="bottom"/>
            <w:hideMark/>
          </w:tcPr>
          <w:p w14:paraId="02E1EA85" w14:textId="77777777" w:rsidR="00A66EBA" w:rsidRPr="00DB2303" w:rsidRDefault="00A66EBA" w:rsidP="0023662F">
            <w:pPr>
              <w:jc w:val="right"/>
              <w:rPr>
                <w:sz w:val="17"/>
                <w:szCs w:val="17"/>
                <w:lang w:val="es-CO" w:eastAsia="es-CO"/>
              </w:rPr>
            </w:pPr>
            <w:r w:rsidRPr="00DB2303">
              <w:rPr>
                <w:sz w:val="17"/>
                <w:szCs w:val="17"/>
                <w:lang w:val="es-CO" w:eastAsia="es-CO"/>
              </w:rPr>
              <w:t>5.87</w:t>
            </w:r>
          </w:p>
        </w:tc>
        <w:tc>
          <w:tcPr>
            <w:tcW w:w="400" w:type="pct"/>
            <w:shd w:val="clear" w:color="auto" w:fill="auto"/>
            <w:noWrap/>
            <w:vAlign w:val="bottom"/>
            <w:hideMark/>
          </w:tcPr>
          <w:p w14:paraId="2FEE957B" w14:textId="77777777" w:rsidR="00A66EBA" w:rsidRPr="00DB2303" w:rsidRDefault="00A66EBA" w:rsidP="0023662F">
            <w:pPr>
              <w:jc w:val="right"/>
              <w:rPr>
                <w:sz w:val="17"/>
                <w:szCs w:val="17"/>
                <w:lang w:val="es-CO" w:eastAsia="es-CO"/>
              </w:rPr>
            </w:pPr>
            <w:r w:rsidRPr="00DB2303">
              <w:rPr>
                <w:sz w:val="17"/>
                <w:szCs w:val="17"/>
                <w:lang w:val="es-CO" w:eastAsia="es-CO"/>
              </w:rPr>
              <w:t>5.87</w:t>
            </w:r>
          </w:p>
        </w:tc>
        <w:tc>
          <w:tcPr>
            <w:tcW w:w="400" w:type="pct"/>
            <w:shd w:val="clear" w:color="auto" w:fill="auto"/>
            <w:noWrap/>
            <w:vAlign w:val="bottom"/>
            <w:hideMark/>
          </w:tcPr>
          <w:p w14:paraId="6EE96D1E" w14:textId="77777777" w:rsidR="00A66EBA" w:rsidRPr="00DB2303" w:rsidRDefault="00A66EBA" w:rsidP="0023662F">
            <w:pPr>
              <w:jc w:val="right"/>
              <w:rPr>
                <w:sz w:val="17"/>
                <w:szCs w:val="17"/>
                <w:lang w:val="es-CO" w:eastAsia="es-CO"/>
              </w:rPr>
            </w:pPr>
            <w:r w:rsidRPr="00DB2303">
              <w:rPr>
                <w:sz w:val="17"/>
                <w:szCs w:val="17"/>
                <w:lang w:val="es-CO" w:eastAsia="es-CO"/>
              </w:rPr>
              <w:t>6.38</w:t>
            </w:r>
          </w:p>
        </w:tc>
        <w:tc>
          <w:tcPr>
            <w:tcW w:w="400" w:type="pct"/>
            <w:shd w:val="clear" w:color="auto" w:fill="auto"/>
            <w:noWrap/>
            <w:vAlign w:val="bottom"/>
            <w:hideMark/>
          </w:tcPr>
          <w:p w14:paraId="0C0C1C26" w14:textId="77777777" w:rsidR="00A66EBA" w:rsidRPr="00DB2303" w:rsidRDefault="00A66EBA" w:rsidP="0023662F">
            <w:pPr>
              <w:jc w:val="right"/>
              <w:rPr>
                <w:sz w:val="17"/>
                <w:szCs w:val="17"/>
                <w:lang w:val="es-CO" w:eastAsia="es-CO"/>
              </w:rPr>
            </w:pPr>
            <w:r w:rsidRPr="00DB2303">
              <w:rPr>
                <w:sz w:val="17"/>
                <w:szCs w:val="17"/>
                <w:lang w:val="es-CO" w:eastAsia="es-CO"/>
              </w:rPr>
              <w:t>5.87</w:t>
            </w:r>
          </w:p>
        </w:tc>
        <w:tc>
          <w:tcPr>
            <w:tcW w:w="414" w:type="pct"/>
            <w:shd w:val="clear" w:color="auto" w:fill="auto"/>
            <w:noWrap/>
            <w:vAlign w:val="bottom"/>
            <w:hideMark/>
          </w:tcPr>
          <w:p w14:paraId="47A0A835" w14:textId="77777777" w:rsidR="00A66EBA" w:rsidRPr="00DB2303" w:rsidRDefault="00A66EBA" w:rsidP="0023662F">
            <w:pPr>
              <w:jc w:val="right"/>
              <w:rPr>
                <w:sz w:val="17"/>
                <w:szCs w:val="17"/>
                <w:lang w:val="es-CO" w:eastAsia="es-CO"/>
              </w:rPr>
            </w:pPr>
            <w:r w:rsidRPr="00DB2303">
              <w:rPr>
                <w:sz w:val="17"/>
                <w:szCs w:val="17"/>
                <w:lang w:val="es-CO" w:eastAsia="es-CO"/>
              </w:rPr>
              <w:t> </w:t>
            </w:r>
          </w:p>
        </w:tc>
        <w:tc>
          <w:tcPr>
            <w:tcW w:w="400" w:type="pct"/>
            <w:shd w:val="clear" w:color="auto" w:fill="auto"/>
            <w:noWrap/>
            <w:vAlign w:val="bottom"/>
            <w:hideMark/>
          </w:tcPr>
          <w:p w14:paraId="7961E140" w14:textId="77777777" w:rsidR="00A66EBA" w:rsidRPr="00DB2303" w:rsidRDefault="00A66EBA" w:rsidP="0023662F">
            <w:pPr>
              <w:jc w:val="right"/>
              <w:rPr>
                <w:sz w:val="17"/>
                <w:szCs w:val="17"/>
                <w:lang w:val="es-CO" w:eastAsia="es-CO"/>
              </w:rPr>
            </w:pPr>
            <w:r w:rsidRPr="00DB2303">
              <w:rPr>
                <w:sz w:val="17"/>
                <w:szCs w:val="17"/>
                <w:lang w:val="es-CO" w:eastAsia="es-CO"/>
              </w:rPr>
              <w:t> </w:t>
            </w:r>
          </w:p>
        </w:tc>
        <w:tc>
          <w:tcPr>
            <w:tcW w:w="390" w:type="pct"/>
            <w:shd w:val="clear" w:color="auto" w:fill="auto"/>
            <w:noWrap/>
            <w:vAlign w:val="bottom"/>
            <w:hideMark/>
          </w:tcPr>
          <w:p w14:paraId="3B0B58F3" w14:textId="77777777" w:rsidR="00A66EBA" w:rsidRPr="00DB2303" w:rsidRDefault="00A66EBA" w:rsidP="0023662F">
            <w:pPr>
              <w:jc w:val="right"/>
              <w:rPr>
                <w:sz w:val="17"/>
                <w:szCs w:val="17"/>
                <w:lang w:val="es-CO" w:eastAsia="es-CO"/>
              </w:rPr>
            </w:pPr>
            <w:r w:rsidRPr="00DB2303">
              <w:rPr>
                <w:sz w:val="17"/>
                <w:szCs w:val="17"/>
                <w:lang w:val="es-CO" w:eastAsia="es-CO"/>
              </w:rPr>
              <w:t>2.70</w:t>
            </w:r>
          </w:p>
        </w:tc>
      </w:tr>
      <w:tr w:rsidR="007A1535" w:rsidRPr="00DB2303" w14:paraId="74E20F8D" w14:textId="77777777" w:rsidTr="007A1535">
        <w:trPr>
          <w:trHeight w:val="300"/>
        </w:trPr>
        <w:tc>
          <w:tcPr>
            <w:tcW w:w="274" w:type="pct"/>
            <w:shd w:val="clear" w:color="auto" w:fill="auto"/>
            <w:noWrap/>
            <w:vAlign w:val="bottom"/>
            <w:hideMark/>
          </w:tcPr>
          <w:p w14:paraId="2E233144" w14:textId="77777777" w:rsidR="00A66EBA" w:rsidRPr="00DB2303" w:rsidRDefault="00A66EBA" w:rsidP="0023662F">
            <w:pPr>
              <w:jc w:val="left"/>
              <w:rPr>
                <w:sz w:val="17"/>
                <w:szCs w:val="17"/>
                <w:lang w:val="es-CO" w:eastAsia="es-CO"/>
              </w:rPr>
            </w:pPr>
            <w:r w:rsidRPr="00DB2303">
              <w:rPr>
                <w:sz w:val="17"/>
                <w:szCs w:val="17"/>
                <w:lang w:val="es-CO" w:eastAsia="es-CO"/>
              </w:rPr>
              <w:t>2016</w:t>
            </w:r>
          </w:p>
        </w:tc>
        <w:tc>
          <w:tcPr>
            <w:tcW w:w="569" w:type="pct"/>
            <w:shd w:val="clear" w:color="auto" w:fill="auto"/>
            <w:noWrap/>
            <w:vAlign w:val="bottom"/>
            <w:hideMark/>
          </w:tcPr>
          <w:p w14:paraId="1725B7ED" w14:textId="77777777" w:rsidR="00A66EBA" w:rsidRPr="00DB2303" w:rsidRDefault="00A66EBA" w:rsidP="0023662F">
            <w:pPr>
              <w:jc w:val="right"/>
              <w:rPr>
                <w:sz w:val="17"/>
                <w:szCs w:val="17"/>
                <w:lang w:val="es-CO" w:eastAsia="es-CO"/>
              </w:rPr>
            </w:pPr>
            <w:r w:rsidRPr="00DB2303">
              <w:rPr>
                <w:sz w:val="17"/>
                <w:szCs w:val="17"/>
                <w:lang w:val="es-CO" w:eastAsia="es-CO"/>
              </w:rPr>
              <w:t>13.36</w:t>
            </w:r>
          </w:p>
        </w:tc>
        <w:tc>
          <w:tcPr>
            <w:tcW w:w="469" w:type="pct"/>
            <w:shd w:val="clear" w:color="auto" w:fill="auto"/>
            <w:noWrap/>
            <w:vAlign w:val="bottom"/>
            <w:hideMark/>
          </w:tcPr>
          <w:p w14:paraId="1D0DB7BF" w14:textId="77777777" w:rsidR="00A66EBA" w:rsidRPr="00DB2303" w:rsidRDefault="00A66EBA" w:rsidP="0023662F">
            <w:pPr>
              <w:jc w:val="right"/>
              <w:rPr>
                <w:sz w:val="17"/>
                <w:szCs w:val="17"/>
                <w:lang w:val="es-CO" w:eastAsia="es-CO"/>
              </w:rPr>
            </w:pPr>
            <w:r w:rsidRPr="00DB2303">
              <w:rPr>
                <w:sz w:val="17"/>
                <w:szCs w:val="17"/>
                <w:lang w:val="es-CO" w:eastAsia="es-CO"/>
              </w:rPr>
              <w:t>8.35</w:t>
            </w:r>
          </w:p>
        </w:tc>
        <w:tc>
          <w:tcPr>
            <w:tcW w:w="475" w:type="pct"/>
            <w:shd w:val="clear" w:color="auto" w:fill="auto"/>
            <w:noWrap/>
            <w:vAlign w:val="bottom"/>
            <w:hideMark/>
          </w:tcPr>
          <w:p w14:paraId="324EDA27" w14:textId="77777777" w:rsidR="00A66EBA" w:rsidRPr="00DB2303" w:rsidRDefault="00A66EBA" w:rsidP="0023662F">
            <w:pPr>
              <w:jc w:val="right"/>
              <w:rPr>
                <w:sz w:val="17"/>
                <w:szCs w:val="17"/>
                <w:lang w:val="es-CO" w:eastAsia="es-CO"/>
              </w:rPr>
            </w:pPr>
            <w:r w:rsidRPr="00DB2303">
              <w:rPr>
                <w:sz w:val="17"/>
                <w:szCs w:val="17"/>
                <w:lang w:val="es-CO" w:eastAsia="es-CO"/>
              </w:rPr>
              <w:t>4.00</w:t>
            </w:r>
          </w:p>
        </w:tc>
        <w:tc>
          <w:tcPr>
            <w:tcW w:w="450" w:type="pct"/>
            <w:shd w:val="clear" w:color="auto" w:fill="auto"/>
            <w:noWrap/>
            <w:vAlign w:val="bottom"/>
            <w:hideMark/>
          </w:tcPr>
          <w:p w14:paraId="1613D3C0" w14:textId="77777777" w:rsidR="00A66EBA" w:rsidRPr="00DB2303" w:rsidRDefault="00A66EBA" w:rsidP="0023662F">
            <w:pPr>
              <w:jc w:val="right"/>
              <w:rPr>
                <w:sz w:val="17"/>
                <w:szCs w:val="17"/>
                <w:lang w:val="es-CO" w:eastAsia="es-CO"/>
              </w:rPr>
            </w:pPr>
            <w:r w:rsidRPr="00DB2303">
              <w:rPr>
                <w:sz w:val="17"/>
                <w:szCs w:val="17"/>
                <w:lang w:val="es-CO" w:eastAsia="es-CO"/>
              </w:rPr>
              <w:t>6.39</w:t>
            </w:r>
          </w:p>
        </w:tc>
        <w:tc>
          <w:tcPr>
            <w:tcW w:w="400" w:type="pct"/>
            <w:shd w:val="clear" w:color="auto" w:fill="auto"/>
            <w:noWrap/>
            <w:vAlign w:val="bottom"/>
            <w:hideMark/>
          </w:tcPr>
          <w:p w14:paraId="11AF2E77" w14:textId="77777777" w:rsidR="00A66EBA" w:rsidRPr="00DB2303" w:rsidRDefault="00A66EBA" w:rsidP="0023662F">
            <w:pPr>
              <w:jc w:val="right"/>
              <w:rPr>
                <w:sz w:val="17"/>
                <w:szCs w:val="17"/>
                <w:lang w:val="es-CO" w:eastAsia="es-CO"/>
              </w:rPr>
            </w:pPr>
            <w:r w:rsidRPr="00DB2303">
              <w:rPr>
                <w:sz w:val="17"/>
                <w:szCs w:val="17"/>
                <w:lang w:val="es-CO" w:eastAsia="es-CO"/>
              </w:rPr>
              <w:t>7.25</w:t>
            </w:r>
          </w:p>
        </w:tc>
        <w:tc>
          <w:tcPr>
            <w:tcW w:w="400" w:type="pct"/>
            <w:shd w:val="clear" w:color="auto" w:fill="auto"/>
            <w:noWrap/>
            <w:vAlign w:val="bottom"/>
            <w:hideMark/>
          </w:tcPr>
          <w:p w14:paraId="08964A2D" w14:textId="77777777" w:rsidR="00A66EBA" w:rsidRPr="00DB2303" w:rsidRDefault="00A66EBA" w:rsidP="0023662F">
            <w:pPr>
              <w:jc w:val="right"/>
              <w:rPr>
                <w:sz w:val="17"/>
                <w:szCs w:val="17"/>
                <w:lang w:val="es-CO" w:eastAsia="es-CO"/>
              </w:rPr>
            </w:pPr>
            <w:r w:rsidRPr="00DB2303">
              <w:rPr>
                <w:sz w:val="17"/>
                <w:szCs w:val="17"/>
                <w:lang w:val="es-CO" w:eastAsia="es-CO"/>
              </w:rPr>
              <w:t>6.70</w:t>
            </w:r>
          </w:p>
        </w:tc>
        <w:tc>
          <w:tcPr>
            <w:tcW w:w="400" w:type="pct"/>
            <w:shd w:val="clear" w:color="auto" w:fill="auto"/>
            <w:noWrap/>
            <w:vAlign w:val="bottom"/>
            <w:hideMark/>
          </w:tcPr>
          <w:p w14:paraId="08A843A5" w14:textId="77777777" w:rsidR="00A66EBA" w:rsidRPr="00DB2303" w:rsidRDefault="00A66EBA" w:rsidP="0023662F">
            <w:pPr>
              <w:jc w:val="right"/>
              <w:rPr>
                <w:sz w:val="17"/>
                <w:szCs w:val="17"/>
                <w:lang w:val="es-CO" w:eastAsia="es-CO"/>
              </w:rPr>
            </w:pPr>
            <w:r w:rsidRPr="00DB2303">
              <w:rPr>
                <w:sz w:val="17"/>
                <w:szCs w:val="17"/>
                <w:lang w:val="es-CO" w:eastAsia="es-CO"/>
              </w:rPr>
              <w:t>6.70</w:t>
            </w:r>
          </w:p>
        </w:tc>
        <w:tc>
          <w:tcPr>
            <w:tcW w:w="400" w:type="pct"/>
            <w:shd w:val="clear" w:color="auto" w:fill="auto"/>
            <w:noWrap/>
            <w:vAlign w:val="bottom"/>
            <w:hideMark/>
          </w:tcPr>
          <w:p w14:paraId="3A37B342" w14:textId="77777777" w:rsidR="00A66EBA" w:rsidRPr="00DB2303" w:rsidRDefault="00A66EBA" w:rsidP="0023662F">
            <w:pPr>
              <w:jc w:val="right"/>
              <w:rPr>
                <w:sz w:val="17"/>
                <w:szCs w:val="17"/>
                <w:lang w:val="es-CO" w:eastAsia="es-CO"/>
              </w:rPr>
            </w:pPr>
            <w:r w:rsidRPr="00DB2303">
              <w:rPr>
                <w:sz w:val="17"/>
                <w:szCs w:val="17"/>
                <w:lang w:val="es-CO" w:eastAsia="es-CO"/>
              </w:rPr>
              <w:t>5.90</w:t>
            </w:r>
          </w:p>
        </w:tc>
        <w:tc>
          <w:tcPr>
            <w:tcW w:w="414" w:type="pct"/>
            <w:shd w:val="clear" w:color="auto" w:fill="auto"/>
            <w:noWrap/>
            <w:vAlign w:val="bottom"/>
            <w:hideMark/>
          </w:tcPr>
          <w:p w14:paraId="05E4CC2A" w14:textId="77777777" w:rsidR="00A66EBA" w:rsidRPr="00DB2303" w:rsidRDefault="00A66EBA" w:rsidP="0023662F">
            <w:pPr>
              <w:jc w:val="right"/>
              <w:rPr>
                <w:sz w:val="17"/>
                <w:szCs w:val="17"/>
                <w:lang w:val="es-CO" w:eastAsia="es-CO"/>
              </w:rPr>
            </w:pPr>
            <w:r w:rsidRPr="00DB2303">
              <w:rPr>
                <w:sz w:val="17"/>
                <w:szCs w:val="17"/>
                <w:lang w:val="es-CO" w:eastAsia="es-CO"/>
              </w:rPr>
              <w:t>45.00</w:t>
            </w:r>
          </w:p>
        </w:tc>
        <w:tc>
          <w:tcPr>
            <w:tcW w:w="400" w:type="pct"/>
            <w:shd w:val="clear" w:color="auto" w:fill="auto"/>
            <w:noWrap/>
            <w:vAlign w:val="bottom"/>
            <w:hideMark/>
          </w:tcPr>
          <w:p w14:paraId="35790AED" w14:textId="77777777" w:rsidR="00A66EBA" w:rsidRPr="00DB2303" w:rsidRDefault="00A66EBA" w:rsidP="0023662F">
            <w:pPr>
              <w:jc w:val="right"/>
              <w:rPr>
                <w:sz w:val="17"/>
                <w:szCs w:val="17"/>
                <w:lang w:val="es-CO" w:eastAsia="es-CO"/>
              </w:rPr>
            </w:pPr>
            <w:r w:rsidRPr="00DB2303">
              <w:rPr>
                <w:sz w:val="17"/>
                <w:szCs w:val="17"/>
                <w:lang w:val="es-CO" w:eastAsia="es-CO"/>
              </w:rPr>
              <w:t>90.00</w:t>
            </w:r>
          </w:p>
        </w:tc>
        <w:tc>
          <w:tcPr>
            <w:tcW w:w="390" w:type="pct"/>
            <w:shd w:val="clear" w:color="auto" w:fill="auto"/>
            <w:noWrap/>
            <w:vAlign w:val="bottom"/>
            <w:hideMark/>
          </w:tcPr>
          <w:p w14:paraId="7FA4EB41" w14:textId="77777777" w:rsidR="00A66EBA" w:rsidRPr="00DB2303" w:rsidRDefault="00A66EBA" w:rsidP="0023662F">
            <w:pPr>
              <w:jc w:val="right"/>
              <w:rPr>
                <w:sz w:val="17"/>
                <w:szCs w:val="17"/>
                <w:lang w:val="es-CO" w:eastAsia="es-CO"/>
              </w:rPr>
            </w:pPr>
            <w:r w:rsidRPr="00DB2303">
              <w:rPr>
                <w:sz w:val="17"/>
                <w:szCs w:val="17"/>
                <w:lang w:val="es-CO" w:eastAsia="es-CO"/>
              </w:rPr>
              <w:t>2.70</w:t>
            </w:r>
          </w:p>
        </w:tc>
      </w:tr>
    </w:tbl>
    <w:p w14:paraId="1F7B86A4" w14:textId="77777777" w:rsidR="0019498A" w:rsidRPr="00DB2303" w:rsidRDefault="0019498A" w:rsidP="0023662F">
      <w:pPr>
        <w:rPr>
          <w:rFonts w:eastAsia="SimSun"/>
          <w:sz w:val="18"/>
          <w:szCs w:val="18"/>
          <w:lang w:val="en-US" w:eastAsia="zh-CN"/>
        </w:rPr>
      </w:pPr>
      <w:r w:rsidRPr="00DB2303">
        <w:rPr>
          <w:rFonts w:eastAsia="SimSun"/>
          <w:sz w:val="18"/>
          <w:szCs w:val="18"/>
          <w:lang w:val="en-US" w:eastAsia="zh-CN"/>
        </w:rPr>
        <w:t>Source: PRODUCE 2017</w:t>
      </w:r>
      <w:r w:rsidR="001260F8" w:rsidRPr="00DB2303">
        <w:rPr>
          <w:rFonts w:eastAsia="SimSun"/>
          <w:sz w:val="18"/>
          <w:szCs w:val="18"/>
          <w:lang w:val="en-US" w:eastAsia="zh-CN"/>
        </w:rPr>
        <w:t>.</w:t>
      </w:r>
    </w:p>
    <w:p w14:paraId="60E90324" w14:textId="77777777" w:rsidR="0019498A" w:rsidRPr="00DB2303" w:rsidRDefault="0019498A" w:rsidP="0023662F">
      <w:pPr>
        <w:rPr>
          <w:sz w:val="18"/>
          <w:szCs w:val="18"/>
          <w:lang w:val="en-CA"/>
        </w:rPr>
      </w:pPr>
    </w:p>
    <w:p w14:paraId="662A5371" w14:textId="77777777" w:rsidR="003623F2" w:rsidRPr="007C353A" w:rsidRDefault="003623F2" w:rsidP="0023662F">
      <w:pPr>
        <w:pStyle w:val="Heading1"/>
        <w:numPr>
          <w:ilvl w:val="0"/>
          <w:numId w:val="0"/>
        </w:numPr>
        <w:rPr>
          <w:i/>
        </w:rPr>
      </w:pPr>
      <w:r w:rsidRPr="007C353A">
        <w:rPr>
          <w:i/>
        </w:rPr>
        <w:lastRenderedPageBreak/>
        <w:t>HCFC sector distribution</w:t>
      </w:r>
    </w:p>
    <w:p w14:paraId="00D00E51" w14:textId="77777777" w:rsidR="00CD3D3F" w:rsidRPr="007C353A" w:rsidRDefault="000E1298" w:rsidP="0023662F">
      <w:pPr>
        <w:pStyle w:val="Heading1"/>
      </w:pPr>
      <w:r w:rsidRPr="007C353A">
        <w:t xml:space="preserve">The country programme (CP) implementation report for 2016 was submitted on 19 April 2017. </w:t>
      </w:r>
      <w:r w:rsidR="004C7D13" w:rsidRPr="007C353A">
        <w:t>T</w:t>
      </w:r>
      <w:r w:rsidR="00CD3D3F" w:rsidRPr="007C353A">
        <w:t xml:space="preserve">he </w:t>
      </w:r>
      <w:r w:rsidRPr="007C353A">
        <w:t xml:space="preserve">reported </w:t>
      </w:r>
      <w:r w:rsidR="00CD3D3F" w:rsidRPr="007C353A">
        <w:t>distribution of HCFC use</w:t>
      </w:r>
      <w:r w:rsidRPr="007C353A">
        <w:t xml:space="preserve"> </w:t>
      </w:r>
      <w:r w:rsidR="00CD3D3F" w:rsidRPr="007C353A">
        <w:t xml:space="preserve">among sectors </w:t>
      </w:r>
      <w:r w:rsidRPr="007C353A">
        <w:t>i</w:t>
      </w:r>
      <w:r w:rsidR="004C7D13" w:rsidRPr="007C353A">
        <w:t>s shown in Table 4</w:t>
      </w:r>
      <w:r w:rsidR="00CD3D3F" w:rsidRPr="007C353A">
        <w:t>.</w:t>
      </w:r>
    </w:p>
    <w:p w14:paraId="48C1DAFE" w14:textId="77777777" w:rsidR="00430BAB" w:rsidRPr="007C353A" w:rsidRDefault="004D3F1F" w:rsidP="0023662F">
      <w:pPr>
        <w:keepNext/>
        <w:rPr>
          <w:b/>
        </w:rPr>
      </w:pPr>
      <w:r w:rsidRPr="007C353A">
        <w:rPr>
          <w:b/>
        </w:rPr>
        <w:t>Table 4. Distribution of HCFC u</w:t>
      </w:r>
      <w:r w:rsidR="003623F2" w:rsidRPr="007C353A">
        <w:rPr>
          <w:b/>
        </w:rPr>
        <w:t>se by sector and substance (</w:t>
      </w:r>
      <w:r w:rsidR="000E1298" w:rsidRPr="007C353A">
        <w:rPr>
          <w:b/>
        </w:rPr>
        <w:t xml:space="preserve">CP implementation report </w:t>
      </w:r>
      <w:r w:rsidR="003623F2" w:rsidRPr="007C353A">
        <w:rPr>
          <w:b/>
        </w:rPr>
        <w:t>2016</w:t>
      </w:r>
      <w:r w:rsidRPr="007C353A">
        <w:rPr>
          <w:b/>
        </w:rPr>
        <w:t>)</w:t>
      </w:r>
    </w:p>
    <w:tbl>
      <w:tblPr>
        <w:tblW w:w="9356" w:type="dxa"/>
        <w:tblInd w:w="-5" w:type="dxa"/>
        <w:tblLook w:val="04A0" w:firstRow="1" w:lastRow="0" w:firstColumn="1" w:lastColumn="0" w:noHBand="0" w:noVBand="1"/>
      </w:tblPr>
      <w:tblGrid>
        <w:gridCol w:w="2947"/>
        <w:gridCol w:w="1439"/>
        <w:gridCol w:w="1001"/>
        <w:gridCol w:w="992"/>
        <w:gridCol w:w="1559"/>
        <w:gridCol w:w="1418"/>
      </w:tblGrid>
      <w:tr w:rsidR="00430BAB" w:rsidRPr="00DB2303" w14:paraId="7D43E084" w14:textId="77777777" w:rsidTr="00C85260">
        <w:trPr>
          <w:trHeight w:val="62"/>
        </w:trPr>
        <w:tc>
          <w:tcPr>
            <w:tcW w:w="2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FB2A80" w14:textId="77777777" w:rsidR="00430BAB" w:rsidRPr="007C353A" w:rsidRDefault="00430BAB" w:rsidP="0023662F">
            <w:pPr>
              <w:jc w:val="center"/>
              <w:rPr>
                <w:b/>
                <w:bCs/>
                <w:color w:val="000000"/>
                <w:sz w:val="20"/>
                <w:szCs w:val="20"/>
              </w:rPr>
            </w:pPr>
            <w:r w:rsidRPr="007C353A">
              <w:rPr>
                <w:b/>
                <w:bCs/>
                <w:color w:val="000000"/>
                <w:sz w:val="20"/>
                <w:szCs w:val="20"/>
                <w:lang w:eastAsia="pt-BR"/>
              </w:rPr>
              <w:t>Sector</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9A48D6" w14:textId="77777777" w:rsidR="00430BAB" w:rsidRPr="007C353A" w:rsidRDefault="00430BAB" w:rsidP="0023662F">
            <w:pPr>
              <w:ind w:left="356"/>
              <w:jc w:val="center"/>
              <w:rPr>
                <w:b/>
                <w:bCs/>
                <w:color w:val="000000"/>
                <w:sz w:val="20"/>
                <w:szCs w:val="20"/>
              </w:rPr>
            </w:pPr>
            <w:r w:rsidRPr="007C353A">
              <w:rPr>
                <w:b/>
                <w:bCs/>
                <w:color w:val="000000"/>
                <w:sz w:val="20"/>
                <w:szCs w:val="20"/>
              </w:rPr>
              <w:t>Substance</w:t>
            </w:r>
          </w:p>
        </w:tc>
        <w:tc>
          <w:tcPr>
            <w:tcW w:w="4970" w:type="dxa"/>
            <w:gridSpan w:val="4"/>
            <w:tcBorders>
              <w:top w:val="single" w:sz="4" w:space="0" w:color="auto"/>
              <w:left w:val="nil"/>
              <w:bottom w:val="single" w:sz="4" w:space="0" w:color="auto"/>
              <w:right w:val="single" w:sz="4" w:space="0" w:color="auto"/>
            </w:tcBorders>
            <w:shd w:val="clear" w:color="auto" w:fill="auto"/>
            <w:hideMark/>
          </w:tcPr>
          <w:p w14:paraId="46E93FDD" w14:textId="77777777" w:rsidR="00430BAB" w:rsidRPr="00DB2303" w:rsidRDefault="00430BAB" w:rsidP="0023662F">
            <w:pPr>
              <w:jc w:val="center"/>
              <w:rPr>
                <w:b/>
                <w:bCs/>
                <w:color w:val="000000"/>
                <w:sz w:val="20"/>
                <w:szCs w:val="20"/>
              </w:rPr>
            </w:pPr>
            <w:r w:rsidRPr="007C353A">
              <w:rPr>
                <w:b/>
                <w:bCs/>
                <w:color w:val="000000"/>
                <w:sz w:val="20"/>
                <w:szCs w:val="20"/>
                <w:lang w:eastAsia="pt-BR"/>
              </w:rPr>
              <w:t>HCFC use</w:t>
            </w:r>
          </w:p>
        </w:tc>
      </w:tr>
      <w:tr w:rsidR="00430BAB" w:rsidRPr="00DB2303" w14:paraId="6E552F4E" w14:textId="77777777" w:rsidTr="00C85260">
        <w:trPr>
          <w:trHeight w:val="143"/>
        </w:trPr>
        <w:tc>
          <w:tcPr>
            <w:tcW w:w="2947" w:type="dxa"/>
            <w:vMerge/>
            <w:tcBorders>
              <w:top w:val="single" w:sz="4" w:space="0" w:color="auto"/>
              <w:left w:val="single" w:sz="4" w:space="0" w:color="auto"/>
              <w:bottom w:val="single" w:sz="4" w:space="0" w:color="auto"/>
              <w:right w:val="single" w:sz="4" w:space="0" w:color="auto"/>
            </w:tcBorders>
            <w:hideMark/>
          </w:tcPr>
          <w:p w14:paraId="300922FD" w14:textId="77777777" w:rsidR="00430BAB" w:rsidRPr="00DB2303" w:rsidRDefault="00430BAB" w:rsidP="0023662F">
            <w:pPr>
              <w:jc w:val="center"/>
              <w:rPr>
                <w:b/>
                <w:bCs/>
                <w:color w:val="000000"/>
                <w:sz w:val="20"/>
                <w:szCs w:val="20"/>
              </w:rPr>
            </w:pPr>
          </w:p>
        </w:tc>
        <w:tc>
          <w:tcPr>
            <w:tcW w:w="1439" w:type="dxa"/>
            <w:vMerge/>
            <w:tcBorders>
              <w:top w:val="single" w:sz="4" w:space="0" w:color="auto"/>
              <w:left w:val="single" w:sz="4" w:space="0" w:color="auto"/>
              <w:bottom w:val="single" w:sz="4" w:space="0" w:color="auto"/>
              <w:right w:val="single" w:sz="4" w:space="0" w:color="auto"/>
            </w:tcBorders>
            <w:hideMark/>
          </w:tcPr>
          <w:p w14:paraId="69900146" w14:textId="77777777" w:rsidR="00430BAB" w:rsidRPr="00DB2303" w:rsidRDefault="00430BAB" w:rsidP="0023662F">
            <w:pPr>
              <w:jc w:val="center"/>
              <w:rPr>
                <w:b/>
                <w:bCs/>
                <w:color w:val="000000"/>
                <w:sz w:val="20"/>
                <w:szCs w:val="20"/>
              </w:rPr>
            </w:pPr>
          </w:p>
        </w:tc>
        <w:tc>
          <w:tcPr>
            <w:tcW w:w="1001" w:type="dxa"/>
            <w:tcBorders>
              <w:top w:val="nil"/>
              <w:left w:val="nil"/>
              <w:bottom w:val="single" w:sz="4" w:space="0" w:color="auto"/>
              <w:right w:val="single" w:sz="4" w:space="0" w:color="auto"/>
            </w:tcBorders>
            <w:shd w:val="clear" w:color="auto" w:fill="auto"/>
            <w:hideMark/>
          </w:tcPr>
          <w:p w14:paraId="548DD191" w14:textId="77777777" w:rsidR="00430BAB" w:rsidRPr="00DB2303" w:rsidRDefault="002D1970" w:rsidP="0023662F">
            <w:pPr>
              <w:jc w:val="center"/>
              <w:rPr>
                <w:b/>
                <w:bCs/>
                <w:color w:val="000000"/>
                <w:sz w:val="20"/>
                <w:szCs w:val="20"/>
              </w:rPr>
            </w:pPr>
            <w:r w:rsidRPr="00DB2303">
              <w:rPr>
                <w:b/>
                <w:bCs/>
                <w:color w:val="000000"/>
                <w:sz w:val="20"/>
                <w:szCs w:val="20"/>
              </w:rPr>
              <w:t>m</w:t>
            </w:r>
            <w:r w:rsidR="00430BAB" w:rsidRPr="00DB2303">
              <w:rPr>
                <w:b/>
                <w:bCs/>
                <w:color w:val="000000"/>
                <w:sz w:val="20"/>
                <w:szCs w:val="20"/>
              </w:rPr>
              <w:t>t</w:t>
            </w:r>
          </w:p>
        </w:tc>
        <w:tc>
          <w:tcPr>
            <w:tcW w:w="992" w:type="dxa"/>
            <w:tcBorders>
              <w:top w:val="nil"/>
              <w:left w:val="nil"/>
              <w:bottom w:val="single" w:sz="4" w:space="0" w:color="auto"/>
              <w:right w:val="single" w:sz="4" w:space="0" w:color="auto"/>
            </w:tcBorders>
            <w:shd w:val="clear" w:color="auto" w:fill="auto"/>
            <w:hideMark/>
          </w:tcPr>
          <w:p w14:paraId="5FAD7A2C" w14:textId="77777777" w:rsidR="00430BAB" w:rsidRPr="00DB2303" w:rsidRDefault="00430BAB" w:rsidP="0023662F">
            <w:pPr>
              <w:jc w:val="center"/>
              <w:rPr>
                <w:b/>
                <w:bCs/>
                <w:color w:val="000000"/>
                <w:sz w:val="20"/>
                <w:szCs w:val="20"/>
              </w:rPr>
            </w:pPr>
            <w:r w:rsidRPr="00DB2303">
              <w:rPr>
                <w:b/>
                <w:bCs/>
                <w:color w:val="000000"/>
                <w:sz w:val="20"/>
                <w:szCs w:val="20"/>
              </w:rPr>
              <w:t>mt (%)</w:t>
            </w:r>
          </w:p>
        </w:tc>
        <w:tc>
          <w:tcPr>
            <w:tcW w:w="1559" w:type="dxa"/>
            <w:tcBorders>
              <w:top w:val="nil"/>
              <w:left w:val="nil"/>
              <w:bottom w:val="single" w:sz="4" w:space="0" w:color="auto"/>
              <w:right w:val="single" w:sz="4" w:space="0" w:color="auto"/>
            </w:tcBorders>
            <w:shd w:val="clear" w:color="auto" w:fill="auto"/>
            <w:hideMark/>
          </w:tcPr>
          <w:p w14:paraId="1D34C34D" w14:textId="77777777" w:rsidR="00430BAB" w:rsidRPr="00DB2303" w:rsidRDefault="00430BAB" w:rsidP="0023662F">
            <w:pPr>
              <w:jc w:val="center"/>
              <w:rPr>
                <w:b/>
                <w:bCs/>
                <w:color w:val="000000"/>
                <w:sz w:val="20"/>
                <w:szCs w:val="20"/>
              </w:rPr>
            </w:pPr>
            <w:r w:rsidRPr="00DB2303">
              <w:rPr>
                <w:b/>
                <w:bCs/>
                <w:color w:val="000000"/>
                <w:sz w:val="20"/>
                <w:szCs w:val="20"/>
              </w:rPr>
              <w:t>ODP tonnes</w:t>
            </w:r>
          </w:p>
        </w:tc>
        <w:tc>
          <w:tcPr>
            <w:tcW w:w="1418" w:type="dxa"/>
            <w:tcBorders>
              <w:top w:val="nil"/>
              <w:left w:val="nil"/>
              <w:bottom w:val="single" w:sz="4" w:space="0" w:color="auto"/>
              <w:right w:val="single" w:sz="4" w:space="0" w:color="auto"/>
            </w:tcBorders>
            <w:shd w:val="clear" w:color="auto" w:fill="auto"/>
            <w:hideMark/>
          </w:tcPr>
          <w:p w14:paraId="0C35283C" w14:textId="77777777" w:rsidR="00430BAB" w:rsidRPr="00DB2303" w:rsidRDefault="00430BAB" w:rsidP="0023662F">
            <w:pPr>
              <w:jc w:val="center"/>
              <w:rPr>
                <w:b/>
                <w:bCs/>
                <w:color w:val="000000"/>
                <w:sz w:val="20"/>
                <w:szCs w:val="20"/>
              </w:rPr>
            </w:pPr>
            <w:r w:rsidRPr="00DB2303">
              <w:rPr>
                <w:b/>
                <w:bCs/>
                <w:color w:val="000000"/>
                <w:sz w:val="20"/>
                <w:szCs w:val="20"/>
              </w:rPr>
              <w:t>ODP t</w:t>
            </w:r>
            <w:r w:rsidR="007A1535" w:rsidRPr="00DB2303">
              <w:rPr>
                <w:b/>
                <w:bCs/>
                <w:color w:val="000000"/>
                <w:sz w:val="20"/>
                <w:szCs w:val="20"/>
              </w:rPr>
              <w:t>onnes</w:t>
            </w:r>
            <w:r w:rsidRPr="00DB2303">
              <w:rPr>
                <w:b/>
                <w:bCs/>
                <w:color w:val="000000"/>
                <w:sz w:val="20"/>
                <w:szCs w:val="20"/>
              </w:rPr>
              <w:t xml:space="preserve"> (%)</w:t>
            </w:r>
          </w:p>
        </w:tc>
      </w:tr>
      <w:tr w:rsidR="00430BAB" w:rsidRPr="00DB2303" w14:paraId="55DBE648" w14:textId="77777777" w:rsidTr="00C85260">
        <w:trPr>
          <w:trHeight w:val="152"/>
        </w:trPr>
        <w:tc>
          <w:tcPr>
            <w:tcW w:w="2947" w:type="dxa"/>
            <w:tcBorders>
              <w:top w:val="nil"/>
              <w:left w:val="single" w:sz="4" w:space="0" w:color="auto"/>
              <w:bottom w:val="single" w:sz="4" w:space="0" w:color="auto"/>
              <w:right w:val="single" w:sz="4" w:space="0" w:color="auto"/>
            </w:tcBorders>
            <w:shd w:val="clear" w:color="auto" w:fill="auto"/>
            <w:vAlign w:val="center"/>
            <w:hideMark/>
          </w:tcPr>
          <w:p w14:paraId="5504B54D" w14:textId="77777777" w:rsidR="00430BAB" w:rsidRPr="00DB2303" w:rsidRDefault="00430BAB" w:rsidP="0023662F">
            <w:pPr>
              <w:rPr>
                <w:color w:val="000000"/>
                <w:sz w:val="20"/>
                <w:szCs w:val="20"/>
              </w:rPr>
            </w:pPr>
            <w:r w:rsidRPr="00DB2303">
              <w:rPr>
                <w:color w:val="000000"/>
                <w:sz w:val="20"/>
                <w:szCs w:val="20"/>
              </w:rPr>
              <w:t>RAC servicing</w:t>
            </w:r>
          </w:p>
        </w:tc>
        <w:tc>
          <w:tcPr>
            <w:tcW w:w="1439" w:type="dxa"/>
            <w:tcBorders>
              <w:top w:val="nil"/>
              <w:left w:val="nil"/>
              <w:bottom w:val="single" w:sz="4" w:space="0" w:color="auto"/>
              <w:right w:val="single" w:sz="4" w:space="0" w:color="auto"/>
            </w:tcBorders>
            <w:shd w:val="clear" w:color="auto" w:fill="auto"/>
            <w:vAlign w:val="center"/>
            <w:hideMark/>
          </w:tcPr>
          <w:p w14:paraId="30AC2F74" w14:textId="77777777" w:rsidR="00430BAB" w:rsidRPr="00DB2303" w:rsidRDefault="00430BAB" w:rsidP="0023662F">
            <w:pPr>
              <w:rPr>
                <w:color w:val="000000"/>
                <w:sz w:val="20"/>
                <w:szCs w:val="20"/>
              </w:rPr>
            </w:pPr>
            <w:r w:rsidRPr="00DB2303">
              <w:rPr>
                <w:color w:val="000000"/>
                <w:sz w:val="20"/>
                <w:szCs w:val="20"/>
              </w:rPr>
              <w:t>HCFC-22</w:t>
            </w:r>
          </w:p>
        </w:tc>
        <w:tc>
          <w:tcPr>
            <w:tcW w:w="1001" w:type="dxa"/>
            <w:tcBorders>
              <w:top w:val="nil"/>
              <w:left w:val="nil"/>
              <w:bottom w:val="single" w:sz="4" w:space="0" w:color="auto"/>
              <w:right w:val="single" w:sz="4" w:space="0" w:color="auto"/>
            </w:tcBorders>
            <w:shd w:val="clear" w:color="auto" w:fill="auto"/>
            <w:vAlign w:val="center"/>
            <w:hideMark/>
          </w:tcPr>
          <w:p w14:paraId="58A53EDE" w14:textId="77777777" w:rsidR="00430BAB" w:rsidRPr="00DB2303" w:rsidRDefault="00430BAB" w:rsidP="0023662F">
            <w:pPr>
              <w:jc w:val="right"/>
              <w:rPr>
                <w:color w:val="000000"/>
                <w:sz w:val="20"/>
                <w:szCs w:val="20"/>
              </w:rPr>
            </w:pPr>
            <w:r w:rsidRPr="00DB2303">
              <w:rPr>
                <w:color w:val="000000"/>
                <w:sz w:val="20"/>
                <w:szCs w:val="20"/>
                <w:lang w:eastAsia="pt-BR"/>
              </w:rPr>
              <w:t>369.91</w:t>
            </w:r>
          </w:p>
        </w:tc>
        <w:tc>
          <w:tcPr>
            <w:tcW w:w="992" w:type="dxa"/>
            <w:tcBorders>
              <w:top w:val="nil"/>
              <w:left w:val="nil"/>
              <w:bottom w:val="single" w:sz="4" w:space="0" w:color="auto"/>
              <w:right w:val="single" w:sz="4" w:space="0" w:color="auto"/>
            </w:tcBorders>
            <w:shd w:val="clear" w:color="auto" w:fill="auto"/>
            <w:vAlign w:val="center"/>
            <w:hideMark/>
          </w:tcPr>
          <w:p w14:paraId="5669C0A9" w14:textId="77777777" w:rsidR="00430BAB" w:rsidRPr="00DB2303" w:rsidRDefault="00430BAB" w:rsidP="0023662F">
            <w:pPr>
              <w:jc w:val="right"/>
              <w:rPr>
                <w:color w:val="000000"/>
                <w:sz w:val="20"/>
                <w:szCs w:val="20"/>
              </w:rPr>
            </w:pPr>
            <w:r w:rsidRPr="00DB2303">
              <w:rPr>
                <w:color w:val="000000"/>
                <w:sz w:val="20"/>
                <w:szCs w:val="20"/>
                <w:lang w:eastAsia="pt-BR"/>
              </w:rPr>
              <w:t>61</w:t>
            </w:r>
          </w:p>
        </w:tc>
        <w:tc>
          <w:tcPr>
            <w:tcW w:w="1559" w:type="dxa"/>
            <w:tcBorders>
              <w:top w:val="nil"/>
              <w:left w:val="nil"/>
              <w:bottom w:val="single" w:sz="4" w:space="0" w:color="auto"/>
              <w:right w:val="single" w:sz="4" w:space="0" w:color="auto"/>
            </w:tcBorders>
            <w:shd w:val="clear" w:color="auto" w:fill="auto"/>
            <w:vAlign w:val="center"/>
            <w:hideMark/>
          </w:tcPr>
          <w:p w14:paraId="3210F075" w14:textId="77777777" w:rsidR="00430BAB" w:rsidRPr="00DB2303" w:rsidRDefault="00D07582" w:rsidP="0023662F">
            <w:pPr>
              <w:jc w:val="right"/>
              <w:rPr>
                <w:color w:val="000000"/>
                <w:sz w:val="20"/>
                <w:szCs w:val="20"/>
              </w:rPr>
            </w:pPr>
            <w:r w:rsidRPr="00DB2303">
              <w:rPr>
                <w:color w:val="000000"/>
                <w:sz w:val="20"/>
                <w:szCs w:val="20"/>
                <w:lang w:eastAsia="pt-BR"/>
              </w:rPr>
              <w:t>20.35</w:t>
            </w:r>
          </w:p>
        </w:tc>
        <w:tc>
          <w:tcPr>
            <w:tcW w:w="1418" w:type="dxa"/>
            <w:tcBorders>
              <w:top w:val="nil"/>
              <w:left w:val="nil"/>
              <w:bottom w:val="single" w:sz="4" w:space="0" w:color="auto"/>
              <w:right w:val="single" w:sz="4" w:space="0" w:color="auto"/>
            </w:tcBorders>
            <w:shd w:val="clear" w:color="auto" w:fill="auto"/>
            <w:vAlign w:val="center"/>
            <w:hideMark/>
          </w:tcPr>
          <w:p w14:paraId="4EE582E8" w14:textId="77777777" w:rsidR="00430BAB" w:rsidRPr="00DB2303" w:rsidRDefault="00D07582" w:rsidP="0023662F">
            <w:pPr>
              <w:jc w:val="right"/>
              <w:rPr>
                <w:color w:val="000000"/>
                <w:sz w:val="20"/>
                <w:szCs w:val="20"/>
              </w:rPr>
            </w:pPr>
            <w:r w:rsidRPr="00DB2303">
              <w:rPr>
                <w:color w:val="000000"/>
                <w:sz w:val="20"/>
                <w:szCs w:val="20"/>
              </w:rPr>
              <w:t>44</w:t>
            </w:r>
          </w:p>
        </w:tc>
      </w:tr>
      <w:tr w:rsidR="00D07582" w:rsidRPr="00DB2303" w14:paraId="3AFED227" w14:textId="77777777" w:rsidTr="00C85260">
        <w:trPr>
          <w:trHeight w:val="152"/>
        </w:trPr>
        <w:tc>
          <w:tcPr>
            <w:tcW w:w="2947" w:type="dxa"/>
            <w:tcBorders>
              <w:top w:val="nil"/>
              <w:left w:val="single" w:sz="4" w:space="0" w:color="auto"/>
              <w:bottom w:val="single" w:sz="4" w:space="0" w:color="auto"/>
              <w:right w:val="single" w:sz="4" w:space="0" w:color="auto"/>
            </w:tcBorders>
            <w:shd w:val="clear" w:color="auto" w:fill="auto"/>
            <w:vAlign w:val="center"/>
          </w:tcPr>
          <w:p w14:paraId="701E367D" w14:textId="77777777" w:rsidR="00D07582" w:rsidRPr="00DB2303" w:rsidRDefault="00D07582" w:rsidP="0023662F">
            <w:pPr>
              <w:rPr>
                <w:color w:val="000000"/>
                <w:sz w:val="20"/>
                <w:szCs w:val="20"/>
              </w:rPr>
            </w:pPr>
            <w:r w:rsidRPr="00DB2303">
              <w:rPr>
                <w:color w:val="000000"/>
                <w:sz w:val="20"/>
                <w:szCs w:val="20"/>
              </w:rPr>
              <w:t>RAC servicing</w:t>
            </w:r>
          </w:p>
        </w:tc>
        <w:tc>
          <w:tcPr>
            <w:tcW w:w="1439" w:type="dxa"/>
            <w:tcBorders>
              <w:top w:val="nil"/>
              <w:left w:val="nil"/>
              <w:bottom w:val="single" w:sz="4" w:space="0" w:color="auto"/>
              <w:right w:val="single" w:sz="4" w:space="0" w:color="auto"/>
            </w:tcBorders>
            <w:shd w:val="clear" w:color="auto" w:fill="auto"/>
            <w:vAlign w:val="center"/>
          </w:tcPr>
          <w:p w14:paraId="521D4D8C" w14:textId="77777777" w:rsidR="00D07582" w:rsidRPr="00DB2303" w:rsidRDefault="00D07582" w:rsidP="0023662F">
            <w:pPr>
              <w:rPr>
                <w:color w:val="000000"/>
                <w:sz w:val="20"/>
                <w:szCs w:val="20"/>
              </w:rPr>
            </w:pPr>
            <w:r w:rsidRPr="00DB2303">
              <w:rPr>
                <w:color w:val="000000"/>
                <w:sz w:val="20"/>
                <w:szCs w:val="20"/>
              </w:rPr>
              <w:t>HCFC-141b*</w:t>
            </w:r>
          </w:p>
        </w:tc>
        <w:tc>
          <w:tcPr>
            <w:tcW w:w="1001" w:type="dxa"/>
            <w:tcBorders>
              <w:top w:val="nil"/>
              <w:left w:val="nil"/>
              <w:bottom w:val="single" w:sz="4" w:space="0" w:color="auto"/>
              <w:right w:val="single" w:sz="4" w:space="0" w:color="auto"/>
            </w:tcBorders>
            <w:shd w:val="clear" w:color="auto" w:fill="auto"/>
            <w:vAlign w:val="center"/>
          </w:tcPr>
          <w:p w14:paraId="4934E2AE" w14:textId="77777777" w:rsidR="00D07582" w:rsidRPr="00DB2303" w:rsidRDefault="00D07582" w:rsidP="0023662F">
            <w:pPr>
              <w:jc w:val="right"/>
              <w:rPr>
                <w:color w:val="000000"/>
                <w:sz w:val="20"/>
                <w:szCs w:val="20"/>
                <w:lang w:eastAsia="pt-BR"/>
              </w:rPr>
            </w:pPr>
            <w:r w:rsidRPr="00DB2303">
              <w:rPr>
                <w:color w:val="000000"/>
                <w:sz w:val="20"/>
                <w:szCs w:val="20"/>
                <w:lang w:eastAsia="pt-BR"/>
              </w:rPr>
              <w:t>13.13</w:t>
            </w:r>
          </w:p>
        </w:tc>
        <w:tc>
          <w:tcPr>
            <w:tcW w:w="992" w:type="dxa"/>
            <w:tcBorders>
              <w:top w:val="nil"/>
              <w:left w:val="nil"/>
              <w:bottom w:val="single" w:sz="4" w:space="0" w:color="auto"/>
              <w:right w:val="single" w:sz="4" w:space="0" w:color="auto"/>
            </w:tcBorders>
            <w:shd w:val="clear" w:color="auto" w:fill="auto"/>
            <w:vAlign w:val="center"/>
          </w:tcPr>
          <w:p w14:paraId="0CE8F97E" w14:textId="77777777" w:rsidR="00D07582" w:rsidRPr="00DB2303" w:rsidRDefault="00D07582" w:rsidP="0023662F">
            <w:pPr>
              <w:jc w:val="right"/>
              <w:rPr>
                <w:color w:val="000000"/>
                <w:sz w:val="20"/>
                <w:szCs w:val="20"/>
                <w:lang w:eastAsia="pt-BR"/>
              </w:rPr>
            </w:pPr>
            <w:r w:rsidRPr="00DB2303">
              <w:rPr>
                <w:color w:val="000000"/>
                <w:sz w:val="20"/>
                <w:szCs w:val="20"/>
              </w:rPr>
              <w:t>2</w:t>
            </w:r>
          </w:p>
        </w:tc>
        <w:tc>
          <w:tcPr>
            <w:tcW w:w="1559" w:type="dxa"/>
            <w:tcBorders>
              <w:top w:val="nil"/>
              <w:left w:val="nil"/>
              <w:bottom w:val="single" w:sz="4" w:space="0" w:color="auto"/>
              <w:right w:val="single" w:sz="4" w:space="0" w:color="auto"/>
            </w:tcBorders>
            <w:shd w:val="clear" w:color="auto" w:fill="auto"/>
            <w:vAlign w:val="center"/>
          </w:tcPr>
          <w:p w14:paraId="60B806CD" w14:textId="77777777" w:rsidR="00D07582" w:rsidRPr="00DB2303" w:rsidRDefault="00D07582" w:rsidP="0023662F">
            <w:pPr>
              <w:jc w:val="right"/>
              <w:rPr>
                <w:color w:val="000000"/>
                <w:sz w:val="20"/>
                <w:szCs w:val="20"/>
                <w:lang w:eastAsia="pt-BR"/>
              </w:rPr>
            </w:pPr>
            <w:r w:rsidRPr="00DB2303">
              <w:rPr>
                <w:color w:val="000000"/>
                <w:sz w:val="20"/>
                <w:szCs w:val="20"/>
                <w:lang w:eastAsia="pt-BR"/>
              </w:rPr>
              <w:t>1.44</w:t>
            </w:r>
          </w:p>
        </w:tc>
        <w:tc>
          <w:tcPr>
            <w:tcW w:w="1418" w:type="dxa"/>
            <w:tcBorders>
              <w:top w:val="nil"/>
              <w:left w:val="nil"/>
              <w:bottom w:val="single" w:sz="4" w:space="0" w:color="auto"/>
              <w:right w:val="single" w:sz="4" w:space="0" w:color="auto"/>
            </w:tcBorders>
            <w:shd w:val="clear" w:color="auto" w:fill="auto"/>
            <w:vAlign w:val="center"/>
          </w:tcPr>
          <w:p w14:paraId="0EE9D0E0" w14:textId="77777777" w:rsidR="00D07582" w:rsidRPr="00DB2303" w:rsidRDefault="00D07582" w:rsidP="0023662F">
            <w:pPr>
              <w:jc w:val="right"/>
              <w:rPr>
                <w:color w:val="000000"/>
                <w:sz w:val="20"/>
                <w:szCs w:val="20"/>
                <w:lang w:eastAsia="pt-BR"/>
              </w:rPr>
            </w:pPr>
            <w:r w:rsidRPr="00DB2303">
              <w:rPr>
                <w:color w:val="000000"/>
                <w:sz w:val="20"/>
                <w:szCs w:val="20"/>
                <w:lang w:eastAsia="pt-BR"/>
              </w:rPr>
              <w:t>3</w:t>
            </w:r>
          </w:p>
        </w:tc>
      </w:tr>
      <w:tr w:rsidR="00DA1679" w:rsidRPr="00DB2303" w14:paraId="1D529822" w14:textId="77777777" w:rsidTr="00C85260">
        <w:trPr>
          <w:trHeight w:val="152"/>
        </w:trPr>
        <w:tc>
          <w:tcPr>
            <w:tcW w:w="2947" w:type="dxa"/>
            <w:tcBorders>
              <w:top w:val="nil"/>
              <w:left w:val="single" w:sz="4" w:space="0" w:color="auto"/>
              <w:bottom w:val="single" w:sz="4" w:space="0" w:color="auto"/>
              <w:right w:val="single" w:sz="4" w:space="0" w:color="auto"/>
            </w:tcBorders>
            <w:shd w:val="clear" w:color="auto" w:fill="auto"/>
          </w:tcPr>
          <w:p w14:paraId="5CD10585" w14:textId="77777777" w:rsidR="00DA1679" w:rsidRPr="00DB2303" w:rsidRDefault="00DA1679" w:rsidP="0023662F">
            <w:pPr>
              <w:rPr>
                <w:color w:val="000000"/>
                <w:sz w:val="20"/>
                <w:szCs w:val="20"/>
              </w:rPr>
            </w:pPr>
            <w:r w:rsidRPr="00DB2303">
              <w:rPr>
                <w:color w:val="000000"/>
                <w:sz w:val="20"/>
                <w:szCs w:val="20"/>
              </w:rPr>
              <w:t>RAC servicing</w:t>
            </w:r>
          </w:p>
        </w:tc>
        <w:tc>
          <w:tcPr>
            <w:tcW w:w="1439" w:type="dxa"/>
            <w:tcBorders>
              <w:top w:val="nil"/>
              <w:left w:val="nil"/>
              <w:bottom w:val="single" w:sz="4" w:space="0" w:color="auto"/>
              <w:right w:val="single" w:sz="4" w:space="0" w:color="auto"/>
            </w:tcBorders>
            <w:shd w:val="clear" w:color="auto" w:fill="auto"/>
            <w:vAlign w:val="center"/>
          </w:tcPr>
          <w:p w14:paraId="59CDB9F9" w14:textId="77777777" w:rsidR="00DA1679" w:rsidRPr="00DB2303" w:rsidRDefault="00DA1679" w:rsidP="0023662F">
            <w:pPr>
              <w:rPr>
                <w:color w:val="000000"/>
                <w:sz w:val="20"/>
                <w:szCs w:val="20"/>
              </w:rPr>
            </w:pPr>
            <w:r w:rsidRPr="00DB2303">
              <w:rPr>
                <w:color w:val="000000"/>
                <w:sz w:val="20"/>
                <w:szCs w:val="20"/>
              </w:rPr>
              <w:t>HCFC-142b</w:t>
            </w:r>
          </w:p>
        </w:tc>
        <w:tc>
          <w:tcPr>
            <w:tcW w:w="1001" w:type="dxa"/>
            <w:tcBorders>
              <w:top w:val="nil"/>
              <w:left w:val="nil"/>
              <w:bottom w:val="single" w:sz="4" w:space="0" w:color="auto"/>
              <w:right w:val="single" w:sz="4" w:space="0" w:color="auto"/>
            </w:tcBorders>
            <w:shd w:val="clear" w:color="auto" w:fill="auto"/>
            <w:vAlign w:val="center"/>
          </w:tcPr>
          <w:p w14:paraId="44646C8F" w14:textId="77777777" w:rsidR="00DA1679" w:rsidRPr="00DB2303" w:rsidRDefault="00DA1679" w:rsidP="0023662F">
            <w:pPr>
              <w:jc w:val="right"/>
              <w:rPr>
                <w:color w:val="000000"/>
                <w:sz w:val="20"/>
                <w:szCs w:val="20"/>
                <w:lang w:eastAsia="pt-BR"/>
              </w:rPr>
            </w:pPr>
            <w:r w:rsidRPr="00DB2303">
              <w:rPr>
                <w:color w:val="000000"/>
                <w:sz w:val="20"/>
                <w:szCs w:val="20"/>
                <w:lang w:eastAsia="pt-BR"/>
              </w:rPr>
              <w:t>6.04</w:t>
            </w:r>
          </w:p>
        </w:tc>
        <w:tc>
          <w:tcPr>
            <w:tcW w:w="992" w:type="dxa"/>
            <w:tcBorders>
              <w:top w:val="nil"/>
              <w:left w:val="nil"/>
              <w:bottom w:val="single" w:sz="4" w:space="0" w:color="auto"/>
              <w:right w:val="single" w:sz="4" w:space="0" w:color="auto"/>
            </w:tcBorders>
            <w:shd w:val="clear" w:color="auto" w:fill="auto"/>
            <w:vAlign w:val="center"/>
          </w:tcPr>
          <w:p w14:paraId="5BA58164" w14:textId="77777777" w:rsidR="00DA1679" w:rsidRPr="00DB2303" w:rsidRDefault="00DA1679" w:rsidP="0023662F">
            <w:pPr>
              <w:jc w:val="right"/>
              <w:rPr>
                <w:color w:val="000000"/>
                <w:sz w:val="20"/>
                <w:szCs w:val="20"/>
                <w:lang w:eastAsia="pt-BR"/>
              </w:rPr>
            </w:pPr>
            <w:r w:rsidRPr="00DB2303">
              <w:rPr>
                <w:color w:val="000000"/>
                <w:sz w:val="20"/>
                <w:szCs w:val="20"/>
                <w:lang w:eastAsia="pt-BR"/>
              </w:rPr>
              <w:t>1</w:t>
            </w:r>
          </w:p>
        </w:tc>
        <w:tc>
          <w:tcPr>
            <w:tcW w:w="1559" w:type="dxa"/>
            <w:tcBorders>
              <w:top w:val="nil"/>
              <w:left w:val="nil"/>
              <w:bottom w:val="single" w:sz="4" w:space="0" w:color="auto"/>
              <w:right w:val="single" w:sz="4" w:space="0" w:color="auto"/>
            </w:tcBorders>
            <w:shd w:val="clear" w:color="auto" w:fill="auto"/>
            <w:vAlign w:val="center"/>
          </w:tcPr>
          <w:p w14:paraId="7761B231" w14:textId="77777777" w:rsidR="00DA1679" w:rsidRPr="00DB2303" w:rsidRDefault="00DA1679" w:rsidP="0023662F">
            <w:pPr>
              <w:jc w:val="right"/>
              <w:rPr>
                <w:color w:val="000000"/>
                <w:sz w:val="20"/>
                <w:szCs w:val="20"/>
                <w:lang w:eastAsia="pt-BR"/>
              </w:rPr>
            </w:pPr>
            <w:r w:rsidRPr="00DB2303">
              <w:rPr>
                <w:color w:val="000000"/>
                <w:sz w:val="20"/>
                <w:szCs w:val="20"/>
                <w:lang w:eastAsia="pt-BR"/>
              </w:rPr>
              <w:t>0.39</w:t>
            </w:r>
          </w:p>
        </w:tc>
        <w:tc>
          <w:tcPr>
            <w:tcW w:w="1418" w:type="dxa"/>
            <w:tcBorders>
              <w:top w:val="nil"/>
              <w:left w:val="nil"/>
              <w:bottom w:val="single" w:sz="4" w:space="0" w:color="auto"/>
              <w:right w:val="single" w:sz="4" w:space="0" w:color="auto"/>
            </w:tcBorders>
            <w:shd w:val="clear" w:color="auto" w:fill="auto"/>
            <w:vAlign w:val="center"/>
          </w:tcPr>
          <w:p w14:paraId="79FDEBF9" w14:textId="77777777" w:rsidR="00DA1679" w:rsidRPr="00DB2303" w:rsidRDefault="00DA1679" w:rsidP="0023662F">
            <w:pPr>
              <w:jc w:val="right"/>
              <w:rPr>
                <w:color w:val="000000"/>
                <w:sz w:val="20"/>
                <w:szCs w:val="20"/>
                <w:lang w:eastAsia="pt-BR"/>
              </w:rPr>
            </w:pPr>
            <w:r w:rsidRPr="00DB2303">
              <w:rPr>
                <w:color w:val="000000"/>
                <w:sz w:val="20"/>
                <w:szCs w:val="20"/>
                <w:lang w:eastAsia="pt-BR"/>
              </w:rPr>
              <w:t>1</w:t>
            </w:r>
          </w:p>
        </w:tc>
      </w:tr>
      <w:tr w:rsidR="00DA1679" w:rsidRPr="00DB2303" w14:paraId="348251B9" w14:textId="77777777" w:rsidTr="00C85260">
        <w:trPr>
          <w:trHeight w:val="152"/>
        </w:trPr>
        <w:tc>
          <w:tcPr>
            <w:tcW w:w="2947" w:type="dxa"/>
            <w:tcBorders>
              <w:top w:val="nil"/>
              <w:left w:val="single" w:sz="4" w:space="0" w:color="auto"/>
              <w:bottom w:val="single" w:sz="4" w:space="0" w:color="auto"/>
              <w:right w:val="single" w:sz="4" w:space="0" w:color="auto"/>
            </w:tcBorders>
            <w:shd w:val="clear" w:color="auto" w:fill="auto"/>
          </w:tcPr>
          <w:p w14:paraId="04A320C1" w14:textId="77777777" w:rsidR="00DA1679" w:rsidRPr="00DB2303" w:rsidRDefault="00DA1679" w:rsidP="0023662F">
            <w:pPr>
              <w:rPr>
                <w:color w:val="000000"/>
                <w:sz w:val="20"/>
                <w:szCs w:val="20"/>
              </w:rPr>
            </w:pPr>
            <w:r w:rsidRPr="00DB2303">
              <w:rPr>
                <w:color w:val="000000"/>
                <w:sz w:val="20"/>
                <w:szCs w:val="20"/>
              </w:rPr>
              <w:t>RAC servicing</w:t>
            </w:r>
          </w:p>
        </w:tc>
        <w:tc>
          <w:tcPr>
            <w:tcW w:w="1439" w:type="dxa"/>
            <w:tcBorders>
              <w:top w:val="nil"/>
              <w:left w:val="nil"/>
              <w:bottom w:val="single" w:sz="4" w:space="0" w:color="auto"/>
              <w:right w:val="single" w:sz="4" w:space="0" w:color="auto"/>
            </w:tcBorders>
            <w:shd w:val="clear" w:color="auto" w:fill="auto"/>
            <w:vAlign w:val="center"/>
          </w:tcPr>
          <w:p w14:paraId="012C3BC6" w14:textId="77777777" w:rsidR="00DA1679" w:rsidRPr="00DB2303" w:rsidRDefault="00DA1679" w:rsidP="0023662F">
            <w:pPr>
              <w:rPr>
                <w:color w:val="000000"/>
                <w:sz w:val="20"/>
                <w:szCs w:val="20"/>
              </w:rPr>
            </w:pPr>
            <w:r w:rsidRPr="00DB2303">
              <w:rPr>
                <w:color w:val="000000"/>
                <w:sz w:val="20"/>
                <w:szCs w:val="20"/>
              </w:rPr>
              <w:t>HCFC-123</w:t>
            </w:r>
          </w:p>
        </w:tc>
        <w:tc>
          <w:tcPr>
            <w:tcW w:w="1001" w:type="dxa"/>
            <w:tcBorders>
              <w:top w:val="nil"/>
              <w:left w:val="nil"/>
              <w:bottom w:val="single" w:sz="4" w:space="0" w:color="auto"/>
              <w:right w:val="single" w:sz="4" w:space="0" w:color="auto"/>
            </w:tcBorders>
            <w:shd w:val="clear" w:color="auto" w:fill="auto"/>
            <w:vAlign w:val="center"/>
          </w:tcPr>
          <w:p w14:paraId="18FDBC20" w14:textId="77777777" w:rsidR="00DA1679" w:rsidRPr="00DB2303" w:rsidRDefault="00DA1679" w:rsidP="0023662F">
            <w:pPr>
              <w:jc w:val="right"/>
              <w:rPr>
                <w:color w:val="000000"/>
                <w:sz w:val="20"/>
                <w:szCs w:val="20"/>
                <w:lang w:eastAsia="pt-BR"/>
              </w:rPr>
            </w:pPr>
            <w:r w:rsidRPr="00DB2303">
              <w:rPr>
                <w:color w:val="000000"/>
                <w:sz w:val="20"/>
                <w:szCs w:val="20"/>
                <w:lang w:eastAsia="pt-BR"/>
              </w:rPr>
              <w:t>1.29</w:t>
            </w:r>
          </w:p>
        </w:tc>
        <w:tc>
          <w:tcPr>
            <w:tcW w:w="992" w:type="dxa"/>
            <w:tcBorders>
              <w:top w:val="nil"/>
              <w:left w:val="nil"/>
              <w:bottom w:val="single" w:sz="4" w:space="0" w:color="auto"/>
              <w:right w:val="single" w:sz="4" w:space="0" w:color="auto"/>
            </w:tcBorders>
            <w:shd w:val="clear" w:color="auto" w:fill="auto"/>
            <w:vAlign w:val="center"/>
          </w:tcPr>
          <w:p w14:paraId="5926DD02" w14:textId="77777777" w:rsidR="00DA1679" w:rsidRPr="00DB2303" w:rsidRDefault="00DA1679" w:rsidP="0023662F">
            <w:pPr>
              <w:jc w:val="right"/>
              <w:rPr>
                <w:color w:val="000000"/>
                <w:sz w:val="20"/>
                <w:szCs w:val="20"/>
                <w:lang w:eastAsia="pt-BR"/>
              </w:rPr>
            </w:pPr>
            <w:r w:rsidRPr="00DB2303">
              <w:rPr>
                <w:color w:val="000000"/>
                <w:sz w:val="20"/>
                <w:szCs w:val="20"/>
                <w:lang w:eastAsia="pt-BR"/>
              </w:rPr>
              <w:t>0</w:t>
            </w:r>
          </w:p>
        </w:tc>
        <w:tc>
          <w:tcPr>
            <w:tcW w:w="1559" w:type="dxa"/>
            <w:tcBorders>
              <w:top w:val="nil"/>
              <w:left w:val="nil"/>
              <w:bottom w:val="single" w:sz="4" w:space="0" w:color="auto"/>
              <w:right w:val="single" w:sz="4" w:space="0" w:color="auto"/>
            </w:tcBorders>
            <w:shd w:val="clear" w:color="auto" w:fill="auto"/>
            <w:vAlign w:val="center"/>
          </w:tcPr>
          <w:p w14:paraId="42F982B6" w14:textId="77777777" w:rsidR="00DA1679" w:rsidRPr="00DB2303" w:rsidRDefault="00DA1679" w:rsidP="0023662F">
            <w:pPr>
              <w:jc w:val="right"/>
              <w:rPr>
                <w:color w:val="000000"/>
                <w:sz w:val="20"/>
                <w:szCs w:val="20"/>
                <w:lang w:eastAsia="pt-BR"/>
              </w:rPr>
            </w:pPr>
            <w:r w:rsidRPr="00DB2303">
              <w:rPr>
                <w:color w:val="000000"/>
                <w:sz w:val="20"/>
                <w:szCs w:val="20"/>
                <w:lang w:eastAsia="pt-BR"/>
              </w:rPr>
              <w:t>0.03</w:t>
            </w:r>
          </w:p>
        </w:tc>
        <w:tc>
          <w:tcPr>
            <w:tcW w:w="1418" w:type="dxa"/>
            <w:tcBorders>
              <w:top w:val="nil"/>
              <w:left w:val="nil"/>
              <w:bottom w:val="single" w:sz="4" w:space="0" w:color="auto"/>
              <w:right w:val="single" w:sz="4" w:space="0" w:color="auto"/>
            </w:tcBorders>
            <w:shd w:val="clear" w:color="auto" w:fill="auto"/>
            <w:vAlign w:val="center"/>
          </w:tcPr>
          <w:p w14:paraId="79184E57" w14:textId="77777777" w:rsidR="00DA1679" w:rsidRPr="00DB2303" w:rsidRDefault="00DA1679" w:rsidP="0023662F">
            <w:pPr>
              <w:jc w:val="right"/>
              <w:rPr>
                <w:color w:val="000000"/>
                <w:sz w:val="20"/>
                <w:szCs w:val="20"/>
                <w:lang w:eastAsia="pt-BR"/>
              </w:rPr>
            </w:pPr>
            <w:r w:rsidRPr="00DB2303">
              <w:rPr>
                <w:color w:val="000000"/>
                <w:sz w:val="20"/>
                <w:szCs w:val="20"/>
                <w:lang w:eastAsia="pt-BR"/>
              </w:rPr>
              <w:t>0</w:t>
            </w:r>
          </w:p>
        </w:tc>
      </w:tr>
      <w:tr w:rsidR="00DA1679" w:rsidRPr="00DB2303" w14:paraId="4E44ACFF" w14:textId="77777777" w:rsidTr="00C85260">
        <w:trPr>
          <w:trHeight w:val="152"/>
        </w:trPr>
        <w:tc>
          <w:tcPr>
            <w:tcW w:w="2947" w:type="dxa"/>
            <w:tcBorders>
              <w:top w:val="nil"/>
              <w:left w:val="single" w:sz="4" w:space="0" w:color="auto"/>
              <w:bottom w:val="single" w:sz="4" w:space="0" w:color="auto"/>
              <w:right w:val="single" w:sz="4" w:space="0" w:color="auto"/>
            </w:tcBorders>
            <w:shd w:val="clear" w:color="auto" w:fill="auto"/>
          </w:tcPr>
          <w:p w14:paraId="0685F243" w14:textId="77777777" w:rsidR="00DA1679" w:rsidRPr="00DB2303" w:rsidRDefault="00DA1679" w:rsidP="0023662F">
            <w:pPr>
              <w:rPr>
                <w:color w:val="000000"/>
                <w:sz w:val="20"/>
                <w:szCs w:val="20"/>
              </w:rPr>
            </w:pPr>
            <w:r w:rsidRPr="00DB2303">
              <w:rPr>
                <w:color w:val="000000"/>
                <w:sz w:val="20"/>
                <w:szCs w:val="20"/>
              </w:rPr>
              <w:t>RAC servicing</w:t>
            </w:r>
          </w:p>
        </w:tc>
        <w:tc>
          <w:tcPr>
            <w:tcW w:w="1439" w:type="dxa"/>
            <w:tcBorders>
              <w:top w:val="nil"/>
              <w:left w:val="nil"/>
              <w:bottom w:val="single" w:sz="4" w:space="0" w:color="auto"/>
              <w:right w:val="single" w:sz="4" w:space="0" w:color="auto"/>
            </w:tcBorders>
            <w:shd w:val="clear" w:color="auto" w:fill="auto"/>
            <w:vAlign w:val="center"/>
          </w:tcPr>
          <w:p w14:paraId="5BABB5D3" w14:textId="77777777" w:rsidR="00DA1679" w:rsidRPr="00DB2303" w:rsidRDefault="00DA1679" w:rsidP="0023662F">
            <w:pPr>
              <w:rPr>
                <w:color w:val="000000"/>
                <w:sz w:val="20"/>
                <w:szCs w:val="20"/>
              </w:rPr>
            </w:pPr>
            <w:r w:rsidRPr="00DB2303">
              <w:rPr>
                <w:color w:val="000000"/>
                <w:sz w:val="20"/>
                <w:szCs w:val="20"/>
              </w:rPr>
              <w:t>HCFC-124</w:t>
            </w:r>
          </w:p>
        </w:tc>
        <w:tc>
          <w:tcPr>
            <w:tcW w:w="1001" w:type="dxa"/>
            <w:tcBorders>
              <w:top w:val="nil"/>
              <w:left w:val="nil"/>
              <w:bottom w:val="single" w:sz="4" w:space="0" w:color="auto"/>
              <w:right w:val="single" w:sz="4" w:space="0" w:color="auto"/>
            </w:tcBorders>
            <w:shd w:val="clear" w:color="auto" w:fill="auto"/>
            <w:vAlign w:val="center"/>
          </w:tcPr>
          <w:p w14:paraId="656B5669" w14:textId="77777777" w:rsidR="00DA1679" w:rsidRPr="00DB2303" w:rsidRDefault="00DA1679" w:rsidP="0023662F">
            <w:pPr>
              <w:jc w:val="right"/>
              <w:rPr>
                <w:color w:val="000000"/>
                <w:sz w:val="20"/>
                <w:szCs w:val="20"/>
                <w:lang w:eastAsia="pt-BR"/>
              </w:rPr>
            </w:pPr>
            <w:r w:rsidRPr="00DB2303">
              <w:rPr>
                <w:color w:val="000000"/>
                <w:sz w:val="20"/>
                <w:szCs w:val="20"/>
                <w:lang w:eastAsia="pt-BR"/>
              </w:rPr>
              <w:t>0.27</w:t>
            </w:r>
          </w:p>
        </w:tc>
        <w:tc>
          <w:tcPr>
            <w:tcW w:w="992" w:type="dxa"/>
            <w:tcBorders>
              <w:top w:val="nil"/>
              <w:left w:val="nil"/>
              <w:bottom w:val="single" w:sz="4" w:space="0" w:color="auto"/>
              <w:right w:val="single" w:sz="4" w:space="0" w:color="auto"/>
            </w:tcBorders>
            <w:shd w:val="clear" w:color="auto" w:fill="auto"/>
            <w:vAlign w:val="center"/>
          </w:tcPr>
          <w:p w14:paraId="61DEF686" w14:textId="77777777" w:rsidR="00DA1679" w:rsidRPr="00DB2303" w:rsidRDefault="00DA1679" w:rsidP="0023662F">
            <w:pPr>
              <w:jc w:val="right"/>
              <w:rPr>
                <w:color w:val="000000"/>
                <w:sz w:val="20"/>
                <w:szCs w:val="20"/>
                <w:lang w:eastAsia="pt-BR"/>
              </w:rPr>
            </w:pPr>
            <w:r w:rsidRPr="00DB2303">
              <w:rPr>
                <w:color w:val="000000"/>
                <w:sz w:val="20"/>
                <w:szCs w:val="20"/>
                <w:lang w:eastAsia="pt-BR"/>
              </w:rPr>
              <w:t>0</w:t>
            </w:r>
          </w:p>
        </w:tc>
        <w:tc>
          <w:tcPr>
            <w:tcW w:w="1559" w:type="dxa"/>
            <w:tcBorders>
              <w:top w:val="nil"/>
              <w:left w:val="nil"/>
              <w:bottom w:val="single" w:sz="4" w:space="0" w:color="auto"/>
              <w:right w:val="single" w:sz="4" w:space="0" w:color="auto"/>
            </w:tcBorders>
            <w:shd w:val="clear" w:color="auto" w:fill="auto"/>
            <w:vAlign w:val="center"/>
          </w:tcPr>
          <w:p w14:paraId="41A4609A" w14:textId="77777777" w:rsidR="00DA1679" w:rsidRPr="00DB2303" w:rsidRDefault="00DA1679" w:rsidP="0023662F">
            <w:pPr>
              <w:jc w:val="right"/>
              <w:rPr>
                <w:color w:val="000000"/>
                <w:sz w:val="20"/>
                <w:szCs w:val="20"/>
                <w:lang w:eastAsia="pt-BR"/>
              </w:rPr>
            </w:pPr>
            <w:r w:rsidRPr="00DB2303">
              <w:rPr>
                <w:color w:val="000000"/>
                <w:sz w:val="20"/>
                <w:szCs w:val="20"/>
                <w:lang w:eastAsia="pt-BR"/>
              </w:rPr>
              <w:t>0.01</w:t>
            </w:r>
          </w:p>
        </w:tc>
        <w:tc>
          <w:tcPr>
            <w:tcW w:w="1418" w:type="dxa"/>
            <w:tcBorders>
              <w:top w:val="nil"/>
              <w:left w:val="nil"/>
              <w:bottom w:val="single" w:sz="4" w:space="0" w:color="auto"/>
              <w:right w:val="single" w:sz="4" w:space="0" w:color="auto"/>
            </w:tcBorders>
            <w:shd w:val="clear" w:color="auto" w:fill="auto"/>
            <w:vAlign w:val="center"/>
          </w:tcPr>
          <w:p w14:paraId="5A1AB954" w14:textId="77777777" w:rsidR="00DA1679" w:rsidRPr="00DB2303" w:rsidRDefault="00DA1679" w:rsidP="0023662F">
            <w:pPr>
              <w:jc w:val="right"/>
              <w:rPr>
                <w:color w:val="000000"/>
                <w:sz w:val="20"/>
                <w:szCs w:val="20"/>
                <w:lang w:eastAsia="pt-BR"/>
              </w:rPr>
            </w:pPr>
            <w:r w:rsidRPr="00DB2303">
              <w:rPr>
                <w:color w:val="000000"/>
                <w:sz w:val="20"/>
                <w:szCs w:val="20"/>
                <w:lang w:eastAsia="pt-BR"/>
              </w:rPr>
              <w:t>0</w:t>
            </w:r>
          </w:p>
        </w:tc>
      </w:tr>
      <w:tr w:rsidR="00D07582" w:rsidRPr="00DB2303" w14:paraId="1D57B908" w14:textId="77777777" w:rsidTr="00C85260">
        <w:trPr>
          <w:trHeight w:val="152"/>
        </w:trPr>
        <w:tc>
          <w:tcPr>
            <w:tcW w:w="2947" w:type="dxa"/>
            <w:tcBorders>
              <w:top w:val="nil"/>
              <w:left w:val="single" w:sz="4" w:space="0" w:color="auto"/>
              <w:bottom w:val="single" w:sz="4" w:space="0" w:color="auto"/>
              <w:right w:val="single" w:sz="4" w:space="0" w:color="auto"/>
            </w:tcBorders>
            <w:shd w:val="clear" w:color="auto" w:fill="auto"/>
            <w:vAlign w:val="center"/>
          </w:tcPr>
          <w:p w14:paraId="3BAD988A" w14:textId="77777777" w:rsidR="00D07582" w:rsidRPr="00DB2303" w:rsidRDefault="00D07582" w:rsidP="0023662F">
            <w:pPr>
              <w:rPr>
                <w:b/>
                <w:color w:val="000000"/>
                <w:sz w:val="20"/>
                <w:szCs w:val="20"/>
              </w:rPr>
            </w:pPr>
            <w:r w:rsidRPr="00DB2303">
              <w:rPr>
                <w:b/>
                <w:color w:val="000000"/>
                <w:sz w:val="20"/>
                <w:szCs w:val="20"/>
              </w:rPr>
              <w:t>Total RAC servicing</w:t>
            </w:r>
          </w:p>
        </w:tc>
        <w:tc>
          <w:tcPr>
            <w:tcW w:w="1439" w:type="dxa"/>
            <w:tcBorders>
              <w:top w:val="nil"/>
              <w:left w:val="nil"/>
              <w:bottom w:val="single" w:sz="4" w:space="0" w:color="auto"/>
              <w:right w:val="single" w:sz="4" w:space="0" w:color="auto"/>
            </w:tcBorders>
            <w:shd w:val="clear" w:color="auto" w:fill="auto"/>
            <w:vAlign w:val="center"/>
          </w:tcPr>
          <w:p w14:paraId="0DC1C12D" w14:textId="77777777" w:rsidR="00D07582" w:rsidRPr="00DB2303" w:rsidRDefault="00D07582" w:rsidP="0023662F">
            <w:pPr>
              <w:rPr>
                <w:b/>
                <w:color w:val="000000"/>
                <w:sz w:val="20"/>
                <w:szCs w:val="20"/>
              </w:rPr>
            </w:pPr>
          </w:p>
        </w:tc>
        <w:tc>
          <w:tcPr>
            <w:tcW w:w="1001" w:type="dxa"/>
            <w:tcBorders>
              <w:top w:val="nil"/>
              <w:left w:val="nil"/>
              <w:bottom w:val="single" w:sz="4" w:space="0" w:color="auto"/>
              <w:right w:val="single" w:sz="4" w:space="0" w:color="auto"/>
            </w:tcBorders>
            <w:shd w:val="clear" w:color="auto" w:fill="auto"/>
            <w:vAlign w:val="center"/>
          </w:tcPr>
          <w:p w14:paraId="5D1C830F" w14:textId="77777777" w:rsidR="00D07582" w:rsidRPr="00DB2303" w:rsidRDefault="00D07582" w:rsidP="0023662F">
            <w:pPr>
              <w:jc w:val="right"/>
              <w:rPr>
                <w:b/>
                <w:color w:val="000000"/>
                <w:sz w:val="20"/>
                <w:szCs w:val="20"/>
                <w:lang w:eastAsia="pt-BR"/>
              </w:rPr>
            </w:pPr>
            <w:r w:rsidRPr="00DB2303">
              <w:rPr>
                <w:b/>
                <w:color w:val="000000"/>
                <w:sz w:val="20"/>
                <w:szCs w:val="20"/>
                <w:lang w:eastAsia="pt-BR"/>
              </w:rPr>
              <w:t>390.64</w:t>
            </w:r>
          </w:p>
        </w:tc>
        <w:tc>
          <w:tcPr>
            <w:tcW w:w="992" w:type="dxa"/>
            <w:tcBorders>
              <w:top w:val="nil"/>
              <w:left w:val="nil"/>
              <w:bottom w:val="single" w:sz="4" w:space="0" w:color="auto"/>
              <w:right w:val="single" w:sz="4" w:space="0" w:color="auto"/>
            </w:tcBorders>
            <w:shd w:val="clear" w:color="auto" w:fill="auto"/>
            <w:vAlign w:val="center"/>
          </w:tcPr>
          <w:p w14:paraId="29DCBAA1" w14:textId="77777777" w:rsidR="00D07582" w:rsidRPr="00DB2303" w:rsidRDefault="00D07582" w:rsidP="0023662F">
            <w:pPr>
              <w:jc w:val="right"/>
              <w:rPr>
                <w:b/>
                <w:color w:val="000000"/>
                <w:sz w:val="20"/>
                <w:szCs w:val="20"/>
                <w:lang w:eastAsia="pt-BR"/>
              </w:rPr>
            </w:pPr>
            <w:r w:rsidRPr="00DB2303">
              <w:rPr>
                <w:b/>
                <w:color w:val="000000"/>
                <w:sz w:val="20"/>
                <w:szCs w:val="20"/>
                <w:lang w:eastAsia="pt-BR"/>
              </w:rPr>
              <w:t>64</w:t>
            </w:r>
          </w:p>
        </w:tc>
        <w:tc>
          <w:tcPr>
            <w:tcW w:w="1559" w:type="dxa"/>
            <w:tcBorders>
              <w:top w:val="nil"/>
              <w:left w:val="nil"/>
              <w:bottom w:val="single" w:sz="4" w:space="0" w:color="auto"/>
              <w:right w:val="single" w:sz="4" w:space="0" w:color="auto"/>
            </w:tcBorders>
            <w:shd w:val="clear" w:color="auto" w:fill="auto"/>
            <w:vAlign w:val="center"/>
          </w:tcPr>
          <w:p w14:paraId="13F086B6" w14:textId="77777777" w:rsidR="00D07582" w:rsidRPr="00DB2303" w:rsidRDefault="00D07582" w:rsidP="0023662F">
            <w:pPr>
              <w:jc w:val="right"/>
              <w:rPr>
                <w:b/>
                <w:color w:val="000000"/>
                <w:sz w:val="20"/>
                <w:szCs w:val="20"/>
                <w:lang w:eastAsia="pt-BR"/>
              </w:rPr>
            </w:pPr>
            <w:r w:rsidRPr="00DB2303">
              <w:rPr>
                <w:b/>
                <w:color w:val="000000"/>
                <w:sz w:val="20"/>
                <w:szCs w:val="20"/>
                <w:lang w:eastAsia="pt-BR"/>
              </w:rPr>
              <w:t>22.21</w:t>
            </w:r>
          </w:p>
        </w:tc>
        <w:tc>
          <w:tcPr>
            <w:tcW w:w="1418" w:type="dxa"/>
            <w:tcBorders>
              <w:top w:val="nil"/>
              <w:left w:val="nil"/>
              <w:bottom w:val="single" w:sz="4" w:space="0" w:color="auto"/>
              <w:right w:val="single" w:sz="4" w:space="0" w:color="auto"/>
            </w:tcBorders>
            <w:shd w:val="clear" w:color="auto" w:fill="auto"/>
            <w:vAlign w:val="center"/>
          </w:tcPr>
          <w:p w14:paraId="0D6CADE4" w14:textId="77777777" w:rsidR="00D07582" w:rsidRPr="00DB2303" w:rsidRDefault="00D07582" w:rsidP="0023662F">
            <w:pPr>
              <w:jc w:val="right"/>
              <w:rPr>
                <w:b/>
                <w:color w:val="000000"/>
                <w:sz w:val="20"/>
                <w:szCs w:val="20"/>
                <w:lang w:eastAsia="pt-BR"/>
              </w:rPr>
            </w:pPr>
            <w:r w:rsidRPr="00DB2303">
              <w:rPr>
                <w:b/>
                <w:color w:val="000000"/>
                <w:sz w:val="20"/>
                <w:szCs w:val="20"/>
                <w:lang w:eastAsia="pt-BR"/>
              </w:rPr>
              <w:t>48</w:t>
            </w:r>
          </w:p>
        </w:tc>
      </w:tr>
      <w:tr w:rsidR="00D07582" w:rsidRPr="00DB2303" w14:paraId="13A8A5D2" w14:textId="77777777" w:rsidTr="00C85260">
        <w:trPr>
          <w:trHeight w:val="152"/>
        </w:trPr>
        <w:tc>
          <w:tcPr>
            <w:tcW w:w="2947" w:type="dxa"/>
            <w:tcBorders>
              <w:top w:val="nil"/>
              <w:left w:val="single" w:sz="4" w:space="0" w:color="auto"/>
              <w:bottom w:val="single" w:sz="4" w:space="0" w:color="auto"/>
              <w:right w:val="single" w:sz="4" w:space="0" w:color="auto"/>
            </w:tcBorders>
            <w:shd w:val="clear" w:color="auto" w:fill="auto"/>
            <w:vAlign w:val="center"/>
          </w:tcPr>
          <w:p w14:paraId="49621A08" w14:textId="77777777" w:rsidR="00D07582" w:rsidRPr="00DB2303" w:rsidRDefault="00EA7AC8" w:rsidP="00EA7AC8">
            <w:pPr>
              <w:rPr>
                <w:color w:val="000000"/>
                <w:sz w:val="20"/>
                <w:szCs w:val="20"/>
              </w:rPr>
            </w:pPr>
            <w:r>
              <w:rPr>
                <w:color w:val="000000"/>
                <w:sz w:val="20"/>
                <w:szCs w:val="20"/>
              </w:rPr>
              <w:t>Polyurethane (</w:t>
            </w:r>
            <w:r w:rsidR="00D07582" w:rsidRPr="00DB2303">
              <w:rPr>
                <w:color w:val="000000"/>
                <w:sz w:val="20"/>
                <w:szCs w:val="20"/>
              </w:rPr>
              <w:t>PU</w:t>
            </w:r>
            <w:r>
              <w:rPr>
                <w:color w:val="000000"/>
                <w:sz w:val="20"/>
                <w:szCs w:val="20"/>
              </w:rPr>
              <w:t xml:space="preserve">) </w:t>
            </w:r>
            <w:r w:rsidR="00D07582" w:rsidRPr="00DB2303">
              <w:rPr>
                <w:color w:val="000000"/>
                <w:sz w:val="20"/>
                <w:szCs w:val="20"/>
              </w:rPr>
              <w:t>foam</w:t>
            </w:r>
          </w:p>
        </w:tc>
        <w:tc>
          <w:tcPr>
            <w:tcW w:w="1439" w:type="dxa"/>
            <w:tcBorders>
              <w:top w:val="nil"/>
              <w:left w:val="nil"/>
              <w:bottom w:val="single" w:sz="4" w:space="0" w:color="auto"/>
              <w:right w:val="single" w:sz="4" w:space="0" w:color="auto"/>
            </w:tcBorders>
            <w:shd w:val="clear" w:color="auto" w:fill="auto"/>
            <w:vAlign w:val="center"/>
          </w:tcPr>
          <w:p w14:paraId="538D929A" w14:textId="77777777" w:rsidR="00D07582" w:rsidRPr="00DB2303" w:rsidRDefault="00D07582" w:rsidP="0023662F">
            <w:pPr>
              <w:rPr>
                <w:color w:val="000000"/>
                <w:sz w:val="20"/>
                <w:szCs w:val="20"/>
              </w:rPr>
            </w:pPr>
            <w:r w:rsidRPr="00DB2303">
              <w:rPr>
                <w:color w:val="000000"/>
                <w:sz w:val="20"/>
                <w:szCs w:val="20"/>
              </w:rPr>
              <w:t>HCFC-141b**</w:t>
            </w:r>
          </w:p>
        </w:tc>
        <w:tc>
          <w:tcPr>
            <w:tcW w:w="1001" w:type="dxa"/>
            <w:tcBorders>
              <w:top w:val="nil"/>
              <w:left w:val="nil"/>
              <w:bottom w:val="single" w:sz="4" w:space="0" w:color="auto"/>
              <w:right w:val="single" w:sz="4" w:space="0" w:color="auto"/>
            </w:tcBorders>
            <w:shd w:val="clear" w:color="auto" w:fill="auto"/>
            <w:vAlign w:val="center"/>
          </w:tcPr>
          <w:p w14:paraId="793DF4C9" w14:textId="77777777" w:rsidR="00D07582" w:rsidRPr="00DB2303" w:rsidRDefault="00D07582" w:rsidP="0023662F">
            <w:pPr>
              <w:jc w:val="right"/>
              <w:rPr>
                <w:color w:val="000000"/>
                <w:sz w:val="20"/>
                <w:szCs w:val="20"/>
                <w:lang w:eastAsia="pt-BR"/>
              </w:rPr>
            </w:pPr>
            <w:r w:rsidRPr="00DB2303">
              <w:rPr>
                <w:color w:val="000000"/>
                <w:sz w:val="20"/>
                <w:szCs w:val="20"/>
                <w:lang w:eastAsia="pt-BR"/>
              </w:rPr>
              <w:t>217.67</w:t>
            </w:r>
          </w:p>
        </w:tc>
        <w:tc>
          <w:tcPr>
            <w:tcW w:w="992" w:type="dxa"/>
            <w:tcBorders>
              <w:top w:val="nil"/>
              <w:left w:val="nil"/>
              <w:bottom w:val="single" w:sz="4" w:space="0" w:color="auto"/>
              <w:right w:val="single" w:sz="4" w:space="0" w:color="auto"/>
            </w:tcBorders>
            <w:shd w:val="clear" w:color="auto" w:fill="auto"/>
            <w:vAlign w:val="center"/>
          </w:tcPr>
          <w:p w14:paraId="58E4B0DD" w14:textId="77777777" w:rsidR="00D07582" w:rsidRPr="00DB2303" w:rsidRDefault="00D07582" w:rsidP="0023662F">
            <w:pPr>
              <w:jc w:val="right"/>
              <w:rPr>
                <w:color w:val="000000"/>
                <w:sz w:val="20"/>
                <w:szCs w:val="20"/>
                <w:lang w:eastAsia="pt-BR"/>
              </w:rPr>
            </w:pPr>
            <w:r w:rsidRPr="00DB2303">
              <w:rPr>
                <w:color w:val="000000"/>
                <w:sz w:val="20"/>
                <w:szCs w:val="20"/>
              </w:rPr>
              <w:t>36</w:t>
            </w:r>
          </w:p>
        </w:tc>
        <w:tc>
          <w:tcPr>
            <w:tcW w:w="1559" w:type="dxa"/>
            <w:tcBorders>
              <w:top w:val="nil"/>
              <w:left w:val="nil"/>
              <w:bottom w:val="single" w:sz="4" w:space="0" w:color="auto"/>
              <w:right w:val="single" w:sz="4" w:space="0" w:color="auto"/>
            </w:tcBorders>
            <w:shd w:val="clear" w:color="auto" w:fill="auto"/>
            <w:vAlign w:val="center"/>
          </w:tcPr>
          <w:p w14:paraId="5861F336" w14:textId="77777777" w:rsidR="00D07582" w:rsidRPr="00DB2303" w:rsidRDefault="00D07582" w:rsidP="0023662F">
            <w:pPr>
              <w:jc w:val="right"/>
              <w:rPr>
                <w:color w:val="000000"/>
                <w:sz w:val="20"/>
                <w:szCs w:val="20"/>
                <w:lang w:eastAsia="pt-BR"/>
              </w:rPr>
            </w:pPr>
            <w:r w:rsidRPr="00DB2303">
              <w:rPr>
                <w:color w:val="000000"/>
                <w:sz w:val="20"/>
                <w:szCs w:val="20"/>
                <w:lang w:eastAsia="pt-BR"/>
              </w:rPr>
              <w:t>23.94</w:t>
            </w:r>
          </w:p>
        </w:tc>
        <w:tc>
          <w:tcPr>
            <w:tcW w:w="1418" w:type="dxa"/>
            <w:tcBorders>
              <w:top w:val="nil"/>
              <w:left w:val="nil"/>
              <w:bottom w:val="single" w:sz="4" w:space="0" w:color="auto"/>
              <w:right w:val="single" w:sz="4" w:space="0" w:color="auto"/>
            </w:tcBorders>
            <w:shd w:val="clear" w:color="auto" w:fill="auto"/>
            <w:vAlign w:val="center"/>
          </w:tcPr>
          <w:p w14:paraId="40BC5228" w14:textId="77777777" w:rsidR="00D07582" w:rsidRPr="00DB2303" w:rsidRDefault="00D07582" w:rsidP="0023662F">
            <w:pPr>
              <w:jc w:val="right"/>
              <w:rPr>
                <w:color w:val="000000"/>
                <w:sz w:val="20"/>
                <w:szCs w:val="20"/>
                <w:lang w:eastAsia="pt-BR"/>
              </w:rPr>
            </w:pPr>
            <w:r w:rsidRPr="00DB2303">
              <w:rPr>
                <w:color w:val="000000"/>
                <w:sz w:val="20"/>
                <w:szCs w:val="20"/>
              </w:rPr>
              <w:t>52</w:t>
            </w:r>
          </w:p>
        </w:tc>
      </w:tr>
      <w:tr w:rsidR="00D07582" w:rsidRPr="00DB2303" w14:paraId="6431E2A9" w14:textId="77777777" w:rsidTr="00C85260">
        <w:trPr>
          <w:trHeight w:val="40"/>
        </w:trPr>
        <w:tc>
          <w:tcPr>
            <w:tcW w:w="2947" w:type="dxa"/>
            <w:tcBorders>
              <w:top w:val="nil"/>
              <w:left w:val="single" w:sz="4" w:space="0" w:color="auto"/>
              <w:bottom w:val="single" w:sz="4" w:space="0" w:color="auto"/>
              <w:right w:val="nil"/>
            </w:tcBorders>
            <w:shd w:val="clear" w:color="auto" w:fill="auto"/>
            <w:vAlign w:val="center"/>
            <w:hideMark/>
          </w:tcPr>
          <w:p w14:paraId="47EE223C" w14:textId="77777777" w:rsidR="00D07582" w:rsidRPr="00DB2303" w:rsidRDefault="00D07582" w:rsidP="0023662F">
            <w:pPr>
              <w:rPr>
                <w:b/>
                <w:bCs/>
                <w:color w:val="000000"/>
                <w:sz w:val="20"/>
                <w:szCs w:val="20"/>
              </w:rPr>
            </w:pPr>
            <w:r w:rsidRPr="00DB2303">
              <w:rPr>
                <w:b/>
                <w:bCs/>
                <w:color w:val="000000"/>
                <w:sz w:val="20"/>
                <w:szCs w:val="20"/>
                <w:lang w:eastAsia="pt-BR"/>
              </w:rPr>
              <w:t>Total</w:t>
            </w:r>
          </w:p>
        </w:tc>
        <w:tc>
          <w:tcPr>
            <w:tcW w:w="1439" w:type="dxa"/>
            <w:tcBorders>
              <w:top w:val="nil"/>
              <w:left w:val="nil"/>
              <w:bottom w:val="single" w:sz="4" w:space="0" w:color="auto"/>
              <w:right w:val="single" w:sz="4" w:space="0" w:color="auto"/>
            </w:tcBorders>
            <w:shd w:val="clear" w:color="auto" w:fill="auto"/>
            <w:vAlign w:val="center"/>
            <w:hideMark/>
          </w:tcPr>
          <w:p w14:paraId="15A43370" w14:textId="77777777" w:rsidR="00D07582" w:rsidRPr="00DB2303" w:rsidRDefault="00D07582" w:rsidP="0023662F">
            <w:pPr>
              <w:rPr>
                <w:b/>
                <w:bCs/>
                <w:color w:val="000000"/>
                <w:sz w:val="20"/>
                <w:szCs w:val="20"/>
              </w:rPr>
            </w:pPr>
          </w:p>
        </w:tc>
        <w:tc>
          <w:tcPr>
            <w:tcW w:w="1001" w:type="dxa"/>
            <w:tcBorders>
              <w:top w:val="nil"/>
              <w:left w:val="nil"/>
              <w:bottom w:val="single" w:sz="4" w:space="0" w:color="auto"/>
              <w:right w:val="single" w:sz="4" w:space="0" w:color="auto"/>
            </w:tcBorders>
            <w:shd w:val="clear" w:color="auto" w:fill="auto"/>
            <w:vAlign w:val="center"/>
            <w:hideMark/>
          </w:tcPr>
          <w:p w14:paraId="575608C8" w14:textId="77777777" w:rsidR="00D07582" w:rsidRPr="00DB2303" w:rsidRDefault="00D07582" w:rsidP="0023662F">
            <w:pPr>
              <w:jc w:val="right"/>
              <w:rPr>
                <w:b/>
                <w:bCs/>
                <w:color w:val="000000"/>
                <w:sz w:val="20"/>
                <w:szCs w:val="20"/>
              </w:rPr>
            </w:pPr>
            <w:r w:rsidRPr="00DB2303">
              <w:rPr>
                <w:b/>
                <w:bCs/>
                <w:color w:val="000000"/>
                <w:sz w:val="20"/>
                <w:szCs w:val="20"/>
                <w:lang w:eastAsia="pt-BR"/>
              </w:rPr>
              <w:t>608.31</w:t>
            </w:r>
          </w:p>
        </w:tc>
        <w:tc>
          <w:tcPr>
            <w:tcW w:w="992" w:type="dxa"/>
            <w:tcBorders>
              <w:top w:val="nil"/>
              <w:left w:val="nil"/>
              <w:bottom w:val="single" w:sz="4" w:space="0" w:color="auto"/>
              <w:right w:val="single" w:sz="4" w:space="0" w:color="auto"/>
            </w:tcBorders>
            <w:shd w:val="clear" w:color="auto" w:fill="auto"/>
            <w:vAlign w:val="center"/>
            <w:hideMark/>
          </w:tcPr>
          <w:p w14:paraId="1A9BCA3C" w14:textId="77777777" w:rsidR="00D07582" w:rsidRPr="00DB2303" w:rsidRDefault="00D07582" w:rsidP="0023662F">
            <w:pPr>
              <w:jc w:val="right"/>
              <w:rPr>
                <w:b/>
                <w:bCs/>
                <w:color w:val="000000"/>
                <w:sz w:val="20"/>
                <w:szCs w:val="20"/>
              </w:rPr>
            </w:pPr>
            <w:r w:rsidRPr="00DB2303">
              <w:rPr>
                <w:b/>
                <w:bCs/>
                <w:color w:val="000000"/>
                <w:sz w:val="20"/>
                <w:szCs w:val="20"/>
                <w:lang w:eastAsia="pt-BR"/>
              </w:rPr>
              <w:t>100</w:t>
            </w:r>
          </w:p>
        </w:tc>
        <w:tc>
          <w:tcPr>
            <w:tcW w:w="1559" w:type="dxa"/>
            <w:tcBorders>
              <w:top w:val="nil"/>
              <w:left w:val="nil"/>
              <w:bottom w:val="single" w:sz="4" w:space="0" w:color="auto"/>
              <w:right w:val="single" w:sz="4" w:space="0" w:color="auto"/>
            </w:tcBorders>
            <w:shd w:val="clear" w:color="auto" w:fill="auto"/>
            <w:vAlign w:val="center"/>
            <w:hideMark/>
          </w:tcPr>
          <w:p w14:paraId="65AA10A6" w14:textId="77777777" w:rsidR="00D07582" w:rsidRPr="00DB2303" w:rsidRDefault="00D07582" w:rsidP="0023662F">
            <w:pPr>
              <w:jc w:val="right"/>
              <w:rPr>
                <w:b/>
                <w:bCs/>
                <w:color w:val="000000"/>
                <w:sz w:val="20"/>
                <w:szCs w:val="20"/>
              </w:rPr>
            </w:pPr>
            <w:r w:rsidRPr="00DB2303">
              <w:rPr>
                <w:b/>
                <w:bCs/>
                <w:color w:val="000000"/>
                <w:sz w:val="20"/>
                <w:szCs w:val="20"/>
                <w:lang w:eastAsia="pt-BR"/>
              </w:rPr>
              <w:t>46.15</w:t>
            </w:r>
          </w:p>
        </w:tc>
        <w:tc>
          <w:tcPr>
            <w:tcW w:w="1418" w:type="dxa"/>
            <w:tcBorders>
              <w:top w:val="nil"/>
              <w:left w:val="nil"/>
              <w:bottom w:val="single" w:sz="4" w:space="0" w:color="auto"/>
              <w:right w:val="single" w:sz="4" w:space="0" w:color="auto"/>
            </w:tcBorders>
            <w:shd w:val="clear" w:color="auto" w:fill="auto"/>
            <w:vAlign w:val="center"/>
            <w:hideMark/>
          </w:tcPr>
          <w:p w14:paraId="484D9AA1" w14:textId="77777777" w:rsidR="00D07582" w:rsidRPr="00DB2303" w:rsidRDefault="00D07582" w:rsidP="0023662F">
            <w:pPr>
              <w:jc w:val="right"/>
              <w:rPr>
                <w:b/>
                <w:bCs/>
                <w:color w:val="000000"/>
                <w:sz w:val="20"/>
                <w:szCs w:val="20"/>
              </w:rPr>
            </w:pPr>
            <w:r w:rsidRPr="00DB2303">
              <w:rPr>
                <w:b/>
                <w:bCs/>
                <w:iCs/>
                <w:color w:val="000000"/>
                <w:sz w:val="20"/>
                <w:szCs w:val="20"/>
                <w:lang w:eastAsia="pt-BR"/>
              </w:rPr>
              <w:t>100</w:t>
            </w:r>
          </w:p>
        </w:tc>
      </w:tr>
    </w:tbl>
    <w:p w14:paraId="68D154DE" w14:textId="77777777" w:rsidR="00D07582" w:rsidRPr="00DB2303" w:rsidRDefault="00430BAB" w:rsidP="0023662F">
      <w:pPr>
        <w:keepNext/>
        <w:rPr>
          <w:sz w:val="18"/>
          <w:szCs w:val="18"/>
        </w:rPr>
      </w:pPr>
      <w:r w:rsidRPr="00DB2303">
        <w:rPr>
          <w:sz w:val="18"/>
          <w:szCs w:val="18"/>
        </w:rPr>
        <w:t>*</w:t>
      </w:r>
      <w:r w:rsidR="00D07582" w:rsidRPr="00DB2303">
        <w:rPr>
          <w:sz w:val="18"/>
          <w:szCs w:val="18"/>
        </w:rPr>
        <w:t xml:space="preserve"> HCFC-141b pure was phased out 1 January 2017</w:t>
      </w:r>
      <w:r w:rsidR="00946A7A" w:rsidRPr="00DB2303">
        <w:rPr>
          <w:sz w:val="18"/>
          <w:szCs w:val="18"/>
        </w:rPr>
        <w:t>.</w:t>
      </w:r>
    </w:p>
    <w:p w14:paraId="41B1C2EE" w14:textId="77777777" w:rsidR="00430BAB" w:rsidRPr="00DB2303" w:rsidRDefault="00D07582" w:rsidP="0023662F">
      <w:pPr>
        <w:keepNext/>
        <w:rPr>
          <w:sz w:val="18"/>
          <w:szCs w:val="18"/>
        </w:rPr>
      </w:pPr>
      <w:r w:rsidRPr="00DB2303">
        <w:rPr>
          <w:sz w:val="18"/>
          <w:szCs w:val="18"/>
        </w:rPr>
        <w:t>**</w:t>
      </w:r>
      <w:r w:rsidR="00430BAB" w:rsidRPr="00DB2303">
        <w:rPr>
          <w:sz w:val="18"/>
          <w:szCs w:val="18"/>
        </w:rPr>
        <w:t>Contained in imported pre-blended polyols</w:t>
      </w:r>
      <w:r w:rsidR="00946A7A" w:rsidRPr="00DB2303">
        <w:rPr>
          <w:sz w:val="18"/>
          <w:szCs w:val="18"/>
        </w:rPr>
        <w:t>.</w:t>
      </w:r>
    </w:p>
    <w:p w14:paraId="5B900F15" w14:textId="77777777" w:rsidR="005E0C55" w:rsidRPr="00DB2303" w:rsidRDefault="005E0C55" w:rsidP="0023662F">
      <w:pPr>
        <w:keepNext/>
        <w:rPr>
          <w:sz w:val="18"/>
          <w:szCs w:val="18"/>
        </w:rPr>
      </w:pPr>
    </w:p>
    <w:p w14:paraId="409F84AD" w14:textId="77777777" w:rsidR="00EA7AC8" w:rsidRPr="00DB2303" w:rsidRDefault="00EA7AC8" w:rsidP="00EA7AC8">
      <w:pPr>
        <w:pStyle w:val="Heading1"/>
        <w:rPr>
          <w:lang w:val="en-CA"/>
        </w:rPr>
      </w:pPr>
      <w:r w:rsidRPr="00DB2303">
        <w:rPr>
          <w:lang w:val="en-CA"/>
        </w:rPr>
        <w:t>HCFC-22 represents 94 per cent of the HCFC used in the servicing sector. Other HCFCs used in the sector are HCFC-141b (3.36 per cent) as cleaning agent in cooling circuits, HCFC-123 (0.33 per cent) used in chillers, and HCFC-124 (0.07 per cent) and HCFC-142b (1.54 per cent) used as part of blends (R</w:t>
      </w:r>
      <w:r w:rsidRPr="00DB2303">
        <w:rPr>
          <w:lang w:val="en-CA"/>
        </w:rPr>
        <w:noBreakHyphen/>
        <w:t>406a and R-409a) as a substitute of CFC-12 in domestic refrigeration equipment still in operation.</w:t>
      </w:r>
    </w:p>
    <w:p w14:paraId="42B1B7D7" w14:textId="588C5715" w:rsidR="00EA7AC8" w:rsidRPr="00DB2303" w:rsidRDefault="00EA7AC8" w:rsidP="00EA7AC8">
      <w:pPr>
        <w:pStyle w:val="Heading1"/>
      </w:pPr>
      <w:r w:rsidRPr="004C7D13">
        <w:rPr>
          <w:lang w:val="en-CA"/>
        </w:rPr>
        <w:t>There are about 150 workshops nationwide with more than five technicians each, and approximately 1,500 smaller</w:t>
      </w:r>
      <w:r>
        <w:rPr>
          <w:lang w:val="en-CA"/>
        </w:rPr>
        <w:t xml:space="preserve"> workshops</w:t>
      </w:r>
      <w:r w:rsidRPr="004C7D13">
        <w:rPr>
          <w:lang w:val="en-CA"/>
        </w:rPr>
        <w:t xml:space="preserve">. Overall, the servicing sector involves </w:t>
      </w:r>
      <w:r w:rsidR="00E85644">
        <w:rPr>
          <w:lang w:val="en-CA"/>
        </w:rPr>
        <w:t>approximately 6,000 </w:t>
      </w:r>
      <w:r>
        <w:rPr>
          <w:lang w:val="en-CA"/>
        </w:rPr>
        <w:t xml:space="preserve">technicians. </w:t>
      </w:r>
      <w:r w:rsidRPr="00DB2303">
        <w:t>Refrigeration training in Peru is provided through private educational institutions where students can optionally undertake specialized training and obtain official certification recognized on the work market. The Servicio Nacional de Adiestramiento en Trabajo Industrial (SENATI) is the largest nationwide institution.</w:t>
      </w:r>
    </w:p>
    <w:p w14:paraId="36E68886" w14:textId="77777777" w:rsidR="00EA7AC8" w:rsidRPr="00DB2303" w:rsidRDefault="00EA7AC8" w:rsidP="00EA7AC8">
      <w:pPr>
        <w:pStyle w:val="Heading1"/>
      </w:pPr>
      <w:r w:rsidRPr="00DB2303">
        <w:t>Table 5 shows the consumption of HCFC-22 and other refrigerants in the refrigeration servicing sector in Peru.</w:t>
      </w:r>
    </w:p>
    <w:p w14:paraId="45105937" w14:textId="77777777" w:rsidR="00EA7AC8" w:rsidRPr="00DB2303" w:rsidRDefault="00EA7AC8" w:rsidP="00EA7AC8">
      <w:pPr>
        <w:pStyle w:val="Caption"/>
        <w:spacing w:after="0"/>
        <w:rPr>
          <w:rFonts w:ascii="Times New Roman" w:hAnsi="Times New Roman" w:cs="Times New Roman"/>
          <w:color w:val="auto"/>
          <w:sz w:val="20"/>
          <w:szCs w:val="20"/>
          <w:lang w:val="en-US"/>
        </w:rPr>
      </w:pPr>
      <w:bookmarkStart w:id="1" w:name="_Toc489812169"/>
      <w:r w:rsidRPr="00DB2303">
        <w:rPr>
          <w:rFonts w:ascii="Times New Roman" w:hAnsi="Times New Roman" w:cs="Times New Roman"/>
          <w:color w:val="auto"/>
          <w:sz w:val="20"/>
          <w:szCs w:val="20"/>
          <w:lang w:val="en-US"/>
        </w:rPr>
        <w:t xml:space="preserve">Table 5. HCFC-22 and other refrigerants use in the refrigeration </w:t>
      </w:r>
      <w:r w:rsidRPr="00E85644">
        <w:rPr>
          <w:rFonts w:ascii="Times New Roman" w:hAnsi="Times New Roman" w:cs="Times New Roman"/>
          <w:color w:val="auto"/>
          <w:sz w:val="20"/>
          <w:szCs w:val="20"/>
          <w:lang w:val="en-US"/>
        </w:rPr>
        <w:t xml:space="preserve">servicing sector </w:t>
      </w:r>
      <w:bookmarkEnd w:id="1"/>
      <w:r w:rsidR="002E03DC" w:rsidRPr="00E85644">
        <w:rPr>
          <w:rFonts w:ascii="Times New Roman" w:hAnsi="Times New Roman" w:cs="Times New Roman"/>
          <w:color w:val="auto"/>
          <w:sz w:val="20"/>
          <w:szCs w:val="20"/>
          <w:lang w:val="en-US"/>
        </w:rPr>
        <w:t>(2015)</w:t>
      </w:r>
      <w:r w:rsidRPr="00E85644">
        <w:rPr>
          <w:rFonts w:ascii="Times New Roman" w:hAnsi="Times New Roman" w:cs="Times New Roman"/>
          <w:color w:val="auto"/>
          <w:sz w:val="20"/>
          <w:szCs w:val="20"/>
          <w:lang w:val="en-US"/>
        </w:rPr>
        <w:t xml:space="preserve"> (mt)</w:t>
      </w:r>
    </w:p>
    <w:tbl>
      <w:tblPr>
        <w:tblW w:w="5000" w:type="pct"/>
        <w:jc w:val="center"/>
        <w:tblCellMar>
          <w:left w:w="70" w:type="dxa"/>
          <w:right w:w="70" w:type="dxa"/>
        </w:tblCellMar>
        <w:tblLook w:val="04A0" w:firstRow="1" w:lastRow="0" w:firstColumn="1" w:lastColumn="0" w:noHBand="0" w:noVBand="1"/>
      </w:tblPr>
      <w:tblGrid>
        <w:gridCol w:w="1170"/>
        <w:gridCol w:w="1394"/>
        <w:gridCol w:w="1025"/>
        <w:gridCol w:w="1085"/>
        <w:gridCol w:w="1053"/>
        <w:gridCol w:w="1053"/>
        <w:gridCol w:w="890"/>
        <w:gridCol w:w="840"/>
        <w:gridCol w:w="840"/>
      </w:tblGrid>
      <w:tr w:rsidR="00EA7AC8" w:rsidRPr="00DB2303" w14:paraId="647B03F8" w14:textId="77777777" w:rsidTr="00D0229B">
        <w:trPr>
          <w:trHeight w:val="44"/>
          <w:jc w:val="center"/>
        </w:trPr>
        <w:tc>
          <w:tcPr>
            <w:tcW w:w="13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3B7956" w14:textId="77777777" w:rsidR="00EA7AC8" w:rsidRPr="00DB2303" w:rsidRDefault="00EA7AC8" w:rsidP="00D0229B">
            <w:pPr>
              <w:jc w:val="center"/>
              <w:rPr>
                <w:b/>
                <w:color w:val="000000"/>
                <w:sz w:val="19"/>
                <w:szCs w:val="19"/>
                <w:lang w:val="en-US" w:eastAsia="es-PE"/>
              </w:rPr>
            </w:pPr>
            <w:r w:rsidRPr="00DB2303">
              <w:rPr>
                <w:b/>
                <w:color w:val="000000"/>
                <w:sz w:val="19"/>
                <w:szCs w:val="19"/>
                <w:lang w:val="en-US" w:eastAsia="es-PE"/>
              </w:rPr>
              <w:t>Subsector</w:t>
            </w:r>
          </w:p>
        </w:tc>
        <w:tc>
          <w:tcPr>
            <w:tcW w:w="548" w:type="pct"/>
            <w:tcBorders>
              <w:top w:val="single" w:sz="4" w:space="0" w:color="auto"/>
              <w:left w:val="nil"/>
              <w:bottom w:val="single" w:sz="4" w:space="0" w:color="auto"/>
              <w:right w:val="single" w:sz="4" w:space="0" w:color="auto"/>
            </w:tcBorders>
            <w:shd w:val="clear" w:color="auto" w:fill="auto"/>
            <w:noWrap/>
            <w:vAlign w:val="center"/>
          </w:tcPr>
          <w:p w14:paraId="47AA905D" w14:textId="77777777" w:rsidR="00EA7AC8" w:rsidRPr="00DB2303" w:rsidRDefault="00EA7AC8" w:rsidP="00D0229B">
            <w:pPr>
              <w:jc w:val="center"/>
              <w:rPr>
                <w:b/>
                <w:color w:val="000000"/>
                <w:sz w:val="19"/>
                <w:szCs w:val="19"/>
                <w:lang w:val="en-US" w:eastAsia="es-PE"/>
              </w:rPr>
            </w:pPr>
            <w:r w:rsidRPr="00DB2303">
              <w:rPr>
                <w:b/>
                <w:color w:val="000000"/>
                <w:sz w:val="19"/>
                <w:szCs w:val="19"/>
                <w:lang w:val="en-US" w:eastAsia="es-PE"/>
              </w:rPr>
              <w:t>HCFC-22</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711B7F" w14:textId="77777777" w:rsidR="00EA7AC8" w:rsidRPr="00DB2303" w:rsidRDefault="00EA7AC8" w:rsidP="00D0229B">
            <w:pPr>
              <w:jc w:val="center"/>
              <w:rPr>
                <w:b/>
                <w:color w:val="000000"/>
                <w:sz w:val="19"/>
                <w:szCs w:val="19"/>
                <w:lang w:val="en-US" w:eastAsia="es-PE"/>
              </w:rPr>
            </w:pPr>
            <w:r w:rsidRPr="00DB2303">
              <w:rPr>
                <w:b/>
                <w:color w:val="000000"/>
                <w:sz w:val="19"/>
                <w:szCs w:val="19"/>
                <w:lang w:val="en-US" w:eastAsia="es-PE"/>
              </w:rPr>
              <w:t>HFC-134a</w:t>
            </w:r>
          </w:p>
        </w:tc>
        <w:tc>
          <w:tcPr>
            <w:tcW w:w="563" w:type="pct"/>
            <w:tcBorders>
              <w:top w:val="single" w:sz="4" w:space="0" w:color="auto"/>
              <w:left w:val="single" w:sz="4" w:space="0" w:color="auto"/>
              <w:bottom w:val="single" w:sz="4" w:space="0" w:color="auto"/>
              <w:right w:val="single" w:sz="4" w:space="0" w:color="auto"/>
            </w:tcBorders>
          </w:tcPr>
          <w:p w14:paraId="0F38BD91" w14:textId="77777777" w:rsidR="00EA7AC8" w:rsidRPr="00DB2303" w:rsidRDefault="00EA7AC8" w:rsidP="00D0229B">
            <w:pPr>
              <w:jc w:val="center"/>
              <w:rPr>
                <w:b/>
                <w:color w:val="000000"/>
                <w:sz w:val="19"/>
                <w:szCs w:val="19"/>
                <w:lang w:val="en-US" w:eastAsia="es-PE"/>
              </w:rPr>
            </w:pPr>
            <w:r w:rsidRPr="00DB2303">
              <w:rPr>
                <w:b/>
                <w:color w:val="000000"/>
                <w:sz w:val="19"/>
                <w:szCs w:val="19"/>
                <w:lang w:val="en-US" w:eastAsia="es-PE"/>
              </w:rPr>
              <w:t>R-404A</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CD22D8" w14:textId="77777777" w:rsidR="00EA7AC8" w:rsidRPr="00DB2303" w:rsidRDefault="00EA7AC8" w:rsidP="00D0229B">
            <w:pPr>
              <w:jc w:val="center"/>
              <w:rPr>
                <w:b/>
                <w:color w:val="000000"/>
                <w:sz w:val="19"/>
                <w:szCs w:val="19"/>
                <w:lang w:val="en-US" w:eastAsia="es-PE"/>
              </w:rPr>
            </w:pPr>
            <w:r w:rsidRPr="00DB2303">
              <w:rPr>
                <w:b/>
                <w:color w:val="000000"/>
                <w:sz w:val="19"/>
                <w:szCs w:val="19"/>
                <w:lang w:val="en-US" w:eastAsia="es-PE"/>
              </w:rPr>
              <w:t>R-410A</w:t>
            </w:r>
          </w:p>
        </w:tc>
        <w:tc>
          <w:tcPr>
            <w:tcW w:w="476" w:type="pct"/>
            <w:tcBorders>
              <w:top w:val="single" w:sz="4" w:space="0" w:color="auto"/>
              <w:left w:val="nil"/>
              <w:bottom w:val="single" w:sz="4" w:space="0" w:color="auto"/>
              <w:right w:val="single" w:sz="4" w:space="0" w:color="auto"/>
            </w:tcBorders>
            <w:shd w:val="clear" w:color="auto" w:fill="auto"/>
            <w:noWrap/>
            <w:vAlign w:val="center"/>
          </w:tcPr>
          <w:p w14:paraId="6EBE70AA" w14:textId="77777777" w:rsidR="00EA7AC8" w:rsidRPr="00DB2303" w:rsidRDefault="00EA7AC8" w:rsidP="00D0229B">
            <w:pPr>
              <w:jc w:val="center"/>
              <w:rPr>
                <w:b/>
                <w:color w:val="000000"/>
                <w:sz w:val="19"/>
                <w:szCs w:val="19"/>
                <w:lang w:val="en-US" w:eastAsia="es-PE"/>
              </w:rPr>
            </w:pPr>
            <w:r w:rsidRPr="00DB2303">
              <w:rPr>
                <w:b/>
                <w:color w:val="000000"/>
                <w:sz w:val="19"/>
                <w:szCs w:val="19"/>
                <w:lang w:val="en-US" w:eastAsia="es-PE"/>
              </w:rPr>
              <w:t>R-507</w:t>
            </w:r>
          </w:p>
        </w:tc>
        <w:tc>
          <w:tcPr>
            <w:tcW w:w="449" w:type="pct"/>
            <w:tcBorders>
              <w:top w:val="single" w:sz="4" w:space="0" w:color="auto"/>
              <w:left w:val="nil"/>
              <w:bottom w:val="single" w:sz="4" w:space="0" w:color="auto"/>
              <w:right w:val="single" w:sz="4" w:space="0" w:color="auto"/>
            </w:tcBorders>
            <w:shd w:val="clear" w:color="auto" w:fill="auto"/>
            <w:noWrap/>
            <w:vAlign w:val="center"/>
          </w:tcPr>
          <w:p w14:paraId="1AF50C71" w14:textId="77777777" w:rsidR="00EA7AC8" w:rsidRPr="00DB2303" w:rsidRDefault="00EA7AC8" w:rsidP="00D0229B">
            <w:pPr>
              <w:jc w:val="center"/>
              <w:rPr>
                <w:b/>
                <w:color w:val="000000"/>
                <w:sz w:val="19"/>
                <w:szCs w:val="19"/>
                <w:lang w:val="en-US" w:eastAsia="es-PE"/>
              </w:rPr>
            </w:pPr>
            <w:r w:rsidRPr="00DB2303">
              <w:rPr>
                <w:b/>
                <w:color w:val="000000"/>
                <w:sz w:val="19"/>
                <w:szCs w:val="19"/>
                <w:lang w:val="en-US" w:eastAsia="es-PE"/>
              </w:rPr>
              <w:t>R-407C</w:t>
            </w:r>
          </w:p>
        </w:tc>
        <w:tc>
          <w:tcPr>
            <w:tcW w:w="449" w:type="pct"/>
            <w:tcBorders>
              <w:top w:val="single" w:sz="4" w:space="0" w:color="auto"/>
              <w:left w:val="nil"/>
              <w:bottom w:val="single" w:sz="4" w:space="0" w:color="auto"/>
              <w:right w:val="single" w:sz="4" w:space="0" w:color="auto"/>
            </w:tcBorders>
            <w:shd w:val="clear" w:color="auto" w:fill="auto"/>
            <w:noWrap/>
            <w:vAlign w:val="center"/>
          </w:tcPr>
          <w:p w14:paraId="45EB0711" w14:textId="77777777" w:rsidR="00EA7AC8" w:rsidRPr="00DB2303" w:rsidRDefault="00EA7AC8" w:rsidP="00D0229B">
            <w:pPr>
              <w:jc w:val="center"/>
              <w:rPr>
                <w:b/>
                <w:color w:val="000000"/>
                <w:sz w:val="19"/>
                <w:szCs w:val="19"/>
                <w:lang w:val="en-US" w:eastAsia="es-PE"/>
              </w:rPr>
            </w:pPr>
            <w:r w:rsidRPr="00DB2303">
              <w:rPr>
                <w:b/>
                <w:color w:val="000000"/>
                <w:sz w:val="19"/>
                <w:szCs w:val="19"/>
                <w:lang w:val="en-US" w:eastAsia="es-PE"/>
              </w:rPr>
              <w:t>R-422D</w:t>
            </w:r>
          </w:p>
        </w:tc>
      </w:tr>
      <w:tr w:rsidR="00EA7AC8" w:rsidRPr="00DB2303" w14:paraId="79F5E807" w14:textId="77777777" w:rsidTr="00D0229B">
        <w:trPr>
          <w:trHeight w:val="170"/>
          <w:jc w:val="center"/>
        </w:trPr>
        <w:tc>
          <w:tcPr>
            <w:tcW w:w="626" w:type="pct"/>
            <w:vMerge w:val="restart"/>
            <w:tcBorders>
              <w:top w:val="nil"/>
              <w:left w:val="single" w:sz="4" w:space="0" w:color="auto"/>
              <w:bottom w:val="single" w:sz="4" w:space="0" w:color="auto"/>
              <w:right w:val="single" w:sz="4" w:space="0" w:color="auto"/>
            </w:tcBorders>
            <w:shd w:val="clear" w:color="auto" w:fill="auto"/>
            <w:vAlign w:val="center"/>
            <w:hideMark/>
          </w:tcPr>
          <w:p w14:paraId="5E543767" w14:textId="77777777" w:rsidR="00EA7AC8" w:rsidRPr="00DB2303" w:rsidRDefault="00EA7AC8" w:rsidP="00D0229B">
            <w:pPr>
              <w:rPr>
                <w:color w:val="000000"/>
                <w:sz w:val="19"/>
                <w:szCs w:val="19"/>
                <w:lang w:val="en-US" w:eastAsia="es-PE"/>
              </w:rPr>
            </w:pPr>
            <w:r w:rsidRPr="00DB2303">
              <w:rPr>
                <w:color w:val="000000"/>
                <w:sz w:val="19"/>
                <w:szCs w:val="19"/>
                <w:lang w:val="en-US" w:eastAsia="es-PE"/>
              </w:rPr>
              <w:t>Commercial refrigeration</w:t>
            </w:r>
          </w:p>
        </w:tc>
        <w:tc>
          <w:tcPr>
            <w:tcW w:w="746" w:type="pct"/>
            <w:tcBorders>
              <w:top w:val="nil"/>
              <w:left w:val="nil"/>
              <w:bottom w:val="single" w:sz="4" w:space="0" w:color="auto"/>
              <w:right w:val="single" w:sz="4" w:space="0" w:color="auto"/>
            </w:tcBorders>
            <w:shd w:val="clear" w:color="auto" w:fill="auto"/>
            <w:vAlign w:val="center"/>
            <w:hideMark/>
          </w:tcPr>
          <w:p w14:paraId="5FDE635A" w14:textId="77777777" w:rsidR="00EA7AC8" w:rsidRPr="00DB2303" w:rsidRDefault="00EA7AC8" w:rsidP="00D0229B">
            <w:pPr>
              <w:rPr>
                <w:color w:val="000000"/>
                <w:sz w:val="19"/>
                <w:szCs w:val="19"/>
                <w:lang w:val="en-US" w:eastAsia="es-PE"/>
              </w:rPr>
            </w:pPr>
            <w:r w:rsidRPr="00DB2303">
              <w:rPr>
                <w:color w:val="000000"/>
                <w:sz w:val="19"/>
                <w:szCs w:val="19"/>
                <w:lang w:val="en-US" w:eastAsia="es-PE"/>
              </w:rPr>
              <w:t>Stand-alone</w:t>
            </w:r>
          </w:p>
        </w:tc>
        <w:tc>
          <w:tcPr>
            <w:tcW w:w="548" w:type="pct"/>
            <w:tcBorders>
              <w:top w:val="nil"/>
              <w:left w:val="nil"/>
              <w:bottom w:val="single" w:sz="4" w:space="0" w:color="auto"/>
              <w:right w:val="single" w:sz="4" w:space="0" w:color="auto"/>
            </w:tcBorders>
            <w:shd w:val="clear" w:color="auto" w:fill="auto"/>
            <w:noWrap/>
            <w:vAlign w:val="center"/>
            <w:hideMark/>
          </w:tcPr>
          <w:p w14:paraId="719653FA"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21.82</w:t>
            </w:r>
          </w:p>
        </w:tc>
        <w:tc>
          <w:tcPr>
            <w:tcW w:w="580" w:type="pct"/>
            <w:tcBorders>
              <w:top w:val="single" w:sz="4" w:space="0" w:color="auto"/>
              <w:left w:val="single" w:sz="4" w:space="0" w:color="auto"/>
              <w:bottom w:val="single" w:sz="4" w:space="0" w:color="auto"/>
              <w:right w:val="single" w:sz="4" w:space="0" w:color="auto"/>
            </w:tcBorders>
            <w:shd w:val="clear" w:color="auto" w:fill="auto"/>
            <w:noWrap/>
          </w:tcPr>
          <w:p w14:paraId="2F208752"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14.70</w:t>
            </w:r>
          </w:p>
        </w:tc>
        <w:tc>
          <w:tcPr>
            <w:tcW w:w="563" w:type="pct"/>
            <w:tcBorders>
              <w:top w:val="nil"/>
              <w:left w:val="single" w:sz="4" w:space="0" w:color="auto"/>
              <w:bottom w:val="single" w:sz="4" w:space="0" w:color="auto"/>
              <w:right w:val="single" w:sz="4" w:space="0" w:color="auto"/>
            </w:tcBorders>
            <w:vAlign w:val="center"/>
          </w:tcPr>
          <w:p w14:paraId="0DF4250A"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4.39</w:t>
            </w:r>
          </w:p>
        </w:tc>
        <w:tc>
          <w:tcPr>
            <w:tcW w:w="563" w:type="pct"/>
            <w:tcBorders>
              <w:top w:val="nil"/>
              <w:left w:val="single" w:sz="4" w:space="0" w:color="auto"/>
              <w:bottom w:val="single" w:sz="4" w:space="0" w:color="auto"/>
              <w:right w:val="single" w:sz="4" w:space="0" w:color="auto"/>
            </w:tcBorders>
            <w:shd w:val="clear" w:color="auto" w:fill="auto"/>
            <w:noWrap/>
            <w:vAlign w:val="center"/>
            <w:hideMark/>
          </w:tcPr>
          <w:p w14:paraId="6A3DB8B6"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2.57</w:t>
            </w:r>
          </w:p>
        </w:tc>
        <w:tc>
          <w:tcPr>
            <w:tcW w:w="476" w:type="pct"/>
            <w:tcBorders>
              <w:top w:val="nil"/>
              <w:left w:val="nil"/>
              <w:bottom w:val="single" w:sz="4" w:space="0" w:color="auto"/>
              <w:right w:val="single" w:sz="4" w:space="0" w:color="auto"/>
            </w:tcBorders>
            <w:shd w:val="clear" w:color="auto" w:fill="auto"/>
            <w:noWrap/>
            <w:vAlign w:val="center"/>
          </w:tcPr>
          <w:p w14:paraId="5CE41447"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2.48</w:t>
            </w:r>
          </w:p>
        </w:tc>
        <w:tc>
          <w:tcPr>
            <w:tcW w:w="449" w:type="pct"/>
            <w:tcBorders>
              <w:top w:val="nil"/>
              <w:left w:val="nil"/>
              <w:bottom w:val="single" w:sz="4" w:space="0" w:color="auto"/>
              <w:right w:val="single" w:sz="4" w:space="0" w:color="auto"/>
            </w:tcBorders>
            <w:shd w:val="clear" w:color="auto" w:fill="auto"/>
            <w:noWrap/>
            <w:vAlign w:val="center"/>
            <w:hideMark/>
          </w:tcPr>
          <w:p w14:paraId="34EAD2CB"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0.77</w:t>
            </w:r>
          </w:p>
        </w:tc>
        <w:tc>
          <w:tcPr>
            <w:tcW w:w="449" w:type="pct"/>
            <w:tcBorders>
              <w:top w:val="nil"/>
              <w:left w:val="nil"/>
              <w:bottom w:val="single" w:sz="4" w:space="0" w:color="auto"/>
              <w:right w:val="single" w:sz="4" w:space="0" w:color="auto"/>
            </w:tcBorders>
            <w:shd w:val="clear" w:color="auto" w:fill="auto"/>
            <w:noWrap/>
            <w:vAlign w:val="center"/>
            <w:hideMark/>
          </w:tcPr>
          <w:p w14:paraId="2FA577E9"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0.28</w:t>
            </w:r>
          </w:p>
        </w:tc>
      </w:tr>
      <w:tr w:rsidR="00EA7AC8" w:rsidRPr="00DB2303" w14:paraId="6440DB92" w14:textId="77777777" w:rsidTr="00D0229B">
        <w:trPr>
          <w:trHeight w:val="107"/>
          <w:jc w:val="center"/>
        </w:trPr>
        <w:tc>
          <w:tcPr>
            <w:tcW w:w="626" w:type="pct"/>
            <w:vMerge/>
            <w:tcBorders>
              <w:top w:val="nil"/>
              <w:left w:val="single" w:sz="4" w:space="0" w:color="auto"/>
              <w:bottom w:val="single" w:sz="4" w:space="0" w:color="auto"/>
              <w:right w:val="single" w:sz="4" w:space="0" w:color="auto"/>
            </w:tcBorders>
            <w:vAlign w:val="center"/>
            <w:hideMark/>
          </w:tcPr>
          <w:p w14:paraId="69D35232" w14:textId="77777777" w:rsidR="00EA7AC8" w:rsidRPr="00DB2303" w:rsidRDefault="00EA7AC8" w:rsidP="00D0229B">
            <w:pPr>
              <w:rPr>
                <w:color w:val="000000"/>
                <w:sz w:val="19"/>
                <w:szCs w:val="19"/>
                <w:lang w:val="en-US" w:eastAsia="es-PE"/>
              </w:rPr>
            </w:pPr>
          </w:p>
        </w:tc>
        <w:tc>
          <w:tcPr>
            <w:tcW w:w="746" w:type="pct"/>
            <w:tcBorders>
              <w:top w:val="nil"/>
              <w:left w:val="nil"/>
              <w:bottom w:val="single" w:sz="4" w:space="0" w:color="auto"/>
              <w:right w:val="single" w:sz="4" w:space="0" w:color="auto"/>
            </w:tcBorders>
            <w:shd w:val="clear" w:color="auto" w:fill="auto"/>
            <w:vAlign w:val="center"/>
            <w:hideMark/>
          </w:tcPr>
          <w:p w14:paraId="6B053987" w14:textId="77777777" w:rsidR="00EA7AC8" w:rsidRPr="00DB2303" w:rsidRDefault="00EA7AC8" w:rsidP="00D0229B">
            <w:pPr>
              <w:rPr>
                <w:color w:val="000000"/>
                <w:sz w:val="19"/>
                <w:szCs w:val="19"/>
                <w:lang w:val="en-US" w:eastAsia="es-PE"/>
              </w:rPr>
            </w:pPr>
            <w:r w:rsidRPr="00DB2303">
              <w:rPr>
                <w:color w:val="000000"/>
                <w:sz w:val="19"/>
                <w:szCs w:val="19"/>
                <w:lang w:val="en-US" w:eastAsia="es-PE"/>
              </w:rPr>
              <w:t>Condenser units</w:t>
            </w:r>
          </w:p>
        </w:tc>
        <w:tc>
          <w:tcPr>
            <w:tcW w:w="548" w:type="pct"/>
            <w:tcBorders>
              <w:top w:val="nil"/>
              <w:left w:val="nil"/>
              <w:bottom w:val="single" w:sz="4" w:space="0" w:color="auto"/>
              <w:right w:val="single" w:sz="4" w:space="0" w:color="auto"/>
            </w:tcBorders>
            <w:shd w:val="clear" w:color="auto" w:fill="auto"/>
            <w:noWrap/>
            <w:vAlign w:val="center"/>
            <w:hideMark/>
          </w:tcPr>
          <w:p w14:paraId="427CE96D"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10.42</w:t>
            </w:r>
          </w:p>
        </w:tc>
        <w:tc>
          <w:tcPr>
            <w:tcW w:w="580" w:type="pct"/>
            <w:tcBorders>
              <w:top w:val="single" w:sz="4" w:space="0" w:color="auto"/>
              <w:left w:val="single" w:sz="4" w:space="0" w:color="auto"/>
              <w:bottom w:val="single" w:sz="4" w:space="0" w:color="auto"/>
              <w:right w:val="single" w:sz="4" w:space="0" w:color="auto"/>
            </w:tcBorders>
            <w:shd w:val="clear" w:color="auto" w:fill="auto"/>
            <w:noWrap/>
          </w:tcPr>
          <w:p w14:paraId="4D13DE54"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7.02</w:t>
            </w:r>
          </w:p>
        </w:tc>
        <w:tc>
          <w:tcPr>
            <w:tcW w:w="563" w:type="pct"/>
            <w:tcBorders>
              <w:top w:val="nil"/>
              <w:left w:val="single" w:sz="4" w:space="0" w:color="auto"/>
              <w:bottom w:val="single" w:sz="4" w:space="0" w:color="auto"/>
              <w:right w:val="single" w:sz="4" w:space="0" w:color="auto"/>
            </w:tcBorders>
            <w:vAlign w:val="center"/>
          </w:tcPr>
          <w:p w14:paraId="0E450D4B"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2.10</w:t>
            </w:r>
          </w:p>
        </w:tc>
        <w:tc>
          <w:tcPr>
            <w:tcW w:w="563" w:type="pct"/>
            <w:tcBorders>
              <w:top w:val="nil"/>
              <w:left w:val="single" w:sz="4" w:space="0" w:color="auto"/>
              <w:bottom w:val="single" w:sz="4" w:space="0" w:color="auto"/>
              <w:right w:val="single" w:sz="4" w:space="0" w:color="auto"/>
            </w:tcBorders>
            <w:shd w:val="clear" w:color="auto" w:fill="auto"/>
            <w:noWrap/>
            <w:vAlign w:val="center"/>
            <w:hideMark/>
          </w:tcPr>
          <w:p w14:paraId="0A1BA262"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1.23</w:t>
            </w:r>
          </w:p>
        </w:tc>
        <w:tc>
          <w:tcPr>
            <w:tcW w:w="476" w:type="pct"/>
            <w:tcBorders>
              <w:top w:val="nil"/>
              <w:left w:val="nil"/>
              <w:bottom w:val="single" w:sz="4" w:space="0" w:color="auto"/>
              <w:right w:val="single" w:sz="4" w:space="0" w:color="auto"/>
            </w:tcBorders>
            <w:shd w:val="clear" w:color="auto" w:fill="auto"/>
            <w:noWrap/>
            <w:vAlign w:val="center"/>
          </w:tcPr>
          <w:p w14:paraId="61313C8D"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1.19</w:t>
            </w:r>
          </w:p>
        </w:tc>
        <w:tc>
          <w:tcPr>
            <w:tcW w:w="449" w:type="pct"/>
            <w:tcBorders>
              <w:top w:val="nil"/>
              <w:left w:val="nil"/>
              <w:bottom w:val="single" w:sz="4" w:space="0" w:color="auto"/>
              <w:right w:val="single" w:sz="4" w:space="0" w:color="auto"/>
            </w:tcBorders>
            <w:shd w:val="clear" w:color="auto" w:fill="auto"/>
            <w:noWrap/>
            <w:vAlign w:val="center"/>
            <w:hideMark/>
          </w:tcPr>
          <w:p w14:paraId="38ECDAD8"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0.37</w:t>
            </w:r>
          </w:p>
        </w:tc>
        <w:tc>
          <w:tcPr>
            <w:tcW w:w="449" w:type="pct"/>
            <w:tcBorders>
              <w:top w:val="nil"/>
              <w:left w:val="nil"/>
              <w:bottom w:val="single" w:sz="4" w:space="0" w:color="auto"/>
              <w:right w:val="single" w:sz="4" w:space="0" w:color="auto"/>
            </w:tcBorders>
            <w:shd w:val="clear" w:color="auto" w:fill="auto"/>
            <w:noWrap/>
            <w:vAlign w:val="center"/>
            <w:hideMark/>
          </w:tcPr>
          <w:p w14:paraId="71946057"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0.13</w:t>
            </w:r>
          </w:p>
        </w:tc>
      </w:tr>
      <w:tr w:rsidR="00EA7AC8" w:rsidRPr="00DB2303" w14:paraId="70E02AC9" w14:textId="77777777" w:rsidTr="00D0229B">
        <w:trPr>
          <w:trHeight w:val="224"/>
          <w:jc w:val="center"/>
        </w:trPr>
        <w:tc>
          <w:tcPr>
            <w:tcW w:w="626" w:type="pct"/>
            <w:vMerge/>
            <w:tcBorders>
              <w:top w:val="nil"/>
              <w:left w:val="single" w:sz="4" w:space="0" w:color="auto"/>
              <w:bottom w:val="single" w:sz="4" w:space="0" w:color="auto"/>
              <w:right w:val="single" w:sz="4" w:space="0" w:color="auto"/>
            </w:tcBorders>
            <w:vAlign w:val="center"/>
            <w:hideMark/>
          </w:tcPr>
          <w:p w14:paraId="27345485" w14:textId="77777777" w:rsidR="00EA7AC8" w:rsidRPr="00DB2303" w:rsidRDefault="00EA7AC8" w:rsidP="00D0229B">
            <w:pPr>
              <w:rPr>
                <w:color w:val="000000"/>
                <w:sz w:val="19"/>
                <w:szCs w:val="19"/>
                <w:lang w:val="en-US" w:eastAsia="es-PE"/>
              </w:rPr>
            </w:pPr>
          </w:p>
        </w:tc>
        <w:tc>
          <w:tcPr>
            <w:tcW w:w="746" w:type="pct"/>
            <w:tcBorders>
              <w:top w:val="nil"/>
              <w:left w:val="nil"/>
              <w:bottom w:val="single" w:sz="4" w:space="0" w:color="auto"/>
              <w:right w:val="single" w:sz="4" w:space="0" w:color="auto"/>
            </w:tcBorders>
            <w:shd w:val="clear" w:color="auto" w:fill="auto"/>
            <w:vAlign w:val="center"/>
            <w:hideMark/>
          </w:tcPr>
          <w:p w14:paraId="1D9B3C0C" w14:textId="77777777" w:rsidR="00EA7AC8" w:rsidRPr="00DB2303" w:rsidRDefault="00EA7AC8" w:rsidP="00D0229B">
            <w:pPr>
              <w:rPr>
                <w:color w:val="000000"/>
                <w:sz w:val="19"/>
                <w:szCs w:val="19"/>
                <w:lang w:val="en-US" w:eastAsia="es-PE"/>
              </w:rPr>
            </w:pPr>
            <w:r w:rsidRPr="00DB2303">
              <w:rPr>
                <w:color w:val="000000"/>
                <w:sz w:val="19"/>
                <w:szCs w:val="19"/>
                <w:lang w:val="en-US" w:eastAsia="es-PE"/>
              </w:rPr>
              <w:t>Central system</w:t>
            </w:r>
          </w:p>
        </w:tc>
        <w:tc>
          <w:tcPr>
            <w:tcW w:w="548" w:type="pct"/>
            <w:tcBorders>
              <w:top w:val="nil"/>
              <w:left w:val="nil"/>
              <w:bottom w:val="single" w:sz="4" w:space="0" w:color="auto"/>
              <w:right w:val="single" w:sz="4" w:space="0" w:color="auto"/>
            </w:tcBorders>
            <w:shd w:val="clear" w:color="auto" w:fill="auto"/>
            <w:noWrap/>
            <w:vAlign w:val="center"/>
            <w:hideMark/>
          </w:tcPr>
          <w:p w14:paraId="675B6802"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18.45</w:t>
            </w:r>
          </w:p>
        </w:tc>
        <w:tc>
          <w:tcPr>
            <w:tcW w:w="580" w:type="pct"/>
            <w:tcBorders>
              <w:top w:val="single" w:sz="4" w:space="0" w:color="auto"/>
              <w:left w:val="single" w:sz="4" w:space="0" w:color="auto"/>
              <w:bottom w:val="single" w:sz="4" w:space="0" w:color="auto"/>
              <w:right w:val="single" w:sz="4" w:space="0" w:color="auto"/>
            </w:tcBorders>
            <w:shd w:val="clear" w:color="auto" w:fill="auto"/>
            <w:noWrap/>
          </w:tcPr>
          <w:p w14:paraId="38B1F1CA"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12.43</w:t>
            </w:r>
          </w:p>
        </w:tc>
        <w:tc>
          <w:tcPr>
            <w:tcW w:w="563" w:type="pct"/>
            <w:tcBorders>
              <w:top w:val="nil"/>
              <w:left w:val="single" w:sz="4" w:space="0" w:color="auto"/>
              <w:bottom w:val="single" w:sz="4" w:space="0" w:color="auto"/>
              <w:right w:val="single" w:sz="4" w:space="0" w:color="auto"/>
            </w:tcBorders>
            <w:vAlign w:val="center"/>
          </w:tcPr>
          <w:p w14:paraId="1D959CCA"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3.72</w:t>
            </w:r>
          </w:p>
        </w:tc>
        <w:tc>
          <w:tcPr>
            <w:tcW w:w="563" w:type="pct"/>
            <w:tcBorders>
              <w:top w:val="nil"/>
              <w:left w:val="single" w:sz="4" w:space="0" w:color="auto"/>
              <w:bottom w:val="single" w:sz="4" w:space="0" w:color="auto"/>
              <w:right w:val="single" w:sz="4" w:space="0" w:color="auto"/>
            </w:tcBorders>
            <w:shd w:val="clear" w:color="auto" w:fill="auto"/>
            <w:noWrap/>
            <w:vAlign w:val="center"/>
            <w:hideMark/>
          </w:tcPr>
          <w:p w14:paraId="0FACB306"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2.17</w:t>
            </w:r>
          </w:p>
        </w:tc>
        <w:tc>
          <w:tcPr>
            <w:tcW w:w="476" w:type="pct"/>
            <w:tcBorders>
              <w:top w:val="nil"/>
              <w:left w:val="nil"/>
              <w:bottom w:val="single" w:sz="4" w:space="0" w:color="auto"/>
              <w:right w:val="single" w:sz="4" w:space="0" w:color="auto"/>
            </w:tcBorders>
            <w:shd w:val="clear" w:color="auto" w:fill="auto"/>
            <w:noWrap/>
            <w:vAlign w:val="center"/>
          </w:tcPr>
          <w:p w14:paraId="6F5CA526"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2.10</w:t>
            </w:r>
          </w:p>
        </w:tc>
        <w:tc>
          <w:tcPr>
            <w:tcW w:w="449" w:type="pct"/>
            <w:tcBorders>
              <w:top w:val="nil"/>
              <w:left w:val="nil"/>
              <w:bottom w:val="single" w:sz="4" w:space="0" w:color="auto"/>
              <w:right w:val="single" w:sz="4" w:space="0" w:color="auto"/>
            </w:tcBorders>
            <w:shd w:val="clear" w:color="auto" w:fill="auto"/>
            <w:noWrap/>
            <w:vAlign w:val="center"/>
            <w:hideMark/>
          </w:tcPr>
          <w:p w14:paraId="503896F1"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0.65</w:t>
            </w:r>
          </w:p>
        </w:tc>
        <w:tc>
          <w:tcPr>
            <w:tcW w:w="449" w:type="pct"/>
            <w:tcBorders>
              <w:top w:val="nil"/>
              <w:left w:val="nil"/>
              <w:bottom w:val="single" w:sz="4" w:space="0" w:color="auto"/>
              <w:right w:val="single" w:sz="4" w:space="0" w:color="auto"/>
            </w:tcBorders>
            <w:shd w:val="clear" w:color="auto" w:fill="auto"/>
            <w:noWrap/>
            <w:vAlign w:val="center"/>
            <w:hideMark/>
          </w:tcPr>
          <w:p w14:paraId="26038A5F"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0.23</w:t>
            </w:r>
          </w:p>
        </w:tc>
      </w:tr>
      <w:tr w:rsidR="00EA7AC8" w:rsidRPr="00DB2303" w14:paraId="18CD2FB6" w14:textId="77777777" w:rsidTr="00D0229B">
        <w:trPr>
          <w:trHeight w:val="44"/>
          <w:jc w:val="center"/>
        </w:trPr>
        <w:tc>
          <w:tcPr>
            <w:tcW w:w="13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65DC6" w14:textId="77777777" w:rsidR="00EA7AC8" w:rsidRPr="00DB2303" w:rsidRDefault="00EA7AC8" w:rsidP="00D0229B">
            <w:pPr>
              <w:rPr>
                <w:color w:val="000000"/>
                <w:sz w:val="19"/>
                <w:szCs w:val="19"/>
                <w:lang w:val="en-US" w:eastAsia="es-PE"/>
              </w:rPr>
            </w:pPr>
            <w:r w:rsidRPr="00DB2303">
              <w:rPr>
                <w:color w:val="000000"/>
                <w:sz w:val="19"/>
                <w:szCs w:val="19"/>
                <w:lang w:val="en-US" w:eastAsia="es-PE"/>
              </w:rPr>
              <w:t>Industrial refrigeration</w:t>
            </w:r>
          </w:p>
        </w:tc>
        <w:tc>
          <w:tcPr>
            <w:tcW w:w="548" w:type="pct"/>
            <w:tcBorders>
              <w:top w:val="nil"/>
              <w:left w:val="nil"/>
              <w:bottom w:val="single" w:sz="4" w:space="0" w:color="auto"/>
              <w:right w:val="single" w:sz="4" w:space="0" w:color="auto"/>
            </w:tcBorders>
            <w:shd w:val="clear" w:color="auto" w:fill="auto"/>
            <w:noWrap/>
            <w:vAlign w:val="center"/>
            <w:hideMark/>
          </w:tcPr>
          <w:p w14:paraId="54D85F67"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13.38</w:t>
            </w:r>
          </w:p>
        </w:tc>
        <w:tc>
          <w:tcPr>
            <w:tcW w:w="580" w:type="pct"/>
            <w:tcBorders>
              <w:top w:val="single" w:sz="4" w:space="0" w:color="auto"/>
              <w:left w:val="single" w:sz="4" w:space="0" w:color="auto"/>
              <w:bottom w:val="single" w:sz="4" w:space="0" w:color="auto"/>
              <w:right w:val="single" w:sz="4" w:space="0" w:color="auto"/>
            </w:tcBorders>
            <w:shd w:val="clear" w:color="auto" w:fill="auto"/>
            <w:noWrap/>
          </w:tcPr>
          <w:p w14:paraId="0BD0D088"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9.02</w:t>
            </w:r>
          </w:p>
        </w:tc>
        <w:tc>
          <w:tcPr>
            <w:tcW w:w="563" w:type="pct"/>
            <w:tcBorders>
              <w:top w:val="nil"/>
              <w:left w:val="single" w:sz="4" w:space="0" w:color="auto"/>
              <w:bottom w:val="single" w:sz="4" w:space="0" w:color="auto"/>
              <w:right w:val="single" w:sz="4" w:space="0" w:color="auto"/>
            </w:tcBorders>
            <w:vAlign w:val="center"/>
          </w:tcPr>
          <w:p w14:paraId="64DCAA46"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2.70</w:t>
            </w:r>
          </w:p>
        </w:tc>
        <w:tc>
          <w:tcPr>
            <w:tcW w:w="563" w:type="pct"/>
            <w:tcBorders>
              <w:top w:val="nil"/>
              <w:left w:val="single" w:sz="4" w:space="0" w:color="auto"/>
              <w:bottom w:val="single" w:sz="4" w:space="0" w:color="auto"/>
              <w:right w:val="single" w:sz="4" w:space="0" w:color="auto"/>
            </w:tcBorders>
            <w:shd w:val="clear" w:color="auto" w:fill="auto"/>
            <w:noWrap/>
            <w:vAlign w:val="center"/>
            <w:hideMark/>
          </w:tcPr>
          <w:p w14:paraId="007D3A77"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1.57</w:t>
            </w:r>
          </w:p>
        </w:tc>
        <w:tc>
          <w:tcPr>
            <w:tcW w:w="476" w:type="pct"/>
            <w:tcBorders>
              <w:top w:val="nil"/>
              <w:left w:val="nil"/>
              <w:bottom w:val="single" w:sz="4" w:space="0" w:color="auto"/>
              <w:right w:val="single" w:sz="4" w:space="0" w:color="auto"/>
            </w:tcBorders>
            <w:shd w:val="clear" w:color="auto" w:fill="auto"/>
            <w:noWrap/>
            <w:vAlign w:val="center"/>
          </w:tcPr>
          <w:p w14:paraId="5F38A472"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1.52</w:t>
            </w:r>
          </w:p>
        </w:tc>
        <w:tc>
          <w:tcPr>
            <w:tcW w:w="449" w:type="pct"/>
            <w:tcBorders>
              <w:top w:val="nil"/>
              <w:left w:val="nil"/>
              <w:bottom w:val="single" w:sz="4" w:space="0" w:color="auto"/>
              <w:right w:val="single" w:sz="4" w:space="0" w:color="auto"/>
            </w:tcBorders>
            <w:shd w:val="clear" w:color="auto" w:fill="auto"/>
            <w:noWrap/>
            <w:vAlign w:val="center"/>
            <w:hideMark/>
          </w:tcPr>
          <w:p w14:paraId="1B09929E"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0.47</w:t>
            </w:r>
          </w:p>
        </w:tc>
        <w:tc>
          <w:tcPr>
            <w:tcW w:w="449" w:type="pct"/>
            <w:tcBorders>
              <w:top w:val="nil"/>
              <w:left w:val="nil"/>
              <w:bottom w:val="single" w:sz="4" w:space="0" w:color="auto"/>
              <w:right w:val="single" w:sz="4" w:space="0" w:color="auto"/>
            </w:tcBorders>
            <w:shd w:val="clear" w:color="auto" w:fill="auto"/>
            <w:noWrap/>
            <w:vAlign w:val="center"/>
            <w:hideMark/>
          </w:tcPr>
          <w:p w14:paraId="594A773C"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0.17</w:t>
            </w:r>
          </w:p>
        </w:tc>
      </w:tr>
      <w:tr w:rsidR="00EA7AC8" w:rsidRPr="00DB2303" w14:paraId="78B41EB9" w14:textId="77777777" w:rsidTr="00D0229B">
        <w:trPr>
          <w:trHeight w:val="44"/>
          <w:jc w:val="center"/>
        </w:trPr>
        <w:tc>
          <w:tcPr>
            <w:tcW w:w="13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C16B6" w14:textId="77777777" w:rsidR="00EA7AC8" w:rsidRPr="00DB2303" w:rsidRDefault="00EA7AC8" w:rsidP="00D0229B">
            <w:pPr>
              <w:rPr>
                <w:color w:val="000000"/>
                <w:sz w:val="19"/>
                <w:szCs w:val="19"/>
                <w:lang w:val="en-US" w:eastAsia="es-PE"/>
              </w:rPr>
            </w:pPr>
            <w:r w:rsidRPr="00DB2303">
              <w:rPr>
                <w:color w:val="000000"/>
                <w:sz w:val="19"/>
                <w:szCs w:val="19"/>
                <w:lang w:val="en-US" w:eastAsia="es-PE"/>
              </w:rPr>
              <w:t>Transport refrigeration</w:t>
            </w:r>
          </w:p>
        </w:tc>
        <w:tc>
          <w:tcPr>
            <w:tcW w:w="548" w:type="pct"/>
            <w:tcBorders>
              <w:top w:val="nil"/>
              <w:left w:val="nil"/>
              <w:bottom w:val="single" w:sz="4" w:space="0" w:color="auto"/>
              <w:right w:val="single" w:sz="4" w:space="0" w:color="auto"/>
            </w:tcBorders>
            <w:shd w:val="clear" w:color="auto" w:fill="auto"/>
            <w:noWrap/>
            <w:vAlign w:val="center"/>
            <w:hideMark/>
          </w:tcPr>
          <w:p w14:paraId="6EF0036E"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2.14</w:t>
            </w:r>
          </w:p>
        </w:tc>
        <w:tc>
          <w:tcPr>
            <w:tcW w:w="580" w:type="pct"/>
            <w:tcBorders>
              <w:top w:val="single" w:sz="4" w:space="0" w:color="auto"/>
              <w:left w:val="single" w:sz="4" w:space="0" w:color="auto"/>
              <w:bottom w:val="single" w:sz="4" w:space="0" w:color="auto"/>
              <w:right w:val="single" w:sz="4" w:space="0" w:color="auto"/>
            </w:tcBorders>
            <w:shd w:val="clear" w:color="auto" w:fill="auto"/>
            <w:noWrap/>
          </w:tcPr>
          <w:p w14:paraId="08C07F76"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1.44</w:t>
            </w:r>
          </w:p>
        </w:tc>
        <w:tc>
          <w:tcPr>
            <w:tcW w:w="563" w:type="pct"/>
            <w:tcBorders>
              <w:top w:val="nil"/>
              <w:left w:val="single" w:sz="4" w:space="0" w:color="auto"/>
              <w:bottom w:val="single" w:sz="4" w:space="0" w:color="auto"/>
              <w:right w:val="single" w:sz="4" w:space="0" w:color="auto"/>
            </w:tcBorders>
            <w:vAlign w:val="center"/>
          </w:tcPr>
          <w:p w14:paraId="5BE685F1"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0.43</w:t>
            </w:r>
          </w:p>
        </w:tc>
        <w:tc>
          <w:tcPr>
            <w:tcW w:w="563" w:type="pct"/>
            <w:tcBorders>
              <w:top w:val="nil"/>
              <w:left w:val="single" w:sz="4" w:space="0" w:color="auto"/>
              <w:bottom w:val="single" w:sz="4" w:space="0" w:color="auto"/>
              <w:right w:val="single" w:sz="4" w:space="0" w:color="auto"/>
            </w:tcBorders>
            <w:shd w:val="clear" w:color="auto" w:fill="auto"/>
            <w:noWrap/>
            <w:vAlign w:val="center"/>
            <w:hideMark/>
          </w:tcPr>
          <w:p w14:paraId="35AD519B"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0.25</w:t>
            </w:r>
          </w:p>
        </w:tc>
        <w:tc>
          <w:tcPr>
            <w:tcW w:w="476" w:type="pct"/>
            <w:tcBorders>
              <w:top w:val="nil"/>
              <w:left w:val="nil"/>
              <w:bottom w:val="single" w:sz="4" w:space="0" w:color="auto"/>
              <w:right w:val="single" w:sz="4" w:space="0" w:color="auto"/>
            </w:tcBorders>
            <w:shd w:val="clear" w:color="auto" w:fill="auto"/>
            <w:noWrap/>
            <w:vAlign w:val="center"/>
          </w:tcPr>
          <w:p w14:paraId="55208618"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0.24</w:t>
            </w:r>
          </w:p>
        </w:tc>
        <w:tc>
          <w:tcPr>
            <w:tcW w:w="449" w:type="pct"/>
            <w:tcBorders>
              <w:top w:val="nil"/>
              <w:left w:val="nil"/>
              <w:bottom w:val="single" w:sz="4" w:space="0" w:color="auto"/>
              <w:right w:val="single" w:sz="4" w:space="0" w:color="auto"/>
            </w:tcBorders>
            <w:shd w:val="clear" w:color="auto" w:fill="auto"/>
            <w:noWrap/>
            <w:vAlign w:val="center"/>
            <w:hideMark/>
          </w:tcPr>
          <w:p w14:paraId="5BC517F1"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0.08</w:t>
            </w:r>
          </w:p>
        </w:tc>
        <w:tc>
          <w:tcPr>
            <w:tcW w:w="449" w:type="pct"/>
            <w:tcBorders>
              <w:top w:val="nil"/>
              <w:left w:val="nil"/>
              <w:bottom w:val="single" w:sz="4" w:space="0" w:color="auto"/>
              <w:right w:val="single" w:sz="4" w:space="0" w:color="auto"/>
            </w:tcBorders>
            <w:shd w:val="clear" w:color="auto" w:fill="auto"/>
            <w:noWrap/>
            <w:vAlign w:val="center"/>
            <w:hideMark/>
          </w:tcPr>
          <w:p w14:paraId="33344E7F"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0.03</w:t>
            </w:r>
          </w:p>
        </w:tc>
      </w:tr>
      <w:tr w:rsidR="00EA7AC8" w:rsidRPr="00DB2303" w14:paraId="3BEB897B" w14:textId="77777777" w:rsidTr="00D0229B">
        <w:trPr>
          <w:trHeight w:val="44"/>
          <w:jc w:val="center"/>
        </w:trPr>
        <w:tc>
          <w:tcPr>
            <w:tcW w:w="13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B8F14" w14:textId="77777777" w:rsidR="00EA7AC8" w:rsidRPr="00DB2303" w:rsidRDefault="00EA7AC8" w:rsidP="00D0229B">
            <w:pPr>
              <w:rPr>
                <w:color w:val="000000"/>
                <w:sz w:val="19"/>
                <w:szCs w:val="19"/>
                <w:lang w:val="en-US" w:eastAsia="es-PE"/>
              </w:rPr>
            </w:pPr>
            <w:r w:rsidRPr="00DB2303">
              <w:rPr>
                <w:color w:val="000000"/>
                <w:sz w:val="19"/>
                <w:szCs w:val="19"/>
                <w:lang w:val="en-US" w:eastAsia="es-PE"/>
              </w:rPr>
              <w:t>Residential AC</w:t>
            </w:r>
          </w:p>
        </w:tc>
        <w:tc>
          <w:tcPr>
            <w:tcW w:w="548" w:type="pct"/>
            <w:tcBorders>
              <w:top w:val="nil"/>
              <w:left w:val="nil"/>
              <w:bottom w:val="single" w:sz="4" w:space="0" w:color="auto"/>
              <w:right w:val="single" w:sz="4" w:space="0" w:color="auto"/>
            </w:tcBorders>
            <w:shd w:val="clear" w:color="auto" w:fill="auto"/>
            <w:noWrap/>
            <w:vAlign w:val="center"/>
            <w:hideMark/>
          </w:tcPr>
          <w:p w14:paraId="237CAD16"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251.98</w:t>
            </w:r>
          </w:p>
        </w:tc>
        <w:tc>
          <w:tcPr>
            <w:tcW w:w="580" w:type="pct"/>
            <w:tcBorders>
              <w:top w:val="single" w:sz="4" w:space="0" w:color="auto"/>
              <w:left w:val="single" w:sz="4" w:space="0" w:color="auto"/>
              <w:bottom w:val="single" w:sz="4" w:space="0" w:color="auto"/>
              <w:right w:val="single" w:sz="4" w:space="0" w:color="auto"/>
            </w:tcBorders>
            <w:shd w:val="clear" w:color="auto" w:fill="auto"/>
            <w:noWrap/>
          </w:tcPr>
          <w:p w14:paraId="0108EF07"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169.80</w:t>
            </w:r>
          </w:p>
        </w:tc>
        <w:tc>
          <w:tcPr>
            <w:tcW w:w="563" w:type="pct"/>
            <w:tcBorders>
              <w:top w:val="nil"/>
              <w:left w:val="single" w:sz="4" w:space="0" w:color="auto"/>
              <w:bottom w:val="single" w:sz="4" w:space="0" w:color="auto"/>
              <w:right w:val="single" w:sz="4" w:space="0" w:color="auto"/>
            </w:tcBorders>
            <w:vAlign w:val="center"/>
          </w:tcPr>
          <w:p w14:paraId="4EC67E57"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50.75</w:t>
            </w:r>
          </w:p>
        </w:tc>
        <w:tc>
          <w:tcPr>
            <w:tcW w:w="563" w:type="pct"/>
            <w:tcBorders>
              <w:top w:val="nil"/>
              <w:left w:val="single" w:sz="4" w:space="0" w:color="auto"/>
              <w:bottom w:val="single" w:sz="4" w:space="0" w:color="auto"/>
              <w:right w:val="single" w:sz="4" w:space="0" w:color="auto"/>
            </w:tcBorders>
            <w:shd w:val="clear" w:color="auto" w:fill="auto"/>
            <w:noWrap/>
            <w:vAlign w:val="center"/>
            <w:hideMark/>
          </w:tcPr>
          <w:p w14:paraId="2FE99C2F"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29.64</w:t>
            </w:r>
          </w:p>
        </w:tc>
        <w:tc>
          <w:tcPr>
            <w:tcW w:w="476" w:type="pct"/>
            <w:tcBorders>
              <w:top w:val="nil"/>
              <w:left w:val="nil"/>
              <w:bottom w:val="single" w:sz="4" w:space="0" w:color="auto"/>
              <w:right w:val="single" w:sz="4" w:space="0" w:color="auto"/>
            </w:tcBorders>
            <w:shd w:val="clear" w:color="auto" w:fill="auto"/>
            <w:noWrap/>
            <w:vAlign w:val="center"/>
          </w:tcPr>
          <w:p w14:paraId="30198E71"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28.66</w:t>
            </w:r>
          </w:p>
        </w:tc>
        <w:tc>
          <w:tcPr>
            <w:tcW w:w="449" w:type="pct"/>
            <w:tcBorders>
              <w:top w:val="nil"/>
              <w:left w:val="nil"/>
              <w:bottom w:val="single" w:sz="4" w:space="0" w:color="auto"/>
              <w:right w:val="single" w:sz="4" w:space="0" w:color="auto"/>
            </w:tcBorders>
            <w:shd w:val="clear" w:color="auto" w:fill="auto"/>
            <w:noWrap/>
            <w:vAlign w:val="center"/>
            <w:hideMark/>
          </w:tcPr>
          <w:p w14:paraId="5F7A56F2"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8.86</w:t>
            </w:r>
          </w:p>
        </w:tc>
        <w:tc>
          <w:tcPr>
            <w:tcW w:w="449" w:type="pct"/>
            <w:tcBorders>
              <w:top w:val="nil"/>
              <w:left w:val="nil"/>
              <w:bottom w:val="single" w:sz="4" w:space="0" w:color="auto"/>
              <w:right w:val="single" w:sz="4" w:space="0" w:color="auto"/>
            </w:tcBorders>
            <w:shd w:val="clear" w:color="auto" w:fill="auto"/>
            <w:noWrap/>
            <w:vAlign w:val="center"/>
            <w:hideMark/>
          </w:tcPr>
          <w:p w14:paraId="73667035"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3.18</w:t>
            </w:r>
          </w:p>
        </w:tc>
      </w:tr>
      <w:tr w:rsidR="00EA7AC8" w:rsidRPr="00DB2303" w14:paraId="35BA40AD" w14:textId="77777777" w:rsidTr="00D0229B">
        <w:trPr>
          <w:trHeight w:val="44"/>
          <w:jc w:val="center"/>
        </w:trPr>
        <w:tc>
          <w:tcPr>
            <w:tcW w:w="13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600A2" w14:textId="77777777" w:rsidR="00EA7AC8" w:rsidRPr="00DB2303" w:rsidRDefault="00EA7AC8" w:rsidP="00D0229B">
            <w:pPr>
              <w:rPr>
                <w:color w:val="000000"/>
                <w:sz w:val="19"/>
                <w:szCs w:val="19"/>
                <w:lang w:val="en-US" w:eastAsia="es-PE"/>
              </w:rPr>
            </w:pPr>
            <w:r w:rsidRPr="00DB2303">
              <w:rPr>
                <w:color w:val="000000"/>
                <w:sz w:val="19"/>
                <w:szCs w:val="19"/>
                <w:lang w:val="en-US" w:eastAsia="es-PE"/>
              </w:rPr>
              <w:t>Other AC</w:t>
            </w:r>
          </w:p>
        </w:tc>
        <w:tc>
          <w:tcPr>
            <w:tcW w:w="548" w:type="pct"/>
            <w:tcBorders>
              <w:top w:val="nil"/>
              <w:left w:val="nil"/>
              <w:bottom w:val="single" w:sz="4" w:space="0" w:color="auto"/>
              <w:right w:val="single" w:sz="4" w:space="0" w:color="auto"/>
            </w:tcBorders>
            <w:shd w:val="clear" w:color="auto" w:fill="auto"/>
            <w:noWrap/>
            <w:vAlign w:val="center"/>
            <w:hideMark/>
          </w:tcPr>
          <w:p w14:paraId="3F533599"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8.51</w:t>
            </w:r>
          </w:p>
        </w:tc>
        <w:tc>
          <w:tcPr>
            <w:tcW w:w="580" w:type="pct"/>
            <w:tcBorders>
              <w:top w:val="single" w:sz="4" w:space="0" w:color="auto"/>
              <w:left w:val="single" w:sz="4" w:space="0" w:color="auto"/>
              <w:bottom w:val="single" w:sz="4" w:space="0" w:color="auto"/>
              <w:right w:val="single" w:sz="4" w:space="0" w:color="auto"/>
            </w:tcBorders>
            <w:shd w:val="clear" w:color="auto" w:fill="auto"/>
            <w:noWrap/>
          </w:tcPr>
          <w:p w14:paraId="763BF3E3"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5.73</w:t>
            </w:r>
          </w:p>
        </w:tc>
        <w:tc>
          <w:tcPr>
            <w:tcW w:w="563" w:type="pct"/>
            <w:tcBorders>
              <w:top w:val="nil"/>
              <w:left w:val="single" w:sz="4" w:space="0" w:color="auto"/>
              <w:bottom w:val="single" w:sz="4" w:space="0" w:color="auto"/>
              <w:right w:val="single" w:sz="4" w:space="0" w:color="auto"/>
            </w:tcBorders>
            <w:vAlign w:val="center"/>
          </w:tcPr>
          <w:p w14:paraId="75084C57"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1.71</w:t>
            </w:r>
          </w:p>
        </w:tc>
        <w:tc>
          <w:tcPr>
            <w:tcW w:w="563" w:type="pct"/>
            <w:tcBorders>
              <w:top w:val="nil"/>
              <w:left w:val="single" w:sz="4" w:space="0" w:color="auto"/>
              <w:bottom w:val="single" w:sz="4" w:space="0" w:color="auto"/>
              <w:right w:val="single" w:sz="4" w:space="0" w:color="auto"/>
            </w:tcBorders>
            <w:shd w:val="clear" w:color="auto" w:fill="auto"/>
            <w:noWrap/>
            <w:vAlign w:val="center"/>
            <w:hideMark/>
          </w:tcPr>
          <w:p w14:paraId="5A658FA1"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1.00</w:t>
            </w:r>
          </w:p>
        </w:tc>
        <w:tc>
          <w:tcPr>
            <w:tcW w:w="476" w:type="pct"/>
            <w:tcBorders>
              <w:top w:val="nil"/>
              <w:left w:val="nil"/>
              <w:bottom w:val="single" w:sz="4" w:space="0" w:color="auto"/>
              <w:right w:val="single" w:sz="4" w:space="0" w:color="auto"/>
            </w:tcBorders>
            <w:shd w:val="clear" w:color="auto" w:fill="auto"/>
            <w:noWrap/>
            <w:vAlign w:val="center"/>
          </w:tcPr>
          <w:p w14:paraId="0543EE3B"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0.97</w:t>
            </w:r>
          </w:p>
        </w:tc>
        <w:tc>
          <w:tcPr>
            <w:tcW w:w="449" w:type="pct"/>
            <w:tcBorders>
              <w:top w:val="nil"/>
              <w:left w:val="nil"/>
              <w:bottom w:val="single" w:sz="4" w:space="0" w:color="auto"/>
              <w:right w:val="single" w:sz="4" w:space="0" w:color="auto"/>
            </w:tcBorders>
            <w:shd w:val="clear" w:color="auto" w:fill="auto"/>
            <w:noWrap/>
            <w:vAlign w:val="center"/>
            <w:hideMark/>
          </w:tcPr>
          <w:p w14:paraId="1A16FFA3"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0.30</w:t>
            </w:r>
          </w:p>
        </w:tc>
        <w:tc>
          <w:tcPr>
            <w:tcW w:w="449" w:type="pct"/>
            <w:tcBorders>
              <w:top w:val="nil"/>
              <w:left w:val="nil"/>
              <w:bottom w:val="single" w:sz="4" w:space="0" w:color="auto"/>
              <w:right w:val="single" w:sz="4" w:space="0" w:color="auto"/>
            </w:tcBorders>
            <w:shd w:val="clear" w:color="auto" w:fill="auto"/>
            <w:noWrap/>
            <w:vAlign w:val="center"/>
            <w:hideMark/>
          </w:tcPr>
          <w:p w14:paraId="7F59DE83"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0.11</w:t>
            </w:r>
          </w:p>
        </w:tc>
      </w:tr>
      <w:tr w:rsidR="00EA7AC8" w:rsidRPr="00DB2303" w14:paraId="571C09A2" w14:textId="77777777" w:rsidTr="00D0229B">
        <w:trPr>
          <w:trHeight w:val="53"/>
          <w:jc w:val="center"/>
        </w:trPr>
        <w:tc>
          <w:tcPr>
            <w:tcW w:w="13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FF4B4" w14:textId="77777777" w:rsidR="00EA7AC8" w:rsidRPr="00DB2303" w:rsidRDefault="00EA7AC8" w:rsidP="00D0229B">
            <w:pPr>
              <w:rPr>
                <w:color w:val="000000"/>
                <w:sz w:val="19"/>
                <w:szCs w:val="19"/>
                <w:lang w:val="en-US" w:eastAsia="es-PE"/>
              </w:rPr>
            </w:pPr>
            <w:r w:rsidRPr="00DB2303">
              <w:rPr>
                <w:color w:val="000000"/>
                <w:sz w:val="19"/>
                <w:szCs w:val="19"/>
                <w:lang w:val="en-US" w:eastAsia="es-PE"/>
              </w:rPr>
              <w:t>Chillers</w:t>
            </w:r>
          </w:p>
        </w:tc>
        <w:tc>
          <w:tcPr>
            <w:tcW w:w="548" w:type="pct"/>
            <w:tcBorders>
              <w:top w:val="nil"/>
              <w:left w:val="nil"/>
              <w:bottom w:val="single" w:sz="4" w:space="0" w:color="auto"/>
              <w:right w:val="single" w:sz="4" w:space="0" w:color="auto"/>
            </w:tcBorders>
            <w:shd w:val="clear" w:color="auto" w:fill="auto"/>
            <w:noWrap/>
            <w:vAlign w:val="center"/>
            <w:hideMark/>
          </w:tcPr>
          <w:p w14:paraId="276B7EA6"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45.55</w:t>
            </w:r>
          </w:p>
        </w:tc>
        <w:tc>
          <w:tcPr>
            <w:tcW w:w="580" w:type="pct"/>
            <w:tcBorders>
              <w:top w:val="single" w:sz="4" w:space="0" w:color="auto"/>
              <w:left w:val="single" w:sz="4" w:space="0" w:color="auto"/>
              <w:bottom w:val="single" w:sz="4" w:space="0" w:color="auto"/>
              <w:right w:val="single" w:sz="4" w:space="0" w:color="auto"/>
            </w:tcBorders>
            <w:shd w:val="clear" w:color="auto" w:fill="auto"/>
            <w:noWrap/>
          </w:tcPr>
          <w:p w14:paraId="61E6774D"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30.70</w:t>
            </w:r>
          </w:p>
        </w:tc>
        <w:tc>
          <w:tcPr>
            <w:tcW w:w="563" w:type="pct"/>
            <w:tcBorders>
              <w:top w:val="nil"/>
              <w:left w:val="single" w:sz="4" w:space="0" w:color="auto"/>
              <w:bottom w:val="single" w:sz="4" w:space="0" w:color="auto"/>
              <w:right w:val="single" w:sz="4" w:space="0" w:color="auto"/>
            </w:tcBorders>
            <w:vAlign w:val="center"/>
          </w:tcPr>
          <w:p w14:paraId="617BAC5F"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9.17</w:t>
            </w:r>
          </w:p>
        </w:tc>
        <w:tc>
          <w:tcPr>
            <w:tcW w:w="563" w:type="pct"/>
            <w:tcBorders>
              <w:top w:val="nil"/>
              <w:left w:val="single" w:sz="4" w:space="0" w:color="auto"/>
              <w:bottom w:val="single" w:sz="4" w:space="0" w:color="auto"/>
              <w:right w:val="single" w:sz="4" w:space="0" w:color="auto"/>
            </w:tcBorders>
            <w:shd w:val="clear" w:color="auto" w:fill="auto"/>
            <w:noWrap/>
            <w:vAlign w:val="center"/>
            <w:hideMark/>
          </w:tcPr>
          <w:p w14:paraId="6090ABD3"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5.36</w:t>
            </w:r>
          </w:p>
        </w:tc>
        <w:tc>
          <w:tcPr>
            <w:tcW w:w="476" w:type="pct"/>
            <w:tcBorders>
              <w:top w:val="nil"/>
              <w:left w:val="nil"/>
              <w:bottom w:val="single" w:sz="4" w:space="0" w:color="auto"/>
              <w:right w:val="single" w:sz="4" w:space="0" w:color="auto"/>
            </w:tcBorders>
            <w:shd w:val="clear" w:color="auto" w:fill="auto"/>
            <w:noWrap/>
            <w:vAlign w:val="center"/>
          </w:tcPr>
          <w:p w14:paraId="291CAC66"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5.18</w:t>
            </w:r>
          </w:p>
        </w:tc>
        <w:tc>
          <w:tcPr>
            <w:tcW w:w="449" w:type="pct"/>
            <w:tcBorders>
              <w:top w:val="nil"/>
              <w:left w:val="nil"/>
              <w:bottom w:val="single" w:sz="4" w:space="0" w:color="auto"/>
              <w:right w:val="single" w:sz="4" w:space="0" w:color="auto"/>
            </w:tcBorders>
            <w:shd w:val="clear" w:color="auto" w:fill="auto"/>
            <w:noWrap/>
            <w:vAlign w:val="center"/>
            <w:hideMark/>
          </w:tcPr>
          <w:p w14:paraId="4C0E8A5D"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1.60</w:t>
            </w:r>
          </w:p>
        </w:tc>
        <w:tc>
          <w:tcPr>
            <w:tcW w:w="449" w:type="pct"/>
            <w:tcBorders>
              <w:top w:val="nil"/>
              <w:left w:val="nil"/>
              <w:bottom w:val="single" w:sz="4" w:space="0" w:color="auto"/>
              <w:right w:val="single" w:sz="4" w:space="0" w:color="auto"/>
            </w:tcBorders>
            <w:shd w:val="clear" w:color="auto" w:fill="auto"/>
            <w:noWrap/>
            <w:vAlign w:val="center"/>
            <w:hideMark/>
          </w:tcPr>
          <w:p w14:paraId="64DEEC4C"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0.57</w:t>
            </w:r>
          </w:p>
        </w:tc>
      </w:tr>
      <w:tr w:rsidR="00EA7AC8" w:rsidRPr="00DB2303" w14:paraId="7D88F083" w14:textId="77777777" w:rsidTr="00D0229B">
        <w:trPr>
          <w:trHeight w:val="80"/>
          <w:jc w:val="center"/>
        </w:trPr>
        <w:tc>
          <w:tcPr>
            <w:tcW w:w="13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A6683" w14:textId="77777777" w:rsidR="00EA7AC8" w:rsidRPr="00DB2303" w:rsidRDefault="00EA7AC8" w:rsidP="00D0229B">
            <w:pPr>
              <w:rPr>
                <w:color w:val="000000"/>
                <w:sz w:val="19"/>
                <w:szCs w:val="19"/>
                <w:lang w:val="en-US" w:eastAsia="es-PE"/>
              </w:rPr>
            </w:pPr>
            <w:r w:rsidRPr="00DB2303">
              <w:rPr>
                <w:color w:val="000000"/>
                <w:sz w:val="19"/>
                <w:szCs w:val="19"/>
                <w:lang w:val="en-US" w:eastAsia="es-PE"/>
              </w:rPr>
              <w:t>Transport AC</w:t>
            </w:r>
          </w:p>
        </w:tc>
        <w:tc>
          <w:tcPr>
            <w:tcW w:w="548" w:type="pct"/>
            <w:tcBorders>
              <w:top w:val="nil"/>
              <w:left w:val="nil"/>
              <w:bottom w:val="single" w:sz="4" w:space="0" w:color="auto"/>
              <w:right w:val="single" w:sz="4" w:space="0" w:color="auto"/>
            </w:tcBorders>
            <w:shd w:val="clear" w:color="auto" w:fill="auto"/>
            <w:noWrap/>
            <w:vAlign w:val="center"/>
            <w:hideMark/>
          </w:tcPr>
          <w:p w14:paraId="492BA78D"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2.66</w:t>
            </w:r>
          </w:p>
        </w:tc>
        <w:tc>
          <w:tcPr>
            <w:tcW w:w="580" w:type="pct"/>
            <w:tcBorders>
              <w:top w:val="single" w:sz="4" w:space="0" w:color="auto"/>
              <w:left w:val="single" w:sz="4" w:space="0" w:color="auto"/>
              <w:bottom w:val="single" w:sz="4" w:space="0" w:color="auto"/>
              <w:right w:val="single" w:sz="4" w:space="0" w:color="auto"/>
            </w:tcBorders>
            <w:shd w:val="clear" w:color="auto" w:fill="auto"/>
            <w:noWrap/>
          </w:tcPr>
          <w:p w14:paraId="2AC79EA5"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1.79</w:t>
            </w:r>
          </w:p>
        </w:tc>
        <w:tc>
          <w:tcPr>
            <w:tcW w:w="563" w:type="pct"/>
            <w:tcBorders>
              <w:top w:val="nil"/>
              <w:left w:val="single" w:sz="4" w:space="0" w:color="auto"/>
              <w:bottom w:val="single" w:sz="4" w:space="0" w:color="auto"/>
              <w:right w:val="single" w:sz="4" w:space="0" w:color="auto"/>
            </w:tcBorders>
            <w:vAlign w:val="center"/>
          </w:tcPr>
          <w:p w14:paraId="471DF24A"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0.54</w:t>
            </w:r>
          </w:p>
        </w:tc>
        <w:tc>
          <w:tcPr>
            <w:tcW w:w="563" w:type="pct"/>
            <w:tcBorders>
              <w:top w:val="nil"/>
              <w:left w:val="single" w:sz="4" w:space="0" w:color="auto"/>
              <w:bottom w:val="single" w:sz="4" w:space="0" w:color="auto"/>
              <w:right w:val="single" w:sz="4" w:space="0" w:color="auto"/>
            </w:tcBorders>
            <w:shd w:val="clear" w:color="auto" w:fill="auto"/>
            <w:noWrap/>
            <w:vAlign w:val="center"/>
            <w:hideMark/>
          </w:tcPr>
          <w:p w14:paraId="62E4CC42"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0.31</w:t>
            </w:r>
          </w:p>
        </w:tc>
        <w:tc>
          <w:tcPr>
            <w:tcW w:w="476" w:type="pct"/>
            <w:tcBorders>
              <w:top w:val="nil"/>
              <w:left w:val="nil"/>
              <w:bottom w:val="single" w:sz="4" w:space="0" w:color="auto"/>
              <w:right w:val="single" w:sz="4" w:space="0" w:color="auto"/>
            </w:tcBorders>
            <w:shd w:val="clear" w:color="auto" w:fill="auto"/>
            <w:noWrap/>
            <w:vAlign w:val="center"/>
          </w:tcPr>
          <w:p w14:paraId="7E7CF5D6"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0.30</w:t>
            </w:r>
          </w:p>
        </w:tc>
        <w:tc>
          <w:tcPr>
            <w:tcW w:w="449" w:type="pct"/>
            <w:tcBorders>
              <w:top w:val="nil"/>
              <w:left w:val="nil"/>
              <w:bottom w:val="single" w:sz="4" w:space="0" w:color="auto"/>
              <w:right w:val="single" w:sz="4" w:space="0" w:color="auto"/>
            </w:tcBorders>
            <w:shd w:val="clear" w:color="auto" w:fill="auto"/>
            <w:noWrap/>
            <w:vAlign w:val="center"/>
            <w:hideMark/>
          </w:tcPr>
          <w:p w14:paraId="1AF0083B"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0.09</w:t>
            </w:r>
          </w:p>
        </w:tc>
        <w:tc>
          <w:tcPr>
            <w:tcW w:w="449" w:type="pct"/>
            <w:tcBorders>
              <w:top w:val="nil"/>
              <w:left w:val="nil"/>
              <w:bottom w:val="single" w:sz="4" w:space="0" w:color="auto"/>
              <w:right w:val="single" w:sz="4" w:space="0" w:color="auto"/>
            </w:tcBorders>
            <w:shd w:val="clear" w:color="auto" w:fill="auto"/>
            <w:noWrap/>
            <w:vAlign w:val="center"/>
            <w:hideMark/>
          </w:tcPr>
          <w:p w14:paraId="05789215" w14:textId="77777777" w:rsidR="00EA7AC8" w:rsidRPr="00DB2303" w:rsidRDefault="00EA7AC8" w:rsidP="00D0229B">
            <w:pPr>
              <w:jc w:val="right"/>
              <w:rPr>
                <w:color w:val="000000"/>
                <w:sz w:val="19"/>
                <w:szCs w:val="19"/>
                <w:lang w:val="en-US" w:eastAsia="es-PE"/>
              </w:rPr>
            </w:pPr>
            <w:r w:rsidRPr="00DB2303">
              <w:rPr>
                <w:color w:val="000000"/>
                <w:sz w:val="19"/>
                <w:szCs w:val="19"/>
                <w:lang w:val="en-US" w:eastAsia="es-PE"/>
              </w:rPr>
              <w:t>0.03</w:t>
            </w:r>
          </w:p>
        </w:tc>
      </w:tr>
      <w:tr w:rsidR="00EA7AC8" w:rsidRPr="00DB2303" w14:paraId="1B23922F" w14:textId="77777777" w:rsidTr="00D0229B">
        <w:trPr>
          <w:trHeight w:val="58"/>
          <w:jc w:val="center"/>
        </w:trPr>
        <w:tc>
          <w:tcPr>
            <w:tcW w:w="13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FDD56" w14:textId="77777777" w:rsidR="00EA7AC8" w:rsidRPr="00DB2303" w:rsidRDefault="00EA7AC8" w:rsidP="00D0229B">
            <w:pPr>
              <w:rPr>
                <w:b/>
                <w:bCs/>
                <w:color w:val="000000"/>
                <w:sz w:val="19"/>
                <w:szCs w:val="19"/>
                <w:lang w:val="en-US" w:eastAsia="es-PE"/>
              </w:rPr>
            </w:pPr>
            <w:r w:rsidRPr="00DB2303">
              <w:rPr>
                <w:b/>
                <w:bCs/>
                <w:color w:val="000000"/>
                <w:sz w:val="19"/>
                <w:szCs w:val="19"/>
                <w:lang w:val="en-US" w:eastAsia="es-PE"/>
              </w:rPr>
              <w:t>Total use</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095AD695" w14:textId="77777777" w:rsidR="00EA7AC8" w:rsidRPr="00DB2303" w:rsidRDefault="00EA7AC8" w:rsidP="00D0229B">
            <w:pPr>
              <w:jc w:val="right"/>
              <w:rPr>
                <w:b/>
                <w:bCs/>
                <w:color w:val="000000"/>
                <w:sz w:val="19"/>
                <w:szCs w:val="19"/>
                <w:lang w:val="en-US" w:eastAsia="es-PE"/>
              </w:rPr>
            </w:pPr>
            <w:r w:rsidRPr="00DB2303">
              <w:rPr>
                <w:b/>
                <w:bCs/>
                <w:color w:val="000000"/>
                <w:sz w:val="19"/>
                <w:szCs w:val="19"/>
                <w:lang w:val="en-US" w:eastAsia="es-PE"/>
              </w:rPr>
              <w:t>374.91</w:t>
            </w:r>
          </w:p>
        </w:tc>
        <w:tc>
          <w:tcPr>
            <w:tcW w:w="580" w:type="pct"/>
            <w:tcBorders>
              <w:top w:val="single" w:sz="4" w:space="0" w:color="auto"/>
              <w:left w:val="single" w:sz="4" w:space="0" w:color="auto"/>
              <w:bottom w:val="single" w:sz="4" w:space="0" w:color="auto"/>
              <w:right w:val="single" w:sz="4" w:space="0" w:color="auto"/>
            </w:tcBorders>
            <w:shd w:val="clear" w:color="auto" w:fill="auto"/>
            <w:noWrap/>
          </w:tcPr>
          <w:p w14:paraId="7CE6B74A" w14:textId="77777777" w:rsidR="00EA7AC8" w:rsidRPr="00DB2303" w:rsidRDefault="00EA7AC8" w:rsidP="00D0229B">
            <w:pPr>
              <w:jc w:val="right"/>
              <w:rPr>
                <w:b/>
                <w:bCs/>
                <w:color w:val="000000"/>
                <w:sz w:val="19"/>
                <w:szCs w:val="19"/>
                <w:lang w:val="en-US" w:eastAsia="es-PE"/>
              </w:rPr>
            </w:pPr>
            <w:r w:rsidRPr="00DB2303">
              <w:rPr>
                <w:b/>
                <w:bCs/>
                <w:color w:val="000000"/>
                <w:sz w:val="19"/>
                <w:szCs w:val="19"/>
                <w:lang w:val="en-US" w:eastAsia="es-PE"/>
              </w:rPr>
              <w:t>252.64</w:t>
            </w:r>
          </w:p>
        </w:tc>
        <w:tc>
          <w:tcPr>
            <w:tcW w:w="563" w:type="pct"/>
            <w:tcBorders>
              <w:top w:val="single" w:sz="4" w:space="0" w:color="auto"/>
              <w:left w:val="single" w:sz="4" w:space="0" w:color="auto"/>
              <w:bottom w:val="single" w:sz="4" w:space="0" w:color="auto"/>
              <w:right w:val="single" w:sz="4" w:space="0" w:color="auto"/>
            </w:tcBorders>
            <w:vAlign w:val="center"/>
          </w:tcPr>
          <w:p w14:paraId="3A1295AF" w14:textId="77777777" w:rsidR="00EA7AC8" w:rsidRPr="00DB2303" w:rsidRDefault="00EA7AC8" w:rsidP="00D0229B">
            <w:pPr>
              <w:jc w:val="right"/>
              <w:rPr>
                <w:b/>
                <w:bCs/>
                <w:color w:val="000000"/>
                <w:sz w:val="19"/>
                <w:szCs w:val="19"/>
                <w:lang w:val="en-US" w:eastAsia="es-PE"/>
              </w:rPr>
            </w:pPr>
            <w:r w:rsidRPr="00DB2303">
              <w:rPr>
                <w:b/>
                <w:bCs/>
                <w:color w:val="000000"/>
                <w:sz w:val="19"/>
                <w:szCs w:val="19"/>
                <w:lang w:val="en-US" w:eastAsia="es-PE"/>
              </w:rPr>
              <w:t>75.51</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52187" w14:textId="77777777" w:rsidR="00EA7AC8" w:rsidRPr="00DB2303" w:rsidRDefault="00EA7AC8" w:rsidP="00D0229B">
            <w:pPr>
              <w:jc w:val="right"/>
              <w:rPr>
                <w:b/>
                <w:bCs/>
                <w:color w:val="000000"/>
                <w:sz w:val="19"/>
                <w:szCs w:val="19"/>
                <w:lang w:val="en-US" w:eastAsia="es-PE"/>
              </w:rPr>
            </w:pPr>
            <w:r w:rsidRPr="00DB2303">
              <w:rPr>
                <w:b/>
                <w:bCs/>
                <w:color w:val="000000"/>
                <w:sz w:val="19"/>
                <w:szCs w:val="19"/>
                <w:lang w:val="en-US" w:eastAsia="es-PE"/>
              </w:rPr>
              <w:t>44.10</w:t>
            </w:r>
          </w:p>
        </w:tc>
        <w:tc>
          <w:tcPr>
            <w:tcW w:w="476" w:type="pct"/>
            <w:tcBorders>
              <w:top w:val="single" w:sz="4" w:space="0" w:color="auto"/>
              <w:left w:val="nil"/>
              <w:bottom w:val="single" w:sz="4" w:space="0" w:color="auto"/>
              <w:right w:val="single" w:sz="4" w:space="0" w:color="auto"/>
            </w:tcBorders>
            <w:shd w:val="clear" w:color="auto" w:fill="auto"/>
            <w:noWrap/>
            <w:vAlign w:val="center"/>
          </w:tcPr>
          <w:p w14:paraId="3DE438C5" w14:textId="77777777" w:rsidR="00EA7AC8" w:rsidRPr="00DB2303" w:rsidRDefault="00EA7AC8" w:rsidP="00D0229B">
            <w:pPr>
              <w:jc w:val="right"/>
              <w:rPr>
                <w:b/>
                <w:bCs/>
                <w:color w:val="000000"/>
                <w:sz w:val="19"/>
                <w:szCs w:val="19"/>
                <w:lang w:val="en-US" w:eastAsia="es-PE"/>
              </w:rPr>
            </w:pPr>
            <w:r w:rsidRPr="00DB2303">
              <w:rPr>
                <w:b/>
                <w:bCs/>
                <w:color w:val="000000"/>
                <w:sz w:val="19"/>
                <w:szCs w:val="19"/>
                <w:lang w:val="en-US" w:eastAsia="es-PE"/>
              </w:rPr>
              <w:t>42.64</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14:paraId="7762B9CD" w14:textId="77777777" w:rsidR="00EA7AC8" w:rsidRPr="00DB2303" w:rsidRDefault="00EA7AC8" w:rsidP="00D0229B">
            <w:pPr>
              <w:jc w:val="right"/>
              <w:rPr>
                <w:b/>
                <w:bCs/>
                <w:color w:val="000000"/>
                <w:sz w:val="19"/>
                <w:szCs w:val="19"/>
                <w:lang w:val="en-US" w:eastAsia="es-PE"/>
              </w:rPr>
            </w:pPr>
            <w:r w:rsidRPr="00DB2303">
              <w:rPr>
                <w:b/>
                <w:bCs/>
                <w:color w:val="000000"/>
                <w:sz w:val="19"/>
                <w:szCs w:val="19"/>
                <w:lang w:val="en-US" w:eastAsia="es-PE"/>
              </w:rPr>
              <w:t>13.19</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14:paraId="217EDE51" w14:textId="77777777" w:rsidR="00EA7AC8" w:rsidRPr="00DB2303" w:rsidRDefault="00EA7AC8" w:rsidP="00D0229B">
            <w:pPr>
              <w:jc w:val="right"/>
              <w:rPr>
                <w:b/>
                <w:bCs/>
                <w:color w:val="000000"/>
                <w:sz w:val="19"/>
                <w:szCs w:val="19"/>
                <w:lang w:val="en-US" w:eastAsia="es-PE"/>
              </w:rPr>
            </w:pPr>
            <w:r w:rsidRPr="00DB2303">
              <w:rPr>
                <w:b/>
                <w:bCs/>
                <w:color w:val="000000"/>
                <w:sz w:val="19"/>
                <w:szCs w:val="19"/>
                <w:lang w:val="en-US" w:eastAsia="es-PE"/>
              </w:rPr>
              <w:t>4.73</w:t>
            </w:r>
          </w:p>
        </w:tc>
      </w:tr>
      <w:tr w:rsidR="00EA7AC8" w:rsidRPr="00DB2303" w14:paraId="429F507C" w14:textId="77777777" w:rsidTr="00D0229B">
        <w:trPr>
          <w:trHeight w:val="200"/>
          <w:jc w:val="center"/>
        </w:trPr>
        <w:tc>
          <w:tcPr>
            <w:tcW w:w="13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ABD6DD" w14:textId="77777777" w:rsidR="00EA7AC8" w:rsidRPr="00DB2303" w:rsidRDefault="00EA7AC8" w:rsidP="00D0229B">
            <w:pPr>
              <w:rPr>
                <w:b/>
                <w:bCs/>
                <w:color w:val="000000"/>
                <w:sz w:val="19"/>
                <w:szCs w:val="19"/>
                <w:lang w:val="en-US" w:eastAsia="es-PE"/>
              </w:rPr>
            </w:pPr>
            <w:r w:rsidRPr="00DB2303">
              <w:rPr>
                <w:b/>
                <w:bCs/>
                <w:color w:val="000000"/>
                <w:sz w:val="19"/>
                <w:szCs w:val="19"/>
                <w:lang w:val="en-US" w:eastAsia="es-PE"/>
              </w:rPr>
              <w:t>Total use (%)</w:t>
            </w:r>
          </w:p>
        </w:tc>
        <w:tc>
          <w:tcPr>
            <w:tcW w:w="548" w:type="pct"/>
            <w:tcBorders>
              <w:top w:val="single" w:sz="4" w:space="0" w:color="auto"/>
              <w:left w:val="nil"/>
              <w:bottom w:val="single" w:sz="4" w:space="0" w:color="auto"/>
              <w:right w:val="single" w:sz="4" w:space="0" w:color="auto"/>
            </w:tcBorders>
            <w:shd w:val="clear" w:color="auto" w:fill="auto"/>
            <w:noWrap/>
            <w:vAlign w:val="center"/>
          </w:tcPr>
          <w:p w14:paraId="615EA231" w14:textId="77777777" w:rsidR="00EA7AC8" w:rsidRPr="00DB2303" w:rsidRDefault="00EA7AC8" w:rsidP="00D0229B">
            <w:pPr>
              <w:jc w:val="right"/>
              <w:rPr>
                <w:b/>
                <w:bCs/>
                <w:color w:val="000000"/>
                <w:sz w:val="19"/>
                <w:szCs w:val="19"/>
                <w:lang w:val="en-US" w:eastAsia="es-PE"/>
              </w:rPr>
            </w:pPr>
            <w:r w:rsidRPr="00DB2303">
              <w:rPr>
                <w:b/>
                <w:bCs/>
                <w:color w:val="000000"/>
                <w:sz w:val="19"/>
                <w:szCs w:val="19"/>
                <w:lang w:val="en-US" w:eastAsia="es-PE"/>
              </w:rPr>
              <w:t>46</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811DB4" w14:textId="77777777" w:rsidR="00EA7AC8" w:rsidRPr="00DB2303" w:rsidRDefault="00EA7AC8" w:rsidP="00D0229B">
            <w:pPr>
              <w:jc w:val="right"/>
              <w:rPr>
                <w:b/>
                <w:bCs/>
                <w:color w:val="000000"/>
                <w:sz w:val="19"/>
                <w:szCs w:val="19"/>
                <w:lang w:val="en-US" w:eastAsia="es-PE"/>
              </w:rPr>
            </w:pPr>
            <w:r w:rsidRPr="00DB2303">
              <w:rPr>
                <w:b/>
                <w:bCs/>
                <w:color w:val="000000"/>
                <w:sz w:val="19"/>
                <w:szCs w:val="19"/>
                <w:lang w:val="en-US" w:eastAsia="es-PE"/>
              </w:rPr>
              <w:t>31</w:t>
            </w:r>
          </w:p>
        </w:tc>
        <w:tc>
          <w:tcPr>
            <w:tcW w:w="563" w:type="pct"/>
            <w:tcBorders>
              <w:top w:val="single" w:sz="4" w:space="0" w:color="auto"/>
              <w:left w:val="single" w:sz="4" w:space="0" w:color="auto"/>
              <w:bottom w:val="single" w:sz="4" w:space="0" w:color="auto"/>
              <w:right w:val="single" w:sz="4" w:space="0" w:color="auto"/>
            </w:tcBorders>
          </w:tcPr>
          <w:p w14:paraId="225D2516" w14:textId="77777777" w:rsidR="00EA7AC8" w:rsidRPr="00DB2303" w:rsidRDefault="00EA7AC8" w:rsidP="00D0229B">
            <w:pPr>
              <w:jc w:val="right"/>
              <w:rPr>
                <w:b/>
                <w:bCs/>
                <w:color w:val="000000"/>
                <w:sz w:val="19"/>
                <w:szCs w:val="19"/>
                <w:lang w:val="en-US" w:eastAsia="es-PE"/>
              </w:rPr>
            </w:pPr>
            <w:r w:rsidRPr="00DB2303">
              <w:rPr>
                <w:b/>
                <w:bCs/>
                <w:color w:val="000000"/>
                <w:sz w:val="19"/>
                <w:szCs w:val="19"/>
                <w:lang w:val="en-US" w:eastAsia="es-PE"/>
              </w:rPr>
              <w:t>9</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647449" w14:textId="77777777" w:rsidR="00EA7AC8" w:rsidRPr="00DB2303" w:rsidRDefault="00EA7AC8" w:rsidP="00D0229B">
            <w:pPr>
              <w:jc w:val="right"/>
              <w:rPr>
                <w:b/>
                <w:bCs/>
                <w:color w:val="000000"/>
                <w:sz w:val="19"/>
                <w:szCs w:val="19"/>
                <w:lang w:val="en-US" w:eastAsia="es-PE"/>
              </w:rPr>
            </w:pPr>
            <w:r w:rsidRPr="00DB2303">
              <w:rPr>
                <w:b/>
                <w:bCs/>
                <w:color w:val="000000"/>
                <w:sz w:val="19"/>
                <w:szCs w:val="19"/>
                <w:lang w:val="en-US" w:eastAsia="es-PE"/>
              </w:rPr>
              <w:t>5</w:t>
            </w:r>
          </w:p>
        </w:tc>
        <w:tc>
          <w:tcPr>
            <w:tcW w:w="476" w:type="pct"/>
            <w:tcBorders>
              <w:top w:val="single" w:sz="4" w:space="0" w:color="auto"/>
              <w:left w:val="nil"/>
              <w:bottom w:val="single" w:sz="4" w:space="0" w:color="auto"/>
              <w:right w:val="single" w:sz="4" w:space="0" w:color="auto"/>
            </w:tcBorders>
            <w:shd w:val="clear" w:color="auto" w:fill="auto"/>
            <w:noWrap/>
            <w:vAlign w:val="center"/>
          </w:tcPr>
          <w:p w14:paraId="2ACE16AC" w14:textId="77777777" w:rsidR="00EA7AC8" w:rsidRPr="00DB2303" w:rsidRDefault="00EA7AC8" w:rsidP="00D0229B">
            <w:pPr>
              <w:jc w:val="right"/>
              <w:rPr>
                <w:b/>
                <w:bCs/>
                <w:color w:val="000000"/>
                <w:sz w:val="19"/>
                <w:szCs w:val="19"/>
                <w:lang w:val="en-US" w:eastAsia="es-PE"/>
              </w:rPr>
            </w:pPr>
            <w:r w:rsidRPr="00DB2303">
              <w:rPr>
                <w:b/>
                <w:bCs/>
                <w:color w:val="000000"/>
                <w:sz w:val="19"/>
                <w:szCs w:val="19"/>
                <w:lang w:val="en-US" w:eastAsia="es-PE"/>
              </w:rPr>
              <w:t>5</w:t>
            </w:r>
          </w:p>
        </w:tc>
        <w:tc>
          <w:tcPr>
            <w:tcW w:w="449" w:type="pct"/>
            <w:tcBorders>
              <w:top w:val="single" w:sz="4" w:space="0" w:color="auto"/>
              <w:left w:val="nil"/>
              <w:bottom w:val="single" w:sz="4" w:space="0" w:color="auto"/>
              <w:right w:val="single" w:sz="4" w:space="0" w:color="auto"/>
            </w:tcBorders>
            <w:shd w:val="clear" w:color="auto" w:fill="auto"/>
            <w:noWrap/>
            <w:vAlign w:val="center"/>
          </w:tcPr>
          <w:p w14:paraId="3F488B84" w14:textId="77777777" w:rsidR="00EA7AC8" w:rsidRPr="00DB2303" w:rsidRDefault="00EA7AC8" w:rsidP="00D0229B">
            <w:pPr>
              <w:jc w:val="right"/>
              <w:rPr>
                <w:b/>
                <w:bCs/>
                <w:color w:val="000000"/>
                <w:sz w:val="19"/>
                <w:szCs w:val="19"/>
                <w:lang w:val="en-US" w:eastAsia="es-PE"/>
              </w:rPr>
            </w:pPr>
            <w:r w:rsidRPr="00DB2303">
              <w:rPr>
                <w:b/>
                <w:bCs/>
                <w:color w:val="000000"/>
                <w:sz w:val="19"/>
                <w:szCs w:val="19"/>
                <w:lang w:val="en-US" w:eastAsia="es-PE"/>
              </w:rPr>
              <w:t>2</w:t>
            </w:r>
          </w:p>
        </w:tc>
        <w:tc>
          <w:tcPr>
            <w:tcW w:w="449" w:type="pct"/>
            <w:tcBorders>
              <w:top w:val="single" w:sz="4" w:space="0" w:color="auto"/>
              <w:left w:val="nil"/>
              <w:bottom w:val="single" w:sz="4" w:space="0" w:color="auto"/>
              <w:right w:val="single" w:sz="4" w:space="0" w:color="auto"/>
            </w:tcBorders>
            <w:shd w:val="clear" w:color="auto" w:fill="auto"/>
            <w:noWrap/>
            <w:vAlign w:val="center"/>
          </w:tcPr>
          <w:p w14:paraId="5D1D2849" w14:textId="77777777" w:rsidR="00EA7AC8" w:rsidRPr="00DB2303" w:rsidRDefault="00EA7AC8" w:rsidP="00D0229B">
            <w:pPr>
              <w:jc w:val="right"/>
              <w:rPr>
                <w:b/>
                <w:bCs/>
                <w:color w:val="000000"/>
                <w:sz w:val="19"/>
                <w:szCs w:val="19"/>
                <w:lang w:val="en-US" w:eastAsia="es-PE"/>
              </w:rPr>
            </w:pPr>
            <w:r w:rsidRPr="00DB2303">
              <w:rPr>
                <w:b/>
                <w:bCs/>
                <w:color w:val="000000"/>
                <w:sz w:val="19"/>
                <w:szCs w:val="19"/>
                <w:lang w:val="en-US" w:eastAsia="es-PE"/>
              </w:rPr>
              <w:t>1</w:t>
            </w:r>
          </w:p>
        </w:tc>
      </w:tr>
    </w:tbl>
    <w:p w14:paraId="74DF8853" w14:textId="77777777" w:rsidR="00EA7AC8" w:rsidRPr="00DB2303" w:rsidRDefault="00EA7AC8" w:rsidP="00EA7AC8">
      <w:pPr>
        <w:rPr>
          <w:lang w:val="en-US"/>
        </w:rPr>
      </w:pPr>
    </w:p>
    <w:p w14:paraId="3E7DCBD8" w14:textId="50C60799" w:rsidR="00EA7AC8" w:rsidRPr="00BF2A9B" w:rsidRDefault="00EA7AC8" w:rsidP="00EA7AC8">
      <w:pPr>
        <w:pStyle w:val="Heading1"/>
        <w:rPr>
          <w:rFonts w:eastAsia="SimSun"/>
          <w:lang w:eastAsia="zh-CN"/>
        </w:rPr>
      </w:pPr>
      <w:r w:rsidRPr="00BF2A9B">
        <w:rPr>
          <w:rFonts w:eastAsia="SimSun"/>
          <w:lang w:eastAsia="zh-CN"/>
        </w:rPr>
        <w:lastRenderedPageBreak/>
        <w:t xml:space="preserve">The low-GWP alternatives to HCFC-22 that could be introduced in RAC applications include: </w:t>
      </w:r>
      <w:r w:rsidR="00BF2A9B" w:rsidRPr="00BF2A9B">
        <w:rPr>
          <w:rFonts w:eastAsia="SimSun"/>
          <w:lang w:eastAsia="zh-CN"/>
        </w:rPr>
        <w:t>Hydrocarbon (</w:t>
      </w:r>
      <w:r w:rsidRPr="00BF2A9B">
        <w:rPr>
          <w:rFonts w:eastAsia="SimSun"/>
          <w:lang w:eastAsia="zh-CN"/>
        </w:rPr>
        <w:t>HC</w:t>
      </w:r>
      <w:r w:rsidR="00BF2A9B" w:rsidRPr="00BF2A9B">
        <w:rPr>
          <w:rFonts w:eastAsia="SimSun"/>
          <w:lang w:eastAsia="zh-CN"/>
        </w:rPr>
        <w:t>)</w:t>
      </w:r>
      <w:r w:rsidRPr="00BF2A9B">
        <w:rPr>
          <w:rFonts w:eastAsia="SimSun"/>
          <w:lang w:eastAsia="zh-CN"/>
        </w:rPr>
        <w:t>-based technology in residential air-conditioning and small stand-alone commercial refrigeration units; R</w:t>
      </w:r>
      <w:r w:rsidRPr="00BF2A9B">
        <w:rPr>
          <w:rFonts w:eastAsia="SimSun"/>
          <w:lang w:eastAsia="zh-CN"/>
        </w:rPr>
        <w:noBreakHyphen/>
        <w:t>744-based technology in condensing units (although it has a hi</w:t>
      </w:r>
      <w:r w:rsidR="00BF2A9B" w:rsidRPr="00BF2A9B">
        <w:rPr>
          <w:rFonts w:eastAsia="SimSun"/>
          <w:lang w:eastAsia="zh-CN"/>
        </w:rPr>
        <w:t>gher cost than</w:t>
      </w:r>
      <w:r w:rsidRPr="00BF2A9B">
        <w:rPr>
          <w:rFonts w:eastAsia="SimSun"/>
          <w:lang w:eastAsia="zh-CN"/>
        </w:rPr>
        <w:t xml:space="preserve"> HCFC</w:t>
      </w:r>
      <w:r w:rsidR="00C85260" w:rsidRPr="00BF2A9B">
        <w:rPr>
          <w:rFonts w:eastAsia="SimSun"/>
          <w:lang w:eastAsia="zh-CN"/>
        </w:rPr>
        <w:noBreakHyphen/>
      </w:r>
      <w:r w:rsidRPr="00BF2A9B">
        <w:rPr>
          <w:rFonts w:eastAsia="SimSun"/>
          <w:lang w:eastAsia="zh-CN"/>
        </w:rPr>
        <w:t>22-based systems); indirect combined systems of HC (or R-717) with R-744 for centralized systems, subject to safety regulations (currently, there are HFC/R</w:t>
      </w:r>
      <w:r w:rsidRPr="00BF2A9B">
        <w:rPr>
          <w:rFonts w:eastAsia="SimSun"/>
          <w:lang w:eastAsia="zh-CN"/>
        </w:rPr>
        <w:noBreakHyphen/>
        <w:t>744 systems in the market); and HC in chillers, subject to regulation.</w:t>
      </w:r>
    </w:p>
    <w:p w14:paraId="7B01E253" w14:textId="77777777" w:rsidR="00BC3C90" w:rsidRPr="00BF2A9B" w:rsidRDefault="00BC3C90" w:rsidP="00BC3C90">
      <w:pPr>
        <w:pStyle w:val="Heading1"/>
        <w:rPr>
          <w:rFonts w:eastAsia="SimSun"/>
          <w:lang w:eastAsia="zh-CN"/>
        </w:rPr>
      </w:pPr>
      <w:r w:rsidRPr="00BF2A9B">
        <w:rPr>
          <w:rFonts w:eastAsia="SimSun"/>
          <w:lang w:eastAsia="zh-CN"/>
        </w:rPr>
        <w:t>The most common HCFC replacements in the market are high-GWP-based refrigerants (HFC</w:t>
      </w:r>
      <w:r w:rsidRPr="00BF2A9B">
        <w:rPr>
          <w:rFonts w:eastAsia="SimSun"/>
          <w:lang w:eastAsia="zh-CN"/>
        </w:rPr>
        <w:noBreakHyphen/>
        <w:t>134a, R-404A, R-410A, R-507, R-407C), except in the domestic refrigeration sector, where almost all new equipment contains R-600a. The main barriers to introducing some of the low-GWP refrigerants are cost and availability (HFO). The expanded use of HC refrigerants will be supported by the availability of safety regulations. Stage II will focus on putting in place the conditions for the safe introduction of low</w:t>
      </w:r>
      <w:r w:rsidR="00C85260" w:rsidRPr="00BF2A9B">
        <w:rPr>
          <w:rFonts w:eastAsia="SimSun"/>
          <w:lang w:eastAsia="zh-CN"/>
        </w:rPr>
        <w:noBreakHyphen/>
      </w:r>
      <w:r w:rsidRPr="00BF2A9B">
        <w:rPr>
          <w:rFonts w:eastAsia="SimSun"/>
          <w:lang w:eastAsia="zh-CN"/>
        </w:rPr>
        <w:t>GWP refrigerants.</w:t>
      </w:r>
    </w:p>
    <w:p w14:paraId="12548796" w14:textId="77777777" w:rsidR="006D5A7C" w:rsidRPr="00DB2303" w:rsidRDefault="00AB10EE" w:rsidP="0023662F">
      <w:pPr>
        <w:pStyle w:val="Heading1"/>
        <w:rPr>
          <w:lang w:val="en-CA"/>
        </w:rPr>
      </w:pPr>
      <w:r w:rsidRPr="00BF2A9B">
        <w:rPr>
          <w:lang w:val="en-CA"/>
        </w:rPr>
        <w:t xml:space="preserve">HCFC-141b </w:t>
      </w:r>
      <w:r w:rsidR="00DE40FB" w:rsidRPr="00BF2A9B">
        <w:rPr>
          <w:lang w:val="en-CA"/>
        </w:rPr>
        <w:t xml:space="preserve">is </w:t>
      </w:r>
      <w:r w:rsidR="008315F8" w:rsidRPr="00BF2A9B">
        <w:rPr>
          <w:lang w:val="en-CA"/>
        </w:rPr>
        <w:t xml:space="preserve">contained in </w:t>
      </w:r>
      <w:r w:rsidR="004C7D13" w:rsidRPr="00BF2A9B">
        <w:rPr>
          <w:lang w:val="en-CA"/>
        </w:rPr>
        <w:t xml:space="preserve">imported </w:t>
      </w:r>
      <w:r w:rsidR="008315F8" w:rsidRPr="00BF2A9B">
        <w:rPr>
          <w:lang w:val="en-CA"/>
        </w:rPr>
        <w:t>pre-blended polyol</w:t>
      </w:r>
      <w:r w:rsidR="00DE40FB" w:rsidRPr="00BF2A9B">
        <w:rPr>
          <w:lang w:val="en-CA"/>
        </w:rPr>
        <w:t>s</w:t>
      </w:r>
      <w:r w:rsidR="008315F8" w:rsidRPr="00BF2A9B">
        <w:rPr>
          <w:lang w:val="en-CA"/>
        </w:rPr>
        <w:t xml:space="preserve"> and is consumed by several PU foam</w:t>
      </w:r>
      <w:r w:rsidR="008315F8" w:rsidRPr="00DB2303">
        <w:rPr>
          <w:lang w:val="en-CA"/>
        </w:rPr>
        <w:t xml:space="preserve"> enterprises, some of them small and medium</w:t>
      </w:r>
      <w:r w:rsidR="00AB2F65" w:rsidRPr="00DB2303">
        <w:rPr>
          <w:lang w:val="en-CA"/>
        </w:rPr>
        <w:t>-</w:t>
      </w:r>
      <w:r w:rsidR="008315F8" w:rsidRPr="00DB2303">
        <w:rPr>
          <w:lang w:val="en-CA"/>
        </w:rPr>
        <w:t>sized.</w:t>
      </w:r>
      <w:r w:rsidR="00AB2F65" w:rsidRPr="00DB2303">
        <w:rPr>
          <w:lang w:val="en-CA"/>
        </w:rPr>
        <w:t xml:space="preserve"> </w:t>
      </w:r>
      <w:r w:rsidR="005E0C55" w:rsidRPr="00DB2303">
        <w:rPr>
          <w:lang w:val="en-CA"/>
        </w:rPr>
        <w:t xml:space="preserve">PU foam products are </w:t>
      </w:r>
      <w:r w:rsidR="004C7D13">
        <w:rPr>
          <w:lang w:val="en-CA"/>
        </w:rPr>
        <w:t xml:space="preserve">entirely </w:t>
      </w:r>
      <w:r w:rsidR="005E0C55" w:rsidRPr="00DB2303">
        <w:rPr>
          <w:lang w:val="en-CA"/>
        </w:rPr>
        <w:t>dependent on the import of polyols from foreign system</w:t>
      </w:r>
      <w:r w:rsidR="00DE40FB" w:rsidRPr="00DB2303">
        <w:rPr>
          <w:lang w:val="en-CA"/>
        </w:rPr>
        <w:t>s</w:t>
      </w:r>
      <w:r w:rsidR="005E0C55" w:rsidRPr="00DB2303">
        <w:rPr>
          <w:lang w:val="en-CA"/>
        </w:rPr>
        <w:t xml:space="preserve"> houses</w:t>
      </w:r>
      <w:r w:rsidR="004C7D13">
        <w:rPr>
          <w:lang w:val="en-CA"/>
        </w:rPr>
        <w:t xml:space="preserve">, which are mainly supplying HFC-based </w:t>
      </w:r>
      <w:r w:rsidR="005E0C55" w:rsidRPr="00DB2303">
        <w:rPr>
          <w:lang w:val="en-CA"/>
        </w:rPr>
        <w:t>polyols</w:t>
      </w:r>
      <w:r w:rsidR="004C7D13">
        <w:rPr>
          <w:lang w:val="en-CA"/>
        </w:rPr>
        <w:t xml:space="preserve"> systems. </w:t>
      </w:r>
      <w:r w:rsidR="005E0C55" w:rsidRPr="00DB2303">
        <w:rPr>
          <w:lang w:val="en-CA"/>
        </w:rPr>
        <w:t>Given the current circumstances, t</w:t>
      </w:r>
      <w:r w:rsidRPr="00DB2303">
        <w:rPr>
          <w:lang w:val="en-CA"/>
        </w:rPr>
        <w:t>he Government of Peru has decided not to</w:t>
      </w:r>
      <w:r w:rsidR="00AB2F65" w:rsidRPr="00DB2303">
        <w:rPr>
          <w:lang w:val="en-CA"/>
        </w:rPr>
        <w:t xml:space="preserve"> include in the submission </w:t>
      </w:r>
      <w:r w:rsidRPr="00DB2303">
        <w:rPr>
          <w:lang w:val="en-CA"/>
        </w:rPr>
        <w:t xml:space="preserve">a </w:t>
      </w:r>
      <w:r w:rsidR="005E0C55" w:rsidRPr="00DB2303">
        <w:rPr>
          <w:lang w:val="en-CA"/>
        </w:rPr>
        <w:t xml:space="preserve">project to </w:t>
      </w:r>
      <w:r w:rsidRPr="00DB2303">
        <w:rPr>
          <w:lang w:val="en-CA"/>
        </w:rPr>
        <w:t>phase out HCFC-141b in polyols</w:t>
      </w:r>
      <w:r w:rsidR="005E0C55" w:rsidRPr="00DB2303">
        <w:rPr>
          <w:lang w:val="en-CA"/>
        </w:rPr>
        <w:t xml:space="preserve">, but intends to </w:t>
      </w:r>
      <w:r w:rsidRPr="00DB2303">
        <w:rPr>
          <w:lang w:val="en-CA"/>
        </w:rPr>
        <w:t xml:space="preserve">submit </w:t>
      </w:r>
      <w:r w:rsidR="004C7D13">
        <w:rPr>
          <w:lang w:val="en-CA"/>
        </w:rPr>
        <w:t>a</w:t>
      </w:r>
      <w:r w:rsidRPr="00DB2303">
        <w:rPr>
          <w:lang w:val="en-CA"/>
        </w:rPr>
        <w:t xml:space="preserve"> </w:t>
      </w:r>
      <w:r w:rsidR="005E0C55" w:rsidRPr="00DB2303">
        <w:rPr>
          <w:lang w:val="en-CA"/>
        </w:rPr>
        <w:t xml:space="preserve">PU foam sector plan </w:t>
      </w:r>
      <w:r w:rsidRPr="00DB2303">
        <w:rPr>
          <w:lang w:val="en-CA"/>
        </w:rPr>
        <w:t>by 2020.</w:t>
      </w:r>
    </w:p>
    <w:p w14:paraId="4FE23BAA" w14:textId="77777777" w:rsidR="002C6E10" w:rsidRPr="00DB2303" w:rsidRDefault="002C6E10" w:rsidP="0023662F">
      <w:pPr>
        <w:rPr>
          <w:b/>
        </w:rPr>
      </w:pPr>
      <w:r w:rsidRPr="00DB2303">
        <w:rPr>
          <w:b/>
        </w:rPr>
        <w:t>Proposed activities in stage II of the HPMP</w:t>
      </w:r>
    </w:p>
    <w:p w14:paraId="3517CF1C" w14:textId="77777777" w:rsidR="002C6E10" w:rsidRPr="00DB2303" w:rsidRDefault="002C6E10" w:rsidP="0023662F">
      <w:pPr>
        <w:rPr>
          <w:b/>
        </w:rPr>
      </w:pPr>
    </w:p>
    <w:p w14:paraId="6D7143A7" w14:textId="77777777" w:rsidR="002C6E10" w:rsidRPr="004C7D13" w:rsidRDefault="00FB3972" w:rsidP="0023662F">
      <w:pPr>
        <w:pStyle w:val="Heading1"/>
        <w:rPr>
          <w:lang w:val="en-US"/>
        </w:rPr>
      </w:pPr>
      <w:r w:rsidRPr="00DB2303">
        <w:t xml:space="preserve">Stage II of the HPMP includes activities in the refrigeration servicing sector </w:t>
      </w:r>
      <w:r w:rsidR="004C7D13">
        <w:t xml:space="preserve">only </w:t>
      </w:r>
      <w:r w:rsidRPr="00DB2303">
        <w:t>to achieve</w:t>
      </w:r>
      <w:r w:rsidR="002C6E10" w:rsidRPr="004C7D13">
        <w:rPr>
          <w:lang w:val="en-US"/>
        </w:rPr>
        <w:t xml:space="preserve"> 67.5</w:t>
      </w:r>
      <w:r w:rsidR="00723D78">
        <w:rPr>
          <w:lang w:val="en-US"/>
        </w:rPr>
        <w:t> </w:t>
      </w:r>
      <w:r w:rsidR="002C6E10" w:rsidRPr="004C7D13">
        <w:rPr>
          <w:lang w:val="en-US"/>
        </w:rPr>
        <w:t>per cent reduction in the consumption of HCFCs</w:t>
      </w:r>
      <w:r w:rsidR="00505C21" w:rsidRPr="004C7D13">
        <w:rPr>
          <w:lang w:val="en-US"/>
        </w:rPr>
        <w:t xml:space="preserve"> in 2025</w:t>
      </w:r>
      <w:r w:rsidR="002C6E10" w:rsidRPr="004C7D13">
        <w:rPr>
          <w:lang w:val="en-US"/>
        </w:rPr>
        <w:t xml:space="preserve">, with respect to the baseline </w:t>
      </w:r>
      <w:r w:rsidR="004C7D13" w:rsidRPr="004C7D13">
        <w:rPr>
          <w:lang w:val="en-US"/>
        </w:rPr>
        <w:t>for</w:t>
      </w:r>
      <w:r w:rsidRPr="004C7D13">
        <w:rPr>
          <w:lang w:val="en-US"/>
        </w:rPr>
        <w:t xml:space="preserve"> compliance</w:t>
      </w:r>
      <w:r w:rsidR="002C6E10" w:rsidRPr="004C7D13">
        <w:rPr>
          <w:lang w:val="en-US"/>
        </w:rPr>
        <w:t>.</w:t>
      </w:r>
      <w:r w:rsidR="004C7D13" w:rsidRPr="004C7D13">
        <w:rPr>
          <w:lang w:val="en-US"/>
        </w:rPr>
        <w:t xml:space="preserve"> These </w:t>
      </w:r>
      <w:r w:rsidR="004C7D13">
        <w:rPr>
          <w:lang w:val="en-US"/>
        </w:rPr>
        <w:t>a</w:t>
      </w:r>
      <w:r w:rsidR="00AF4DAC" w:rsidRPr="004C7D13">
        <w:rPr>
          <w:lang w:val="en-US"/>
        </w:rPr>
        <w:t xml:space="preserve">ctivities </w:t>
      </w:r>
      <w:r w:rsidR="00505C21" w:rsidRPr="004C7D13">
        <w:rPr>
          <w:lang w:val="en-US"/>
        </w:rPr>
        <w:t xml:space="preserve">aim to </w:t>
      </w:r>
      <w:r w:rsidR="00AF4DAC" w:rsidRPr="004C7D13">
        <w:rPr>
          <w:lang w:val="en-US"/>
        </w:rPr>
        <w:t>i</w:t>
      </w:r>
      <w:r w:rsidR="002C6E10" w:rsidRPr="004C7D13">
        <w:rPr>
          <w:lang w:val="en-US"/>
        </w:rPr>
        <w:t>mprove skills and handling of tools and equipment for the safe</w:t>
      </w:r>
      <w:r w:rsidR="004C7D13">
        <w:rPr>
          <w:lang w:val="en-US"/>
        </w:rPr>
        <w:t xml:space="preserve"> </w:t>
      </w:r>
      <w:r w:rsidR="00723D78">
        <w:rPr>
          <w:lang w:val="en-US"/>
        </w:rPr>
        <w:t>management</w:t>
      </w:r>
      <w:r w:rsidR="004C7D13">
        <w:rPr>
          <w:lang w:val="en-US"/>
        </w:rPr>
        <w:t xml:space="preserve"> of refrigerants; </w:t>
      </w:r>
      <w:r w:rsidR="00AF4DAC" w:rsidRPr="004C7D13">
        <w:rPr>
          <w:lang w:val="en-US"/>
        </w:rPr>
        <w:t>a</w:t>
      </w:r>
      <w:r w:rsidR="002C6E10" w:rsidRPr="004C7D13">
        <w:rPr>
          <w:lang w:val="en-US"/>
        </w:rPr>
        <w:t>dopt and enforce national policies, legal requirements and voluntary initiatives aim</w:t>
      </w:r>
      <w:r w:rsidR="006B085A" w:rsidRPr="004C7D13">
        <w:rPr>
          <w:lang w:val="en-US"/>
        </w:rPr>
        <w:t xml:space="preserve">ed at </w:t>
      </w:r>
      <w:r w:rsidR="002C6E10" w:rsidRPr="004C7D13">
        <w:rPr>
          <w:lang w:val="en-US"/>
        </w:rPr>
        <w:t>reduc</w:t>
      </w:r>
      <w:r w:rsidR="006B085A" w:rsidRPr="004C7D13">
        <w:rPr>
          <w:lang w:val="en-US"/>
        </w:rPr>
        <w:t>ing</w:t>
      </w:r>
      <w:r w:rsidR="002C6E10" w:rsidRPr="004C7D13">
        <w:rPr>
          <w:lang w:val="en-US"/>
        </w:rPr>
        <w:t xml:space="preserve"> refrigerant emissions</w:t>
      </w:r>
      <w:r w:rsidR="001447AE" w:rsidRPr="004C7D13">
        <w:rPr>
          <w:lang w:val="en-US"/>
        </w:rPr>
        <w:t>;</w:t>
      </w:r>
      <w:r w:rsidR="00AF4DAC" w:rsidRPr="004C7D13">
        <w:rPr>
          <w:lang w:val="en-US"/>
        </w:rPr>
        <w:t xml:space="preserve"> </w:t>
      </w:r>
      <w:r w:rsidR="006B085A" w:rsidRPr="004C7D13">
        <w:rPr>
          <w:lang w:val="en-US"/>
        </w:rPr>
        <w:t xml:space="preserve">adopt </w:t>
      </w:r>
      <w:r w:rsidR="00AF4DAC" w:rsidRPr="004C7D13">
        <w:rPr>
          <w:lang w:val="en-US"/>
        </w:rPr>
        <w:t>e</w:t>
      </w:r>
      <w:r w:rsidR="002C6E10" w:rsidRPr="004C7D13">
        <w:rPr>
          <w:lang w:val="en-US"/>
        </w:rPr>
        <w:t>nvironmentally sound end-of-life procedures for ODS</w:t>
      </w:r>
      <w:r w:rsidR="006B085A" w:rsidRPr="004C7D13">
        <w:rPr>
          <w:lang w:val="en-US"/>
        </w:rPr>
        <w:t>-</w:t>
      </w:r>
      <w:r w:rsidR="002C6E10" w:rsidRPr="004C7D13">
        <w:rPr>
          <w:lang w:val="en-US"/>
        </w:rPr>
        <w:t>based equipment according to national regulations</w:t>
      </w:r>
      <w:r w:rsidR="001447AE" w:rsidRPr="004C7D13">
        <w:rPr>
          <w:lang w:val="en-US"/>
        </w:rPr>
        <w:t>; and</w:t>
      </w:r>
      <w:r w:rsidR="00AF4DAC" w:rsidRPr="004C7D13">
        <w:rPr>
          <w:lang w:val="en-US"/>
        </w:rPr>
        <w:t xml:space="preserve"> i</w:t>
      </w:r>
      <w:r w:rsidR="002C6E10" w:rsidRPr="004C7D13">
        <w:rPr>
          <w:lang w:val="en-US"/>
        </w:rPr>
        <w:t>ncrease awareness of end</w:t>
      </w:r>
      <w:r w:rsidR="00AF4DAC" w:rsidRPr="004C7D13">
        <w:rPr>
          <w:lang w:val="en-US"/>
        </w:rPr>
        <w:t>-</w:t>
      </w:r>
      <w:r w:rsidR="002C6E10" w:rsidRPr="004C7D13">
        <w:rPr>
          <w:lang w:val="en-US"/>
        </w:rPr>
        <w:t>users to reduce HCFC consumption and adopt low</w:t>
      </w:r>
      <w:r w:rsidR="00395500" w:rsidRPr="004C7D13">
        <w:rPr>
          <w:lang w:val="en-US"/>
        </w:rPr>
        <w:t>-</w:t>
      </w:r>
      <w:r w:rsidR="002C6E10" w:rsidRPr="004C7D13">
        <w:rPr>
          <w:lang w:val="en-US"/>
        </w:rPr>
        <w:t>GWP alternatives.</w:t>
      </w:r>
      <w:r w:rsidR="00AF4DAC" w:rsidRPr="004C7D13">
        <w:rPr>
          <w:lang w:val="en-US"/>
        </w:rPr>
        <w:t xml:space="preserve"> </w:t>
      </w:r>
    </w:p>
    <w:p w14:paraId="2D3D5FBF" w14:textId="77777777" w:rsidR="00D26FFB" w:rsidRPr="00DB2303" w:rsidRDefault="00D26FFB" w:rsidP="00D26FFB">
      <w:pPr>
        <w:pStyle w:val="Heading2"/>
        <w:numPr>
          <w:ilvl w:val="0"/>
          <w:numId w:val="0"/>
        </w:numPr>
        <w:rPr>
          <w:u w:val="single"/>
        </w:rPr>
      </w:pPr>
      <w:r w:rsidRPr="00DB2303">
        <w:rPr>
          <w:u w:val="single"/>
        </w:rPr>
        <w:t>Strengthening the legal and institutional sectors (UNEP) (</w:t>
      </w:r>
      <w:r>
        <w:rPr>
          <w:u w:val="single"/>
        </w:rPr>
        <w:t>US $</w:t>
      </w:r>
      <w:r w:rsidRPr="00DB2303">
        <w:rPr>
          <w:u w:val="single"/>
        </w:rPr>
        <w:t xml:space="preserve">208,000) </w:t>
      </w:r>
    </w:p>
    <w:p w14:paraId="268EE274" w14:textId="77777777" w:rsidR="00D26FFB" w:rsidRPr="00DB2303" w:rsidRDefault="00D26FFB" w:rsidP="00D26FFB">
      <w:pPr>
        <w:pStyle w:val="Heading1"/>
        <w:rPr>
          <w:rFonts w:eastAsia="SimSun"/>
          <w:lang w:eastAsia="zh-CN"/>
        </w:rPr>
      </w:pPr>
      <w:r w:rsidRPr="00DB2303">
        <w:rPr>
          <w:rFonts w:eastAsia="SimSun"/>
          <w:lang w:eastAsia="zh-CN"/>
        </w:rPr>
        <w:t>The activities include:</w:t>
      </w:r>
    </w:p>
    <w:p w14:paraId="52923B3B" w14:textId="25F4DF78" w:rsidR="00D26FFB" w:rsidRPr="00457D02" w:rsidRDefault="00D26FFB" w:rsidP="00A53E66">
      <w:pPr>
        <w:pStyle w:val="Heading2"/>
      </w:pPr>
      <w:r w:rsidRPr="00DB2303">
        <w:rPr>
          <w:rFonts w:eastAsia="SimSun"/>
          <w:i/>
          <w:lang w:eastAsia="zh-CN"/>
        </w:rPr>
        <w:t xml:space="preserve">Strengthening </w:t>
      </w:r>
      <w:r w:rsidRPr="00457D02">
        <w:rPr>
          <w:rFonts w:eastAsia="SimSun"/>
          <w:i/>
          <w:lang w:eastAsia="zh-CN"/>
        </w:rPr>
        <w:t xml:space="preserve">of policies and legal framework to control HCFC consumption (US $59,000): </w:t>
      </w:r>
      <w:r w:rsidRPr="00457D02">
        <w:rPr>
          <w:rFonts w:eastAsia="SimSun"/>
          <w:lang w:eastAsia="zh-CN"/>
        </w:rPr>
        <w:t>I</w:t>
      </w:r>
      <w:r w:rsidRPr="00457D02">
        <w:t xml:space="preserve">mplementation of an updated legal framework to support the HCFC compliance strategy; updated quota and license system for HCFC import and export; </w:t>
      </w:r>
      <w:r w:rsidR="00604B35" w:rsidRPr="00457D02">
        <w:t>i</w:t>
      </w:r>
      <w:r w:rsidR="00A53E66" w:rsidRPr="00457D02">
        <w:t>mprov</w:t>
      </w:r>
      <w:r w:rsidR="00457D02" w:rsidRPr="00457D02">
        <w:t>ing</w:t>
      </w:r>
      <w:r w:rsidR="00A53E66" w:rsidRPr="00457D02">
        <w:t xml:space="preserve"> the </w:t>
      </w:r>
      <w:r w:rsidR="00D04BB2" w:rsidRPr="00457D02">
        <w:t>application o</w:t>
      </w:r>
      <w:r w:rsidR="00A53E66" w:rsidRPr="00457D02">
        <w:t xml:space="preserve">f the harmonized customs code; </w:t>
      </w:r>
      <w:r w:rsidR="00F02158" w:rsidRPr="00457D02">
        <w:t xml:space="preserve">delivery of four refrigerant identifiers (with refrigerant blend capabilities); and training of 160 custom </w:t>
      </w:r>
      <w:r w:rsidRPr="00457D02">
        <w:t xml:space="preserve">officials directly involved in import procedures for HCFCs and HCFC-based equipment;  </w:t>
      </w:r>
    </w:p>
    <w:p w14:paraId="4EF71E06" w14:textId="77777777" w:rsidR="00D26FFB" w:rsidRPr="00457D02" w:rsidRDefault="00D26FFB" w:rsidP="00D26FFB">
      <w:pPr>
        <w:pStyle w:val="Heading2"/>
      </w:pPr>
      <w:r w:rsidRPr="00457D02">
        <w:rPr>
          <w:i/>
        </w:rPr>
        <w:t xml:space="preserve">Implementation of a certification system for technicians in the RAC sector (US $99,000): </w:t>
      </w:r>
      <w:r w:rsidRPr="00457D02">
        <w:t xml:space="preserve">Establishing a permanent and operational technical certification system in the country; organizing regional visits to gain experience; creating an awareness campaign on the certification process and certifying </w:t>
      </w:r>
      <w:r w:rsidR="00C16E10" w:rsidRPr="00457D02">
        <w:t xml:space="preserve">the first </w:t>
      </w:r>
      <w:r w:rsidRPr="00457D02">
        <w:t>300 technicians in RAC</w:t>
      </w:r>
      <w:r w:rsidR="00C16E10" w:rsidRPr="00457D02">
        <w:t xml:space="preserve"> under the new scheme;</w:t>
      </w:r>
      <w:r w:rsidR="00C85260" w:rsidRPr="00457D02">
        <w:t xml:space="preserve"> and</w:t>
      </w:r>
    </w:p>
    <w:p w14:paraId="7947B2FA" w14:textId="6385EF8C" w:rsidR="00D26FFB" w:rsidRPr="00457D02" w:rsidRDefault="00D26FFB" w:rsidP="00D26FFB">
      <w:pPr>
        <w:pStyle w:val="Heading2"/>
      </w:pPr>
      <w:r w:rsidRPr="00457D02">
        <w:rPr>
          <w:i/>
        </w:rPr>
        <w:lastRenderedPageBreak/>
        <w:t xml:space="preserve">Adoption and implementation of safety standards/guidelines for flammable refrigerants (US $50,000): </w:t>
      </w:r>
      <w:r w:rsidR="007F6122" w:rsidRPr="00457D02">
        <w:t>Assessing the local needs for standards and guidelines for the application of flammable refrigerants; developing</w:t>
      </w:r>
      <w:r w:rsidR="00F23147" w:rsidRPr="00457D02">
        <w:t xml:space="preserve"> technical guidelines </w:t>
      </w:r>
      <w:r w:rsidRPr="00457D02">
        <w:t xml:space="preserve">for the safe use/retrofit of </w:t>
      </w:r>
      <w:r w:rsidR="007F6122" w:rsidRPr="00457D02">
        <w:t>RAC</w:t>
      </w:r>
      <w:r w:rsidRPr="00457D02">
        <w:t xml:space="preserve"> equipment with flammable refrigerants (i.e., conditions for the installation, operation and servicing of refrigeration equipment); </w:t>
      </w:r>
      <w:r w:rsidR="007F6122" w:rsidRPr="00457D02">
        <w:t>and producing 500 copies of the guidelines</w:t>
      </w:r>
      <w:r w:rsidR="00F23147" w:rsidRPr="00457D02">
        <w:t xml:space="preserve"> d</w:t>
      </w:r>
      <w:r w:rsidR="00457D02" w:rsidRPr="00457D02">
        <w:t xml:space="preserve">eveloped, which </w:t>
      </w:r>
      <w:r w:rsidR="007F6122" w:rsidRPr="00457D02">
        <w:t xml:space="preserve">will </w:t>
      </w:r>
      <w:r w:rsidR="00457D02" w:rsidRPr="00457D02">
        <w:t xml:space="preserve">also </w:t>
      </w:r>
      <w:r w:rsidR="007F6122" w:rsidRPr="00457D02">
        <w:t xml:space="preserve">support the </w:t>
      </w:r>
      <w:r w:rsidRPr="00457D02">
        <w:t xml:space="preserve">implementation of </w:t>
      </w:r>
      <w:r w:rsidR="007F6122" w:rsidRPr="00457D02">
        <w:t xml:space="preserve">the other </w:t>
      </w:r>
      <w:r w:rsidRPr="00457D02">
        <w:t>projects</w:t>
      </w:r>
      <w:r w:rsidR="00C16E10" w:rsidRPr="00457D02">
        <w:t xml:space="preserve"> in the RAC servicing sector </w:t>
      </w:r>
      <w:r w:rsidR="007F6122" w:rsidRPr="00457D02">
        <w:t>in stage II</w:t>
      </w:r>
      <w:r w:rsidRPr="00457D02">
        <w:t>.</w:t>
      </w:r>
    </w:p>
    <w:p w14:paraId="4EAA291D" w14:textId="77777777" w:rsidR="00AF4DAC" w:rsidRPr="00DB2303" w:rsidRDefault="00EE64DA" w:rsidP="0023662F">
      <w:pPr>
        <w:pStyle w:val="Heading1"/>
        <w:keepNext/>
        <w:numPr>
          <w:ilvl w:val="0"/>
          <w:numId w:val="0"/>
        </w:numPr>
        <w:rPr>
          <w:u w:val="single"/>
        </w:rPr>
      </w:pPr>
      <w:r w:rsidRPr="00DB2303">
        <w:rPr>
          <w:u w:val="single"/>
          <w:lang w:val="en-US" w:eastAsia="es-CO"/>
        </w:rPr>
        <w:t>RAC</w:t>
      </w:r>
      <w:r w:rsidR="00BB19C9" w:rsidRPr="00DB2303">
        <w:rPr>
          <w:u w:val="single"/>
          <w:lang w:val="en-US" w:eastAsia="es-CO"/>
        </w:rPr>
        <w:t xml:space="preserve"> </w:t>
      </w:r>
      <w:r w:rsidR="00AF4DAC" w:rsidRPr="00DB2303">
        <w:rPr>
          <w:u w:val="single"/>
          <w:lang w:val="en-US" w:eastAsia="es-CO"/>
        </w:rPr>
        <w:t xml:space="preserve">servicing </w:t>
      </w:r>
      <w:r w:rsidR="00BB19C9" w:rsidRPr="00DB2303">
        <w:rPr>
          <w:u w:val="single"/>
          <w:lang w:val="en-US" w:eastAsia="es-CO"/>
        </w:rPr>
        <w:t>sector</w:t>
      </w:r>
      <w:r w:rsidR="00FC375B" w:rsidRPr="00DB2303">
        <w:rPr>
          <w:u w:val="single"/>
          <w:lang w:val="en-US" w:eastAsia="es-CO"/>
        </w:rPr>
        <w:t xml:space="preserve"> (UNDP</w:t>
      </w:r>
      <w:r w:rsidR="00CF3E56" w:rsidRPr="00DB2303">
        <w:rPr>
          <w:u w:val="single"/>
          <w:lang w:val="en-US" w:eastAsia="es-CO"/>
        </w:rPr>
        <w:t>)</w:t>
      </w:r>
      <w:r w:rsidR="00FC375B" w:rsidRPr="00DB2303">
        <w:rPr>
          <w:u w:val="single"/>
          <w:lang w:val="en-US" w:eastAsia="es-CO"/>
        </w:rPr>
        <w:t xml:space="preserve"> </w:t>
      </w:r>
      <w:r w:rsidR="00CF3E56" w:rsidRPr="00DB2303">
        <w:rPr>
          <w:u w:val="single"/>
          <w:lang w:val="en-US" w:eastAsia="es-CO"/>
        </w:rPr>
        <w:t>(</w:t>
      </w:r>
      <w:r w:rsidR="00682B63">
        <w:rPr>
          <w:u w:val="single"/>
          <w:lang w:val="en-US" w:eastAsia="es-CO"/>
        </w:rPr>
        <w:t>US $</w:t>
      </w:r>
      <w:r w:rsidR="00FC375B" w:rsidRPr="00DB2303">
        <w:rPr>
          <w:u w:val="single"/>
          <w:lang w:val="en-US" w:eastAsia="es-CO"/>
        </w:rPr>
        <w:t>891,175)</w:t>
      </w:r>
    </w:p>
    <w:p w14:paraId="70F826F5" w14:textId="77777777" w:rsidR="00B2072B" w:rsidRPr="00DB2303" w:rsidRDefault="00CF3E56" w:rsidP="0023662F">
      <w:pPr>
        <w:pStyle w:val="Heading1"/>
        <w:keepNext/>
      </w:pPr>
      <w:r w:rsidRPr="00DB2303">
        <w:t>The activities include</w:t>
      </w:r>
      <w:r w:rsidR="00B2072B" w:rsidRPr="00DB2303">
        <w:t>:</w:t>
      </w:r>
    </w:p>
    <w:p w14:paraId="7AFB74A5" w14:textId="6A88F719" w:rsidR="00D0229B" w:rsidRPr="00FE4103" w:rsidRDefault="00D0229B" w:rsidP="00D0229B">
      <w:pPr>
        <w:pStyle w:val="Heading2"/>
        <w:rPr>
          <w:i/>
        </w:rPr>
      </w:pPr>
      <w:r>
        <w:rPr>
          <w:i/>
          <w:color w:val="000000"/>
          <w:lang w:val="en-US" w:eastAsia="es-CO"/>
        </w:rPr>
        <w:t>G</w:t>
      </w:r>
      <w:r w:rsidRPr="00DB2303">
        <w:rPr>
          <w:i/>
          <w:color w:val="000000"/>
          <w:lang w:val="en-US" w:eastAsia="es-CO"/>
        </w:rPr>
        <w:t>ood refrigeration practices and procedures in the use of low-GWP refrigerants</w:t>
      </w:r>
      <w:r w:rsidRPr="00DB2303">
        <w:rPr>
          <w:i/>
          <w:lang w:val="en-US"/>
        </w:rPr>
        <w:t xml:space="preserve"> (</w:t>
      </w:r>
      <w:r>
        <w:rPr>
          <w:i/>
          <w:lang w:val="en-US"/>
        </w:rPr>
        <w:t>US $</w:t>
      </w:r>
      <w:r w:rsidRPr="00DB2303">
        <w:rPr>
          <w:i/>
          <w:lang w:val="en-US"/>
        </w:rPr>
        <w:t>161,800)</w:t>
      </w:r>
      <w:r w:rsidRPr="00DB2303">
        <w:rPr>
          <w:i/>
          <w:color w:val="000000"/>
          <w:lang w:val="en-US" w:eastAsia="es-CO"/>
        </w:rPr>
        <w:t>:</w:t>
      </w:r>
      <w:r w:rsidR="00233AA5">
        <w:rPr>
          <w:lang w:eastAsia="es-CO"/>
        </w:rPr>
        <w:t xml:space="preserve"> T</w:t>
      </w:r>
      <w:r w:rsidRPr="00DB2303">
        <w:rPr>
          <w:lang w:eastAsia="es-CO"/>
        </w:rPr>
        <w:t>raining of 400 technicians in good refrigeration practices and proper handling of</w:t>
      </w:r>
      <w:r>
        <w:rPr>
          <w:lang w:eastAsia="es-CO"/>
        </w:rPr>
        <w:t xml:space="preserve"> </w:t>
      </w:r>
      <w:r w:rsidRPr="00FE4103">
        <w:rPr>
          <w:lang w:eastAsia="es-CO"/>
        </w:rPr>
        <w:t>HC refrigerants, including the demonstration of safe procedures</w:t>
      </w:r>
      <w:r w:rsidR="00DF4F0A" w:rsidRPr="00FE4103">
        <w:rPr>
          <w:lang w:eastAsia="es-CO"/>
        </w:rPr>
        <w:t xml:space="preserve"> to retrofit HCFC-22-based equipment to HCs</w:t>
      </w:r>
      <w:r w:rsidRPr="00FE4103">
        <w:rPr>
          <w:lang w:eastAsia="es-CO"/>
        </w:rPr>
        <w:t>; and distribution of 35 tool kits</w:t>
      </w:r>
      <w:r w:rsidRPr="00FE4103">
        <w:rPr>
          <w:rStyle w:val="FootnoteReference"/>
          <w:lang w:eastAsia="es-CO"/>
        </w:rPr>
        <w:footnoteReference w:id="4"/>
      </w:r>
      <w:r w:rsidRPr="00FE4103">
        <w:rPr>
          <w:lang w:eastAsia="es-CO"/>
        </w:rPr>
        <w:t xml:space="preserve"> to technicians and servicing workshops;</w:t>
      </w:r>
    </w:p>
    <w:p w14:paraId="1BB6D0A9" w14:textId="29957090" w:rsidR="00D0229B" w:rsidRPr="00FE4103" w:rsidRDefault="00D0229B" w:rsidP="00D0229B">
      <w:pPr>
        <w:pStyle w:val="Heading2"/>
        <w:rPr>
          <w:u w:val="single"/>
        </w:rPr>
      </w:pPr>
      <w:r w:rsidRPr="00FE4103">
        <w:rPr>
          <w:i/>
        </w:rPr>
        <w:t>Strengthening of technical institutes (</w:t>
      </w:r>
      <w:r w:rsidRPr="00FE4103">
        <w:rPr>
          <w:i/>
          <w:lang w:val="en-US"/>
        </w:rPr>
        <w:t>US $125,000)</w:t>
      </w:r>
      <w:r w:rsidRPr="00FE4103">
        <w:rPr>
          <w:i/>
        </w:rPr>
        <w:t>:</w:t>
      </w:r>
      <w:r w:rsidR="00233AA5" w:rsidRPr="00FE4103">
        <w:t xml:space="preserve"> S</w:t>
      </w:r>
      <w:r w:rsidRPr="00FE4103">
        <w:t>trengthening the RAC laboratories in three</w:t>
      </w:r>
      <w:r w:rsidR="00AA362C" w:rsidRPr="00FE4103">
        <w:t xml:space="preserve"> technical schools by providing</w:t>
      </w:r>
      <w:r w:rsidRPr="00FE4103">
        <w:t xml:space="preserve"> equipment and basic tools to be used in the training programme</w:t>
      </w:r>
      <w:r w:rsidR="00FE4103" w:rsidRPr="00FE4103">
        <w:t>;</w:t>
      </w:r>
      <w:r w:rsidRPr="00FE4103">
        <w:rPr>
          <w:rStyle w:val="FootnoteReference"/>
        </w:rPr>
        <w:footnoteReference w:id="5"/>
      </w:r>
      <w:r w:rsidRPr="00FE4103">
        <w:t xml:space="preserve"> and signing agreements</w:t>
      </w:r>
      <w:r w:rsidR="004644DE" w:rsidRPr="00FE4103">
        <w:t xml:space="preserve"> between the Government and </w:t>
      </w:r>
      <w:r w:rsidRPr="00FE4103">
        <w:t>three education centres to include in the academic curriculum topics from the training programme set out in stages</w:t>
      </w:r>
      <w:r w:rsidR="00FE4103" w:rsidRPr="00FE4103">
        <w:t> </w:t>
      </w:r>
      <w:r w:rsidRPr="00FE4103">
        <w:t>I</w:t>
      </w:r>
      <w:r w:rsidR="00FE4103" w:rsidRPr="00FE4103">
        <w:t> </w:t>
      </w:r>
      <w:r w:rsidRPr="00FE4103">
        <w:t>and</w:t>
      </w:r>
      <w:r w:rsidR="00FE4103" w:rsidRPr="00FE4103">
        <w:t> </w:t>
      </w:r>
      <w:r w:rsidRPr="00FE4103">
        <w:t>II of the HPMP;</w:t>
      </w:r>
    </w:p>
    <w:p w14:paraId="4F6F9A77" w14:textId="30753CF4" w:rsidR="00D0229B" w:rsidRPr="00B22566" w:rsidRDefault="00D0229B" w:rsidP="00C85260">
      <w:pPr>
        <w:pStyle w:val="Heading2"/>
        <w:keepNext/>
        <w:widowControl/>
        <w:rPr>
          <w:rFonts w:eastAsiaTheme="minorHAnsi"/>
        </w:rPr>
      </w:pPr>
      <w:r w:rsidRPr="00B22566">
        <w:rPr>
          <w:i/>
        </w:rPr>
        <w:t>Training programme for RAC technicians (</w:t>
      </w:r>
      <w:r w:rsidRPr="00B22566">
        <w:rPr>
          <w:i/>
          <w:lang w:val="en-US"/>
        </w:rPr>
        <w:t>US $124,000)</w:t>
      </w:r>
      <w:r w:rsidRPr="00B22566">
        <w:rPr>
          <w:i/>
        </w:rPr>
        <w:t>:</w:t>
      </w:r>
      <w:r w:rsidRPr="00B22566">
        <w:t xml:space="preserve"> </w:t>
      </w:r>
      <w:r w:rsidR="00233AA5" w:rsidRPr="00B22566">
        <w:t>T</w:t>
      </w:r>
      <w:r w:rsidRPr="00B22566">
        <w:t>raining of</w:t>
      </w:r>
      <w:r w:rsidRPr="00B22566">
        <w:rPr>
          <w:rFonts w:eastAsiaTheme="minorHAnsi"/>
        </w:rPr>
        <w:t xml:space="preserve"> 40 instructors and 480 technicians on good</w:t>
      </w:r>
      <w:r w:rsidR="00452BE4" w:rsidRPr="00B22566">
        <w:rPr>
          <w:rFonts w:eastAsiaTheme="minorHAnsi"/>
        </w:rPr>
        <w:t xml:space="preserve"> refigeration</w:t>
      </w:r>
      <w:r w:rsidRPr="00B22566">
        <w:rPr>
          <w:rFonts w:eastAsiaTheme="minorHAnsi"/>
        </w:rPr>
        <w:t xml:space="preserve"> practices and alternative refrigerants, with emphasis in natural refrigerants and other low-GWP refrigerants; preparation and distribution of 500</w:t>
      </w:r>
      <w:r w:rsidR="00B22566">
        <w:rPr>
          <w:rFonts w:eastAsiaTheme="minorHAnsi"/>
        </w:rPr>
        <w:t> </w:t>
      </w:r>
      <w:r w:rsidRPr="00B22566">
        <w:rPr>
          <w:rFonts w:eastAsiaTheme="minorHAnsi"/>
        </w:rPr>
        <w:t>educational booklets</w:t>
      </w:r>
      <w:r w:rsidR="00452BE4" w:rsidRPr="00B22566">
        <w:rPr>
          <w:rFonts w:eastAsiaTheme="minorHAnsi"/>
        </w:rPr>
        <w:t xml:space="preserve"> with the contents of the training programme</w:t>
      </w:r>
      <w:r w:rsidRPr="00B22566">
        <w:rPr>
          <w:rFonts w:eastAsiaTheme="minorHAnsi"/>
        </w:rPr>
        <w:t xml:space="preserve">; and establishment of a database </w:t>
      </w:r>
      <w:r w:rsidR="00DF4F0A" w:rsidRPr="00B22566">
        <w:rPr>
          <w:rFonts w:eastAsiaTheme="minorHAnsi"/>
        </w:rPr>
        <w:t xml:space="preserve">to register the </w:t>
      </w:r>
      <w:r w:rsidRPr="00B22566">
        <w:rPr>
          <w:rFonts w:eastAsiaTheme="minorHAnsi"/>
        </w:rPr>
        <w:t>technicians in the RAC servicing sector;</w:t>
      </w:r>
    </w:p>
    <w:p w14:paraId="0785B47B" w14:textId="77777777" w:rsidR="00AF4DAC" w:rsidRPr="00B22566" w:rsidRDefault="000E1926" w:rsidP="0023662F">
      <w:pPr>
        <w:pStyle w:val="Heading2"/>
        <w:keepNext/>
        <w:widowControl/>
        <w:rPr>
          <w:i/>
        </w:rPr>
      </w:pPr>
      <w:r w:rsidRPr="00DB2303">
        <w:rPr>
          <w:i/>
          <w:lang w:val="en-US"/>
        </w:rPr>
        <w:t>I</w:t>
      </w:r>
      <w:r w:rsidR="00555BE4" w:rsidRPr="00DB2303">
        <w:rPr>
          <w:i/>
          <w:lang w:val="en-US"/>
        </w:rPr>
        <w:t>mplementation of refrigerant recovery</w:t>
      </w:r>
      <w:r w:rsidR="003337F4" w:rsidRPr="00DB2303">
        <w:rPr>
          <w:i/>
          <w:lang w:val="en-US"/>
        </w:rPr>
        <w:t>,</w:t>
      </w:r>
      <w:r w:rsidR="009F7317" w:rsidRPr="00DB2303">
        <w:rPr>
          <w:i/>
          <w:lang w:val="en-US"/>
        </w:rPr>
        <w:t xml:space="preserve"> </w:t>
      </w:r>
      <w:r w:rsidR="00555BE4" w:rsidRPr="00DB2303">
        <w:rPr>
          <w:i/>
          <w:lang w:val="en-US"/>
        </w:rPr>
        <w:t>recycling and reclaiming centers</w:t>
      </w:r>
      <w:r w:rsidR="00834DD1" w:rsidRPr="00DB2303">
        <w:rPr>
          <w:i/>
          <w:lang w:val="en-US"/>
        </w:rPr>
        <w:t xml:space="preserve"> (RRR)</w:t>
      </w:r>
      <w:r w:rsidR="00CF3E56" w:rsidRPr="00DB2303">
        <w:rPr>
          <w:i/>
          <w:lang w:val="en-US"/>
        </w:rPr>
        <w:t xml:space="preserve"> (</w:t>
      </w:r>
      <w:r w:rsidR="00682B63">
        <w:rPr>
          <w:i/>
          <w:lang w:val="en-US"/>
        </w:rPr>
        <w:t>US $</w:t>
      </w:r>
      <w:r w:rsidR="00CF3E56" w:rsidRPr="00DB2303">
        <w:rPr>
          <w:i/>
          <w:lang w:val="en-US"/>
        </w:rPr>
        <w:t>380,375)</w:t>
      </w:r>
      <w:r w:rsidR="0041204A" w:rsidRPr="00DB2303">
        <w:rPr>
          <w:i/>
          <w:lang w:val="en-US"/>
        </w:rPr>
        <w:t>:</w:t>
      </w:r>
      <w:r w:rsidR="00AF4DAC" w:rsidRPr="00DB2303">
        <w:rPr>
          <w:i/>
          <w:lang w:val="en-US"/>
        </w:rPr>
        <w:t xml:space="preserve"> </w:t>
      </w:r>
      <w:r w:rsidR="00233AA5">
        <w:rPr>
          <w:lang w:val="en-US"/>
        </w:rPr>
        <w:t>T</w:t>
      </w:r>
      <w:r w:rsidR="00834DD1" w:rsidRPr="00DB2303">
        <w:rPr>
          <w:lang w:val="en-US"/>
        </w:rPr>
        <w:t>raining of 10 trainers</w:t>
      </w:r>
      <w:r w:rsidR="00403EEE" w:rsidRPr="00DB2303">
        <w:rPr>
          <w:lang w:val="en-US"/>
        </w:rPr>
        <w:t xml:space="preserve"> and </w:t>
      </w:r>
      <w:r w:rsidR="00403EEE" w:rsidRPr="00DB2303">
        <w:rPr>
          <w:lang w:eastAsia="es-CO"/>
        </w:rPr>
        <w:t xml:space="preserve">700 technicians in the </w:t>
      </w:r>
      <w:r w:rsidR="00877C44">
        <w:rPr>
          <w:lang w:eastAsia="es-CO"/>
        </w:rPr>
        <w:t>operation</w:t>
      </w:r>
      <w:r w:rsidR="00403EEE" w:rsidRPr="00DB2303">
        <w:rPr>
          <w:lang w:eastAsia="es-CO"/>
        </w:rPr>
        <w:t xml:space="preserve"> of RRR</w:t>
      </w:r>
      <w:r w:rsidR="00834DD1" w:rsidRPr="00DB2303">
        <w:rPr>
          <w:lang w:val="en-US"/>
        </w:rPr>
        <w:t xml:space="preserve">; </w:t>
      </w:r>
      <w:r w:rsidR="00403EEE" w:rsidRPr="00DB2303">
        <w:rPr>
          <w:lang w:val="en-US"/>
        </w:rPr>
        <w:t xml:space="preserve">strengthening of </w:t>
      </w:r>
      <w:r w:rsidR="00834DD1" w:rsidRPr="00DB2303">
        <w:rPr>
          <w:lang w:val="en-US"/>
        </w:rPr>
        <w:t xml:space="preserve">five </w:t>
      </w:r>
      <w:r w:rsidR="00DF4F0A" w:rsidRPr="00DB2303">
        <w:rPr>
          <w:lang w:eastAsia="es-CO"/>
        </w:rPr>
        <w:t xml:space="preserve">recovery </w:t>
      </w:r>
      <w:r w:rsidR="00834DD1" w:rsidRPr="00DB2303">
        <w:rPr>
          <w:lang w:eastAsia="es-CO"/>
        </w:rPr>
        <w:t xml:space="preserve">and </w:t>
      </w:r>
      <w:r w:rsidR="00DF4F0A" w:rsidRPr="00DB2303">
        <w:rPr>
          <w:lang w:val="en-US"/>
        </w:rPr>
        <w:t>recycling</w:t>
      </w:r>
      <w:r w:rsidR="00DF4F0A" w:rsidRPr="00DB2303">
        <w:rPr>
          <w:lang w:eastAsia="es-CO"/>
        </w:rPr>
        <w:t xml:space="preserve"> </w:t>
      </w:r>
      <w:r w:rsidR="00FB2F57" w:rsidRPr="00DB2303">
        <w:rPr>
          <w:lang w:eastAsia="es-CO"/>
        </w:rPr>
        <w:t>centres</w:t>
      </w:r>
      <w:r w:rsidR="00877C44">
        <w:rPr>
          <w:lang w:eastAsia="es-CO"/>
        </w:rPr>
        <w:t xml:space="preserve"> located </w:t>
      </w:r>
      <w:r w:rsidR="00834DD1" w:rsidRPr="00DB2303">
        <w:rPr>
          <w:lang w:eastAsia="es-CO"/>
        </w:rPr>
        <w:t xml:space="preserve">in five cities; </w:t>
      </w:r>
      <w:r w:rsidR="00403EEE" w:rsidRPr="00DB2303">
        <w:rPr>
          <w:lang w:eastAsia="es-CO"/>
        </w:rPr>
        <w:t xml:space="preserve">and establishment of </w:t>
      </w:r>
      <w:r w:rsidR="00834DD1" w:rsidRPr="00DB2303">
        <w:rPr>
          <w:lang w:eastAsia="es-CO"/>
        </w:rPr>
        <w:t>o</w:t>
      </w:r>
      <w:r w:rsidR="00555BE4" w:rsidRPr="00DB2303">
        <w:rPr>
          <w:lang w:eastAsia="es-CO"/>
        </w:rPr>
        <w:t xml:space="preserve">ne </w:t>
      </w:r>
      <w:r w:rsidR="0041204A" w:rsidRPr="00DB2303">
        <w:rPr>
          <w:lang w:eastAsia="es-CO"/>
        </w:rPr>
        <w:t xml:space="preserve">national </w:t>
      </w:r>
      <w:r w:rsidR="00834DD1" w:rsidRPr="00DB2303">
        <w:rPr>
          <w:lang w:eastAsia="es-CO"/>
        </w:rPr>
        <w:t>r</w:t>
      </w:r>
      <w:r w:rsidR="00555BE4" w:rsidRPr="00DB2303">
        <w:rPr>
          <w:lang w:eastAsia="es-CO"/>
        </w:rPr>
        <w:t xml:space="preserve">eclaiming </w:t>
      </w:r>
      <w:r w:rsidR="00FB2F57" w:rsidRPr="00B22566">
        <w:rPr>
          <w:lang w:eastAsia="es-CO"/>
        </w:rPr>
        <w:t>centre</w:t>
      </w:r>
      <w:r w:rsidR="00555BE4" w:rsidRPr="00B22566">
        <w:rPr>
          <w:lang w:eastAsia="es-CO"/>
        </w:rPr>
        <w:t xml:space="preserve"> for refrigerants in Lima to service the </w:t>
      </w:r>
      <w:r w:rsidR="0041204A" w:rsidRPr="00B22566">
        <w:rPr>
          <w:lang w:eastAsia="es-CO"/>
        </w:rPr>
        <w:t xml:space="preserve">nationwide </w:t>
      </w:r>
      <w:r w:rsidR="00555BE4" w:rsidRPr="00B22566">
        <w:rPr>
          <w:lang w:eastAsia="es-CO"/>
        </w:rPr>
        <w:t xml:space="preserve">demand </w:t>
      </w:r>
      <w:r w:rsidR="0041204A" w:rsidRPr="00B22566">
        <w:rPr>
          <w:lang w:eastAsia="es-CO"/>
        </w:rPr>
        <w:t>for</w:t>
      </w:r>
      <w:r w:rsidR="00555BE4" w:rsidRPr="00B22566">
        <w:rPr>
          <w:lang w:eastAsia="es-CO"/>
        </w:rPr>
        <w:t xml:space="preserve"> reclaim</w:t>
      </w:r>
      <w:r w:rsidR="00877C44" w:rsidRPr="00B22566">
        <w:rPr>
          <w:lang w:eastAsia="es-CO"/>
        </w:rPr>
        <w:t>ed refrigerants</w:t>
      </w:r>
      <w:r w:rsidR="00403EEE" w:rsidRPr="00B22566">
        <w:rPr>
          <w:lang w:eastAsia="es-CO"/>
        </w:rPr>
        <w:t>;</w:t>
      </w:r>
      <w:r w:rsidR="00233AA5" w:rsidRPr="00B22566">
        <w:rPr>
          <w:lang w:eastAsia="es-CO"/>
        </w:rPr>
        <w:t xml:space="preserve"> and</w:t>
      </w:r>
    </w:p>
    <w:p w14:paraId="2F697FB8" w14:textId="762C3EF1" w:rsidR="00FE1E8D" w:rsidRPr="00B22566" w:rsidRDefault="00C878E6" w:rsidP="00233AA5">
      <w:pPr>
        <w:pStyle w:val="Heading2"/>
      </w:pPr>
      <w:r w:rsidRPr="00B22566">
        <w:rPr>
          <w:i/>
          <w:color w:val="000000"/>
          <w:lang w:eastAsia="es-CO"/>
        </w:rPr>
        <w:t>Promotion of al</w:t>
      </w:r>
      <w:r w:rsidR="00EC55AC" w:rsidRPr="00B22566">
        <w:rPr>
          <w:i/>
          <w:color w:val="000000"/>
          <w:lang w:eastAsia="es-CO"/>
        </w:rPr>
        <w:t>t</w:t>
      </w:r>
      <w:r w:rsidRPr="00B22566">
        <w:rPr>
          <w:i/>
          <w:color w:val="000000"/>
          <w:lang w:eastAsia="es-CO"/>
        </w:rPr>
        <w:t xml:space="preserve">ernatives for the reduction of HCFC consumption and the use of low-GWP </w:t>
      </w:r>
      <w:r w:rsidRPr="00B22566">
        <w:rPr>
          <w:i/>
          <w:lang w:eastAsia="es-CO"/>
        </w:rPr>
        <w:t xml:space="preserve">refrigerants in key sectors: </w:t>
      </w:r>
      <w:r w:rsidRPr="00B22566">
        <w:rPr>
          <w:i/>
          <w:lang w:val="en-US" w:eastAsia="es-CO"/>
        </w:rPr>
        <w:t>supermarkets and hotels</w:t>
      </w:r>
      <w:r w:rsidR="00CF3E56" w:rsidRPr="00B22566">
        <w:rPr>
          <w:i/>
          <w:lang w:val="en-US" w:eastAsia="es-CO"/>
        </w:rPr>
        <w:t xml:space="preserve"> (</w:t>
      </w:r>
      <w:r w:rsidR="00682B63" w:rsidRPr="00B22566">
        <w:rPr>
          <w:i/>
          <w:lang w:val="en-US"/>
        </w:rPr>
        <w:t>US $</w:t>
      </w:r>
      <w:r w:rsidR="00CF3E56" w:rsidRPr="00B22566">
        <w:rPr>
          <w:i/>
          <w:lang w:val="en-US"/>
        </w:rPr>
        <w:t>100,000)</w:t>
      </w:r>
      <w:r w:rsidR="00F7716C" w:rsidRPr="00B22566">
        <w:rPr>
          <w:i/>
          <w:lang w:val="en-US" w:eastAsia="es-CO"/>
        </w:rPr>
        <w:t>:</w:t>
      </w:r>
      <w:r w:rsidR="00BA7FFC" w:rsidRPr="00B22566">
        <w:rPr>
          <w:i/>
          <w:lang w:val="en-US" w:eastAsia="es-CO"/>
        </w:rPr>
        <w:t xml:space="preserve"> </w:t>
      </w:r>
      <w:r w:rsidR="00BA7FFC" w:rsidRPr="00B22566">
        <w:t>T</w:t>
      </w:r>
      <w:r w:rsidR="00FE1E8D" w:rsidRPr="00B22566">
        <w:t xml:space="preserve">raining </w:t>
      </w:r>
      <w:r w:rsidR="00BA7FFC" w:rsidRPr="00B22566">
        <w:t>of</w:t>
      </w:r>
      <w:r w:rsidR="00233AA5" w:rsidRPr="00B22566">
        <w:t xml:space="preserve"> eight leaders and 240 technicans and</w:t>
      </w:r>
      <w:r w:rsidR="00FE1E8D" w:rsidRPr="00B22566">
        <w:t xml:space="preserve"> RAC end-users</w:t>
      </w:r>
      <w:r w:rsidR="00DF4F0A" w:rsidRPr="00B22566">
        <w:t xml:space="preserve"> </w:t>
      </w:r>
      <w:r w:rsidR="00BA7FFC" w:rsidRPr="00B22566">
        <w:t>i</w:t>
      </w:r>
      <w:r w:rsidR="00DF4F0A" w:rsidRPr="00B22566">
        <w:t xml:space="preserve">n </w:t>
      </w:r>
      <w:r w:rsidR="00233AA5" w:rsidRPr="00B22566">
        <w:t xml:space="preserve">assessing technical, economic and environmental </w:t>
      </w:r>
      <w:r w:rsidR="00EB7205" w:rsidRPr="00B22566">
        <w:t>feasibility</w:t>
      </w:r>
      <w:r w:rsidR="00233AA5" w:rsidRPr="00B22566">
        <w:t xml:space="preserve"> </w:t>
      </w:r>
      <w:r w:rsidR="00BA7FFC" w:rsidRPr="00B22566">
        <w:t>of</w:t>
      </w:r>
      <w:r w:rsidR="00233AA5" w:rsidRPr="00B22566">
        <w:t xml:space="preserve"> chang</w:t>
      </w:r>
      <w:r w:rsidR="00BA7FFC" w:rsidRPr="00B22566">
        <w:t>ing</w:t>
      </w:r>
      <w:r w:rsidR="00233AA5" w:rsidRPr="00B22566">
        <w:t xml:space="preserve"> HCFC contained in the RAC equipment to an alternative refrigerant, or replac</w:t>
      </w:r>
      <w:r w:rsidR="00BA7FFC" w:rsidRPr="00B22566">
        <w:t>ing</w:t>
      </w:r>
      <w:r w:rsidR="00233AA5" w:rsidRPr="00B22566">
        <w:t xml:space="preserve"> the </w:t>
      </w:r>
      <w:r w:rsidR="00233AA5" w:rsidRPr="00B22566">
        <w:lastRenderedPageBreak/>
        <w:t>equipment by non</w:t>
      </w:r>
      <w:r w:rsidR="00B22566" w:rsidRPr="00B22566">
        <w:t>-</w:t>
      </w:r>
      <w:r w:rsidR="00233AA5" w:rsidRPr="00B22566">
        <w:t>HCFC-based equipment</w:t>
      </w:r>
      <w:r w:rsidR="00EF389C" w:rsidRPr="00B22566">
        <w:t>;</w:t>
      </w:r>
      <w:r w:rsidR="00FE1E8D" w:rsidRPr="00B22566">
        <w:t xml:space="preserve"> design and </w:t>
      </w:r>
      <w:r w:rsidR="0054134A" w:rsidRPr="00B22566">
        <w:t>distribution of</w:t>
      </w:r>
      <w:r w:rsidR="0041204A" w:rsidRPr="00B22566">
        <w:t xml:space="preserve"> </w:t>
      </w:r>
      <w:r w:rsidR="00FE1E8D" w:rsidRPr="00B22566">
        <w:t xml:space="preserve">brochures </w:t>
      </w:r>
      <w:r w:rsidR="003117D7" w:rsidRPr="00B22566">
        <w:t>and</w:t>
      </w:r>
      <w:r w:rsidR="00FE1E8D" w:rsidRPr="00B22566">
        <w:t xml:space="preserve"> case studies</w:t>
      </w:r>
      <w:r w:rsidR="00233AA5" w:rsidRPr="00B22566">
        <w:t xml:space="preserve"> on good RAC servicing practices focused in supermarket and hotels</w:t>
      </w:r>
      <w:r w:rsidR="0054134A" w:rsidRPr="00B22566">
        <w:t>;</w:t>
      </w:r>
      <w:r w:rsidR="00233AA5" w:rsidRPr="00B22566">
        <w:t xml:space="preserve"> and promotion of volunteer agreements with end-users for conservation, conversion and disposal of selected HCFC</w:t>
      </w:r>
      <w:r w:rsidR="00233AA5" w:rsidRPr="00B22566">
        <w:noBreakHyphen/>
        <w:t>based equipment.</w:t>
      </w:r>
    </w:p>
    <w:p w14:paraId="7D556FAF" w14:textId="77777777" w:rsidR="00A228AC" w:rsidRPr="00DB2303" w:rsidRDefault="00096DE3" w:rsidP="0023662F">
      <w:pPr>
        <w:rPr>
          <w:bCs/>
          <w:color w:val="000000"/>
          <w:u w:val="single"/>
          <w:lang w:eastAsia="es-CO"/>
        </w:rPr>
      </w:pPr>
      <w:r w:rsidRPr="00B22566">
        <w:rPr>
          <w:bCs/>
          <w:color w:val="000000"/>
          <w:u w:val="single"/>
          <w:lang w:eastAsia="es-CO"/>
        </w:rPr>
        <w:t>P</w:t>
      </w:r>
      <w:r w:rsidR="00A413EF" w:rsidRPr="00B22566">
        <w:rPr>
          <w:bCs/>
          <w:color w:val="000000"/>
          <w:u w:val="single"/>
          <w:lang w:eastAsia="es-CO"/>
        </w:rPr>
        <w:t xml:space="preserve">ublic awareness to </w:t>
      </w:r>
      <w:r w:rsidR="00A228AC" w:rsidRPr="00B22566">
        <w:rPr>
          <w:bCs/>
          <w:color w:val="000000"/>
          <w:u w:val="single"/>
          <w:lang w:eastAsia="es-CO"/>
        </w:rPr>
        <w:t>promot</w:t>
      </w:r>
      <w:r w:rsidR="00A413EF" w:rsidRPr="00B22566">
        <w:rPr>
          <w:bCs/>
          <w:color w:val="000000"/>
          <w:u w:val="single"/>
          <w:lang w:eastAsia="es-CO"/>
        </w:rPr>
        <w:t>e</w:t>
      </w:r>
      <w:r w:rsidR="00A228AC" w:rsidRPr="00B22566">
        <w:rPr>
          <w:bCs/>
          <w:color w:val="000000"/>
          <w:u w:val="single"/>
          <w:lang w:eastAsia="es-CO"/>
        </w:rPr>
        <w:t xml:space="preserve"> HCFC phase-out</w:t>
      </w:r>
      <w:r w:rsidR="00FC375B" w:rsidRPr="00B22566">
        <w:rPr>
          <w:bCs/>
          <w:color w:val="000000"/>
          <w:u w:val="single"/>
          <w:lang w:eastAsia="es-CO"/>
        </w:rPr>
        <w:t xml:space="preserve"> (UNDP</w:t>
      </w:r>
      <w:r w:rsidR="00CF3E56" w:rsidRPr="00B22566">
        <w:rPr>
          <w:bCs/>
          <w:color w:val="000000"/>
          <w:u w:val="single"/>
          <w:lang w:eastAsia="es-CO"/>
        </w:rPr>
        <w:t>)</w:t>
      </w:r>
      <w:r w:rsidR="00FC375B" w:rsidRPr="00B22566">
        <w:rPr>
          <w:bCs/>
          <w:color w:val="000000"/>
          <w:u w:val="single"/>
          <w:lang w:eastAsia="es-CO"/>
        </w:rPr>
        <w:t xml:space="preserve"> </w:t>
      </w:r>
      <w:r w:rsidR="00CF3E56" w:rsidRPr="00B22566">
        <w:rPr>
          <w:bCs/>
          <w:color w:val="000000"/>
          <w:u w:val="single"/>
          <w:lang w:eastAsia="es-CO"/>
        </w:rPr>
        <w:t>(</w:t>
      </w:r>
      <w:r w:rsidR="00682B63" w:rsidRPr="00B22566">
        <w:rPr>
          <w:bCs/>
          <w:color w:val="000000"/>
          <w:u w:val="single"/>
          <w:lang w:eastAsia="es-CO"/>
        </w:rPr>
        <w:t>US $</w:t>
      </w:r>
      <w:r w:rsidR="00FC375B" w:rsidRPr="00B22566">
        <w:rPr>
          <w:bCs/>
          <w:color w:val="000000"/>
          <w:u w:val="single"/>
          <w:lang w:eastAsia="es-CO"/>
        </w:rPr>
        <w:t>150,000)</w:t>
      </w:r>
    </w:p>
    <w:p w14:paraId="51AA9578" w14:textId="77777777" w:rsidR="00A228AC" w:rsidRPr="00DB2303" w:rsidRDefault="00A228AC" w:rsidP="0023662F">
      <w:pPr>
        <w:rPr>
          <w:bCs/>
          <w:color w:val="000000"/>
          <w:lang w:eastAsia="es-CO"/>
        </w:rPr>
      </w:pPr>
    </w:p>
    <w:p w14:paraId="1834F10A" w14:textId="77777777" w:rsidR="00FF0B1F" w:rsidRPr="00DB2303" w:rsidRDefault="008718AC" w:rsidP="0023662F">
      <w:pPr>
        <w:pStyle w:val="Heading1"/>
      </w:pPr>
      <w:r>
        <w:t>A</w:t>
      </w:r>
      <w:r w:rsidR="005B141F" w:rsidRPr="00DB2303">
        <w:t xml:space="preserve">n annual awareness campaign for end-users and decision-makers in </w:t>
      </w:r>
      <w:r>
        <w:t>G</w:t>
      </w:r>
      <w:r w:rsidR="005B141F" w:rsidRPr="00DB2303">
        <w:t>overnment institutions</w:t>
      </w:r>
      <w:r w:rsidR="005B141F" w:rsidRPr="00DB2303" w:rsidDel="00B84B70">
        <w:t xml:space="preserve"> </w:t>
      </w:r>
      <w:r w:rsidR="005B141F" w:rsidRPr="00DB2303">
        <w:t xml:space="preserve">about </w:t>
      </w:r>
      <w:r w:rsidR="00FF0B1F" w:rsidRPr="00DB2303">
        <w:t>responsible consumption of HCFCs and</w:t>
      </w:r>
      <w:r w:rsidR="00B84B70" w:rsidRPr="00DB2303">
        <w:t xml:space="preserve"> </w:t>
      </w:r>
      <w:r w:rsidR="00FF0B1F" w:rsidRPr="00DB2303">
        <w:t xml:space="preserve">options for the </w:t>
      </w:r>
      <w:r w:rsidR="00B84B70" w:rsidRPr="00DB2303">
        <w:t xml:space="preserve">use </w:t>
      </w:r>
      <w:r w:rsidR="00FF0B1F" w:rsidRPr="00DB2303">
        <w:t>of low-GWP RAC equipment</w:t>
      </w:r>
      <w:r w:rsidR="005B141F" w:rsidRPr="00DB2303">
        <w:t>; and development of awareness material (</w:t>
      </w:r>
      <w:r w:rsidR="00FF0B1F" w:rsidRPr="00DB2303">
        <w:t>posters and brochures</w:t>
      </w:r>
      <w:r w:rsidR="005B141F" w:rsidRPr="00DB2303">
        <w:t>)</w:t>
      </w:r>
      <w:r w:rsidR="00FF0B1F" w:rsidRPr="00DB2303">
        <w:t xml:space="preserve"> to be distributed among </w:t>
      </w:r>
      <w:r>
        <w:t xml:space="preserve">service </w:t>
      </w:r>
      <w:r w:rsidR="00FF0B1F" w:rsidRPr="00DB2303">
        <w:t xml:space="preserve">workshops, </w:t>
      </w:r>
      <w:r w:rsidR="005B141F" w:rsidRPr="00DB2303">
        <w:t xml:space="preserve">end-users and </w:t>
      </w:r>
      <w:r w:rsidR="00FF0B1F" w:rsidRPr="00DB2303">
        <w:t>equipment supply stores.</w:t>
      </w:r>
    </w:p>
    <w:p w14:paraId="420FDB4F" w14:textId="77777777" w:rsidR="0095033F" w:rsidRPr="00DB2303" w:rsidRDefault="0095033F" w:rsidP="0023662F">
      <w:pPr>
        <w:pStyle w:val="Heading1"/>
        <w:numPr>
          <w:ilvl w:val="0"/>
          <w:numId w:val="0"/>
        </w:numPr>
        <w:rPr>
          <w:u w:val="single"/>
          <w:lang w:val="en-US"/>
        </w:rPr>
      </w:pPr>
      <w:r w:rsidRPr="00DB2303">
        <w:rPr>
          <w:u w:val="single"/>
          <w:lang w:val="en-US"/>
        </w:rPr>
        <w:t>Project coordination and management</w:t>
      </w:r>
      <w:r w:rsidR="00FC375B" w:rsidRPr="00DB2303">
        <w:rPr>
          <w:u w:val="single"/>
          <w:lang w:val="en-US"/>
        </w:rPr>
        <w:t xml:space="preserve"> (UNDP</w:t>
      </w:r>
      <w:r w:rsidR="00A41D74" w:rsidRPr="00DB2303">
        <w:rPr>
          <w:u w:val="single"/>
          <w:lang w:val="en-US"/>
        </w:rPr>
        <w:t>)</w:t>
      </w:r>
      <w:r w:rsidR="00FC375B" w:rsidRPr="00DB2303">
        <w:rPr>
          <w:u w:val="single"/>
          <w:lang w:val="en-US"/>
        </w:rPr>
        <w:t xml:space="preserve"> </w:t>
      </w:r>
      <w:r w:rsidR="00A41D74" w:rsidRPr="00DB2303">
        <w:rPr>
          <w:u w:val="single"/>
          <w:lang w:val="en-US"/>
        </w:rPr>
        <w:t>(</w:t>
      </w:r>
      <w:r w:rsidR="00682B63">
        <w:rPr>
          <w:u w:val="single"/>
          <w:lang w:val="en-US"/>
        </w:rPr>
        <w:t>US $</w:t>
      </w:r>
      <w:r w:rsidR="00FC375B" w:rsidRPr="00DB2303">
        <w:rPr>
          <w:u w:val="single"/>
          <w:lang w:val="en-US"/>
        </w:rPr>
        <w:t>125,600)</w:t>
      </w:r>
    </w:p>
    <w:p w14:paraId="755D34E5" w14:textId="77777777" w:rsidR="0095033F" w:rsidRPr="00DB2303" w:rsidRDefault="008568ED" w:rsidP="0023662F">
      <w:pPr>
        <w:pStyle w:val="Heading1"/>
        <w:rPr>
          <w:rFonts w:eastAsia="SimSun"/>
          <w:u w:val="single"/>
          <w:lang w:eastAsia="zh-CN"/>
        </w:rPr>
      </w:pPr>
      <w:r w:rsidRPr="00DB2303">
        <w:rPr>
          <w:rFonts w:eastAsia="SimSun"/>
          <w:lang w:eastAsia="zh-CN"/>
        </w:rPr>
        <w:t>The project coordination and management will be integrated into the national ozone unit</w:t>
      </w:r>
      <w:r w:rsidR="008718AC">
        <w:rPr>
          <w:rFonts w:eastAsia="SimSun"/>
          <w:lang w:eastAsia="zh-CN"/>
        </w:rPr>
        <w:t xml:space="preserve"> (NOU)</w:t>
      </w:r>
      <w:r w:rsidRPr="00DB2303">
        <w:rPr>
          <w:rFonts w:eastAsia="SimSun"/>
          <w:lang w:eastAsia="zh-CN"/>
        </w:rPr>
        <w:t xml:space="preserve">. </w:t>
      </w:r>
      <w:r w:rsidR="0095033F" w:rsidRPr="00DB2303">
        <w:rPr>
          <w:rFonts w:eastAsia="SimSun"/>
          <w:lang w:eastAsia="zh-CN"/>
        </w:rPr>
        <w:t xml:space="preserve">UNDP </w:t>
      </w:r>
      <w:r w:rsidRPr="00DB2303">
        <w:rPr>
          <w:rFonts w:eastAsia="SimSun"/>
          <w:lang w:eastAsia="zh-CN"/>
        </w:rPr>
        <w:t xml:space="preserve">as lead </w:t>
      </w:r>
      <w:r w:rsidR="008718AC">
        <w:rPr>
          <w:rFonts w:eastAsia="SimSun"/>
          <w:lang w:eastAsia="zh-CN"/>
        </w:rPr>
        <w:t xml:space="preserve">implementing </w:t>
      </w:r>
      <w:r w:rsidRPr="00DB2303">
        <w:rPr>
          <w:rFonts w:eastAsia="SimSun"/>
          <w:lang w:eastAsia="zh-CN"/>
        </w:rPr>
        <w:t xml:space="preserve">agency </w:t>
      </w:r>
      <w:r w:rsidR="0095033F" w:rsidRPr="00DB2303">
        <w:rPr>
          <w:rFonts w:eastAsia="SimSun"/>
          <w:lang w:eastAsia="zh-CN"/>
        </w:rPr>
        <w:t xml:space="preserve">will have the overall responsibility for reporting to the Executive Committee, and assisting </w:t>
      </w:r>
      <w:r w:rsidR="008718AC">
        <w:rPr>
          <w:rFonts w:eastAsia="SimSun"/>
          <w:lang w:eastAsia="zh-CN"/>
        </w:rPr>
        <w:t>the Government</w:t>
      </w:r>
      <w:r w:rsidR="0095033F" w:rsidRPr="00DB2303">
        <w:rPr>
          <w:rFonts w:eastAsia="SimSun"/>
          <w:lang w:eastAsia="zh-CN"/>
        </w:rPr>
        <w:t xml:space="preserve"> in the implementation of all investment </w:t>
      </w:r>
      <w:r w:rsidR="00B84B70" w:rsidRPr="00DB2303">
        <w:rPr>
          <w:rFonts w:eastAsia="SimSun"/>
          <w:lang w:eastAsia="zh-CN"/>
        </w:rPr>
        <w:t>and</w:t>
      </w:r>
      <w:r w:rsidR="0095033F" w:rsidRPr="00DB2303">
        <w:rPr>
          <w:rFonts w:eastAsia="SimSun"/>
          <w:lang w:eastAsia="zh-CN"/>
        </w:rPr>
        <w:t xml:space="preserve"> non-investment activities</w:t>
      </w:r>
      <w:r w:rsidR="00A41D74" w:rsidRPr="00DB2303">
        <w:rPr>
          <w:rFonts w:eastAsia="SimSun"/>
          <w:lang w:eastAsia="zh-CN"/>
        </w:rPr>
        <w:t>.</w:t>
      </w:r>
    </w:p>
    <w:p w14:paraId="13C3352C" w14:textId="77777777" w:rsidR="00117177" w:rsidRPr="00DB2303" w:rsidRDefault="00117177" w:rsidP="0023662F">
      <w:pPr>
        <w:pStyle w:val="Heading1"/>
        <w:numPr>
          <w:ilvl w:val="0"/>
          <w:numId w:val="0"/>
        </w:numPr>
        <w:rPr>
          <w:color w:val="000000" w:themeColor="text1"/>
        </w:rPr>
      </w:pPr>
      <w:r w:rsidRPr="00DB2303">
        <w:rPr>
          <w:color w:val="000000" w:themeColor="text1"/>
          <w:u w:val="single"/>
        </w:rPr>
        <w:t>Total cost of stage II of the HPMP</w:t>
      </w:r>
    </w:p>
    <w:p w14:paraId="42DB95C0" w14:textId="77777777" w:rsidR="00117177" w:rsidRPr="00DB2303" w:rsidRDefault="00117177" w:rsidP="00E44A2D">
      <w:pPr>
        <w:pStyle w:val="Heading1"/>
        <w:widowControl w:val="0"/>
      </w:pPr>
      <w:r w:rsidRPr="00DB2303">
        <w:t xml:space="preserve">The total cost of stage II of the HPMP has been estimated at </w:t>
      </w:r>
      <w:r w:rsidR="00682B63">
        <w:t>US $</w:t>
      </w:r>
      <w:r w:rsidR="00FC375B" w:rsidRPr="00DB2303">
        <w:t>1,374,775</w:t>
      </w:r>
      <w:r w:rsidRPr="00DB2303">
        <w:t xml:space="preserve">, </w:t>
      </w:r>
      <w:r w:rsidR="002769C3">
        <w:t>out of which US</w:t>
      </w:r>
      <w:r w:rsidR="00550E28">
        <w:t> </w:t>
      </w:r>
      <w:r w:rsidR="002769C3">
        <w:t xml:space="preserve">$1,249,175 </w:t>
      </w:r>
      <w:r w:rsidR="002769C3" w:rsidRPr="002769C3">
        <w:t>are for the refrigeration servicing sector at a cost-effectiveness of US $4.</w:t>
      </w:r>
      <w:r w:rsidR="002769C3">
        <w:t>80</w:t>
      </w:r>
      <w:r w:rsidR="002769C3" w:rsidRPr="002769C3">
        <w:t>/kg in accorda</w:t>
      </w:r>
      <w:r w:rsidR="00550E28">
        <w:t xml:space="preserve">nce to decision 74/50. Activities proposed in stage II </w:t>
      </w:r>
      <w:r w:rsidRPr="00DB2303">
        <w:t xml:space="preserve">will result in the phase-out of </w:t>
      </w:r>
      <w:r w:rsidR="00FC375B" w:rsidRPr="00DB2303">
        <w:t>14.40</w:t>
      </w:r>
      <w:r w:rsidR="008C2783">
        <w:t> ODP ton</w:t>
      </w:r>
      <w:r w:rsidRPr="00DB2303">
        <w:t xml:space="preserve">nes of HCFCs </w:t>
      </w:r>
      <w:r w:rsidR="00FC375B" w:rsidRPr="00DB2303">
        <w:t>(14.00</w:t>
      </w:r>
      <w:r w:rsidR="008C2783">
        <w:t> ODP ton</w:t>
      </w:r>
      <w:r w:rsidR="00FC375B" w:rsidRPr="00DB2303">
        <w:t>nes of HCFC-22, 0.01</w:t>
      </w:r>
      <w:r w:rsidR="008C2783">
        <w:t> ODP ton</w:t>
      </w:r>
      <w:r w:rsidR="004F118B" w:rsidRPr="00DB2303">
        <w:t>nes of HCFC</w:t>
      </w:r>
      <w:r w:rsidR="00CB2C90">
        <w:noBreakHyphen/>
      </w:r>
      <w:r w:rsidR="004F118B" w:rsidRPr="00DB2303">
        <w:t>124 and 0.39</w:t>
      </w:r>
      <w:r w:rsidR="008C2783">
        <w:t> ODP ton</w:t>
      </w:r>
      <w:r w:rsidR="00FC375B" w:rsidRPr="00DB2303">
        <w:t>nes of HCFC-142b)</w:t>
      </w:r>
      <w:r w:rsidR="002769C3">
        <w:t xml:space="preserve">. </w:t>
      </w:r>
      <w:r w:rsidR="00FC375B" w:rsidRPr="00DB2303">
        <w:t xml:space="preserve"> </w:t>
      </w:r>
    </w:p>
    <w:p w14:paraId="7D0CCC80" w14:textId="77777777" w:rsidR="00117177" w:rsidRPr="00DB2303" w:rsidRDefault="00117177" w:rsidP="0023662F">
      <w:pPr>
        <w:keepNext/>
        <w:rPr>
          <w:u w:val="single"/>
          <w:lang w:val="en-CA"/>
        </w:rPr>
      </w:pPr>
      <w:r w:rsidRPr="00DB2303">
        <w:rPr>
          <w:u w:val="single"/>
          <w:lang w:val="en-CA"/>
        </w:rPr>
        <w:t>Activities planned for the first tranche</w:t>
      </w:r>
    </w:p>
    <w:p w14:paraId="6F0E3DF6" w14:textId="77777777" w:rsidR="00117177" w:rsidRPr="00DB2303" w:rsidRDefault="00117177" w:rsidP="0023662F">
      <w:pPr>
        <w:rPr>
          <w:lang w:val="en-CA"/>
        </w:rPr>
      </w:pPr>
    </w:p>
    <w:p w14:paraId="106C0320" w14:textId="77777777" w:rsidR="00FB0CA4" w:rsidRPr="00DB2303" w:rsidRDefault="00117177" w:rsidP="0023662F">
      <w:pPr>
        <w:pStyle w:val="Heading1"/>
      </w:pPr>
      <w:r w:rsidRPr="00DB2303">
        <w:rPr>
          <w:lang w:val="en-CA"/>
        </w:rPr>
        <w:t xml:space="preserve">The first funding tranche of stage II of the HPMP at the total amount of </w:t>
      </w:r>
      <w:r w:rsidR="00682B63">
        <w:rPr>
          <w:lang w:val="en-CA"/>
        </w:rPr>
        <w:t>US $</w:t>
      </w:r>
      <w:r w:rsidR="00B2072B" w:rsidRPr="00DB2303">
        <w:rPr>
          <w:lang w:val="en-CA"/>
        </w:rPr>
        <w:t>677,000</w:t>
      </w:r>
      <w:r w:rsidRPr="00DB2303">
        <w:rPr>
          <w:lang w:val="en-CA"/>
        </w:rPr>
        <w:t xml:space="preserve"> will b</w:t>
      </w:r>
      <w:r w:rsidR="00B2072B" w:rsidRPr="00DB2303">
        <w:rPr>
          <w:lang w:val="en-CA"/>
        </w:rPr>
        <w:t xml:space="preserve">e implemented </w:t>
      </w:r>
      <w:r w:rsidR="00A41D74" w:rsidRPr="00DB2303">
        <w:rPr>
          <w:lang w:val="en-CA"/>
        </w:rPr>
        <w:t xml:space="preserve">between January 2018 and </w:t>
      </w:r>
      <w:r w:rsidR="00B2072B" w:rsidRPr="00DB2303">
        <w:rPr>
          <w:lang w:val="en-CA"/>
        </w:rPr>
        <w:t>December 2020</w:t>
      </w:r>
      <w:r w:rsidR="00F7716C" w:rsidRPr="00DB2303">
        <w:rPr>
          <w:lang w:val="en-CA"/>
        </w:rPr>
        <w:t>,</w:t>
      </w:r>
      <w:r w:rsidRPr="00DB2303">
        <w:rPr>
          <w:lang w:val="en-CA"/>
        </w:rPr>
        <w:t xml:space="preserve"> and will include</w:t>
      </w:r>
      <w:r w:rsidR="00CB2C90">
        <w:rPr>
          <w:lang w:val="en-CA"/>
        </w:rPr>
        <w:t xml:space="preserve"> </w:t>
      </w:r>
      <w:r w:rsidR="00CB2C90" w:rsidRPr="00DB2303">
        <w:rPr>
          <w:lang w:val="en-CA"/>
        </w:rPr>
        <w:t>customs training sessions,</w:t>
      </w:r>
      <w:r w:rsidR="00C846DF" w:rsidRPr="00DB2303">
        <w:rPr>
          <w:lang w:val="en-CA"/>
        </w:rPr>
        <w:t xml:space="preserve"> procurement and distribution of equipment and tools for good RAC practices, train-the trainer workshops</w:t>
      </w:r>
      <w:r w:rsidR="00CB2C90">
        <w:rPr>
          <w:lang w:val="en-CA"/>
        </w:rPr>
        <w:t>,</w:t>
      </w:r>
      <w:r w:rsidR="00C846DF" w:rsidRPr="00DB2303">
        <w:rPr>
          <w:lang w:val="en-CA"/>
        </w:rPr>
        <w:t xml:space="preserve"> visits to RRR networks and certification schemes in two countries in the region, and awareness activities. </w:t>
      </w:r>
      <w:r w:rsidRPr="00DB2303">
        <w:rPr>
          <w:lang w:val="en-CA"/>
        </w:rPr>
        <w:t xml:space="preserve"> </w:t>
      </w:r>
    </w:p>
    <w:p w14:paraId="1AC0A6BD" w14:textId="77777777" w:rsidR="00A73968" w:rsidRPr="00DB2303" w:rsidRDefault="00A73968" w:rsidP="0023662F">
      <w:pPr>
        <w:rPr>
          <w:lang w:val="en-CA"/>
        </w:rPr>
      </w:pPr>
    </w:p>
    <w:p w14:paraId="6BC95868" w14:textId="77777777" w:rsidR="00C355C5" w:rsidRPr="00DB2303" w:rsidRDefault="00C355C5" w:rsidP="0023662F">
      <w:pPr>
        <w:keepNext/>
        <w:keepLines/>
        <w:spacing w:after="240"/>
        <w:jc w:val="center"/>
        <w:rPr>
          <w:b/>
          <w:lang w:val="en-CA"/>
        </w:rPr>
      </w:pPr>
      <w:r w:rsidRPr="00DB2303">
        <w:rPr>
          <w:b/>
          <w:lang w:val="en-CA"/>
        </w:rPr>
        <w:t>SECRETARIAT’S COMMENTS AND RECOMMENDATION</w:t>
      </w:r>
    </w:p>
    <w:p w14:paraId="26516D04" w14:textId="77777777" w:rsidR="00C355C5" w:rsidRPr="00DB2303" w:rsidRDefault="00C355C5" w:rsidP="0023662F">
      <w:pPr>
        <w:keepNext/>
        <w:keepLines/>
        <w:spacing w:after="240"/>
        <w:rPr>
          <w:b/>
          <w:lang w:val="en-CA"/>
        </w:rPr>
      </w:pPr>
      <w:r w:rsidRPr="00DB2303">
        <w:rPr>
          <w:b/>
          <w:lang w:val="en-CA"/>
        </w:rPr>
        <w:t>COMMENTS</w:t>
      </w:r>
    </w:p>
    <w:p w14:paraId="1CD00733" w14:textId="77777777" w:rsidR="00C355C5" w:rsidRPr="00DB2303" w:rsidRDefault="00C355C5" w:rsidP="0023662F">
      <w:pPr>
        <w:pStyle w:val="Heading1"/>
        <w:rPr>
          <w:rFonts w:eastAsia="SimSun"/>
          <w:lang w:eastAsia="zh-CN"/>
        </w:rPr>
      </w:pPr>
      <w:r w:rsidRPr="00DB2303">
        <w:rPr>
          <w:rFonts w:eastAsia="SimSun"/>
          <w:lang w:eastAsia="zh-CN"/>
        </w:rPr>
        <w:t>The Secretariat reviewed stage II of the HPMP for Peru in light of stage I, the policies and guidelines of the Multilateral Fund, including the criteria for funding HCFC phase-out in the consumption sector for stage II of HPMPs (decision 74/50), and the 2017-2019 business plan of the Multilateral Fund.</w:t>
      </w:r>
    </w:p>
    <w:p w14:paraId="73B0F3B6" w14:textId="77777777" w:rsidR="00C355C5" w:rsidRPr="00DB2303" w:rsidRDefault="00C355C5" w:rsidP="0023662F">
      <w:pPr>
        <w:pStyle w:val="Heading1"/>
        <w:keepNext/>
        <w:numPr>
          <w:ilvl w:val="0"/>
          <w:numId w:val="0"/>
        </w:numPr>
        <w:rPr>
          <w:szCs w:val="32"/>
          <w:u w:val="single"/>
        </w:rPr>
      </w:pPr>
      <w:r w:rsidRPr="00DB2303">
        <w:rPr>
          <w:szCs w:val="32"/>
          <w:u w:val="single"/>
        </w:rPr>
        <w:lastRenderedPageBreak/>
        <w:t>Completion of stage I</w:t>
      </w:r>
    </w:p>
    <w:p w14:paraId="66827232" w14:textId="77777777" w:rsidR="007B60A0" w:rsidRPr="00550E28" w:rsidRDefault="00C355C5" w:rsidP="00E44A2D">
      <w:pPr>
        <w:pStyle w:val="Heading1"/>
        <w:rPr>
          <w:rFonts w:eastAsia="SimSun"/>
          <w:u w:val="single"/>
          <w:lang w:eastAsia="zh-CN"/>
        </w:rPr>
      </w:pPr>
      <w:r w:rsidRPr="00DB2303">
        <w:t>The last tranche of stage I of the HPMP (</w:t>
      </w:r>
      <w:r w:rsidR="00682B63">
        <w:t>US $</w:t>
      </w:r>
      <w:r w:rsidRPr="00DB2303">
        <w:t>29,671) was approved at the 79</w:t>
      </w:r>
      <w:r w:rsidRPr="00550E28">
        <w:rPr>
          <w:vertAlign w:val="superscript"/>
        </w:rPr>
        <w:t>th</w:t>
      </w:r>
      <w:r w:rsidRPr="00DB2303">
        <w:t xml:space="preserve"> meeting. UNDP confirmed that remaining activities under stage I will be operationally completed by December 2017 as established in the Agreement</w:t>
      </w:r>
      <w:r w:rsidR="00550E28">
        <w:t xml:space="preserve"> </w:t>
      </w:r>
      <w:r w:rsidR="005E0461">
        <w:t>with</w:t>
      </w:r>
      <w:r w:rsidRPr="00DB2303">
        <w:t xml:space="preserve"> the Executive Committee.</w:t>
      </w:r>
      <w:r w:rsidR="00550E28">
        <w:t xml:space="preserve"> </w:t>
      </w:r>
    </w:p>
    <w:p w14:paraId="3563C35A" w14:textId="77777777" w:rsidR="00C355C5" w:rsidRPr="007B60A0" w:rsidRDefault="00C355C5" w:rsidP="007B60A0">
      <w:pPr>
        <w:pStyle w:val="Heading1"/>
        <w:numPr>
          <w:ilvl w:val="0"/>
          <w:numId w:val="0"/>
        </w:numPr>
        <w:rPr>
          <w:rFonts w:eastAsia="SimSun"/>
          <w:u w:val="single"/>
          <w:lang w:eastAsia="zh-CN"/>
        </w:rPr>
      </w:pPr>
      <w:r w:rsidRPr="007B60A0">
        <w:rPr>
          <w:rFonts w:eastAsia="SimSun"/>
          <w:u w:val="single"/>
          <w:lang w:eastAsia="zh-CN"/>
        </w:rPr>
        <w:t>Revision of the starting point to include HCFC-141b contained in pre-blended polyols</w:t>
      </w:r>
    </w:p>
    <w:p w14:paraId="4F4A2FB5" w14:textId="77777777" w:rsidR="00C355C5" w:rsidRPr="00BC3C90" w:rsidRDefault="00685640" w:rsidP="0023662F">
      <w:pPr>
        <w:pStyle w:val="Heading1"/>
        <w:rPr>
          <w:rFonts w:eastAsia="SimSun"/>
          <w:lang w:eastAsia="zh-CN"/>
        </w:rPr>
      </w:pPr>
      <w:r>
        <w:rPr>
          <w:rFonts w:eastAsia="SimSun"/>
          <w:lang w:eastAsia="zh-CN"/>
        </w:rPr>
        <w:t>T</w:t>
      </w:r>
      <w:r w:rsidR="00C355C5" w:rsidRPr="00DB2303">
        <w:rPr>
          <w:rFonts w:eastAsia="SimSun"/>
          <w:lang w:eastAsia="zh-CN"/>
        </w:rPr>
        <w:t xml:space="preserve">he consumption of HCFC-141b contained in imported pre-blended polyols was not </w:t>
      </w:r>
      <w:r>
        <w:rPr>
          <w:rFonts w:eastAsia="SimSun"/>
          <w:lang w:eastAsia="zh-CN"/>
        </w:rPr>
        <w:t xml:space="preserve">included in </w:t>
      </w:r>
      <w:r w:rsidRPr="00DB2303">
        <w:rPr>
          <w:rFonts w:eastAsia="SimSun"/>
          <w:lang w:eastAsia="zh-CN"/>
        </w:rPr>
        <w:t xml:space="preserve">the starting point for aggregate reductions in HCFC consumption </w:t>
      </w:r>
      <w:r w:rsidR="00F6373B" w:rsidRPr="00DB2303">
        <w:rPr>
          <w:rFonts w:eastAsia="SimSun"/>
          <w:lang w:eastAsia="zh-CN"/>
        </w:rPr>
        <w:t xml:space="preserve">because </w:t>
      </w:r>
      <w:r>
        <w:rPr>
          <w:rFonts w:eastAsia="SimSun"/>
          <w:lang w:eastAsia="zh-CN"/>
        </w:rPr>
        <w:t xml:space="preserve">part of </w:t>
      </w:r>
      <w:r w:rsidR="00C355C5" w:rsidRPr="00DB2303">
        <w:rPr>
          <w:rFonts w:eastAsia="SimSun"/>
          <w:lang w:eastAsia="zh-CN"/>
        </w:rPr>
        <w:t>th</w:t>
      </w:r>
      <w:r>
        <w:rPr>
          <w:rFonts w:eastAsia="SimSun"/>
          <w:lang w:eastAsia="zh-CN"/>
        </w:rPr>
        <w:t>is</w:t>
      </w:r>
      <w:r w:rsidR="00C355C5" w:rsidRPr="00DB2303">
        <w:rPr>
          <w:rFonts w:eastAsia="SimSun"/>
          <w:lang w:eastAsia="zh-CN"/>
        </w:rPr>
        <w:t xml:space="preserve"> consumption </w:t>
      </w:r>
      <w:r>
        <w:rPr>
          <w:rFonts w:eastAsia="SimSun"/>
          <w:lang w:eastAsia="zh-CN"/>
        </w:rPr>
        <w:t xml:space="preserve">was </w:t>
      </w:r>
      <w:r w:rsidR="00C355C5" w:rsidRPr="00DB2303">
        <w:rPr>
          <w:rFonts w:eastAsia="SimSun"/>
          <w:lang w:eastAsia="zh-CN"/>
        </w:rPr>
        <w:t xml:space="preserve">mistakenly reported </w:t>
      </w:r>
      <w:r>
        <w:rPr>
          <w:rFonts w:eastAsia="SimSun"/>
          <w:lang w:eastAsia="zh-CN"/>
        </w:rPr>
        <w:t xml:space="preserve">in 2007 </w:t>
      </w:r>
      <w:r w:rsidR="00C355C5" w:rsidRPr="00DB2303">
        <w:rPr>
          <w:rFonts w:eastAsia="SimSun"/>
          <w:lang w:eastAsia="zh-CN"/>
        </w:rPr>
        <w:t>as official HCFC-141b</w:t>
      </w:r>
      <w:r>
        <w:rPr>
          <w:rFonts w:eastAsia="SimSun"/>
          <w:lang w:eastAsia="zh-CN"/>
        </w:rPr>
        <w:t xml:space="preserve"> </w:t>
      </w:r>
      <w:r w:rsidR="00C355C5" w:rsidRPr="00DB2303">
        <w:rPr>
          <w:rFonts w:eastAsia="SimSun"/>
          <w:lang w:eastAsia="zh-CN"/>
        </w:rPr>
        <w:t xml:space="preserve">consumption </w:t>
      </w:r>
      <w:r>
        <w:rPr>
          <w:rFonts w:eastAsia="SimSun"/>
          <w:lang w:eastAsia="zh-CN"/>
        </w:rPr>
        <w:t xml:space="preserve">(bulk) </w:t>
      </w:r>
      <w:r w:rsidR="00C355C5" w:rsidRPr="00DB2303">
        <w:rPr>
          <w:rFonts w:eastAsia="SimSun"/>
          <w:lang w:eastAsia="zh-CN"/>
        </w:rPr>
        <w:t xml:space="preserve">under Article 7 </w:t>
      </w:r>
      <w:r>
        <w:rPr>
          <w:rFonts w:eastAsia="SimSun"/>
          <w:lang w:eastAsia="zh-CN"/>
        </w:rPr>
        <w:t>of the Montreal Protocol</w:t>
      </w:r>
      <w:r w:rsidR="00C355C5" w:rsidRPr="00DB2303">
        <w:rPr>
          <w:rStyle w:val="FootnoteReference"/>
          <w:rFonts w:eastAsia="SimSun"/>
          <w:lang w:eastAsia="zh-CN"/>
        </w:rPr>
        <w:footnoteReference w:id="6"/>
      </w:r>
      <w:r>
        <w:rPr>
          <w:rFonts w:eastAsia="SimSun"/>
          <w:lang w:eastAsia="zh-CN"/>
        </w:rPr>
        <w:t xml:space="preserve">. In recognising that the 2007 reported consumption </w:t>
      </w:r>
      <w:r w:rsidR="00C355C5" w:rsidRPr="00DB2303">
        <w:rPr>
          <w:rFonts w:eastAsia="SimSun"/>
          <w:lang w:eastAsia="zh-CN"/>
        </w:rPr>
        <w:t xml:space="preserve">would need to be corrected before a recalculation of the starting point, the Secretariat suggested that the Government of Peru officially request </w:t>
      </w:r>
      <w:r>
        <w:rPr>
          <w:rFonts w:eastAsia="SimSun"/>
          <w:lang w:eastAsia="zh-CN"/>
        </w:rPr>
        <w:t>the</w:t>
      </w:r>
      <w:r w:rsidR="00C355C5" w:rsidRPr="00DB2303">
        <w:rPr>
          <w:rFonts w:eastAsia="SimSun"/>
          <w:lang w:eastAsia="zh-CN"/>
        </w:rPr>
        <w:t xml:space="preserve"> change </w:t>
      </w:r>
      <w:r>
        <w:rPr>
          <w:rFonts w:eastAsia="SimSun"/>
          <w:lang w:eastAsia="zh-CN"/>
        </w:rPr>
        <w:t>to</w:t>
      </w:r>
      <w:r w:rsidR="00C355C5" w:rsidRPr="00DB2303">
        <w:rPr>
          <w:rFonts w:eastAsia="SimSun"/>
          <w:lang w:eastAsia="zh-CN"/>
        </w:rPr>
        <w:t xml:space="preserve"> the Ozone Secretariat. Considering that the foam sector was only going to be addressed in s</w:t>
      </w:r>
      <w:r w:rsidR="00682B63">
        <w:rPr>
          <w:rFonts w:eastAsia="SimSun"/>
          <w:lang w:eastAsia="zh-CN"/>
        </w:rPr>
        <w:t>tage I</w:t>
      </w:r>
      <w:r w:rsidR="00C355C5" w:rsidRPr="00DB2303">
        <w:rPr>
          <w:rFonts w:eastAsia="SimSun"/>
          <w:lang w:eastAsia="zh-CN"/>
        </w:rPr>
        <w:t xml:space="preserve">I and that it would not contribute to compliance, the Secretariat recommended </w:t>
      </w:r>
      <w:r>
        <w:rPr>
          <w:rFonts w:eastAsia="SimSun"/>
          <w:lang w:eastAsia="zh-CN"/>
        </w:rPr>
        <w:t xml:space="preserve">that </w:t>
      </w:r>
      <w:r w:rsidR="00C355C5" w:rsidRPr="00DB2303">
        <w:rPr>
          <w:rFonts w:eastAsia="SimSun"/>
          <w:lang w:eastAsia="zh-CN"/>
        </w:rPr>
        <w:t xml:space="preserve">the starting point </w:t>
      </w:r>
      <w:r>
        <w:rPr>
          <w:rFonts w:eastAsia="SimSun"/>
          <w:lang w:eastAsia="zh-CN"/>
        </w:rPr>
        <w:t xml:space="preserve">be updated </w:t>
      </w:r>
      <w:r w:rsidR="00C355C5" w:rsidRPr="00DB2303">
        <w:rPr>
          <w:rFonts w:eastAsia="SimSun"/>
          <w:lang w:eastAsia="zh-CN"/>
        </w:rPr>
        <w:t>once the Article 7 data had been revised and upon submission of the foam sector project under s</w:t>
      </w:r>
      <w:r w:rsidR="00682B63">
        <w:rPr>
          <w:rFonts w:eastAsia="SimSun"/>
          <w:lang w:eastAsia="zh-CN"/>
        </w:rPr>
        <w:t>tage I</w:t>
      </w:r>
      <w:r w:rsidR="00C355C5" w:rsidRPr="00DB2303">
        <w:rPr>
          <w:rFonts w:eastAsia="SimSun"/>
          <w:lang w:eastAsia="zh-CN"/>
        </w:rPr>
        <w:t>I. Accordingly, decision 68/35(b)(ii) noted that the amount of 2007-2009 average consumption of HCFC-141b contained in imported pre-blended polyols would be added to the starting point upon submission of s</w:t>
      </w:r>
      <w:r w:rsidR="00682B63">
        <w:rPr>
          <w:rFonts w:eastAsia="SimSun"/>
          <w:lang w:eastAsia="zh-CN"/>
        </w:rPr>
        <w:t>tage I</w:t>
      </w:r>
      <w:r w:rsidR="00C355C5" w:rsidRPr="00DB2303">
        <w:rPr>
          <w:rFonts w:eastAsia="SimSun"/>
          <w:lang w:eastAsia="zh-CN"/>
        </w:rPr>
        <w:t>I of the HPMP</w:t>
      </w:r>
      <w:r w:rsidR="00C355C5" w:rsidRPr="00BC3C90">
        <w:rPr>
          <w:rFonts w:eastAsia="SimSun"/>
          <w:lang w:eastAsia="zh-CN"/>
        </w:rPr>
        <w:t xml:space="preserve">, within the context of a foam sector plan. </w:t>
      </w:r>
    </w:p>
    <w:p w14:paraId="6C150EB0" w14:textId="77777777" w:rsidR="00C355C5" w:rsidRPr="00BC3C90" w:rsidRDefault="00C355C5" w:rsidP="0023662F">
      <w:pPr>
        <w:pStyle w:val="Heading1"/>
        <w:rPr>
          <w:rFonts w:eastAsia="SimSun"/>
          <w:lang w:eastAsia="zh-CN"/>
        </w:rPr>
      </w:pPr>
      <w:r w:rsidRPr="00BC3C90">
        <w:rPr>
          <w:rFonts w:eastAsia="SimSun"/>
          <w:lang w:eastAsia="zh-CN"/>
        </w:rPr>
        <w:t>UNDP has informed that the Government of Peru has officially request</w:t>
      </w:r>
      <w:r w:rsidR="0065535D" w:rsidRPr="00BC3C90">
        <w:rPr>
          <w:rFonts w:eastAsia="SimSun"/>
          <w:lang w:eastAsia="zh-CN"/>
        </w:rPr>
        <w:t xml:space="preserve">ed </w:t>
      </w:r>
      <w:r w:rsidRPr="00BC3C90">
        <w:rPr>
          <w:rFonts w:eastAsia="SimSun"/>
          <w:lang w:eastAsia="zh-CN"/>
        </w:rPr>
        <w:t>the data correction to the Ozone Secretariat. Accordingly, the average consumption of HCFC-141b contained in imported pre</w:t>
      </w:r>
      <w:r w:rsidR="00A41D74" w:rsidRPr="00BC3C90">
        <w:rPr>
          <w:rFonts w:eastAsia="SimSun"/>
          <w:lang w:eastAsia="zh-CN"/>
        </w:rPr>
        <w:noBreakHyphen/>
      </w:r>
      <w:r w:rsidRPr="00BC3C90">
        <w:rPr>
          <w:rFonts w:eastAsia="SimSun"/>
          <w:lang w:eastAsia="zh-CN"/>
        </w:rPr>
        <w:t>blended polyols between 2007 and 2009 is 27.91</w:t>
      </w:r>
      <w:r w:rsidR="008C2783" w:rsidRPr="00BC3C90">
        <w:rPr>
          <w:rFonts w:eastAsia="SimSun"/>
          <w:lang w:eastAsia="zh-CN"/>
        </w:rPr>
        <w:t> ODP ton</w:t>
      </w:r>
      <w:r w:rsidRPr="00BC3C90">
        <w:rPr>
          <w:rFonts w:eastAsia="SimSun"/>
          <w:lang w:eastAsia="zh-CN"/>
        </w:rPr>
        <w:t xml:space="preserve">nes.  </w:t>
      </w:r>
    </w:p>
    <w:p w14:paraId="7EE17144" w14:textId="77777777" w:rsidR="00C355C5" w:rsidRPr="00DB2303" w:rsidRDefault="00C355C5" w:rsidP="0023662F">
      <w:pPr>
        <w:rPr>
          <w:u w:val="single"/>
          <w:lang w:eastAsia="zh-CN"/>
        </w:rPr>
      </w:pPr>
      <w:r w:rsidRPr="00BC3C90">
        <w:rPr>
          <w:u w:val="single"/>
          <w:lang w:eastAsia="zh-CN"/>
        </w:rPr>
        <w:t>Submission of a PU foam sector plan</w:t>
      </w:r>
      <w:r w:rsidRPr="00DB2303">
        <w:rPr>
          <w:u w:val="single"/>
          <w:lang w:eastAsia="zh-CN"/>
        </w:rPr>
        <w:t xml:space="preserve"> during the implementation of stage II</w:t>
      </w:r>
    </w:p>
    <w:p w14:paraId="29C33D4F" w14:textId="77777777" w:rsidR="00C355C5" w:rsidRPr="00DB2303" w:rsidRDefault="00C355C5" w:rsidP="0023662F">
      <w:pPr>
        <w:rPr>
          <w:lang w:eastAsia="zh-CN"/>
        </w:rPr>
      </w:pPr>
    </w:p>
    <w:p w14:paraId="4213C010" w14:textId="648B772D" w:rsidR="00C355C5" w:rsidRPr="00C85260" w:rsidRDefault="00C355C5" w:rsidP="0023662F">
      <w:pPr>
        <w:pStyle w:val="Heading1"/>
        <w:rPr>
          <w:rFonts w:eastAsia="SimSun"/>
          <w:lang w:eastAsia="zh-CN"/>
        </w:rPr>
      </w:pPr>
      <w:r w:rsidRPr="00DB2303">
        <w:rPr>
          <w:rFonts w:eastAsia="SimSun"/>
          <w:lang w:eastAsia="zh-CN"/>
        </w:rPr>
        <w:t xml:space="preserve">UNDP explained that a project to phase-out HCFC-141b contained in imported pre-blended polyols </w:t>
      </w:r>
      <w:r w:rsidR="00F6373B" w:rsidRPr="00DB2303">
        <w:rPr>
          <w:rFonts w:eastAsia="SimSun"/>
          <w:lang w:eastAsia="zh-CN"/>
        </w:rPr>
        <w:t>was not</w:t>
      </w:r>
      <w:r w:rsidRPr="00DB2303">
        <w:rPr>
          <w:rFonts w:eastAsia="SimSun"/>
          <w:lang w:eastAsia="zh-CN"/>
        </w:rPr>
        <w:t xml:space="preserve"> included in the submission</w:t>
      </w:r>
      <w:r w:rsidR="00EA41A9">
        <w:rPr>
          <w:rFonts w:eastAsia="SimSun"/>
          <w:lang w:eastAsia="zh-CN"/>
        </w:rPr>
        <w:t xml:space="preserve"> of stage II of the HPMP</w:t>
      </w:r>
      <w:r w:rsidRPr="00DB2303">
        <w:rPr>
          <w:rFonts w:eastAsia="SimSun"/>
          <w:lang w:eastAsia="zh-CN"/>
        </w:rPr>
        <w:t xml:space="preserve"> as the main supplier of polyols to Peru is</w:t>
      </w:r>
      <w:r w:rsidR="00F6373B" w:rsidRPr="00DB2303">
        <w:rPr>
          <w:rFonts w:eastAsia="SimSun"/>
          <w:lang w:eastAsia="zh-CN"/>
        </w:rPr>
        <w:t xml:space="preserve"> a non</w:t>
      </w:r>
      <w:r w:rsidR="00B22566">
        <w:rPr>
          <w:rFonts w:eastAsia="SimSun"/>
          <w:lang w:eastAsia="zh-CN"/>
        </w:rPr>
        <w:noBreakHyphen/>
      </w:r>
      <w:r w:rsidR="00F6373B" w:rsidRPr="00DB2303">
        <w:rPr>
          <w:rFonts w:eastAsia="SimSun"/>
          <w:lang w:eastAsia="zh-CN"/>
        </w:rPr>
        <w:t>Article </w:t>
      </w:r>
      <w:r w:rsidRPr="00DB2303">
        <w:rPr>
          <w:rFonts w:eastAsia="SimSun"/>
          <w:lang w:eastAsia="zh-CN"/>
        </w:rPr>
        <w:t xml:space="preserve">5 enterprise based in Panama that only provides HCFC and </w:t>
      </w:r>
      <w:r w:rsidR="00EA41A9">
        <w:rPr>
          <w:rFonts w:eastAsia="SimSun"/>
          <w:lang w:eastAsia="zh-CN"/>
        </w:rPr>
        <w:t>high-GWP</w:t>
      </w:r>
      <w:r w:rsidR="00B22566">
        <w:rPr>
          <w:rFonts w:eastAsia="SimSun"/>
          <w:lang w:eastAsia="zh-CN"/>
        </w:rPr>
        <w:t xml:space="preserve"> HFC</w:t>
      </w:r>
      <w:r w:rsidRPr="00DB2303">
        <w:rPr>
          <w:rFonts w:eastAsia="SimSun"/>
          <w:lang w:eastAsia="zh-CN"/>
        </w:rPr>
        <w:t>-based pre-blended polyols</w:t>
      </w:r>
      <w:r w:rsidR="00EA41A9">
        <w:rPr>
          <w:rFonts w:eastAsia="SimSun"/>
          <w:lang w:eastAsia="zh-CN"/>
        </w:rPr>
        <w:t>;</w:t>
      </w:r>
      <w:r w:rsidRPr="00DB2303">
        <w:rPr>
          <w:rFonts w:eastAsia="SimSun"/>
          <w:lang w:eastAsia="zh-CN"/>
        </w:rPr>
        <w:t xml:space="preserve"> </w:t>
      </w:r>
      <w:r w:rsidR="00EA41A9">
        <w:rPr>
          <w:rFonts w:eastAsia="SimSun"/>
          <w:lang w:eastAsia="zh-CN"/>
        </w:rPr>
        <w:t>therefore</w:t>
      </w:r>
      <w:r w:rsidRPr="00DB2303">
        <w:rPr>
          <w:rFonts w:eastAsia="SimSun"/>
          <w:lang w:eastAsia="zh-CN"/>
        </w:rPr>
        <w:t xml:space="preserve"> it </w:t>
      </w:r>
      <w:r w:rsidR="00EA41A9">
        <w:rPr>
          <w:rFonts w:eastAsia="SimSun"/>
          <w:lang w:eastAsia="zh-CN"/>
        </w:rPr>
        <w:t xml:space="preserve">was </w:t>
      </w:r>
      <w:r w:rsidRPr="00DB2303">
        <w:rPr>
          <w:rFonts w:eastAsia="SimSun"/>
          <w:lang w:eastAsia="zh-CN"/>
        </w:rPr>
        <w:t xml:space="preserve">very difficult for the country to commit to replacing HCFC-141b with low-GWP alternatives. UNDP will continue monitoring the situation with the expectation that a project would be submitted later during stage II. Similar to the approach taken during stage I </w:t>
      </w:r>
      <w:r w:rsidR="00F6373B" w:rsidRPr="00DB2303">
        <w:rPr>
          <w:rFonts w:eastAsia="SimSun"/>
          <w:lang w:eastAsia="zh-CN"/>
        </w:rPr>
        <w:t xml:space="preserve">in line with </w:t>
      </w:r>
      <w:r w:rsidRPr="00DB2303">
        <w:rPr>
          <w:rFonts w:eastAsia="SimSun"/>
          <w:lang w:eastAsia="zh-CN"/>
        </w:rPr>
        <w:t>decision 63/15, it is proposed to allow the Government of Peru to submit the PU foam sector plan at a future meeting during the implementation of stage II, when proven cost-effective and commercially available low-GWP technology makes it possible to replace the HCFC-141b-based polyols used by PU foam enterprises.</w:t>
      </w:r>
      <w:r w:rsidR="006649AA">
        <w:rPr>
          <w:rFonts w:eastAsia="SimSun"/>
          <w:lang w:eastAsia="zh-CN"/>
        </w:rPr>
        <w:t xml:space="preserve"> </w:t>
      </w:r>
      <w:r w:rsidR="006649AA" w:rsidRPr="00C85260">
        <w:rPr>
          <w:rFonts w:eastAsia="SimSun"/>
          <w:lang w:eastAsia="zh-CN"/>
        </w:rPr>
        <w:t xml:space="preserve">The level of HCFC-141b contained in imported pre-blended polyols eligible for funding will be determined at the time of the submission of the project </w:t>
      </w:r>
      <w:r w:rsidR="00BC3C90" w:rsidRPr="00C85260">
        <w:rPr>
          <w:rFonts w:eastAsia="SimSun"/>
          <w:lang w:eastAsia="zh-CN"/>
        </w:rPr>
        <w:t>and</w:t>
      </w:r>
      <w:r w:rsidR="006649AA" w:rsidRPr="00C85260">
        <w:rPr>
          <w:rFonts w:eastAsia="SimSun"/>
          <w:lang w:eastAsia="zh-CN"/>
        </w:rPr>
        <w:t xml:space="preserve"> will not be above 27.91</w:t>
      </w:r>
      <w:r w:rsidR="008C2783" w:rsidRPr="00C85260">
        <w:rPr>
          <w:rFonts w:eastAsia="SimSun"/>
          <w:lang w:eastAsia="zh-CN"/>
        </w:rPr>
        <w:t> ODP ton</w:t>
      </w:r>
      <w:r w:rsidR="006649AA" w:rsidRPr="00C85260">
        <w:rPr>
          <w:rFonts w:eastAsia="SimSun"/>
          <w:lang w:eastAsia="zh-CN"/>
        </w:rPr>
        <w:t>nes (i.e., 2007-2009 average consumption).</w:t>
      </w:r>
    </w:p>
    <w:p w14:paraId="0ABC00C7" w14:textId="77777777" w:rsidR="00C355C5" w:rsidRPr="00DB2303" w:rsidRDefault="00C355C5" w:rsidP="0023662F">
      <w:pPr>
        <w:pStyle w:val="Heading1"/>
        <w:numPr>
          <w:ilvl w:val="0"/>
          <w:numId w:val="0"/>
        </w:numPr>
        <w:rPr>
          <w:rFonts w:eastAsia="SimSun"/>
          <w:u w:val="single"/>
          <w:lang w:eastAsia="zh-CN"/>
        </w:rPr>
      </w:pPr>
      <w:r w:rsidRPr="00DB2303">
        <w:rPr>
          <w:rFonts w:eastAsia="SimSun"/>
          <w:u w:val="single"/>
          <w:lang w:eastAsia="zh-CN"/>
        </w:rPr>
        <w:t>Use of HCFC-124 and HCFC-142b</w:t>
      </w:r>
    </w:p>
    <w:p w14:paraId="69769966" w14:textId="77777777" w:rsidR="00C355C5" w:rsidRPr="00DB2303" w:rsidRDefault="00C355C5" w:rsidP="0023662F">
      <w:pPr>
        <w:pStyle w:val="Heading1"/>
        <w:rPr>
          <w:rFonts w:eastAsia="SimSun"/>
          <w:lang w:eastAsia="zh-CN"/>
        </w:rPr>
      </w:pPr>
      <w:r w:rsidRPr="00DB2303">
        <w:rPr>
          <w:rFonts w:eastAsia="SimSun"/>
          <w:lang w:eastAsia="zh-CN"/>
        </w:rPr>
        <w:lastRenderedPageBreak/>
        <w:t>Stage II</w:t>
      </w:r>
      <w:r w:rsidR="00A13A39">
        <w:rPr>
          <w:rFonts w:eastAsia="SimSun"/>
          <w:lang w:eastAsia="zh-CN"/>
        </w:rPr>
        <w:t xml:space="preserve"> proposed </w:t>
      </w:r>
      <w:r w:rsidRPr="00DB2303">
        <w:rPr>
          <w:rFonts w:eastAsia="SimSun"/>
          <w:lang w:eastAsia="zh-CN"/>
        </w:rPr>
        <w:t>to phase out small amounts of HCFC</w:t>
      </w:r>
      <w:r w:rsidRPr="00DB2303">
        <w:rPr>
          <w:rFonts w:eastAsia="SimSun"/>
          <w:lang w:eastAsia="zh-CN"/>
        </w:rPr>
        <w:noBreakHyphen/>
        <w:t>124 and HCFC-142b consumed in 2016 (0.27 and 6.03 mt</w:t>
      </w:r>
      <w:r w:rsidR="00A13A39">
        <w:rPr>
          <w:rFonts w:eastAsia="SimSun"/>
          <w:lang w:eastAsia="zh-CN"/>
        </w:rPr>
        <w:t>,</w:t>
      </w:r>
      <w:r w:rsidRPr="00DB2303">
        <w:rPr>
          <w:rFonts w:eastAsia="SimSun"/>
          <w:lang w:eastAsia="zh-CN"/>
        </w:rPr>
        <w:t xml:space="preserve"> respectively)</w:t>
      </w:r>
      <w:r w:rsidR="00A13A39">
        <w:rPr>
          <w:rFonts w:eastAsia="SimSun"/>
          <w:lang w:eastAsia="zh-CN"/>
        </w:rPr>
        <w:t>,</w:t>
      </w:r>
      <w:r w:rsidRPr="00DB2303">
        <w:rPr>
          <w:rFonts w:eastAsia="SimSun"/>
          <w:lang w:eastAsia="zh-CN"/>
        </w:rPr>
        <w:t xml:space="preserve"> contained R-406a and R-409a blends used as drop-in substitute</w:t>
      </w:r>
      <w:r w:rsidR="00A13A39">
        <w:rPr>
          <w:rFonts w:eastAsia="SimSun"/>
          <w:lang w:eastAsia="zh-CN"/>
        </w:rPr>
        <w:t>s</w:t>
      </w:r>
      <w:r w:rsidRPr="00DB2303">
        <w:rPr>
          <w:rFonts w:eastAsia="SimSun"/>
          <w:lang w:eastAsia="zh-CN"/>
        </w:rPr>
        <w:t xml:space="preserve"> for CFC</w:t>
      </w:r>
      <w:r w:rsidR="00C85260">
        <w:rPr>
          <w:rFonts w:eastAsia="SimSun"/>
          <w:lang w:eastAsia="zh-CN"/>
        </w:rPr>
        <w:noBreakHyphen/>
      </w:r>
      <w:r w:rsidRPr="00DB2303">
        <w:rPr>
          <w:rFonts w:eastAsia="SimSun"/>
          <w:lang w:eastAsia="zh-CN"/>
        </w:rPr>
        <w:t>12 in domestic refrigeration</w:t>
      </w:r>
      <w:r w:rsidR="00A13A39">
        <w:rPr>
          <w:rFonts w:eastAsia="SimSun"/>
          <w:lang w:eastAsia="zh-CN"/>
        </w:rPr>
        <w:t xml:space="preserve">; however, no specific activities were included to address this consumption. </w:t>
      </w:r>
      <w:r w:rsidRPr="00DB2303">
        <w:rPr>
          <w:rFonts w:eastAsia="SimSun"/>
          <w:lang w:eastAsia="zh-CN"/>
        </w:rPr>
        <w:t>Upon discussion of the matter</w:t>
      </w:r>
      <w:r w:rsidR="00A13A39">
        <w:rPr>
          <w:rFonts w:eastAsia="SimSun"/>
          <w:lang w:eastAsia="zh-CN"/>
        </w:rPr>
        <w:t xml:space="preserve">, </w:t>
      </w:r>
      <w:r w:rsidRPr="00DB2303">
        <w:rPr>
          <w:rFonts w:eastAsia="SimSun"/>
          <w:lang w:eastAsia="zh-CN"/>
        </w:rPr>
        <w:t xml:space="preserve">and considering that by the end of stage II it would not be possible to </w:t>
      </w:r>
      <w:r w:rsidR="00FA77A8" w:rsidRPr="00DB2303">
        <w:rPr>
          <w:rFonts w:eastAsia="SimSun"/>
          <w:lang w:eastAsia="zh-CN"/>
        </w:rPr>
        <w:t>reassure that the consumption</w:t>
      </w:r>
      <w:r w:rsidR="00A13A39">
        <w:rPr>
          <w:rFonts w:eastAsia="SimSun"/>
          <w:lang w:eastAsia="zh-CN"/>
        </w:rPr>
        <w:t xml:space="preserve"> of these HCFCs </w:t>
      </w:r>
      <w:r w:rsidR="00FA77A8" w:rsidRPr="00DB2303">
        <w:rPr>
          <w:rFonts w:eastAsia="SimSun"/>
          <w:lang w:eastAsia="zh-CN"/>
        </w:rPr>
        <w:t xml:space="preserve">was phased out </w:t>
      </w:r>
      <w:r w:rsidR="00A13A39">
        <w:rPr>
          <w:rFonts w:eastAsia="SimSun"/>
          <w:lang w:eastAsia="zh-CN"/>
        </w:rPr>
        <w:t xml:space="preserve">and that </w:t>
      </w:r>
      <w:r w:rsidRPr="00DB2303">
        <w:rPr>
          <w:rFonts w:eastAsia="SimSun"/>
          <w:lang w:eastAsia="zh-CN"/>
        </w:rPr>
        <w:t xml:space="preserve">the phase-out </w:t>
      </w:r>
      <w:r w:rsidR="00FB28EA">
        <w:rPr>
          <w:rFonts w:eastAsia="SimSun"/>
          <w:lang w:eastAsia="zh-CN"/>
        </w:rPr>
        <w:t>was sustainable</w:t>
      </w:r>
      <w:r w:rsidRPr="00DB2303">
        <w:rPr>
          <w:rFonts w:eastAsia="SimSun"/>
          <w:lang w:eastAsia="zh-CN"/>
        </w:rPr>
        <w:t xml:space="preserve">, UNDP </w:t>
      </w:r>
      <w:r w:rsidR="00FB28EA">
        <w:rPr>
          <w:rFonts w:eastAsia="SimSun"/>
          <w:lang w:eastAsia="zh-CN"/>
        </w:rPr>
        <w:t>agreed</w:t>
      </w:r>
      <w:r w:rsidRPr="00DB2303">
        <w:rPr>
          <w:rFonts w:eastAsia="SimSun"/>
          <w:lang w:eastAsia="zh-CN"/>
        </w:rPr>
        <w:t xml:space="preserve"> to address th</w:t>
      </w:r>
      <w:r w:rsidR="00A41D74" w:rsidRPr="00DB2303">
        <w:rPr>
          <w:rFonts w:eastAsia="SimSun"/>
          <w:lang w:eastAsia="zh-CN"/>
        </w:rPr>
        <w:t>e</w:t>
      </w:r>
      <w:r w:rsidRPr="00DB2303">
        <w:rPr>
          <w:rFonts w:eastAsia="SimSun"/>
          <w:lang w:eastAsia="zh-CN"/>
        </w:rPr>
        <w:t xml:space="preserve"> entire use of HCFC-124 and HCFC</w:t>
      </w:r>
      <w:r w:rsidR="00737CD2" w:rsidRPr="00DB2303">
        <w:rPr>
          <w:rFonts w:eastAsia="SimSun"/>
          <w:lang w:eastAsia="zh-CN"/>
        </w:rPr>
        <w:noBreakHyphen/>
      </w:r>
      <w:r w:rsidRPr="00DB2303">
        <w:rPr>
          <w:rFonts w:eastAsia="SimSun"/>
          <w:lang w:eastAsia="zh-CN"/>
        </w:rPr>
        <w:t>142b at a future stage.</w:t>
      </w:r>
    </w:p>
    <w:p w14:paraId="05E7C65C" w14:textId="77777777" w:rsidR="00C355C5" w:rsidRPr="004A55D4" w:rsidRDefault="00C355C5" w:rsidP="0023662F">
      <w:pPr>
        <w:rPr>
          <w:rFonts w:eastAsia="SimSun"/>
          <w:u w:val="single"/>
          <w:lang w:eastAsia="zh-CN"/>
        </w:rPr>
      </w:pPr>
      <w:r w:rsidRPr="00DB2303">
        <w:rPr>
          <w:rFonts w:eastAsia="SimSun"/>
          <w:u w:val="single"/>
          <w:lang w:eastAsia="zh-CN"/>
        </w:rPr>
        <w:t xml:space="preserve">Activities </w:t>
      </w:r>
      <w:r w:rsidRPr="004A55D4">
        <w:rPr>
          <w:rFonts w:eastAsia="SimSun"/>
          <w:u w:val="single"/>
          <w:lang w:eastAsia="zh-CN"/>
        </w:rPr>
        <w:t>proposed</w:t>
      </w:r>
      <w:r w:rsidR="00FA7056" w:rsidRPr="004A55D4">
        <w:rPr>
          <w:rFonts w:eastAsia="SimSun"/>
          <w:u w:val="single"/>
          <w:lang w:eastAsia="zh-CN"/>
        </w:rPr>
        <w:t xml:space="preserve"> for stage II</w:t>
      </w:r>
    </w:p>
    <w:p w14:paraId="27B164E8" w14:textId="77777777" w:rsidR="00C355C5" w:rsidRPr="004A55D4" w:rsidRDefault="00C355C5" w:rsidP="0023662F">
      <w:pPr>
        <w:rPr>
          <w:rFonts w:eastAsia="SimSun"/>
          <w:u w:val="single"/>
          <w:lang w:eastAsia="zh-CN"/>
        </w:rPr>
      </w:pPr>
    </w:p>
    <w:p w14:paraId="5B78D592" w14:textId="77777777" w:rsidR="00C355C5" w:rsidRPr="004A55D4" w:rsidRDefault="00C355C5" w:rsidP="0023662F">
      <w:pPr>
        <w:pStyle w:val="Heading1"/>
        <w:rPr>
          <w:rFonts w:eastAsia="SimSun"/>
          <w:u w:val="single"/>
          <w:lang w:eastAsia="zh-CN"/>
        </w:rPr>
      </w:pPr>
      <w:r w:rsidRPr="004A55D4">
        <w:rPr>
          <w:rFonts w:eastAsia="SimSun"/>
          <w:lang w:eastAsia="zh-CN"/>
        </w:rPr>
        <w:t xml:space="preserve">Discussions between the Secretariat and UNDP focused on addressing areas of improvement identified during stage I, </w:t>
      </w:r>
      <w:r w:rsidR="00BA7FFC" w:rsidRPr="004A55D4">
        <w:rPr>
          <w:rFonts w:eastAsia="SimSun"/>
          <w:lang w:eastAsia="zh-CN"/>
        </w:rPr>
        <w:t xml:space="preserve">ensuring the </w:t>
      </w:r>
      <w:r w:rsidR="007F3DEF" w:rsidRPr="004A55D4">
        <w:rPr>
          <w:rFonts w:eastAsia="SimSun"/>
          <w:lang w:eastAsia="zh-CN"/>
        </w:rPr>
        <w:t>largest</w:t>
      </w:r>
      <w:r w:rsidR="00BA7FFC" w:rsidRPr="004A55D4">
        <w:rPr>
          <w:rFonts w:eastAsia="SimSun"/>
          <w:lang w:eastAsia="zh-CN"/>
        </w:rPr>
        <w:t xml:space="preserve"> possible </w:t>
      </w:r>
      <w:r w:rsidR="007F3DEF" w:rsidRPr="004A55D4">
        <w:rPr>
          <w:rFonts w:eastAsia="SimSun"/>
          <w:lang w:eastAsia="zh-CN"/>
        </w:rPr>
        <w:t>coverage</w:t>
      </w:r>
      <w:r w:rsidR="00BA7FFC" w:rsidRPr="004A55D4">
        <w:rPr>
          <w:rFonts w:eastAsia="SimSun"/>
          <w:lang w:eastAsia="zh-CN"/>
        </w:rPr>
        <w:t xml:space="preserve"> and</w:t>
      </w:r>
      <w:r w:rsidRPr="004A55D4">
        <w:rPr>
          <w:rFonts w:eastAsia="SimSun"/>
          <w:lang w:eastAsia="zh-CN"/>
        </w:rPr>
        <w:t xml:space="preserve"> </w:t>
      </w:r>
      <w:r w:rsidR="00C85260" w:rsidRPr="004A55D4">
        <w:rPr>
          <w:rFonts w:eastAsia="SimSun"/>
          <w:lang w:eastAsia="zh-CN"/>
        </w:rPr>
        <w:t xml:space="preserve">a </w:t>
      </w:r>
      <w:r w:rsidRPr="004A55D4">
        <w:rPr>
          <w:rFonts w:eastAsia="SimSun"/>
          <w:lang w:eastAsia="zh-CN"/>
        </w:rPr>
        <w:t xml:space="preserve">long-term </w:t>
      </w:r>
      <w:r w:rsidR="00FA7056" w:rsidRPr="004A55D4">
        <w:rPr>
          <w:rFonts w:eastAsia="SimSun"/>
          <w:lang w:eastAsia="zh-CN"/>
        </w:rPr>
        <w:t>sustainability</w:t>
      </w:r>
      <w:r w:rsidRPr="004A55D4">
        <w:rPr>
          <w:rFonts w:eastAsia="SimSun"/>
          <w:lang w:eastAsia="zh-CN"/>
        </w:rPr>
        <w:t xml:space="preserve"> </w:t>
      </w:r>
      <w:r w:rsidR="00CE6C3F" w:rsidRPr="004A55D4">
        <w:rPr>
          <w:rFonts w:eastAsia="SimSun"/>
          <w:lang w:eastAsia="zh-CN"/>
        </w:rPr>
        <w:t xml:space="preserve">of </w:t>
      </w:r>
      <w:r w:rsidRPr="004A55D4">
        <w:rPr>
          <w:rFonts w:eastAsia="SimSun"/>
          <w:lang w:eastAsia="zh-CN"/>
        </w:rPr>
        <w:t>the activities proposed.</w:t>
      </w:r>
    </w:p>
    <w:p w14:paraId="45A63235" w14:textId="77777777" w:rsidR="00C355C5" w:rsidRPr="00DB2303" w:rsidRDefault="00C355C5" w:rsidP="0023662F">
      <w:pPr>
        <w:pStyle w:val="Heading2"/>
        <w:numPr>
          <w:ilvl w:val="0"/>
          <w:numId w:val="0"/>
        </w:numPr>
        <w:rPr>
          <w:rFonts w:eastAsia="SimSun"/>
          <w:i/>
          <w:lang w:eastAsia="zh-CN"/>
        </w:rPr>
      </w:pPr>
      <w:r w:rsidRPr="00DB2303">
        <w:rPr>
          <w:rFonts w:eastAsia="SimSun"/>
          <w:i/>
          <w:lang w:eastAsia="zh-CN"/>
        </w:rPr>
        <w:t>Strengthening of policies and legal framework to control HCFC consumption</w:t>
      </w:r>
    </w:p>
    <w:p w14:paraId="13E0F1E0" w14:textId="5A18B14B" w:rsidR="00C355C5" w:rsidRPr="004A55D4" w:rsidRDefault="00C355C5" w:rsidP="0023662F">
      <w:pPr>
        <w:pStyle w:val="Heading1"/>
        <w:rPr>
          <w:rFonts w:eastAsia="SimSun"/>
          <w:lang w:eastAsia="zh-CN"/>
        </w:rPr>
      </w:pPr>
      <w:r w:rsidRPr="00DB2303">
        <w:rPr>
          <w:rFonts w:eastAsia="SimSun"/>
          <w:lang w:eastAsia="zh-CN"/>
        </w:rPr>
        <w:t xml:space="preserve">UNDP provided reassurance </w:t>
      </w:r>
      <w:r w:rsidRPr="004A55D4">
        <w:rPr>
          <w:rFonts w:eastAsia="SimSun"/>
          <w:lang w:eastAsia="zh-CN"/>
        </w:rPr>
        <w:t>that deficiencies in customs report</w:t>
      </w:r>
      <w:r w:rsidR="00E21615" w:rsidRPr="004A55D4">
        <w:rPr>
          <w:rFonts w:eastAsia="SimSun"/>
          <w:lang w:eastAsia="zh-CN"/>
        </w:rPr>
        <w:t>ing</w:t>
      </w:r>
      <w:r w:rsidRPr="004A55D4">
        <w:rPr>
          <w:rFonts w:eastAsia="SimSun"/>
          <w:lang w:eastAsia="zh-CN"/>
        </w:rPr>
        <w:t xml:space="preserve"> identified in the HCFC consumption verification report (i.e</w:t>
      </w:r>
      <w:r w:rsidR="00EB6185" w:rsidRPr="004A55D4">
        <w:rPr>
          <w:rFonts w:eastAsia="SimSun"/>
          <w:lang w:eastAsia="zh-CN"/>
        </w:rPr>
        <w:t>.</w:t>
      </w:r>
      <w:r w:rsidRPr="004A55D4">
        <w:rPr>
          <w:rFonts w:eastAsia="SimSun"/>
          <w:lang w:eastAsia="zh-CN"/>
        </w:rPr>
        <w:t>, incorrect or incomplete definitions</w:t>
      </w:r>
      <w:r w:rsidR="00EB6185" w:rsidRPr="004A55D4">
        <w:rPr>
          <w:rFonts w:eastAsia="SimSun"/>
          <w:lang w:eastAsia="zh-CN"/>
        </w:rPr>
        <w:t xml:space="preserve"> of</w:t>
      </w:r>
      <w:r w:rsidRPr="004A55D4">
        <w:rPr>
          <w:rFonts w:eastAsia="SimSun"/>
          <w:lang w:eastAsia="zh-CN"/>
        </w:rPr>
        <w:t xml:space="preserve"> substance, commercial description and tariff code</w:t>
      </w:r>
      <w:r w:rsidR="007B2D70" w:rsidRPr="004A55D4">
        <w:rPr>
          <w:rStyle w:val="FootnoteReference"/>
          <w:rFonts w:eastAsia="SimSun"/>
          <w:lang w:eastAsia="zh-CN"/>
        </w:rPr>
        <w:footnoteReference w:id="7"/>
      </w:r>
      <w:r w:rsidRPr="004A55D4">
        <w:rPr>
          <w:rFonts w:eastAsia="SimSun"/>
          <w:lang w:eastAsia="zh-CN"/>
        </w:rPr>
        <w:t>) would be addressed</w:t>
      </w:r>
      <w:r w:rsidR="00EB6185" w:rsidRPr="004A55D4">
        <w:rPr>
          <w:rFonts w:eastAsia="SimSun"/>
          <w:lang w:eastAsia="zh-CN"/>
        </w:rPr>
        <w:t>.</w:t>
      </w:r>
      <w:r w:rsidRPr="004A55D4">
        <w:rPr>
          <w:rFonts w:eastAsia="SimSun"/>
          <w:lang w:eastAsia="zh-CN"/>
        </w:rPr>
        <w:t xml:space="preserve"> </w:t>
      </w:r>
      <w:r w:rsidR="00EB6185" w:rsidRPr="004A55D4">
        <w:rPr>
          <w:rFonts w:eastAsia="SimSun"/>
          <w:lang w:eastAsia="zh-CN"/>
        </w:rPr>
        <w:t>S</w:t>
      </w:r>
      <w:r w:rsidRPr="004A55D4">
        <w:rPr>
          <w:rFonts w:eastAsia="SimSun"/>
          <w:lang w:eastAsia="zh-CN"/>
        </w:rPr>
        <w:t>tage II</w:t>
      </w:r>
      <w:r w:rsidR="00E21615" w:rsidRPr="004A55D4">
        <w:rPr>
          <w:rFonts w:eastAsia="SimSun"/>
          <w:lang w:eastAsia="zh-CN"/>
        </w:rPr>
        <w:t xml:space="preserve"> </w:t>
      </w:r>
      <w:r w:rsidRPr="004A55D4">
        <w:rPr>
          <w:rFonts w:eastAsia="SimSun"/>
          <w:lang w:eastAsia="zh-CN"/>
        </w:rPr>
        <w:t>includes</w:t>
      </w:r>
      <w:r w:rsidR="00EB6185" w:rsidRPr="004A55D4">
        <w:rPr>
          <w:rFonts w:eastAsia="SimSun"/>
          <w:lang w:eastAsia="zh-CN"/>
        </w:rPr>
        <w:t xml:space="preserve"> activities to improve the application of the </w:t>
      </w:r>
      <w:r w:rsidR="000735BD" w:rsidRPr="004A55D4">
        <w:rPr>
          <w:rFonts w:eastAsia="SimSun"/>
          <w:lang w:eastAsia="zh-CN"/>
        </w:rPr>
        <w:t>h</w:t>
      </w:r>
      <w:r w:rsidRPr="004A55D4">
        <w:rPr>
          <w:rFonts w:eastAsia="SimSun"/>
          <w:lang w:eastAsia="zh-CN"/>
        </w:rPr>
        <w:t xml:space="preserve">armonized </w:t>
      </w:r>
      <w:r w:rsidR="000735BD" w:rsidRPr="004A55D4">
        <w:rPr>
          <w:rFonts w:eastAsia="SimSun"/>
          <w:lang w:eastAsia="zh-CN"/>
        </w:rPr>
        <w:t>c</w:t>
      </w:r>
      <w:r w:rsidRPr="004A55D4">
        <w:rPr>
          <w:rFonts w:eastAsia="SimSun"/>
          <w:lang w:eastAsia="zh-CN"/>
        </w:rPr>
        <w:t xml:space="preserve">ustoms </w:t>
      </w:r>
      <w:r w:rsidR="000735BD" w:rsidRPr="004A55D4">
        <w:rPr>
          <w:rFonts w:eastAsia="SimSun"/>
          <w:lang w:eastAsia="zh-CN"/>
        </w:rPr>
        <w:t>c</w:t>
      </w:r>
      <w:r w:rsidRPr="004A55D4">
        <w:rPr>
          <w:rFonts w:eastAsia="SimSun"/>
          <w:lang w:eastAsia="zh-CN"/>
        </w:rPr>
        <w:t>ode</w:t>
      </w:r>
      <w:r w:rsidR="004A55D4" w:rsidRPr="004A55D4">
        <w:rPr>
          <w:rFonts w:eastAsia="SimSun"/>
          <w:lang w:eastAsia="zh-CN"/>
        </w:rPr>
        <w:t>,</w:t>
      </w:r>
      <w:r w:rsidR="00D04BB2" w:rsidRPr="004A55D4">
        <w:rPr>
          <w:rFonts w:eastAsia="SimSun"/>
          <w:lang w:eastAsia="zh-CN"/>
        </w:rPr>
        <w:t xml:space="preserve"> such as the review of the codes to identify each HCFC and its mixtures separately</w:t>
      </w:r>
      <w:r w:rsidR="004A55D4" w:rsidRPr="004A55D4">
        <w:rPr>
          <w:rFonts w:eastAsia="SimSun"/>
          <w:lang w:eastAsia="zh-CN"/>
        </w:rPr>
        <w:t>;</w:t>
      </w:r>
      <w:r w:rsidRPr="004A55D4">
        <w:rPr>
          <w:rFonts w:eastAsia="SimSun"/>
          <w:lang w:eastAsia="zh-CN"/>
        </w:rPr>
        <w:t xml:space="preserve"> establishment of an electronic link between the NOU and the customs system</w:t>
      </w:r>
      <w:r w:rsidR="004A55D4" w:rsidRPr="004A55D4">
        <w:rPr>
          <w:rFonts w:eastAsia="SimSun"/>
          <w:lang w:eastAsia="zh-CN"/>
        </w:rPr>
        <w:t>,</w:t>
      </w:r>
      <w:r w:rsidR="00EB6185" w:rsidRPr="004A55D4">
        <w:rPr>
          <w:rFonts w:eastAsia="SimSun"/>
          <w:lang w:eastAsia="zh-CN"/>
        </w:rPr>
        <w:t xml:space="preserve"> to </w:t>
      </w:r>
      <w:r w:rsidR="00DC5B2F" w:rsidRPr="004A55D4">
        <w:rPr>
          <w:rFonts w:eastAsia="SimSun"/>
          <w:lang w:eastAsia="zh-CN"/>
        </w:rPr>
        <w:t>improve information crosscheking and monitoring of HCFC imports</w:t>
      </w:r>
      <w:r w:rsidR="004A55D4" w:rsidRPr="004A55D4">
        <w:rPr>
          <w:rFonts w:eastAsia="SimSun"/>
          <w:lang w:eastAsia="zh-CN"/>
        </w:rPr>
        <w:t>;</w:t>
      </w:r>
      <w:r w:rsidR="00DC5B2F" w:rsidRPr="004A55D4">
        <w:rPr>
          <w:rFonts w:eastAsia="SimSun"/>
          <w:lang w:eastAsia="zh-CN"/>
        </w:rPr>
        <w:t xml:space="preserve"> </w:t>
      </w:r>
      <w:r w:rsidRPr="004A55D4">
        <w:rPr>
          <w:rFonts w:eastAsia="SimSun"/>
          <w:lang w:eastAsia="zh-CN"/>
        </w:rPr>
        <w:t xml:space="preserve">and continuous cooperation with the </w:t>
      </w:r>
      <w:r w:rsidR="00A36BAD" w:rsidRPr="004A55D4">
        <w:rPr>
          <w:rFonts w:eastAsia="SimSun"/>
          <w:lang w:eastAsia="zh-CN"/>
        </w:rPr>
        <w:t>NOUs</w:t>
      </w:r>
      <w:r w:rsidRPr="004A55D4">
        <w:rPr>
          <w:rFonts w:eastAsia="SimSun"/>
          <w:lang w:eastAsia="zh-CN"/>
        </w:rPr>
        <w:t xml:space="preserve"> in neighbouring countries. The national capacity </w:t>
      </w:r>
      <w:r w:rsidR="00EB6185" w:rsidRPr="004A55D4">
        <w:rPr>
          <w:rFonts w:eastAsia="SimSun"/>
          <w:lang w:eastAsia="zh-CN"/>
        </w:rPr>
        <w:t>will be strengthened by training c</w:t>
      </w:r>
      <w:r w:rsidRPr="004A55D4">
        <w:rPr>
          <w:rFonts w:eastAsia="SimSun"/>
          <w:lang w:eastAsia="zh-CN"/>
        </w:rPr>
        <w:t>ustoms officials</w:t>
      </w:r>
      <w:r w:rsidR="00DC5B2F" w:rsidRPr="004A55D4">
        <w:rPr>
          <w:rFonts w:eastAsia="SimSun"/>
          <w:lang w:eastAsia="zh-CN"/>
        </w:rPr>
        <w:t xml:space="preserve"> with emphasis on the deficiencies identified in custom reporting</w:t>
      </w:r>
      <w:r w:rsidR="00EB6185" w:rsidRPr="004A55D4">
        <w:rPr>
          <w:rFonts w:eastAsia="SimSun"/>
          <w:lang w:eastAsia="zh-CN"/>
        </w:rPr>
        <w:t xml:space="preserve">, providing </w:t>
      </w:r>
      <w:r w:rsidRPr="004A55D4">
        <w:rPr>
          <w:rFonts w:eastAsia="SimSun"/>
          <w:lang w:eastAsia="zh-CN"/>
        </w:rPr>
        <w:t>equipment for detecting refrigerants</w:t>
      </w:r>
      <w:r w:rsidR="00EB6185" w:rsidRPr="004A55D4">
        <w:rPr>
          <w:rFonts w:eastAsia="SimSun"/>
          <w:lang w:eastAsia="zh-CN"/>
        </w:rPr>
        <w:t>,</w:t>
      </w:r>
      <w:r w:rsidRPr="004A55D4">
        <w:rPr>
          <w:rFonts w:eastAsia="SimSun"/>
          <w:lang w:eastAsia="zh-CN"/>
        </w:rPr>
        <w:t xml:space="preserve"> </w:t>
      </w:r>
      <w:r w:rsidR="00EB6185" w:rsidRPr="004A55D4">
        <w:rPr>
          <w:rFonts w:eastAsia="SimSun"/>
          <w:lang w:eastAsia="zh-CN"/>
        </w:rPr>
        <w:t>and</w:t>
      </w:r>
      <w:r w:rsidRPr="004A55D4">
        <w:rPr>
          <w:rFonts w:eastAsia="SimSun"/>
          <w:lang w:eastAsia="zh-CN"/>
        </w:rPr>
        <w:t xml:space="preserve"> ensur</w:t>
      </w:r>
      <w:r w:rsidR="00EB6185" w:rsidRPr="004A55D4">
        <w:rPr>
          <w:rFonts w:eastAsia="SimSun"/>
          <w:lang w:eastAsia="zh-CN"/>
        </w:rPr>
        <w:t>ing</w:t>
      </w:r>
      <w:r w:rsidRPr="004A55D4">
        <w:rPr>
          <w:rFonts w:eastAsia="SimSun"/>
          <w:lang w:eastAsia="zh-CN"/>
        </w:rPr>
        <w:t xml:space="preserve"> the continuation of self-sustained training in the future.</w:t>
      </w:r>
    </w:p>
    <w:p w14:paraId="37ABD0F4" w14:textId="77777777" w:rsidR="00C355C5" w:rsidRPr="00DB2303" w:rsidRDefault="00F126D7" w:rsidP="0023662F">
      <w:pPr>
        <w:rPr>
          <w:rFonts w:eastAsia="SimSun"/>
          <w:u w:val="single"/>
          <w:lang w:eastAsia="zh-CN"/>
        </w:rPr>
      </w:pPr>
      <w:r>
        <w:rPr>
          <w:rFonts w:eastAsia="SimSun"/>
          <w:i/>
          <w:lang w:eastAsia="zh-CN"/>
        </w:rPr>
        <w:t>G</w:t>
      </w:r>
      <w:r w:rsidR="00C355C5" w:rsidRPr="00DB2303">
        <w:rPr>
          <w:rFonts w:eastAsia="SimSun"/>
          <w:i/>
          <w:lang w:eastAsia="zh-CN"/>
        </w:rPr>
        <w:t>ood refrigeration practices and procedures in the use of low-GWP refrigerants</w:t>
      </w:r>
    </w:p>
    <w:p w14:paraId="557BEB6B" w14:textId="77777777" w:rsidR="00C355C5" w:rsidRPr="00DB2303" w:rsidRDefault="00C355C5" w:rsidP="0023662F">
      <w:pPr>
        <w:rPr>
          <w:rFonts w:eastAsia="SimSun"/>
          <w:u w:val="single"/>
          <w:lang w:eastAsia="zh-CN"/>
        </w:rPr>
      </w:pPr>
    </w:p>
    <w:p w14:paraId="0E034C5A" w14:textId="77777777" w:rsidR="00C355C5" w:rsidRPr="00DB2303" w:rsidRDefault="00C355C5" w:rsidP="0023662F">
      <w:pPr>
        <w:pStyle w:val="Heading1"/>
        <w:rPr>
          <w:rFonts w:eastAsia="SimSun"/>
          <w:u w:val="single"/>
          <w:lang w:eastAsia="zh-CN"/>
        </w:rPr>
      </w:pPr>
      <w:r w:rsidRPr="00DB2303">
        <w:rPr>
          <w:rFonts w:eastAsia="SimSun"/>
          <w:lang w:eastAsia="zh-CN"/>
        </w:rPr>
        <w:t>Noting that this project as submitted included retrofits</w:t>
      </w:r>
      <w:r w:rsidR="00D43B35" w:rsidRPr="00DB2303">
        <w:rPr>
          <w:rFonts w:eastAsia="SimSun"/>
          <w:lang w:eastAsia="zh-CN"/>
        </w:rPr>
        <w:t xml:space="preserve"> </w:t>
      </w:r>
      <w:r w:rsidR="00D867C9">
        <w:rPr>
          <w:rFonts w:eastAsia="SimSun"/>
          <w:lang w:eastAsia="zh-CN"/>
        </w:rPr>
        <w:t>of HCFC-22-based RAC equipment to</w:t>
      </w:r>
      <w:r w:rsidR="00D43B35" w:rsidRPr="00DB2303">
        <w:rPr>
          <w:rFonts w:eastAsia="SimSun"/>
          <w:lang w:eastAsia="zh-CN"/>
        </w:rPr>
        <w:t xml:space="preserve"> HCs</w:t>
      </w:r>
      <w:r w:rsidRPr="00DB2303">
        <w:rPr>
          <w:rFonts w:eastAsia="SimSun"/>
          <w:lang w:eastAsia="zh-CN"/>
        </w:rPr>
        <w:t xml:space="preserve">, the Secretariat requested additional justification of the need for this activity, the type of equipment envisaged to be converted, the existing standards and protocols in place for the operations planned, and </w:t>
      </w:r>
      <w:r w:rsidR="00D867C9">
        <w:rPr>
          <w:rFonts w:eastAsia="SimSun"/>
          <w:lang w:eastAsia="zh-CN"/>
        </w:rPr>
        <w:t xml:space="preserve">to provide </w:t>
      </w:r>
      <w:r w:rsidRPr="00DB2303">
        <w:rPr>
          <w:rFonts w:eastAsia="SimSun"/>
          <w:lang w:eastAsia="zh-CN"/>
        </w:rPr>
        <w:t xml:space="preserve">the specific information requested </w:t>
      </w:r>
      <w:r w:rsidR="00D867C9">
        <w:rPr>
          <w:rFonts w:eastAsia="SimSun"/>
          <w:lang w:eastAsia="zh-CN"/>
        </w:rPr>
        <w:t xml:space="preserve">in </w:t>
      </w:r>
      <w:r w:rsidRPr="00DB2303">
        <w:rPr>
          <w:rFonts w:eastAsia="SimSun"/>
          <w:lang w:eastAsia="zh-CN"/>
        </w:rPr>
        <w:t xml:space="preserve">decisions 72/17 and 73/34 in relation to the retrofit to flammable refrigerants of equipment designed to operate with non-flammables. In addition to the safety-related concerns, the sustainability of the retrofits was </w:t>
      </w:r>
      <w:r w:rsidRPr="004A55D4">
        <w:rPr>
          <w:rFonts w:eastAsia="SimSun"/>
          <w:lang w:eastAsia="zh-CN"/>
        </w:rPr>
        <w:t xml:space="preserve">in question, as at present the price of HC-290 is </w:t>
      </w:r>
      <w:r w:rsidR="006D3C80" w:rsidRPr="004A55D4">
        <w:rPr>
          <w:rFonts w:eastAsia="SimSun"/>
          <w:lang w:eastAsia="zh-CN"/>
        </w:rPr>
        <w:t>ten</w:t>
      </w:r>
      <w:r w:rsidRPr="004A55D4">
        <w:rPr>
          <w:rFonts w:eastAsia="SimSun"/>
          <w:lang w:eastAsia="zh-CN"/>
        </w:rPr>
        <w:t xml:space="preserve"> times the price of HCFC-22. As a result of the discussion, the Government of Peru </w:t>
      </w:r>
      <w:r w:rsidR="00D867C9" w:rsidRPr="004A55D4">
        <w:rPr>
          <w:rFonts w:eastAsia="SimSun"/>
          <w:lang w:eastAsia="zh-CN"/>
        </w:rPr>
        <w:t xml:space="preserve">and UNDP </w:t>
      </w:r>
      <w:r w:rsidRPr="004A55D4">
        <w:rPr>
          <w:rFonts w:eastAsia="SimSun"/>
          <w:lang w:eastAsia="zh-CN"/>
        </w:rPr>
        <w:t xml:space="preserve">decided not </w:t>
      </w:r>
      <w:r w:rsidR="00D867C9" w:rsidRPr="004A55D4">
        <w:rPr>
          <w:rFonts w:eastAsia="SimSun"/>
          <w:lang w:eastAsia="zh-CN"/>
        </w:rPr>
        <w:t xml:space="preserve">to </w:t>
      </w:r>
      <w:r w:rsidRPr="004A55D4">
        <w:rPr>
          <w:rFonts w:eastAsia="SimSun"/>
          <w:lang w:eastAsia="zh-CN"/>
        </w:rPr>
        <w:t xml:space="preserve">promote the retrofit of equipment with </w:t>
      </w:r>
      <w:r w:rsidR="00D43B35" w:rsidRPr="004A55D4">
        <w:rPr>
          <w:rFonts w:eastAsia="SimSun"/>
          <w:lang w:eastAsia="zh-CN"/>
        </w:rPr>
        <w:t>flammable refrigerants</w:t>
      </w:r>
      <w:r w:rsidR="004644DE" w:rsidRPr="004A55D4">
        <w:rPr>
          <w:rFonts w:eastAsia="SimSun"/>
          <w:lang w:eastAsia="zh-CN"/>
        </w:rPr>
        <w:t xml:space="preserve"> in the HPMP</w:t>
      </w:r>
      <w:r w:rsidR="00D867C9" w:rsidRPr="004A55D4">
        <w:rPr>
          <w:rFonts w:eastAsia="SimSun"/>
          <w:lang w:eastAsia="zh-CN"/>
        </w:rPr>
        <w:t xml:space="preserve">, but </w:t>
      </w:r>
      <w:r w:rsidRPr="004A55D4">
        <w:rPr>
          <w:rFonts w:eastAsia="SimSun"/>
          <w:lang w:eastAsia="zh-CN"/>
        </w:rPr>
        <w:t>instead promote the safe use and management of equipment designed for the use of flammable refrigerants</w:t>
      </w:r>
      <w:r w:rsidRPr="00DB2303">
        <w:rPr>
          <w:rFonts w:eastAsia="SimSun"/>
          <w:lang w:eastAsia="zh-CN"/>
        </w:rPr>
        <w:t>.</w:t>
      </w:r>
    </w:p>
    <w:p w14:paraId="2F94E26D" w14:textId="77777777" w:rsidR="00D0229B" w:rsidRPr="00811CFC" w:rsidRDefault="00D0229B" w:rsidP="00D0229B">
      <w:pPr>
        <w:rPr>
          <w:i/>
        </w:rPr>
      </w:pPr>
      <w:r w:rsidRPr="00DB2303">
        <w:rPr>
          <w:i/>
        </w:rPr>
        <w:t xml:space="preserve">Training programme for RAC </w:t>
      </w:r>
      <w:r w:rsidRPr="00811CFC">
        <w:rPr>
          <w:i/>
        </w:rPr>
        <w:t>technicians and strengthening of technical institutes</w:t>
      </w:r>
    </w:p>
    <w:p w14:paraId="7DBF3F3E" w14:textId="77777777" w:rsidR="00D0229B" w:rsidRPr="00811CFC" w:rsidRDefault="00D0229B" w:rsidP="00D0229B">
      <w:pPr>
        <w:rPr>
          <w:rFonts w:eastAsia="SimSun"/>
          <w:u w:val="single"/>
          <w:lang w:eastAsia="zh-CN"/>
        </w:rPr>
      </w:pPr>
    </w:p>
    <w:p w14:paraId="2CEA30F3" w14:textId="353C08B1" w:rsidR="00D0229B" w:rsidRPr="00811CFC" w:rsidRDefault="00D0229B" w:rsidP="00C85260">
      <w:pPr>
        <w:pStyle w:val="Heading1"/>
        <w:rPr>
          <w:rFonts w:eastAsia="SimSun"/>
          <w:lang w:eastAsia="zh-CN"/>
        </w:rPr>
      </w:pPr>
      <w:r w:rsidRPr="00811CFC">
        <w:rPr>
          <w:rFonts w:eastAsia="SimSun"/>
          <w:lang w:eastAsia="zh-CN"/>
        </w:rPr>
        <w:t xml:space="preserve">Noting that stage II intends to train 480 technicians out of 6,000 estimated in the country, the Secretariat questioned how the technicians that would not receive training would improve their skills and how the long-term sustainability of the training could be ensured. UNDP explained that </w:t>
      </w:r>
      <w:r w:rsidR="00CC65BC" w:rsidRPr="00811CFC">
        <w:rPr>
          <w:rFonts w:eastAsia="SimSun"/>
          <w:lang w:eastAsia="zh-CN"/>
        </w:rPr>
        <w:t xml:space="preserve"> stage II </w:t>
      </w:r>
      <w:r w:rsidRPr="00811CFC">
        <w:rPr>
          <w:rFonts w:eastAsia="SimSun"/>
          <w:lang w:eastAsia="zh-CN"/>
        </w:rPr>
        <w:t xml:space="preserve">seeks to strengthen the training </w:t>
      </w:r>
      <w:r w:rsidRPr="00811CFC">
        <w:rPr>
          <w:rFonts w:eastAsia="SimSun"/>
          <w:lang w:eastAsia="zh-CN"/>
        </w:rPr>
        <w:lastRenderedPageBreak/>
        <w:t>institutes</w:t>
      </w:r>
      <w:r w:rsidR="00CC65BC" w:rsidRPr="00811CFC">
        <w:rPr>
          <w:rFonts w:eastAsia="SimSun"/>
          <w:lang w:eastAsia="zh-CN"/>
        </w:rPr>
        <w:t xml:space="preserve"> to</w:t>
      </w:r>
      <w:r w:rsidR="008556C3" w:rsidRPr="00811CFC">
        <w:rPr>
          <w:rFonts w:eastAsia="SimSun"/>
          <w:lang w:eastAsia="zh-CN"/>
        </w:rPr>
        <w:t xml:space="preserve"> build national capacity to respond to future needs on RAC training when low-GWP alternatives are widely used in the market. </w:t>
      </w:r>
      <w:r w:rsidR="00CC65BC" w:rsidRPr="00811CFC">
        <w:rPr>
          <w:rFonts w:eastAsia="SimSun"/>
          <w:lang w:eastAsia="zh-CN"/>
        </w:rPr>
        <w:t>Forty instructors will be trained on good servicing practices and</w:t>
      </w:r>
      <w:r w:rsidR="004644DE" w:rsidRPr="00811CFC">
        <w:rPr>
          <w:rFonts w:eastAsia="SimSun"/>
          <w:lang w:eastAsia="zh-CN"/>
        </w:rPr>
        <w:t xml:space="preserve"> the laboratories of the inst</w:t>
      </w:r>
      <w:r w:rsidR="00C85260" w:rsidRPr="00811CFC">
        <w:rPr>
          <w:rFonts w:eastAsia="SimSun"/>
          <w:lang w:eastAsia="zh-CN"/>
        </w:rPr>
        <w:t>i</w:t>
      </w:r>
      <w:r w:rsidR="004644DE" w:rsidRPr="00811CFC">
        <w:rPr>
          <w:rFonts w:eastAsia="SimSun"/>
          <w:lang w:eastAsia="zh-CN"/>
        </w:rPr>
        <w:t>tutes will be improved with RAC training modules</w:t>
      </w:r>
      <w:r w:rsidR="007F3DEF" w:rsidRPr="00811CFC">
        <w:rPr>
          <w:rStyle w:val="FootnoteReference"/>
          <w:rFonts w:eastAsia="SimSun"/>
          <w:lang w:eastAsia="zh-CN"/>
        </w:rPr>
        <w:footnoteReference w:id="8"/>
      </w:r>
      <w:r w:rsidR="00CC65BC" w:rsidRPr="00811CFC">
        <w:rPr>
          <w:rFonts w:eastAsia="SimSun"/>
          <w:lang w:eastAsia="zh-CN"/>
        </w:rPr>
        <w:t xml:space="preserve"> </w:t>
      </w:r>
      <w:r w:rsidR="004644DE" w:rsidRPr="00811CFC">
        <w:rPr>
          <w:rFonts w:eastAsia="SimSun"/>
          <w:lang w:eastAsia="zh-CN"/>
        </w:rPr>
        <w:t>and equipment</w:t>
      </w:r>
      <w:r w:rsidR="00D4332A" w:rsidRPr="00811CFC">
        <w:rPr>
          <w:rFonts w:eastAsia="SimSun"/>
          <w:lang w:eastAsia="zh-CN"/>
        </w:rPr>
        <w:t xml:space="preserve"> </w:t>
      </w:r>
      <w:r w:rsidR="00CC65BC" w:rsidRPr="00811CFC">
        <w:rPr>
          <w:rFonts w:eastAsia="SimSun"/>
          <w:lang w:eastAsia="zh-CN"/>
        </w:rPr>
        <w:t xml:space="preserve">. </w:t>
      </w:r>
      <w:r w:rsidR="00A640D4" w:rsidRPr="00811CFC">
        <w:rPr>
          <w:rFonts w:eastAsia="SimSun"/>
          <w:lang w:eastAsia="zh-CN"/>
        </w:rPr>
        <w:t>T</w:t>
      </w:r>
      <w:r w:rsidR="004644DE" w:rsidRPr="00811CFC">
        <w:rPr>
          <w:rFonts w:eastAsia="SimSun"/>
          <w:lang w:eastAsia="zh-CN"/>
        </w:rPr>
        <w:t xml:space="preserve">he training institutes will also commit to </w:t>
      </w:r>
      <w:r w:rsidRPr="00811CFC">
        <w:rPr>
          <w:rFonts w:eastAsia="SimSun"/>
          <w:lang w:eastAsia="zh-CN"/>
        </w:rPr>
        <w:t>generat</w:t>
      </w:r>
      <w:r w:rsidR="004644DE" w:rsidRPr="00811CFC">
        <w:rPr>
          <w:rFonts w:eastAsia="SimSun"/>
          <w:lang w:eastAsia="zh-CN"/>
        </w:rPr>
        <w:t>e</w:t>
      </w:r>
      <w:r w:rsidR="000735BD" w:rsidRPr="00811CFC">
        <w:rPr>
          <w:rFonts w:eastAsia="SimSun"/>
          <w:lang w:eastAsia="zh-CN"/>
        </w:rPr>
        <w:t xml:space="preserve"> a</w:t>
      </w:r>
      <w:r w:rsidRPr="00811CFC">
        <w:rPr>
          <w:rFonts w:eastAsia="SimSun"/>
          <w:lang w:eastAsia="zh-CN"/>
        </w:rPr>
        <w:t xml:space="preserve"> new standard</w:t>
      </w:r>
      <w:r w:rsidR="001339FE" w:rsidRPr="00811CFC">
        <w:rPr>
          <w:rFonts w:eastAsia="SimSun"/>
          <w:lang w:eastAsia="zh-CN"/>
        </w:rPr>
        <w:t xml:space="preserve"> </w:t>
      </w:r>
      <w:r w:rsidR="00C85260" w:rsidRPr="00811CFC">
        <w:rPr>
          <w:rFonts w:eastAsia="SimSun"/>
          <w:lang w:eastAsia="zh-CN"/>
        </w:rPr>
        <w:t>for</w:t>
      </w:r>
      <w:r w:rsidR="001339FE" w:rsidRPr="00811CFC">
        <w:rPr>
          <w:rFonts w:eastAsia="SimSun"/>
          <w:lang w:eastAsia="zh-CN"/>
        </w:rPr>
        <w:t xml:space="preserve"> RAC training </w:t>
      </w:r>
      <w:r w:rsidR="000735BD" w:rsidRPr="00811CFC">
        <w:rPr>
          <w:rFonts w:eastAsia="SimSun"/>
          <w:lang w:eastAsia="zh-CN"/>
        </w:rPr>
        <w:t xml:space="preserve">based on the </w:t>
      </w:r>
      <w:r w:rsidR="00811CFC" w:rsidRPr="00811CFC">
        <w:rPr>
          <w:rFonts w:eastAsia="SimSun"/>
          <w:lang w:eastAsia="zh-CN"/>
        </w:rPr>
        <w:t>upgrad</w:t>
      </w:r>
      <w:r w:rsidR="001339FE" w:rsidRPr="00811CFC">
        <w:rPr>
          <w:rFonts w:eastAsia="SimSun"/>
          <w:lang w:eastAsia="zh-CN"/>
        </w:rPr>
        <w:t>ed curriculum</w:t>
      </w:r>
      <w:r w:rsidRPr="00811CFC">
        <w:rPr>
          <w:rFonts w:eastAsia="SimSun"/>
          <w:lang w:eastAsia="zh-CN"/>
        </w:rPr>
        <w:t>. Th</w:t>
      </w:r>
      <w:r w:rsidR="00454586" w:rsidRPr="00811CFC">
        <w:rPr>
          <w:rFonts w:eastAsia="SimSun"/>
          <w:lang w:eastAsia="zh-CN"/>
        </w:rPr>
        <w:t>e use</w:t>
      </w:r>
      <w:r w:rsidR="00433FCD" w:rsidRPr="00811CFC">
        <w:rPr>
          <w:rFonts w:eastAsia="SimSun"/>
          <w:lang w:eastAsia="zh-CN"/>
        </w:rPr>
        <w:t xml:space="preserve"> </w:t>
      </w:r>
      <w:r w:rsidR="00454586" w:rsidRPr="00811CFC">
        <w:rPr>
          <w:rFonts w:eastAsia="SimSun"/>
          <w:lang w:eastAsia="zh-CN"/>
        </w:rPr>
        <w:t>of the</w:t>
      </w:r>
      <w:r w:rsidR="000735BD" w:rsidRPr="00811CFC">
        <w:rPr>
          <w:rFonts w:eastAsia="SimSun"/>
          <w:lang w:eastAsia="zh-CN"/>
        </w:rPr>
        <w:t xml:space="preserve"> upgraded curriculum</w:t>
      </w:r>
      <w:r w:rsidR="00454586" w:rsidRPr="00811CFC">
        <w:rPr>
          <w:rFonts w:eastAsia="SimSun"/>
          <w:lang w:eastAsia="zh-CN"/>
        </w:rPr>
        <w:t xml:space="preserve"> </w:t>
      </w:r>
      <w:r w:rsidRPr="00811CFC">
        <w:rPr>
          <w:rFonts w:eastAsia="SimSun"/>
          <w:lang w:eastAsia="zh-CN"/>
        </w:rPr>
        <w:t>will ensure that appropriate RAC training will reach the maximum possible number of technicians</w:t>
      </w:r>
      <w:r w:rsidR="00570F95" w:rsidRPr="00811CFC">
        <w:rPr>
          <w:rFonts w:eastAsia="SimSun"/>
          <w:lang w:eastAsia="zh-CN"/>
        </w:rPr>
        <w:t xml:space="preserve"> after completion of the project.</w:t>
      </w:r>
      <w:r w:rsidRPr="00811CFC">
        <w:rPr>
          <w:rFonts w:eastAsia="SimSun"/>
          <w:lang w:eastAsia="zh-CN"/>
        </w:rPr>
        <w:t xml:space="preserve"> </w:t>
      </w:r>
    </w:p>
    <w:p w14:paraId="2F64A4D5" w14:textId="617FBBCC" w:rsidR="00C355C5" w:rsidRPr="00DB2303" w:rsidRDefault="002E31D3" w:rsidP="0023662F">
      <w:pPr>
        <w:keepNext/>
        <w:rPr>
          <w:rFonts w:eastAsia="SimSun"/>
          <w:i/>
          <w:lang w:eastAsia="zh-CN"/>
        </w:rPr>
      </w:pPr>
      <w:r w:rsidRPr="00811CFC">
        <w:rPr>
          <w:rFonts w:eastAsia="SimSun"/>
          <w:i/>
          <w:lang w:eastAsia="zh-CN"/>
        </w:rPr>
        <w:t>Promotion of al</w:t>
      </w:r>
      <w:r w:rsidR="00947B49">
        <w:rPr>
          <w:rFonts w:eastAsia="SimSun"/>
          <w:i/>
          <w:lang w:eastAsia="zh-CN"/>
        </w:rPr>
        <w:t>t</w:t>
      </w:r>
      <w:r w:rsidRPr="00811CFC">
        <w:rPr>
          <w:rFonts w:eastAsia="SimSun"/>
          <w:i/>
          <w:lang w:eastAsia="zh-CN"/>
        </w:rPr>
        <w:t>ernatives for the reduction of HCFC</w:t>
      </w:r>
      <w:r w:rsidRPr="00DB2303">
        <w:rPr>
          <w:rFonts w:eastAsia="SimSun"/>
          <w:i/>
          <w:lang w:eastAsia="zh-CN"/>
        </w:rPr>
        <w:t xml:space="preserve"> consumption and the use of low-GWP refrigerants in key sectors: supermarkets and hotels</w:t>
      </w:r>
    </w:p>
    <w:p w14:paraId="43144EF4" w14:textId="77777777" w:rsidR="002E31D3" w:rsidRPr="00DB2303" w:rsidRDefault="002E31D3" w:rsidP="0023662F">
      <w:pPr>
        <w:keepNext/>
        <w:rPr>
          <w:rFonts w:eastAsia="SimSun"/>
          <w:u w:val="single"/>
          <w:lang w:eastAsia="zh-CN"/>
        </w:rPr>
      </w:pPr>
    </w:p>
    <w:p w14:paraId="7D25BCBB" w14:textId="77777777" w:rsidR="00C355C5" w:rsidRPr="00DB2303" w:rsidRDefault="00C355C5" w:rsidP="0023662F">
      <w:pPr>
        <w:pStyle w:val="Heading1"/>
        <w:keepNext/>
        <w:rPr>
          <w:rFonts w:eastAsia="SimSun"/>
          <w:lang w:eastAsia="zh-CN"/>
        </w:rPr>
      </w:pPr>
      <w:r w:rsidRPr="00C85260">
        <w:rPr>
          <w:rFonts w:eastAsia="SimSun"/>
          <w:lang w:eastAsia="zh-CN"/>
        </w:rPr>
        <w:t>Based on</w:t>
      </w:r>
      <w:r w:rsidR="008549DA" w:rsidRPr="00C85260">
        <w:rPr>
          <w:rFonts w:eastAsia="SimSun"/>
          <w:lang w:eastAsia="zh-CN"/>
        </w:rPr>
        <w:t xml:space="preserve"> the experience of other HPMPs that had included a demonstration project for the introduction of low-GWP-based refrigeration equipment in end-users appplications,</w:t>
      </w:r>
      <w:r w:rsidR="008549DA">
        <w:rPr>
          <w:rFonts w:eastAsia="SimSun"/>
          <w:lang w:eastAsia="zh-CN"/>
        </w:rPr>
        <w:t xml:space="preserve"> t</w:t>
      </w:r>
      <w:r w:rsidRPr="00DB2303">
        <w:rPr>
          <w:rFonts w:eastAsia="SimSun"/>
          <w:lang w:eastAsia="zh-CN"/>
        </w:rPr>
        <w:t xml:space="preserve">he Secretariat considers that the project has potential to influence the selection of technology by end-users and assembly/installation contractors </w:t>
      </w:r>
      <w:r w:rsidR="00D43B35" w:rsidRPr="00DB2303">
        <w:rPr>
          <w:rFonts w:eastAsia="SimSun"/>
          <w:lang w:eastAsia="zh-CN"/>
        </w:rPr>
        <w:t xml:space="preserve">when deciding on new or renewed cooling capacity </w:t>
      </w:r>
      <w:r w:rsidRPr="00DB2303">
        <w:rPr>
          <w:rFonts w:eastAsia="SimSun"/>
          <w:lang w:eastAsia="zh-CN"/>
        </w:rPr>
        <w:t>in the commercial refrigeration sector. In discussions with UNDP it was agreed to expand the outcomes of th</w:t>
      </w:r>
      <w:r w:rsidR="008549DA">
        <w:rPr>
          <w:rFonts w:eastAsia="SimSun"/>
          <w:lang w:eastAsia="zh-CN"/>
        </w:rPr>
        <w:t>e</w:t>
      </w:r>
      <w:r w:rsidRPr="00DB2303">
        <w:rPr>
          <w:rFonts w:eastAsia="SimSun"/>
          <w:lang w:eastAsia="zh-CN"/>
        </w:rPr>
        <w:t xml:space="preserve"> project beyond the training and </w:t>
      </w:r>
      <w:r w:rsidR="00EB6C50">
        <w:rPr>
          <w:rFonts w:eastAsia="SimSun"/>
          <w:lang w:eastAsia="zh-CN"/>
        </w:rPr>
        <w:t>information dissemination proposed</w:t>
      </w:r>
      <w:r w:rsidRPr="00DB2303">
        <w:rPr>
          <w:rFonts w:eastAsia="SimSun"/>
          <w:lang w:eastAsia="zh-CN"/>
        </w:rPr>
        <w:t>, to identify</w:t>
      </w:r>
      <w:r w:rsidR="00EB6C50">
        <w:rPr>
          <w:rFonts w:eastAsia="SimSun"/>
          <w:lang w:eastAsia="zh-CN"/>
        </w:rPr>
        <w:t>ing and assisting</w:t>
      </w:r>
      <w:r w:rsidRPr="00DB2303">
        <w:rPr>
          <w:rFonts w:eastAsia="SimSun"/>
          <w:lang w:eastAsia="zh-CN"/>
        </w:rPr>
        <w:t xml:space="preserve"> specific end-users</w:t>
      </w:r>
      <w:r w:rsidR="00EB6C50">
        <w:rPr>
          <w:rFonts w:eastAsia="SimSun"/>
          <w:lang w:eastAsia="zh-CN"/>
        </w:rPr>
        <w:t xml:space="preserve"> </w:t>
      </w:r>
      <w:r w:rsidRPr="00DB2303">
        <w:rPr>
          <w:rFonts w:eastAsia="SimSun"/>
          <w:lang w:eastAsia="zh-CN"/>
        </w:rPr>
        <w:t>in the installation of alternative refrigeration systems operating with low-GWP alternatives (e.g., CO</w:t>
      </w:r>
      <w:r w:rsidRPr="00DB2303">
        <w:rPr>
          <w:rFonts w:eastAsia="SimSun"/>
          <w:vertAlign w:val="subscript"/>
          <w:lang w:eastAsia="zh-CN"/>
        </w:rPr>
        <w:t>2</w:t>
      </w:r>
      <w:r w:rsidRPr="00DB2303">
        <w:rPr>
          <w:rFonts w:eastAsia="SimSun"/>
          <w:lang w:eastAsia="zh-CN"/>
        </w:rPr>
        <w:t>)</w:t>
      </w:r>
      <w:r w:rsidR="00D43B35" w:rsidRPr="00DB2303">
        <w:rPr>
          <w:rFonts w:eastAsia="SimSun"/>
          <w:lang w:eastAsia="zh-CN"/>
        </w:rPr>
        <w:t xml:space="preserve"> as showcase for the sector</w:t>
      </w:r>
      <w:r w:rsidRPr="00DB2303">
        <w:rPr>
          <w:rFonts w:eastAsia="SimSun"/>
          <w:lang w:eastAsia="zh-CN"/>
        </w:rPr>
        <w:t>.</w:t>
      </w:r>
      <w:r w:rsidR="00EB6C50">
        <w:rPr>
          <w:rFonts w:eastAsia="SimSun"/>
          <w:lang w:eastAsia="zh-CN"/>
        </w:rPr>
        <w:t xml:space="preserve"> Accordingly, </w:t>
      </w:r>
      <w:r w:rsidRPr="00DB2303">
        <w:rPr>
          <w:rFonts w:eastAsia="SimSun"/>
          <w:lang w:eastAsia="zh-CN"/>
        </w:rPr>
        <w:t>UNDP will include a demonstration pilot with the participation of different private enterprises</w:t>
      </w:r>
      <w:r w:rsidR="00EB6C50">
        <w:rPr>
          <w:rFonts w:eastAsia="SimSun"/>
          <w:lang w:eastAsia="zh-CN"/>
        </w:rPr>
        <w:t xml:space="preserve">, including </w:t>
      </w:r>
      <w:r w:rsidRPr="00DB2303">
        <w:rPr>
          <w:rFonts w:eastAsia="SimSun"/>
          <w:lang w:eastAsia="zh-CN"/>
        </w:rPr>
        <w:t>counterparts and co-financing strategies. Progress on end-users identified, type of installations and technology selected, and co-financing will be included in the tranche progress reports.</w:t>
      </w:r>
      <w:r w:rsidR="00C846DF" w:rsidRPr="00DB2303">
        <w:rPr>
          <w:rFonts w:eastAsia="SimSun"/>
          <w:lang w:eastAsia="zh-CN"/>
        </w:rPr>
        <w:t xml:space="preserve"> </w:t>
      </w:r>
    </w:p>
    <w:p w14:paraId="2BC646D3" w14:textId="77777777" w:rsidR="00C355C5" w:rsidRPr="00B20372" w:rsidRDefault="007B086F" w:rsidP="0023662F">
      <w:pPr>
        <w:rPr>
          <w:rFonts w:eastAsia="SimSun"/>
          <w:u w:val="single"/>
          <w:lang w:eastAsia="zh-CN"/>
        </w:rPr>
      </w:pPr>
      <w:r w:rsidRPr="00B20372">
        <w:rPr>
          <w:rFonts w:eastAsia="SimSun"/>
          <w:u w:val="single"/>
          <w:lang w:eastAsia="zh-CN"/>
        </w:rPr>
        <w:t>Other matters</w:t>
      </w:r>
    </w:p>
    <w:p w14:paraId="7097CDEA" w14:textId="77777777" w:rsidR="00C355C5" w:rsidRPr="00B20372" w:rsidRDefault="00C355C5" w:rsidP="0023662F">
      <w:pPr>
        <w:rPr>
          <w:rFonts w:eastAsia="SimSun"/>
          <w:u w:val="single"/>
          <w:lang w:eastAsia="zh-CN"/>
        </w:rPr>
      </w:pPr>
    </w:p>
    <w:p w14:paraId="0AC36BDE" w14:textId="16C3139F" w:rsidR="00C355C5" w:rsidRPr="00B20372" w:rsidRDefault="00C355C5" w:rsidP="00C41777">
      <w:pPr>
        <w:pStyle w:val="Heading1"/>
        <w:rPr>
          <w:rFonts w:eastAsia="SimSun"/>
          <w:lang w:eastAsia="zh-CN"/>
        </w:rPr>
      </w:pPr>
      <w:r w:rsidRPr="00B20372">
        <w:rPr>
          <w:rFonts w:eastAsia="SimSun"/>
          <w:lang w:eastAsia="zh-CN"/>
        </w:rPr>
        <w:t xml:space="preserve">The Secretariat noted that the unitary costs </w:t>
      </w:r>
      <w:r w:rsidR="00726CB2" w:rsidRPr="00B20372">
        <w:rPr>
          <w:rFonts w:eastAsia="SimSun"/>
          <w:lang w:eastAsia="zh-CN"/>
        </w:rPr>
        <w:t xml:space="preserve">being requested </w:t>
      </w:r>
      <w:r w:rsidRPr="00B20372">
        <w:rPr>
          <w:rFonts w:eastAsia="SimSun"/>
          <w:lang w:eastAsia="zh-CN"/>
        </w:rPr>
        <w:t>for some of the equipment items were higher than in other countries (e.g., reclamation unit, recovery units, chromatograph, refrigerant identifie</w:t>
      </w:r>
      <w:r w:rsidR="00B20372" w:rsidRPr="00B20372">
        <w:rPr>
          <w:rFonts w:eastAsia="SimSun"/>
          <w:lang w:eastAsia="zh-CN"/>
        </w:rPr>
        <w:t>rs</w:t>
      </w:r>
      <w:r w:rsidRPr="00B20372">
        <w:rPr>
          <w:rFonts w:eastAsia="SimSun"/>
          <w:lang w:eastAsia="zh-CN"/>
        </w:rPr>
        <w:t xml:space="preserve"> and cylinders). </w:t>
      </w:r>
      <w:r w:rsidR="00726CB2" w:rsidRPr="00B20372">
        <w:rPr>
          <w:rFonts w:eastAsia="SimSun"/>
          <w:lang w:eastAsia="zh-CN"/>
        </w:rPr>
        <w:t>I</w:t>
      </w:r>
      <w:r w:rsidRPr="00B20372">
        <w:rPr>
          <w:rFonts w:eastAsia="SimSun"/>
          <w:lang w:eastAsia="zh-CN"/>
        </w:rPr>
        <w:t xml:space="preserve">n order to reflect the possibility of obtaining better prices and given the potential to expand the </w:t>
      </w:r>
      <w:r w:rsidR="0017391C" w:rsidRPr="00B20372">
        <w:rPr>
          <w:rFonts w:eastAsia="SimSun"/>
          <w:lang w:eastAsia="zh-CN"/>
        </w:rPr>
        <w:t>coverage</w:t>
      </w:r>
      <w:r w:rsidRPr="00B20372">
        <w:rPr>
          <w:rFonts w:eastAsia="SimSun"/>
          <w:lang w:eastAsia="zh-CN"/>
        </w:rPr>
        <w:t xml:space="preserve"> of the activities planned, </w:t>
      </w:r>
      <w:r w:rsidR="00A41D74" w:rsidRPr="00B20372">
        <w:rPr>
          <w:rFonts w:eastAsia="SimSun"/>
          <w:lang w:eastAsia="zh-CN"/>
        </w:rPr>
        <w:t xml:space="preserve">the Secretariat suggested to consider increasing the procurement targets for </w:t>
      </w:r>
      <w:r w:rsidRPr="00B20372">
        <w:rPr>
          <w:rFonts w:eastAsia="SimSun"/>
          <w:lang w:eastAsia="zh-CN"/>
        </w:rPr>
        <w:t>some equipment items</w:t>
      </w:r>
      <w:r w:rsidR="00A41D74" w:rsidRPr="00B20372">
        <w:rPr>
          <w:rFonts w:eastAsia="SimSun"/>
          <w:lang w:eastAsia="zh-CN"/>
        </w:rPr>
        <w:t xml:space="preserve"> whe</w:t>
      </w:r>
      <w:r w:rsidR="00C41777" w:rsidRPr="00B20372">
        <w:rPr>
          <w:rFonts w:eastAsia="SimSun"/>
          <w:lang w:eastAsia="zh-CN"/>
        </w:rPr>
        <w:t>re</w:t>
      </w:r>
      <w:r w:rsidR="00A41D74" w:rsidRPr="00B20372">
        <w:rPr>
          <w:rFonts w:eastAsia="SimSun"/>
          <w:lang w:eastAsia="zh-CN"/>
        </w:rPr>
        <w:t xml:space="preserve"> better prices c</w:t>
      </w:r>
      <w:r w:rsidR="00C41777" w:rsidRPr="00B20372">
        <w:rPr>
          <w:rFonts w:eastAsia="SimSun"/>
          <w:lang w:eastAsia="zh-CN"/>
        </w:rPr>
        <w:t>ould</w:t>
      </w:r>
      <w:r w:rsidR="00A41D74" w:rsidRPr="00B20372">
        <w:rPr>
          <w:rFonts w:eastAsia="SimSun"/>
          <w:lang w:eastAsia="zh-CN"/>
        </w:rPr>
        <w:t xml:space="preserve"> be obtained</w:t>
      </w:r>
      <w:r w:rsidRPr="00B20372">
        <w:rPr>
          <w:rFonts w:eastAsia="SimSun"/>
          <w:lang w:eastAsia="zh-CN"/>
        </w:rPr>
        <w:t xml:space="preserve">. </w:t>
      </w:r>
      <w:r w:rsidR="00C41777" w:rsidRPr="00B20372">
        <w:rPr>
          <w:rFonts w:eastAsia="SimSun"/>
          <w:lang w:eastAsia="zh-CN"/>
        </w:rPr>
        <w:t>UNDP reassured the commitment of Peru and the implementing agencies to maximize the value for money in all proposals sought. The project will seek the best quality in equipment and tools while p</w:t>
      </w:r>
      <w:r w:rsidR="0017391C" w:rsidRPr="00B20372">
        <w:rPr>
          <w:rFonts w:eastAsia="SimSun"/>
          <w:lang w:eastAsia="zh-CN"/>
        </w:rPr>
        <w:t>rocuring</w:t>
      </w:r>
      <w:r w:rsidR="00C41777" w:rsidRPr="00B20372">
        <w:rPr>
          <w:rFonts w:eastAsia="SimSun"/>
          <w:lang w:eastAsia="zh-CN"/>
        </w:rPr>
        <w:t xml:space="preserve"> the maximum </w:t>
      </w:r>
      <w:r w:rsidR="00B20372" w:rsidRPr="00B20372">
        <w:rPr>
          <w:rFonts w:eastAsia="SimSun"/>
          <w:lang w:eastAsia="zh-CN"/>
        </w:rPr>
        <w:t xml:space="preserve">number of sets </w:t>
      </w:r>
      <w:r w:rsidR="00C41777" w:rsidRPr="00B20372">
        <w:rPr>
          <w:rFonts w:eastAsia="SimSun"/>
          <w:lang w:eastAsia="zh-CN"/>
        </w:rPr>
        <w:t xml:space="preserve">possible in order to benefit the </w:t>
      </w:r>
      <w:r w:rsidR="0017391C" w:rsidRPr="00B20372">
        <w:rPr>
          <w:rFonts w:eastAsia="SimSun"/>
          <w:lang w:eastAsia="zh-CN"/>
        </w:rPr>
        <w:t xml:space="preserve">largest </w:t>
      </w:r>
      <w:r w:rsidR="00C41777" w:rsidRPr="00B20372">
        <w:rPr>
          <w:rFonts w:eastAsia="SimSun"/>
          <w:lang w:eastAsia="zh-CN"/>
        </w:rPr>
        <w:t xml:space="preserve">number of technicians and end-users. The targets in the project proposal </w:t>
      </w:r>
      <w:r w:rsidR="007F7F63" w:rsidRPr="00B20372">
        <w:rPr>
          <w:rFonts w:eastAsia="SimSun"/>
          <w:lang w:eastAsia="zh-CN"/>
        </w:rPr>
        <w:t>(i.e., on</w:t>
      </w:r>
      <w:r w:rsidR="00DB4495" w:rsidRPr="00B20372">
        <w:rPr>
          <w:rFonts w:eastAsia="SimSun"/>
          <w:lang w:eastAsia="zh-CN"/>
        </w:rPr>
        <w:t>e reclamation center, five rec</w:t>
      </w:r>
      <w:r w:rsidR="007F7F63" w:rsidRPr="00B20372">
        <w:rPr>
          <w:rFonts w:eastAsia="SimSun"/>
          <w:lang w:eastAsia="zh-CN"/>
        </w:rPr>
        <w:t>overy and recycling centers and three sets of tool-kits and equipment for train</w:t>
      </w:r>
      <w:r w:rsidR="0017391C" w:rsidRPr="00B20372">
        <w:rPr>
          <w:rFonts w:eastAsia="SimSun"/>
          <w:lang w:eastAsia="zh-CN"/>
        </w:rPr>
        <w:t>i</w:t>
      </w:r>
      <w:r w:rsidR="007F7F63" w:rsidRPr="00B20372">
        <w:rPr>
          <w:rFonts w:eastAsia="SimSun"/>
          <w:lang w:eastAsia="zh-CN"/>
        </w:rPr>
        <w:t xml:space="preserve">ng centers) </w:t>
      </w:r>
      <w:r w:rsidR="00C41777" w:rsidRPr="00B20372">
        <w:rPr>
          <w:rFonts w:eastAsia="SimSun"/>
          <w:lang w:eastAsia="zh-CN"/>
        </w:rPr>
        <w:t>are based on the experience gained in the implementation of projects in the region</w:t>
      </w:r>
      <w:r w:rsidR="00B20372" w:rsidRPr="00B20372">
        <w:rPr>
          <w:rFonts w:eastAsia="SimSun"/>
          <w:lang w:eastAsia="zh-CN"/>
        </w:rPr>
        <w:t xml:space="preserve">; however, </w:t>
      </w:r>
      <w:r w:rsidR="00B20372" w:rsidRPr="00B20372">
        <w:rPr>
          <w:rFonts w:eastAsia="SimSun"/>
          <w:lang w:eastAsia="zh-CN"/>
        </w:rPr>
        <w:t>additional equipment could be added in the request of future tranches</w:t>
      </w:r>
      <w:r w:rsidR="00B20372" w:rsidRPr="00B20372">
        <w:rPr>
          <w:rFonts w:eastAsia="SimSun"/>
          <w:lang w:eastAsia="zh-CN"/>
        </w:rPr>
        <w:t>, b</w:t>
      </w:r>
      <w:r w:rsidR="0047149B" w:rsidRPr="00B20372">
        <w:rPr>
          <w:rFonts w:eastAsia="SimSun"/>
          <w:lang w:eastAsia="zh-CN"/>
        </w:rPr>
        <w:t>ased on the results of the initia</w:t>
      </w:r>
      <w:r w:rsidR="00B22CFC" w:rsidRPr="00B20372">
        <w:rPr>
          <w:rFonts w:eastAsia="SimSun"/>
          <w:lang w:eastAsia="zh-CN"/>
        </w:rPr>
        <w:t>l</w:t>
      </w:r>
      <w:r w:rsidR="0047149B" w:rsidRPr="00B20372">
        <w:rPr>
          <w:rFonts w:eastAsia="SimSun"/>
          <w:lang w:eastAsia="zh-CN"/>
        </w:rPr>
        <w:t xml:space="preserve"> tranches. </w:t>
      </w:r>
    </w:p>
    <w:p w14:paraId="060DDFD2" w14:textId="77777777" w:rsidR="00DB4495" w:rsidRPr="00B20372" w:rsidRDefault="00923F55" w:rsidP="00DB4495">
      <w:pPr>
        <w:pStyle w:val="Heading1"/>
        <w:rPr>
          <w:rFonts w:eastAsia="SimSun"/>
          <w:lang w:eastAsia="zh-CN"/>
        </w:rPr>
      </w:pPr>
      <w:r w:rsidRPr="00B20372">
        <w:rPr>
          <w:rFonts w:eastAsia="SimSun"/>
          <w:lang w:eastAsia="zh-CN"/>
        </w:rPr>
        <w:t>On this regard, t</w:t>
      </w:r>
      <w:r w:rsidR="00DB4495" w:rsidRPr="00B20372">
        <w:rPr>
          <w:rFonts w:eastAsia="SimSun"/>
          <w:lang w:eastAsia="zh-CN"/>
        </w:rPr>
        <w:t xml:space="preserve">he Secretariat </w:t>
      </w:r>
      <w:r w:rsidR="00F64466" w:rsidRPr="00B20372">
        <w:rPr>
          <w:rFonts w:eastAsia="SimSun"/>
          <w:lang w:eastAsia="zh-CN"/>
        </w:rPr>
        <w:t>recalls</w:t>
      </w:r>
      <w:r w:rsidR="00DB4495" w:rsidRPr="00B20372">
        <w:rPr>
          <w:rFonts w:eastAsia="SimSun"/>
          <w:lang w:eastAsia="zh-CN"/>
        </w:rPr>
        <w:t xml:space="preserve"> th</w:t>
      </w:r>
      <w:r w:rsidR="0017391C" w:rsidRPr="00B20372">
        <w:rPr>
          <w:rFonts w:eastAsia="SimSun"/>
          <w:lang w:eastAsia="zh-CN"/>
        </w:rPr>
        <w:t>at a</w:t>
      </w:r>
      <w:r w:rsidR="00DB4495" w:rsidRPr="00B20372">
        <w:rPr>
          <w:rFonts w:eastAsia="SimSun"/>
          <w:lang w:eastAsia="zh-CN"/>
        </w:rPr>
        <w:t>s per existing policies, which are reflected in paragraph</w:t>
      </w:r>
      <w:r w:rsidR="00C85260" w:rsidRPr="00B20372">
        <w:rPr>
          <w:rFonts w:eastAsia="SimSun"/>
          <w:lang w:eastAsia="zh-CN"/>
        </w:rPr>
        <w:t> </w:t>
      </w:r>
      <w:r w:rsidR="00DB4495" w:rsidRPr="00B20372">
        <w:rPr>
          <w:rFonts w:eastAsia="SimSun"/>
          <w:lang w:eastAsia="zh-CN"/>
        </w:rPr>
        <w:t>8 of the Agreement, in executing the activities in the refrigeration servicing sector the country could use the flexibility available under the Agreement to address specific needs that might arise during project implementation</w:t>
      </w:r>
      <w:r w:rsidRPr="00B20372">
        <w:rPr>
          <w:rFonts w:eastAsia="SimSun"/>
          <w:lang w:eastAsia="zh-CN"/>
        </w:rPr>
        <w:t xml:space="preserve">. This would </w:t>
      </w:r>
      <w:r w:rsidRPr="00B20372">
        <w:rPr>
          <w:rFonts w:eastAsia="SimSun"/>
          <w:lang w:eastAsia="zh-CN"/>
        </w:rPr>
        <w:lastRenderedPageBreak/>
        <w:t xml:space="preserve">allow the procurement of additional equipment </w:t>
      </w:r>
      <w:r w:rsidR="00B22CFC" w:rsidRPr="00B20372">
        <w:rPr>
          <w:rFonts w:eastAsia="SimSun"/>
          <w:lang w:eastAsia="zh-CN"/>
        </w:rPr>
        <w:t>that may be needed for training in</w:t>
      </w:r>
      <w:r w:rsidR="00C85260" w:rsidRPr="00B20372">
        <w:rPr>
          <w:rFonts w:eastAsia="SimSun"/>
          <w:lang w:eastAsia="zh-CN"/>
        </w:rPr>
        <w:t>s</w:t>
      </w:r>
      <w:r w:rsidR="00B22CFC" w:rsidRPr="00B20372">
        <w:rPr>
          <w:rFonts w:eastAsia="SimSun"/>
          <w:lang w:eastAsia="zh-CN"/>
        </w:rPr>
        <w:t xml:space="preserve">titutes or recovery and recycling centers </w:t>
      </w:r>
      <w:r w:rsidRPr="00B20372">
        <w:rPr>
          <w:rFonts w:eastAsia="SimSun"/>
          <w:lang w:eastAsia="zh-CN"/>
        </w:rPr>
        <w:t xml:space="preserve">if funds are </w:t>
      </w:r>
      <w:r w:rsidR="00B22CFC" w:rsidRPr="00B20372">
        <w:rPr>
          <w:rFonts w:eastAsia="SimSun"/>
          <w:lang w:eastAsia="zh-CN"/>
        </w:rPr>
        <w:t xml:space="preserve">still </w:t>
      </w:r>
      <w:r w:rsidRPr="00B20372">
        <w:rPr>
          <w:rFonts w:eastAsia="SimSun"/>
          <w:lang w:eastAsia="zh-CN"/>
        </w:rPr>
        <w:t xml:space="preserve">available </w:t>
      </w:r>
      <w:r w:rsidR="00F64466" w:rsidRPr="00B20372">
        <w:rPr>
          <w:rFonts w:eastAsia="SimSun"/>
          <w:lang w:eastAsia="zh-CN"/>
        </w:rPr>
        <w:t xml:space="preserve">after the </w:t>
      </w:r>
      <w:r w:rsidR="00B22CFC" w:rsidRPr="00B20372">
        <w:rPr>
          <w:rFonts w:eastAsia="SimSun"/>
          <w:lang w:eastAsia="zh-CN"/>
        </w:rPr>
        <w:t xml:space="preserve">first </w:t>
      </w:r>
      <w:r w:rsidR="00F64466" w:rsidRPr="00B20372">
        <w:rPr>
          <w:rFonts w:eastAsia="SimSun"/>
          <w:lang w:eastAsia="zh-CN"/>
        </w:rPr>
        <w:t>procurement process</w:t>
      </w:r>
      <w:r w:rsidR="00B22CFC" w:rsidRPr="00B20372">
        <w:rPr>
          <w:rFonts w:eastAsia="SimSun"/>
          <w:lang w:eastAsia="zh-CN"/>
        </w:rPr>
        <w:t>.</w:t>
      </w:r>
      <w:r w:rsidR="0017391C" w:rsidRPr="00B20372">
        <w:rPr>
          <w:rFonts w:eastAsia="SimSun"/>
          <w:lang w:eastAsia="zh-CN"/>
        </w:rPr>
        <w:t xml:space="preserve"> </w:t>
      </w:r>
    </w:p>
    <w:p w14:paraId="5D50294B" w14:textId="77777777" w:rsidR="00C355C5" w:rsidRPr="007F6C9B" w:rsidRDefault="00C355C5" w:rsidP="0023662F">
      <w:pPr>
        <w:rPr>
          <w:rFonts w:eastAsia="SimSun"/>
          <w:u w:val="single"/>
          <w:lang w:eastAsia="zh-CN"/>
        </w:rPr>
      </w:pPr>
      <w:r w:rsidRPr="00B20372">
        <w:rPr>
          <w:rFonts w:eastAsia="SimSun"/>
          <w:u w:val="single"/>
          <w:lang w:eastAsia="zh-CN"/>
        </w:rPr>
        <w:t xml:space="preserve">Agreed cost for stage II of the </w:t>
      </w:r>
      <w:r w:rsidRPr="007F6C9B">
        <w:rPr>
          <w:rFonts w:eastAsia="SimSun"/>
          <w:u w:val="single"/>
          <w:lang w:eastAsia="zh-CN"/>
        </w:rPr>
        <w:t>HPMP</w:t>
      </w:r>
    </w:p>
    <w:p w14:paraId="674D1050" w14:textId="77777777" w:rsidR="00C355C5" w:rsidRPr="007F6C9B" w:rsidRDefault="00C355C5" w:rsidP="0023662F">
      <w:pPr>
        <w:rPr>
          <w:rFonts w:eastAsia="SimSun"/>
          <w:lang w:eastAsia="zh-CN"/>
        </w:rPr>
      </w:pPr>
    </w:p>
    <w:p w14:paraId="1277C6C0" w14:textId="77777777" w:rsidR="00C355C5" w:rsidRPr="007F6C9B" w:rsidRDefault="00C355C5" w:rsidP="0023662F">
      <w:pPr>
        <w:pStyle w:val="Heading1"/>
        <w:rPr>
          <w:rFonts w:eastAsia="SimSun"/>
          <w:lang w:eastAsia="zh-CN"/>
        </w:rPr>
      </w:pPr>
      <w:r w:rsidRPr="007F6C9B">
        <w:rPr>
          <w:rFonts w:eastAsia="SimSun"/>
          <w:lang w:eastAsia="zh-CN"/>
        </w:rPr>
        <w:t>The agreed cost of the activities proposed in s</w:t>
      </w:r>
      <w:r w:rsidR="00682B63" w:rsidRPr="007F6C9B">
        <w:rPr>
          <w:rFonts w:eastAsia="SimSun"/>
          <w:lang w:eastAsia="zh-CN"/>
        </w:rPr>
        <w:t>tage I</w:t>
      </w:r>
      <w:r w:rsidRPr="007F6C9B">
        <w:rPr>
          <w:rFonts w:eastAsia="SimSun"/>
          <w:lang w:eastAsia="zh-CN"/>
        </w:rPr>
        <w:t xml:space="preserve">I of the HPMP amounts to </w:t>
      </w:r>
      <w:r w:rsidR="00682B63" w:rsidRPr="007F6C9B">
        <w:rPr>
          <w:rFonts w:eastAsia="SimSun"/>
          <w:lang w:eastAsia="zh-CN"/>
        </w:rPr>
        <w:t>US $</w:t>
      </w:r>
      <w:r w:rsidR="00005C05" w:rsidRPr="007F6C9B">
        <w:rPr>
          <w:rFonts w:eastAsia="SimSun"/>
          <w:lang w:eastAsia="zh-CN"/>
        </w:rPr>
        <w:t>1,375,000</w:t>
      </w:r>
      <w:r w:rsidRPr="007F6C9B">
        <w:rPr>
          <w:rFonts w:eastAsia="SimSun"/>
          <w:lang w:eastAsia="zh-CN"/>
        </w:rPr>
        <w:t xml:space="preserve"> (</w:t>
      </w:r>
      <w:r w:rsidR="00071639" w:rsidRPr="007F6C9B">
        <w:rPr>
          <w:rFonts w:eastAsia="SimSun"/>
          <w:lang w:eastAsia="zh-CN"/>
        </w:rPr>
        <w:t xml:space="preserve">excluding agency support costs), out of which </w:t>
      </w:r>
      <w:r w:rsidR="00682B63" w:rsidRPr="007F6C9B">
        <w:rPr>
          <w:rFonts w:eastAsia="SimSun"/>
          <w:lang w:eastAsia="zh-CN"/>
        </w:rPr>
        <w:t>US $</w:t>
      </w:r>
      <w:r w:rsidR="00071639" w:rsidRPr="007F6C9B">
        <w:rPr>
          <w:rFonts w:eastAsia="SimSun"/>
          <w:lang w:eastAsia="zh-CN"/>
        </w:rPr>
        <w:t xml:space="preserve">1,250,000 are for the refrigeration servicing sector at a </w:t>
      </w:r>
      <w:r w:rsidRPr="007F6C9B">
        <w:rPr>
          <w:rFonts w:eastAsia="SimSun"/>
          <w:lang w:eastAsia="zh-CN"/>
        </w:rPr>
        <w:t xml:space="preserve">cost-effectiveness of </w:t>
      </w:r>
      <w:r w:rsidR="00682B63" w:rsidRPr="007F6C9B">
        <w:rPr>
          <w:rFonts w:eastAsia="SimSun"/>
          <w:lang w:eastAsia="zh-CN"/>
        </w:rPr>
        <w:t>US $</w:t>
      </w:r>
      <w:r w:rsidR="00071639" w:rsidRPr="007F6C9B">
        <w:rPr>
          <w:rFonts w:eastAsia="SimSun"/>
          <w:lang w:eastAsia="zh-CN"/>
        </w:rPr>
        <w:t>4.77</w:t>
      </w:r>
      <w:r w:rsidRPr="007F6C9B">
        <w:rPr>
          <w:rFonts w:eastAsia="SimSun"/>
          <w:lang w:eastAsia="zh-CN"/>
        </w:rPr>
        <w:t xml:space="preserve">/kg </w:t>
      </w:r>
      <w:r w:rsidR="00071639" w:rsidRPr="007F6C9B">
        <w:rPr>
          <w:rFonts w:eastAsia="SimSun"/>
          <w:lang w:eastAsia="zh-CN"/>
        </w:rPr>
        <w:t xml:space="preserve">in accordance </w:t>
      </w:r>
      <w:r w:rsidR="00C85260" w:rsidRPr="007F6C9B">
        <w:rPr>
          <w:rFonts w:eastAsia="SimSun"/>
          <w:lang w:eastAsia="zh-CN"/>
        </w:rPr>
        <w:t>with</w:t>
      </w:r>
      <w:r w:rsidR="00071639" w:rsidRPr="007F6C9B">
        <w:rPr>
          <w:rFonts w:eastAsia="SimSun"/>
          <w:lang w:eastAsia="zh-CN"/>
        </w:rPr>
        <w:t xml:space="preserve"> decision 74/50 (</w:t>
      </w:r>
      <w:r w:rsidRPr="007F6C9B">
        <w:rPr>
          <w:rFonts w:eastAsia="SimSun"/>
          <w:lang w:eastAsia="zh-CN"/>
        </w:rPr>
        <w:t xml:space="preserve">Table </w:t>
      </w:r>
      <w:r w:rsidR="00005C05" w:rsidRPr="007F6C9B">
        <w:rPr>
          <w:rFonts w:eastAsia="SimSun"/>
          <w:lang w:eastAsia="zh-CN"/>
        </w:rPr>
        <w:t>6</w:t>
      </w:r>
      <w:r w:rsidR="00071639" w:rsidRPr="007F6C9B">
        <w:rPr>
          <w:rFonts w:eastAsia="SimSun"/>
          <w:lang w:eastAsia="zh-CN"/>
        </w:rPr>
        <w:t>)</w:t>
      </w:r>
      <w:r w:rsidRPr="007F6C9B">
        <w:rPr>
          <w:rFonts w:eastAsia="SimSun"/>
          <w:lang w:eastAsia="zh-CN"/>
        </w:rPr>
        <w:t>.</w:t>
      </w:r>
    </w:p>
    <w:p w14:paraId="181066A1" w14:textId="77777777" w:rsidR="00C355C5" w:rsidRPr="00DB2303" w:rsidRDefault="00C355C5" w:rsidP="00C85260">
      <w:pPr>
        <w:keepNext/>
        <w:rPr>
          <w:rFonts w:eastAsia="SimSun"/>
          <w:lang w:eastAsia="zh-CN"/>
        </w:rPr>
      </w:pPr>
      <w:r w:rsidRPr="00DB2303">
        <w:rPr>
          <w:rFonts w:eastAsia="SimSun"/>
          <w:b/>
          <w:lang w:eastAsia="zh-CN"/>
        </w:rPr>
        <w:t xml:space="preserve">Table </w:t>
      </w:r>
      <w:r w:rsidR="00005C05" w:rsidRPr="00DB2303">
        <w:rPr>
          <w:rFonts w:eastAsia="SimSun"/>
          <w:b/>
          <w:lang w:eastAsia="zh-CN"/>
        </w:rPr>
        <w:t>6</w:t>
      </w:r>
      <w:r w:rsidRPr="00DB2303">
        <w:rPr>
          <w:rFonts w:eastAsia="SimSun"/>
          <w:b/>
          <w:lang w:eastAsia="zh-CN"/>
        </w:rPr>
        <w:t>. Agreed cost for stage II of the HPMP for Peru</w:t>
      </w:r>
    </w:p>
    <w:tbl>
      <w:tblPr>
        <w:tblW w:w="5000" w:type="pct"/>
        <w:tblLayout w:type="fixed"/>
        <w:tblLook w:val="04A0" w:firstRow="1" w:lastRow="0" w:firstColumn="1" w:lastColumn="0" w:noHBand="0" w:noVBand="1"/>
      </w:tblPr>
      <w:tblGrid>
        <w:gridCol w:w="5665"/>
        <w:gridCol w:w="901"/>
        <w:gridCol w:w="899"/>
        <w:gridCol w:w="901"/>
        <w:gridCol w:w="984"/>
      </w:tblGrid>
      <w:tr w:rsidR="00E32CCF" w:rsidRPr="00DB2303" w14:paraId="71A623C7" w14:textId="77777777" w:rsidTr="001F0E3D">
        <w:trPr>
          <w:trHeight w:val="245"/>
          <w:tblHeader/>
        </w:trPr>
        <w:tc>
          <w:tcPr>
            <w:tcW w:w="30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3DEEC7" w14:textId="77777777" w:rsidR="00E32CCF" w:rsidRPr="00DB2303" w:rsidRDefault="00E32CCF" w:rsidP="00C85260">
            <w:pPr>
              <w:keepNext/>
              <w:jc w:val="left"/>
              <w:rPr>
                <w:b/>
                <w:bCs/>
                <w:color w:val="000000"/>
                <w:sz w:val="19"/>
                <w:szCs w:val="19"/>
                <w:lang w:val="en-US"/>
              </w:rPr>
            </w:pPr>
            <w:r w:rsidRPr="00DB2303">
              <w:rPr>
                <w:b/>
                <w:bCs/>
                <w:color w:val="000000"/>
                <w:sz w:val="19"/>
                <w:szCs w:val="19"/>
                <w:lang w:val="en-US"/>
              </w:rPr>
              <w:t>Activity</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E1C4B" w14:textId="77777777" w:rsidR="00E32CCF" w:rsidRPr="00DB2303" w:rsidRDefault="00E32CCF" w:rsidP="00C85260">
            <w:pPr>
              <w:keepNext/>
              <w:jc w:val="center"/>
              <w:rPr>
                <w:b/>
                <w:bCs/>
                <w:color w:val="000000"/>
                <w:sz w:val="19"/>
                <w:szCs w:val="19"/>
                <w:lang w:val="en-US"/>
              </w:rPr>
            </w:pPr>
            <w:r w:rsidRPr="00DB2303">
              <w:rPr>
                <w:b/>
                <w:bCs/>
                <w:color w:val="000000"/>
                <w:sz w:val="19"/>
                <w:szCs w:val="19"/>
                <w:lang w:val="en-US"/>
              </w:rPr>
              <w:t>Agency</w:t>
            </w:r>
          </w:p>
        </w:tc>
        <w:tc>
          <w:tcPr>
            <w:tcW w:w="96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900E1C" w14:textId="77777777" w:rsidR="00D0229B" w:rsidRDefault="00E32CCF" w:rsidP="00C85260">
            <w:pPr>
              <w:keepNext/>
              <w:jc w:val="center"/>
              <w:rPr>
                <w:b/>
                <w:bCs/>
                <w:color w:val="000000"/>
                <w:sz w:val="19"/>
                <w:szCs w:val="19"/>
                <w:lang w:val="en-US"/>
              </w:rPr>
            </w:pPr>
            <w:r w:rsidRPr="00DB2303">
              <w:rPr>
                <w:b/>
                <w:bCs/>
                <w:color w:val="000000"/>
                <w:sz w:val="19"/>
                <w:szCs w:val="19"/>
                <w:lang w:val="en-US"/>
              </w:rPr>
              <w:t xml:space="preserve">HCFC-22 </w:t>
            </w:r>
          </w:p>
          <w:p w14:paraId="1E7A301A" w14:textId="77777777" w:rsidR="00E32CCF" w:rsidRPr="00DB2303" w:rsidRDefault="00E32CCF" w:rsidP="00C85260">
            <w:pPr>
              <w:keepNext/>
              <w:jc w:val="center"/>
              <w:rPr>
                <w:b/>
                <w:bCs/>
                <w:color w:val="000000"/>
                <w:sz w:val="19"/>
                <w:szCs w:val="19"/>
                <w:lang w:val="en-US"/>
              </w:rPr>
            </w:pPr>
            <w:r w:rsidRPr="00DB2303">
              <w:rPr>
                <w:b/>
                <w:bCs/>
                <w:color w:val="000000"/>
                <w:sz w:val="19"/>
                <w:szCs w:val="19"/>
                <w:lang w:val="en-US"/>
              </w:rPr>
              <w:t>phased-out</w:t>
            </w:r>
          </w:p>
        </w:tc>
        <w:tc>
          <w:tcPr>
            <w:tcW w:w="526" w:type="pct"/>
            <w:vMerge w:val="restart"/>
            <w:tcBorders>
              <w:top w:val="single" w:sz="4" w:space="0" w:color="auto"/>
              <w:left w:val="nil"/>
              <w:right w:val="single" w:sz="4" w:space="0" w:color="auto"/>
            </w:tcBorders>
            <w:shd w:val="clear" w:color="auto" w:fill="auto"/>
            <w:vAlign w:val="center"/>
            <w:hideMark/>
          </w:tcPr>
          <w:p w14:paraId="50940673" w14:textId="77777777" w:rsidR="00E32CCF" w:rsidRPr="00DB2303" w:rsidRDefault="00AA6EB2" w:rsidP="00C85260">
            <w:pPr>
              <w:keepNext/>
              <w:jc w:val="center"/>
              <w:rPr>
                <w:b/>
                <w:bCs/>
                <w:color w:val="000000"/>
                <w:sz w:val="19"/>
                <w:szCs w:val="19"/>
                <w:lang w:val="en-US"/>
              </w:rPr>
            </w:pPr>
            <w:r w:rsidRPr="00DB2303">
              <w:rPr>
                <w:b/>
                <w:bCs/>
                <w:color w:val="000000"/>
                <w:sz w:val="19"/>
                <w:szCs w:val="19"/>
                <w:lang w:val="en-US"/>
              </w:rPr>
              <w:t>C</w:t>
            </w:r>
            <w:r w:rsidR="00E32CCF" w:rsidRPr="00DB2303">
              <w:rPr>
                <w:b/>
                <w:bCs/>
                <w:color w:val="000000"/>
                <w:sz w:val="19"/>
                <w:szCs w:val="19"/>
                <w:lang w:val="en-US"/>
              </w:rPr>
              <w:t>ost</w:t>
            </w:r>
          </w:p>
          <w:p w14:paraId="59C83BAC" w14:textId="77777777" w:rsidR="00E32CCF" w:rsidRPr="00DB2303" w:rsidRDefault="00E32CCF" w:rsidP="00C85260">
            <w:pPr>
              <w:keepNext/>
              <w:jc w:val="center"/>
              <w:rPr>
                <w:b/>
                <w:bCs/>
                <w:color w:val="000000"/>
                <w:sz w:val="19"/>
                <w:szCs w:val="19"/>
                <w:lang w:val="en-US"/>
              </w:rPr>
            </w:pPr>
            <w:r w:rsidRPr="00DB2303">
              <w:rPr>
                <w:b/>
                <w:bCs/>
                <w:color w:val="000000"/>
                <w:sz w:val="19"/>
                <w:szCs w:val="19"/>
                <w:lang w:val="en-US"/>
              </w:rPr>
              <w:t>(</w:t>
            </w:r>
            <w:r w:rsidR="00682B63">
              <w:rPr>
                <w:b/>
                <w:bCs/>
                <w:color w:val="000000"/>
                <w:sz w:val="19"/>
                <w:szCs w:val="19"/>
                <w:lang w:val="en-US"/>
              </w:rPr>
              <w:t>US $</w:t>
            </w:r>
            <w:r w:rsidRPr="00DB2303">
              <w:rPr>
                <w:b/>
                <w:bCs/>
                <w:color w:val="000000"/>
                <w:sz w:val="19"/>
                <w:szCs w:val="19"/>
                <w:lang w:val="en-US"/>
              </w:rPr>
              <w:t xml:space="preserve">) </w:t>
            </w:r>
          </w:p>
        </w:tc>
      </w:tr>
      <w:tr w:rsidR="00E32CCF" w:rsidRPr="00DB2303" w14:paraId="135EB8E4" w14:textId="77777777" w:rsidTr="001F0E3D">
        <w:trPr>
          <w:trHeight w:val="276"/>
          <w:tblHeader/>
        </w:trPr>
        <w:tc>
          <w:tcPr>
            <w:tcW w:w="3029" w:type="pct"/>
            <w:vMerge/>
            <w:tcBorders>
              <w:top w:val="single" w:sz="4" w:space="0" w:color="auto"/>
              <w:left w:val="single" w:sz="4" w:space="0" w:color="auto"/>
              <w:bottom w:val="single" w:sz="4" w:space="0" w:color="auto"/>
              <w:right w:val="single" w:sz="4" w:space="0" w:color="auto"/>
            </w:tcBorders>
            <w:vAlign w:val="center"/>
            <w:hideMark/>
          </w:tcPr>
          <w:p w14:paraId="0DB77186" w14:textId="77777777" w:rsidR="00E32CCF" w:rsidRPr="00DB2303" w:rsidRDefault="00E32CCF" w:rsidP="00C85260">
            <w:pPr>
              <w:keepNext/>
              <w:jc w:val="left"/>
              <w:rPr>
                <w:b/>
                <w:bCs/>
                <w:color w:val="000000"/>
                <w:sz w:val="19"/>
                <w:szCs w:val="19"/>
                <w:lang w:val="en-US"/>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518AC844" w14:textId="77777777" w:rsidR="00E32CCF" w:rsidRPr="00DB2303" w:rsidRDefault="00E32CCF" w:rsidP="00C85260">
            <w:pPr>
              <w:keepNext/>
              <w:jc w:val="left"/>
              <w:rPr>
                <w:b/>
                <w:bCs/>
                <w:color w:val="000000"/>
                <w:sz w:val="19"/>
                <w:szCs w:val="19"/>
                <w:lang w:val="en-US"/>
              </w:rPr>
            </w:pPr>
          </w:p>
        </w:tc>
        <w:tc>
          <w:tcPr>
            <w:tcW w:w="481" w:type="pct"/>
            <w:tcBorders>
              <w:top w:val="nil"/>
              <w:left w:val="nil"/>
              <w:bottom w:val="single" w:sz="4" w:space="0" w:color="auto"/>
              <w:right w:val="single" w:sz="4" w:space="0" w:color="auto"/>
            </w:tcBorders>
            <w:shd w:val="clear" w:color="auto" w:fill="auto"/>
            <w:noWrap/>
            <w:vAlign w:val="center"/>
            <w:hideMark/>
          </w:tcPr>
          <w:p w14:paraId="5431C772" w14:textId="77777777" w:rsidR="00E32CCF" w:rsidRPr="00DB2303" w:rsidRDefault="00E32CCF" w:rsidP="00C85260">
            <w:pPr>
              <w:keepNext/>
              <w:jc w:val="center"/>
              <w:rPr>
                <w:b/>
                <w:bCs/>
                <w:color w:val="000000"/>
                <w:sz w:val="19"/>
                <w:szCs w:val="19"/>
                <w:lang w:val="en-US"/>
              </w:rPr>
            </w:pPr>
            <w:r w:rsidRPr="00DB2303">
              <w:rPr>
                <w:b/>
                <w:bCs/>
                <w:color w:val="000000"/>
                <w:sz w:val="19"/>
                <w:szCs w:val="19"/>
                <w:lang w:val="en-US"/>
              </w:rPr>
              <w:t>m</w:t>
            </w:r>
            <w:r w:rsidR="00D0229B">
              <w:rPr>
                <w:b/>
                <w:bCs/>
                <w:color w:val="000000"/>
                <w:sz w:val="19"/>
                <w:szCs w:val="19"/>
                <w:lang w:val="en-US"/>
              </w:rPr>
              <w:t>t</w:t>
            </w:r>
            <w:r w:rsidRPr="00DB2303">
              <w:rPr>
                <w:b/>
                <w:bCs/>
                <w:color w:val="000000"/>
                <w:sz w:val="19"/>
                <w:szCs w:val="19"/>
                <w:lang w:val="en-US"/>
              </w:rPr>
              <w:t> </w:t>
            </w:r>
          </w:p>
        </w:tc>
        <w:tc>
          <w:tcPr>
            <w:tcW w:w="482" w:type="pct"/>
            <w:tcBorders>
              <w:top w:val="nil"/>
              <w:left w:val="nil"/>
              <w:bottom w:val="single" w:sz="4" w:space="0" w:color="auto"/>
              <w:right w:val="single" w:sz="4" w:space="0" w:color="auto"/>
            </w:tcBorders>
            <w:shd w:val="clear" w:color="auto" w:fill="auto"/>
            <w:vAlign w:val="center"/>
            <w:hideMark/>
          </w:tcPr>
          <w:p w14:paraId="14BD4C17" w14:textId="77777777" w:rsidR="00E32CCF" w:rsidRPr="00DB2303" w:rsidRDefault="00E32CCF" w:rsidP="00C85260">
            <w:pPr>
              <w:keepNext/>
              <w:jc w:val="center"/>
              <w:rPr>
                <w:b/>
                <w:bCs/>
                <w:color w:val="000000"/>
                <w:sz w:val="19"/>
                <w:szCs w:val="19"/>
                <w:lang w:val="en-US"/>
              </w:rPr>
            </w:pPr>
            <w:r w:rsidRPr="00DB2303">
              <w:rPr>
                <w:b/>
                <w:bCs/>
                <w:color w:val="000000"/>
                <w:sz w:val="19"/>
                <w:szCs w:val="19"/>
                <w:lang w:val="en-US"/>
              </w:rPr>
              <w:t>ODP t</w:t>
            </w:r>
            <w:r w:rsidR="00A41D74" w:rsidRPr="00DB2303">
              <w:rPr>
                <w:b/>
                <w:bCs/>
                <w:color w:val="000000"/>
                <w:sz w:val="19"/>
                <w:szCs w:val="19"/>
                <w:lang w:val="en-US"/>
              </w:rPr>
              <w:t>onne</w:t>
            </w:r>
            <w:r w:rsidR="00AB4FA4" w:rsidRPr="00DB2303">
              <w:rPr>
                <w:b/>
                <w:bCs/>
                <w:color w:val="000000"/>
                <w:sz w:val="19"/>
                <w:szCs w:val="19"/>
                <w:lang w:val="en-US"/>
              </w:rPr>
              <w:t>s</w:t>
            </w:r>
          </w:p>
        </w:tc>
        <w:tc>
          <w:tcPr>
            <w:tcW w:w="526" w:type="pct"/>
            <w:vMerge/>
            <w:tcBorders>
              <w:left w:val="nil"/>
              <w:bottom w:val="single" w:sz="4" w:space="0" w:color="auto"/>
              <w:right w:val="single" w:sz="4" w:space="0" w:color="auto"/>
            </w:tcBorders>
            <w:shd w:val="clear" w:color="auto" w:fill="auto"/>
            <w:vAlign w:val="center"/>
            <w:hideMark/>
          </w:tcPr>
          <w:p w14:paraId="3D1CC282" w14:textId="77777777" w:rsidR="00E32CCF" w:rsidRPr="00DB2303" w:rsidRDefault="00E32CCF" w:rsidP="00C85260">
            <w:pPr>
              <w:keepNext/>
              <w:jc w:val="center"/>
              <w:rPr>
                <w:b/>
                <w:bCs/>
                <w:color w:val="000000"/>
                <w:sz w:val="19"/>
                <w:szCs w:val="19"/>
                <w:lang w:val="en-US"/>
              </w:rPr>
            </w:pPr>
          </w:p>
        </w:tc>
      </w:tr>
      <w:tr w:rsidR="00D0229B" w:rsidRPr="00DB2303" w14:paraId="5B693E95" w14:textId="77777777" w:rsidTr="00D0229B">
        <w:trPr>
          <w:trHeight w:val="63"/>
        </w:trPr>
        <w:tc>
          <w:tcPr>
            <w:tcW w:w="5000" w:type="pct"/>
            <w:gridSpan w:val="5"/>
            <w:tcBorders>
              <w:top w:val="nil"/>
              <w:left w:val="single" w:sz="4" w:space="0" w:color="auto"/>
              <w:bottom w:val="single" w:sz="4" w:space="0" w:color="auto"/>
              <w:right w:val="single" w:sz="4" w:space="0" w:color="auto"/>
            </w:tcBorders>
            <w:shd w:val="clear" w:color="auto" w:fill="auto"/>
            <w:vAlign w:val="center"/>
            <w:hideMark/>
          </w:tcPr>
          <w:p w14:paraId="33E7B721" w14:textId="77777777" w:rsidR="00D0229B" w:rsidRPr="00DB2303" w:rsidRDefault="00D0229B" w:rsidP="00C85260">
            <w:pPr>
              <w:keepNext/>
              <w:jc w:val="left"/>
              <w:rPr>
                <w:b/>
                <w:bCs/>
                <w:color w:val="000000"/>
                <w:sz w:val="19"/>
                <w:szCs w:val="19"/>
                <w:lang w:val="en-US"/>
              </w:rPr>
            </w:pPr>
            <w:r w:rsidRPr="00DB2303">
              <w:rPr>
                <w:b/>
                <w:bCs/>
                <w:color w:val="000000"/>
                <w:sz w:val="19"/>
                <w:szCs w:val="19"/>
                <w:lang w:val="en-US"/>
              </w:rPr>
              <w:t xml:space="preserve">Strengthening of the legal and institutional sectors </w:t>
            </w:r>
          </w:p>
        </w:tc>
      </w:tr>
      <w:tr w:rsidR="00D0229B" w:rsidRPr="00DB2303" w14:paraId="6D735C0D" w14:textId="77777777" w:rsidTr="00D0229B">
        <w:trPr>
          <w:trHeight w:val="528"/>
        </w:trPr>
        <w:tc>
          <w:tcPr>
            <w:tcW w:w="3029" w:type="pct"/>
            <w:tcBorders>
              <w:top w:val="nil"/>
              <w:left w:val="single" w:sz="4" w:space="0" w:color="auto"/>
              <w:bottom w:val="single" w:sz="4" w:space="0" w:color="auto"/>
              <w:right w:val="single" w:sz="4" w:space="0" w:color="auto"/>
            </w:tcBorders>
            <w:shd w:val="clear" w:color="auto" w:fill="auto"/>
            <w:vAlign w:val="center"/>
            <w:hideMark/>
          </w:tcPr>
          <w:p w14:paraId="6F92D2E9" w14:textId="77777777" w:rsidR="00D0229B" w:rsidRPr="00DB2303" w:rsidRDefault="00D0229B" w:rsidP="00C85260">
            <w:pPr>
              <w:keepNext/>
              <w:rPr>
                <w:color w:val="000000"/>
                <w:sz w:val="19"/>
                <w:szCs w:val="19"/>
                <w:lang w:val="en-US"/>
              </w:rPr>
            </w:pPr>
            <w:r w:rsidRPr="00DB2303">
              <w:rPr>
                <w:color w:val="000000"/>
                <w:sz w:val="19"/>
                <w:szCs w:val="19"/>
                <w:lang w:val="en-US"/>
              </w:rPr>
              <w:t xml:space="preserve">Strengthening of policies and legal framework to control HCFC </w:t>
            </w:r>
            <w:r>
              <w:rPr>
                <w:color w:val="000000"/>
                <w:sz w:val="19"/>
                <w:szCs w:val="19"/>
                <w:lang w:val="en-US"/>
              </w:rPr>
              <w:t>c</w:t>
            </w:r>
            <w:r w:rsidRPr="00DB2303">
              <w:rPr>
                <w:color w:val="000000"/>
                <w:sz w:val="19"/>
                <w:szCs w:val="19"/>
                <w:lang w:val="en-US"/>
              </w:rPr>
              <w:t>onsumption</w:t>
            </w:r>
          </w:p>
        </w:tc>
        <w:tc>
          <w:tcPr>
            <w:tcW w:w="482" w:type="pct"/>
            <w:vMerge w:val="restart"/>
            <w:tcBorders>
              <w:top w:val="nil"/>
              <w:left w:val="nil"/>
              <w:right w:val="single" w:sz="4" w:space="0" w:color="auto"/>
            </w:tcBorders>
            <w:shd w:val="clear" w:color="auto" w:fill="auto"/>
            <w:noWrap/>
            <w:vAlign w:val="center"/>
            <w:hideMark/>
          </w:tcPr>
          <w:p w14:paraId="6EB22D5A" w14:textId="77777777" w:rsidR="00D0229B" w:rsidRPr="00DB2303" w:rsidRDefault="00D0229B" w:rsidP="00C85260">
            <w:pPr>
              <w:keepNext/>
              <w:jc w:val="center"/>
              <w:rPr>
                <w:color w:val="000000"/>
                <w:sz w:val="19"/>
                <w:szCs w:val="19"/>
                <w:lang w:val="en-US"/>
              </w:rPr>
            </w:pPr>
            <w:r w:rsidRPr="00DB2303">
              <w:rPr>
                <w:color w:val="000000"/>
                <w:sz w:val="19"/>
                <w:szCs w:val="19"/>
                <w:lang w:val="en-US"/>
              </w:rPr>
              <w:t>UNEP</w:t>
            </w:r>
          </w:p>
        </w:tc>
        <w:tc>
          <w:tcPr>
            <w:tcW w:w="481" w:type="pct"/>
            <w:tcBorders>
              <w:top w:val="nil"/>
              <w:left w:val="nil"/>
              <w:bottom w:val="single" w:sz="4" w:space="0" w:color="auto"/>
              <w:right w:val="single" w:sz="4" w:space="0" w:color="auto"/>
            </w:tcBorders>
            <w:shd w:val="clear" w:color="auto" w:fill="auto"/>
            <w:noWrap/>
            <w:hideMark/>
          </w:tcPr>
          <w:p w14:paraId="4482C783" w14:textId="77777777" w:rsidR="00D0229B" w:rsidRPr="00DB2303" w:rsidRDefault="00D0229B" w:rsidP="00C85260">
            <w:pPr>
              <w:keepNext/>
              <w:jc w:val="right"/>
              <w:rPr>
                <w:color w:val="000000"/>
                <w:sz w:val="19"/>
                <w:szCs w:val="19"/>
                <w:lang w:val="en-US"/>
              </w:rPr>
            </w:pPr>
            <w:r w:rsidRPr="00DB2303">
              <w:rPr>
                <w:color w:val="000000"/>
                <w:sz w:val="19"/>
                <w:szCs w:val="19"/>
                <w:lang w:val="en-US"/>
              </w:rPr>
              <w:t>12.18</w:t>
            </w:r>
          </w:p>
        </w:tc>
        <w:tc>
          <w:tcPr>
            <w:tcW w:w="482" w:type="pct"/>
            <w:tcBorders>
              <w:top w:val="nil"/>
              <w:left w:val="nil"/>
              <w:bottom w:val="single" w:sz="4" w:space="0" w:color="auto"/>
              <w:right w:val="single" w:sz="4" w:space="0" w:color="auto"/>
            </w:tcBorders>
            <w:shd w:val="clear" w:color="auto" w:fill="auto"/>
            <w:noWrap/>
            <w:hideMark/>
          </w:tcPr>
          <w:p w14:paraId="682CC321" w14:textId="77777777" w:rsidR="00D0229B" w:rsidRPr="00DB2303" w:rsidRDefault="00D0229B" w:rsidP="00C85260">
            <w:pPr>
              <w:keepNext/>
              <w:jc w:val="right"/>
              <w:rPr>
                <w:color w:val="000000"/>
                <w:sz w:val="19"/>
                <w:szCs w:val="19"/>
                <w:lang w:val="en-US"/>
              </w:rPr>
            </w:pPr>
            <w:r w:rsidRPr="00DB2303">
              <w:rPr>
                <w:color w:val="000000"/>
                <w:sz w:val="19"/>
                <w:szCs w:val="19"/>
                <w:lang w:val="en-US"/>
              </w:rPr>
              <w:t>0.67</w:t>
            </w:r>
          </w:p>
        </w:tc>
        <w:tc>
          <w:tcPr>
            <w:tcW w:w="526" w:type="pct"/>
            <w:tcBorders>
              <w:top w:val="nil"/>
              <w:left w:val="nil"/>
              <w:bottom w:val="single" w:sz="4" w:space="0" w:color="auto"/>
              <w:right w:val="single" w:sz="4" w:space="0" w:color="auto"/>
            </w:tcBorders>
            <w:shd w:val="clear" w:color="auto" w:fill="auto"/>
            <w:noWrap/>
            <w:hideMark/>
          </w:tcPr>
          <w:p w14:paraId="1846C153" w14:textId="77777777" w:rsidR="00D0229B" w:rsidRPr="00DB2303" w:rsidRDefault="00D0229B" w:rsidP="00C85260">
            <w:pPr>
              <w:keepNext/>
              <w:jc w:val="right"/>
              <w:rPr>
                <w:color w:val="000000"/>
                <w:sz w:val="19"/>
                <w:szCs w:val="19"/>
                <w:lang w:val="en-US"/>
              </w:rPr>
            </w:pPr>
            <w:r w:rsidRPr="00DB2303">
              <w:rPr>
                <w:color w:val="000000"/>
                <w:sz w:val="19"/>
                <w:szCs w:val="19"/>
                <w:lang w:val="en-US"/>
              </w:rPr>
              <w:t>59,000</w:t>
            </w:r>
          </w:p>
        </w:tc>
      </w:tr>
      <w:tr w:rsidR="00D0229B" w:rsidRPr="00DB2303" w14:paraId="5B3330B3" w14:textId="77777777" w:rsidTr="00D0229B">
        <w:trPr>
          <w:trHeight w:val="63"/>
        </w:trPr>
        <w:tc>
          <w:tcPr>
            <w:tcW w:w="3029" w:type="pct"/>
            <w:tcBorders>
              <w:top w:val="nil"/>
              <w:left w:val="single" w:sz="4" w:space="0" w:color="auto"/>
              <w:bottom w:val="single" w:sz="4" w:space="0" w:color="auto"/>
              <w:right w:val="single" w:sz="4" w:space="0" w:color="auto"/>
            </w:tcBorders>
            <w:shd w:val="clear" w:color="auto" w:fill="auto"/>
            <w:vAlign w:val="center"/>
            <w:hideMark/>
          </w:tcPr>
          <w:p w14:paraId="7D9F42D3" w14:textId="77777777" w:rsidR="00D0229B" w:rsidRPr="00DB2303" w:rsidRDefault="00D0229B" w:rsidP="00C85260">
            <w:pPr>
              <w:keepNext/>
              <w:rPr>
                <w:color w:val="000000"/>
                <w:sz w:val="19"/>
                <w:szCs w:val="19"/>
                <w:lang w:val="en-US"/>
              </w:rPr>
            </w:pPr>
            <w:r>
              <w:rPr>
                <w:color w:val="000000"/>
                <w:sz w:val="19"/>
                <w:szCs w:val="19"/>
                <w:lang w:val="en-US"/>
              </w:rPr>
              <w:t>C</w:t>
            </w:r>
            <w:r w:rsidRPr="00DB2303">
              <w:rPr>
                <w:color w:val="000000"/>
                <w:sz w:val="19"/>
                <w:szCs w:val="19"/>
                <w:lang w:val="en-US"/>
              </w:rPr>
              <w:t>ertification system for technicians in the RAC sector</w:t>
            </w:r>
          </w:p>
        </w:tc>
        <w:tc>
          <w:tcPr>
            <w:tcW w:w="482" w:type="pct"/>
            <w:vMerge/>
            <w:tcBorders>
              <w:left w:val="nil"/>
              <w:right w:val="single" w:sz="4" w:space="0" w:color="auto"/>
            </w:tcBorders>
            <w:shd w:val="clear" w:color="auto" w:fill="auto"/>
            <w:noWrap/>
            <w:vAlign w:val="center"/>
            <w:hideMark/>
          </w:tcPr>
          <w:p w14:paraId="61D38C44" w14:textId="77777777" w:rsidR="00D0229B" w:rsidRPr="00DB2303" w:rsidRDefault="00D0229B" w:rsidP="00C85260">
            <w:pPr>
              <w:keepNext/>
              <w:jc w:val="center"/>
              <w:rPr>
                <w:color w:val="000000"/>
                <w:sz w:val="19"/>
                <w:szCs w:val="19"/>
                <w:lang w:val="en-US"/>
              </w:rPr>
            </w:pPr>
          </w:p>
        </w:tc>
        <w:tc>
          <w:tcPr>
            <w:tcW w:w="481" w:type="pct"/>
            <w:tcBorders>
              <w:top w:val="nil"/>
              <w:left w:val="nil"/>
              <w:bottom w:val="single" w:sz="4" w:space="0" w:color="auto"/>
              <w:right w:val="single" w:sz="4" w:space="0" w:color="auto"/>
            </w:tcBorders>
            <w:shd w:val="clear" w:color="auto" w:fill="auto"/>
            <w:noWrap/>
            <w:hideMark/>
          </w:tcPr>
          <w:p w14:paraId="0BB8F109" w14:textId="77777777" w:rsidR="00D0229B" w:rsidRPr="00DB2303" w:rsidRDefault="00D0229B" w:rsidP="00C85260">
            <w:pPr>
              <w:keepNext/>
              <w:jc w:val="right"/>
              <w:rPr>
                <w:color w:val="000000"/>
                <w:sz w:val="19"/>
                <w:szCs w:val="19"/>
                <w:lang w:val="en-US"/>
              </w:rPr>
            </w:pPr>
            <w:r w:rsidRPr="00DB2303">
              <w:rPr>
                <w:color w:val="000000"/>
                <w:sz w:val="19"/>
                <w:szCs w:val="19"/>
                <w:lang w:val="en-US"/>
              </w:rPr>
              <w:t>20.55</w:t>
            </w:r>
          </w:p>
        </w:tc>
        <w:tc>
          <w:tcPr>
            <w:tcW w:w="482" w:type="pct"/>
            <w:tcBorders>
              <w:top w:val="nil"/>
              <w:left w:val="nil"/>
              <w:bottom w:val="single" w:sz="4" w:space="0" w:color="auto"/>
              <w:right w:val="single" w:sz="4" w:space="0" w:color="auto"/>
            </w:tcBorders>
            <w:shd w:val="clear" w:color="auto" w:fill="auto"/>
            <w:noWrap/>
            <w:hideMark/>
          </w:tcPr>
          <w:p w14:paraId="5103A210" w14:textId="77777777" w:rsidR="00D0229B" w:rsidRPr="00DB2303" w:rsidRDefault="00D0229B" w:rsidP="00C85260">
            <w:pPr>
              <w:keepNext/>
              <w:jc w:val="right"/>
              <w:rPr>
                <w:color w:val="000000"/>
                <w:sz w:val="19"/>
                <w:szCs w:val="19"/>
                <w:lang w:val="en-US"/>
              </w:rPr>
            </w:pPr>
            <w:r w:rsidRPr="00DB2303">
              <w:rPr>
                <w:color w:val="000000"/>
                <w:sz w:val="19"/>
                <w:szCs w:val="19"/>
                <w:lang w:val="en-US"/>
              </w:rPr>
              <w:t>1.13</w:t>
            </w:r>
          </w:p>
        </w:tc>
        <w:tc>
          <w:tcPr>
            <w:tcW w:w="526" w:type="pct"/>
            <w:tcBorders>
              <w:top w:val="nil"/>
              <w:left w:val="nil"/>
              <w:bottom w:val="single" w:sz="4" w:space="0" w:color="auto"/>
              <w:right w:val="single" w:sz="4" w:space="0" w:color="auto"/>
            </w:tcBorders>
            <w:shd w:val="clear" w:color="auto" w:fill="auto"/>
            <w:noWrap/>
            <w:hideMark/>
          </w:tcPr>
          <w:p w14:paraId="136D17B5" w14:textId="77777777" w:rsidR="00D0229B" w:rsidRPr="00DB2303" w:rsidRDefault="00D0229B" w:rsidP="00C85260">
            <w:pPr>
              <w:keepNext/>
              <w:jc w:val="right"/>
              <w:rPr>
                <w:color w:val="000000"/>
                <w:sz w:val="19"/>
                <w:szCs w:val="19"/>
                <w:lang w:val="en-US"/>
              </w:rPr>
            </w:pPr>
            <w:r w:rsidRPr="00DB2303">
              <w:rPr>
                <w:color w:val="000000"/>
                <w:sz w:val="19"/>
                <w:szCs w:val="19"/>
                <w:lang w:val="en-US"/>
              </w:rPr>
              <w:t>99,000</w:t>
            </w:r>
          </w:p>
        </w:tc>
      </w:tr>
      <w:tr w:rsidR="00D0229B" w:rsidRPr="00DB2303" w14:paraId="0FB6412F" w14:textId="77777777" w:rsidTr="00D0229B">
        <w:trPr>
          <w:trHeight w:val="173"/>
        </w:trPr>
        <w:tc>
          <w:tcPr>
            <w:tcW w:w="3029" w:type="pct"/>
            <w:tcBorders>
              <w:top w:val="nil"/>
              <w:left w:val="single" w:sz="4" w:space="0" w:color="auto"/>
              <w:bottom w:val="single" w:sz="4" w:space="0" w:color="auto"/>
              <w:right w:val="single" w:sz="4" w:space="0" w:color="auto"/>
            </w:tcBorders>
            <w:shd w:val="clear" w:color="auto" w:fill="auto"/>
            <w:vAlign w:val="center"/>
            <w:hideMark/>
          </w:tcPr>
          <w:p w14:paraId="55E03AD6" w14:textId="77777777" w:rsidR="00D0229B" w:rsidRPr="00DB2303" w:rsidRDefault="00D0229B" w:rsidP="00C85260">
            <w:pPr>
              <w:keepNext/>
              <w:rPr>
                <w:color w:val="000000"/>
                <w:sz w:val="19"/>
                <w:szCs w:val="19"/>
                <w:lang w:val="en-US"/>
              </w:rPr>
            </w:pPr>
            <w:r>
              <w:rPr>
                <w:color w:val="000000"/>
                <w:sz w:val="19"/>
                <w:szCs w:val="19"/>
                <w:lang w:val="en-US"/>
              </w:rPr>
              <w:t>A</w:t>
            </w:r>
            <w:r w:rsidRPr="00DB2303">
              <w:rPr>
                <w:color w:val="000000"/>
                <w:sz w:val="19"/>
                <w:szCs w:val="19"/>
                <w:lang w:val="en-US"/>
              </w:rPr>
              <w:t>doption and implementation of safety standards/guidelines for flammable refrigerants</w:t>
            </w:r>
          </w:p>
        </w:tc>
        <w:tc>
          <w:tcPr>
            <w:tcW w:w="482" w:type="pct"/>
            <w:vMerge/>
            <w:tcBorders>
              <w:left w:val="nil"/>
              <w:right w:val="single" w:sz="4" w:space="0" w:color="auto"/>
            </w:tcBorders>
            <w:shd w:val="clear" w:color="auto" w:fill="auto"/>
            <w:noWrap/>
            <w:vAlign w:val="center"/>
            <w:hideMark/>
          </w:tcPr>
          <w:p w14:paraId="163E0E98" w14:textId="77777777" w:rsidR="00D0229B" w:rsidRPr="00DB2303" w:rsidRDefault="00D0229B" w:rsidP="00C85260">
            <w:pPr>
              <w:keepNext/>
              <w:jc w:val="center"/>
              <w:rPr>
                <w:color w:val="000000"/>
                <w:sz w:val="19"/>
                <w:szCs w:val="19"/>
                <w:lang w:val="en-US"/>
              </w:rPr>
            </w:pPr>
          </w:p>
        </w:tc>
        <w:tc>
          <w:tcPr>
            <w:tcW w:w="481" w:type="pct"/>
            <w:tcBorders>
              <w:top w:val="nil"/>
              <w:left w:val="nil"/>
              <w:bottom w:val="single" w:sz="4" w:space="0" w:color="auto"/>
              <w:right w:val="single" w:sz="4" w:space="0" w:color="auto"/>
            </w:tcBorders>
            <w:shd w:val="clear" w:color="auto" w:fill="auto"/>
            <w:noWrap/>
            <w:hideMark/>
          </w:tcPr>
          <w:p w14:paraId="65C29171" w14:textId="77777777" w:rsidR="00D0229B" w:rsidRPr="00DB2303" w:rsidRDefault="00D0229B" w:rsidP="00C85260">
            <w:pPr>
              <w:keepNext/>
              <w:jc w:val="right"/>
              <w:rPr>
                <w:color w:val="000000"/>
                <w:sz w:val="19"/>
                <w:szCs w:val="19"/>
                <w:lang w:val="en-US"/>
              </w:rPr>
            </w:pPr>
            <w:r w:rsidRPr="00DB2303">
              <w:rPr>
                <w:color w:val="000000"/>
                <w:sz w:val="19"/>
                <w:szCs w:val="19"/>
                <w:lang w:val="en-US"/>
              </w:rPr>
              <w:t>10.36</w:t>
            </w:r>
          </w:p>
        </w:tc>
        <w:tc>
          <w:tcPr>
            <w:tcW w:w="482" w:type="pct"/>
            <w:tcBorders>
              <w:top w:val="nil"/>
              <w:left w:val="nil"/>
              <w:bottom w:val="single" w:sz="4" w:space="0" w:color="auto"/>
              <w:right w:val="single" w:sz="4" w:space="0" w:color="auto"/>
            </w:tcBorders>
            <w:shd w:val="clear" w:color="auto" w:fill="auto"/>
            <w:noWrap/>
            <w:hideMark/>
          </w:tcPr>
          <w:p w14:paraId="74528D0A" w14:textId="77777777" w:rsidR="00D0229B" w:rsidRPr="00DB2303" w:rsidRDefault="00D0229B" w:rsidP="00C85260">
            <w:pPr>
              <w:keepNext/>
              <w:jc w:val="right"/>
              <w:rPr>
                <w:color w:val="000000"/>
                <w:sz w:val="19"/>
                <w:szCs w:val="19"/>
                <w:lang w:val="en-US"/>
              </w:rPr>
            </w:pPr>
            <w:r w:rsidRPr="00DB2303">
              <w:rPr>
                <w:color w:val="000000"/>
                <w:sz w:val="19"/>
                <w:szCs w:val="19"/>
                <w:lang w:val="en-US"/>
              </w:rPr>
              <w:t>0.57</w:t>
            </w:r>
          </w:p>
        </w:tc>
        <w:tc>
          <w:tcPr>
            <w:tcW w:w="526" w:type="pct"/>
            <w:tcBorders>
              <w:top w:val="nil"/>
              <w:left w:val="nil"/>
              <w:bottom w:val="single" w:sz="4" w:space="0" w:color="auto"/>
              <w:right w:val="single" w:sz="4" w:space="0" w:color="auto"/>
            </w:tcBorders>
            <w:shd w:val="clear" w:color="auto" w:fill="auto"/>
            <w:noWrap/>
            <w:hideMark/>
          </w:tcPr>
          <w:p w14:paraId="1DF9B58A" w14:textId="77777777" w:rsidR="00D0229B" w:rsidRPr="00DB2303" w:rsidRDefault="00D0229B" w:rsidP="00C85260">
            <w:pPr>
              <w:keepNext/>
              <w:jc w:val="right"/>
              <w:rPr>
                <w:color w:val="000000"/>
                <w:sz w:val="19"/>
                <w:szCs w:val="19"/>
                <w:lang w:val="en-US"/>
              </w:rPr>
            </w:pPr>
            <w:r w:rsidRPr="00DB2303">
              <w:rPr>
                <w:color w:val="000000"/>
                <w:sz w:val="19"/>
                <w:szCs w:val="19"/>
                <w:lang w:val="en-US"/>
              </w:rPr>
              <w:t>50,000</w:t>
            </w:r>
          </w:p>
        </w:tc>
      </w:tr>
      <w:tr w:rsidR="00D0229B" w:rsidRPr="00DB2303" w14:paraId="24D96880" w14:textId="77777777" w:rsidTr="00D0229B">
        <w:trPr>
          <w:trHeight w:val="74"/>
        </w:trPr>
        <w:tc>
          <w:tcPr>
            <w:tcW w:w="30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F5794" w14:textId="77777777" w:rsidR="00D0229B" w:rsidRPr="00DB2303" w:rsidRDefault="00D0229B" w:rsidP="00C85260">
            <w:pPr>
              <w:keepNext/>
              <w:jc w:val="left"/>
              <w:rPr>
                <w:b/>
                <w:bCs/>
                <w:color w:val="000000"/>
                <w:sz w:val="19"/>
                <w:szCs w:val="19"/>
                <w:lang w:val="en-US"/>
              </w:rPr>
            </w:pPr>
            <w:r w:rsidRPr="00DB2303">
              <w:rPr>
                <w:b/>
                <w:bCs/>
                <w:color w:val="000000"/>
                <w:sz w:val="19"/>
                <w:szCs w:val="19"/>
                <w:lang w:val="en-US"/>
              </w:rPr>
              <w:t>Subtotal</w:t>
            </w:r>
          </w:p>
        </w:tc>
        <w:tc>
          <w:tcPr>
            <w:tcW w:w="482" w:type="pct"/>
            <w:vMerge/>
            <w:tcBorders>
              <w:left w:val="single" w:sz="4" w:space="0" w:color="auto"/>
              <w:bottom w:val="single" w:sz="4" w:space="0" w:color="auto"/>
              <w:right w:val="single" w:sz="4" w:space="0" w:color="auto"/>
            </w:tcBorders>
            <w:shd w:val="clear" w:color="auto" w:fill="auto"/>
            <w:vAlign w:val="center"/>
          </w:tcPr>
          <w:p w14:paraId="41FFA8C0" w14:textId="77777777" w:rsidR="00D0229B" w:rsidRPr="00DB2303" w:rsidRDefault="00D0229B" w:rsidP="00C85260">
            <w:pPr>
              <w:keepNext/>
              <w:jc w:val="left"/>
              <w:rPr>
                <w:b/>
                <w:bCs/>
                <w:color w:val="000000"/>
                <w:sz w:val="19"/>
                <w:szCs w:val="19"/>
                <w:lang w:val="en-US"/>
              </w:rPr>
            </w:pPr>
          </w:p>
        </w:tc>
        <w:tc>
          <w:tcPr>
            <w:tcW w:w="481" w:type="pct"/>
            <w:tcBorders>
              <w:top w:val="nil"/>
              <w:left w:val="nil"/>
              <w:bottom w:val="single" w:sz="4" w:space="0" w:color="auto"/>
              <w:right w:val="single" w:sz="4" w:space="0" w:color="auto"/>
            </w:tcBorders>
            <w:shd w:val="clear" w:color="auto" w:fill="auto"/>
            <w:noWrap/>
            <w:hideMark/>
          </w:tcPr>
          <w:p w14:paraId="07F99B61" w14:textId="77777777" w:rsidR="00D0229B" w:rsidRPr="00DB2303" w:rsidRDefault="00D0229B" w:rsidP="00C85260">
            <w:pPr>
              <w:keepNext/>
              <w:jc w:val="right"/>
              <w:rPr>
                <w:b/>
                <w:bCs/>
                <w:color w:val="000000"/>
                <w:sz w:val="19"/>
                <w:szCs w:val="19"/>
                <w:lang w:val="en-US"/>
              </w:rPr>
            </w:pPr>
            <w:r w:rsidRPr="00DB2303">
              <w:rPr>
                <w:b/>
                <w:bCs/>
                <w:color w:val="000000"/>
                <w:sz w:val="19"/>
                <w:szCs w:val="19"/>
                <w:lang w:val="en-US"/>
              </w:rPr>
              <w:t>43.09</w:t>
            </w:r>
          </w:p>
        </w:tc>
        <w:tc>
          <w:tcPr>
            <w:tcW w:w="482" w:type="pct"/>
            <w:tcBorders>
              <w:top w:val="nil"/>
              <w:left w:val="nil"/>
              <w:bottom w:val="single" w:sz="4" w:space="0" w:color="auto"/>
              <w:right w:val="single" w:sz="4" w:space="0" w:color="auto"/>
            </w:tcBorders>
            <w:shd w:val="clear" w:color="auto" w:fill="auto"/>
            <w:noWrap/>
            <w:hideMark/>
          </w:tcPr>
          <w:p w14:paraId="0DCA929C" w14:textId="77777777" w:rsidR="00D0229B" w:rsidRPr="00DB2303" w:rsidRDefault="00D0229B" w:rsidP="00C85260">
            <w:pPr>
              <w:keepNext/>
              <w:jc w:val="right"/>
              <w:rPr>
                <w:b/>
                <w:bCs/>
                <w:color w:val="000000"/>
                <w:sz w:val="19"/>
                <w:szCs w:val="19"/>
                <w:lang w:val="en-US"/>
              </w:rPr>
            </w:pPr>
            <w:r w:rsidRPr="00DB2303">
              <w:rPr>
                <w:b/>
                <w:bCs/>
                <w:color w:val="000000"/>
                <w:sz w:val="19"/>
                <w:szCs w:val="19"/>
                <w:lang w:val="en-US"/>
              </w:rPr>
              <w:t>2.37</w:t>
            </w:r>
          </w:p>
        </w:tc>
        <w:tc>
          <w:tcPr>
            <w:tcW w:w="526" w:type="pct"/>
            <w:tcBorders>
              <w:top w:val="nil"/>
              <w:left w:val="nil"/>
              <w:bottom w:val="single" w:sz="4" w:space="0" w:color="auto"/>
              <w:right w:val="single" w:sz="4" w:space="0" w:color="auto"/>
            </w:tcBorders>
            <w:shd w:val="clear" w:color="auto" w:fill="auto"/>
            <w:noWrap/>
            <w:hideMark/>
          </w:tcPr>
          <w:p w14:paraId="2F673141" w14:textId="77777777" w:rsidR="00D0229B" w:rsidRPr="00DB2303" w:rsidRDefault="00D0229B" w:rsidP="00C85260">
            <w:pPr>
              <w:keepNext/>
              <w:jc w:val="right"/>
              <w:rPr>
                <w:b/>
                <w:bCs/>
                <w:color w:val="000000"/>
                <w:sz w:val="19"/>
                <w:szCs w:val="19"/>
                <w:lang w:val="en-US"/>
              </w:rPr>
            </w:pPr>
            <w:r w:rsidRPr="00DB2303">
              <w:rPr>
                <w:b/>
                <w:bCs/>
                <w:color w:val="000000"/>
                <w:sz w:val="19"/>
                <w:szCs w:val="19"/>
                <w:lang w:val="en-US"/>
              </w:rPr>
              <w:t>208,000</w:t>
            </w:r>
          </w:p>
        </w:tc>
      </w:tr>
      <w:tr w:rsidR="00E32CCF" w:rsidRPr="00DB2303" w14:paraId="3D14660C" w14:textId="77777777" w:rsidTr="00D0229B">
        <w:trPr>
          <w:trHeight w:val="63"/>
        </w:trPr>
        <w:tc>
          <w:tcPr>
            <w:tcW w:w="5000" w:type="pct"/>
            <w:gridSpan w:val="5"/>
            <w:tcBorders>
              <w:top w:val="nil"/>
              <w:left w:val="single" w:sz="4" w:space="0" w:color="auto"/>
              <w:bottom w:val="single" w:sz="4" w:space="0" w:color="auto"/>
              <w:right w:val="single" w:sz="4" w:space="0" w:color="auto"/>
            </w:tcBorders>
            <w:shd w:val="clear" w:color="auto" w:fill="auto"/>
            <w:noWrap/>
            <w:vAlign w:val="center"/>
            <w:hideMark/>
          </w:tcPr>
          <w:p w14:paraId="438AC0D4" w14:textId="77777777" w:rsidR="00E32CCF" w:rsidRPr="00DB2303" w:rsidRDefault="00EC55AC" w:rsidP="0023662F">
            <w:pPr>
              <w:jc w:val="left"/>
              <w:rPr>
                <w:b/>
                <w:bCs/>
                <w:color w:val="000000"/>
                <w:sz w:val="19"/>
                <w:szCs w:val="19"/>
                <w:lang w:val="en-US"/>
              </w:rPr>
            </w:pPr>
            <w:r w:rsidRPr="00DB2303">
              <w:rPr>
                <w:b/>
                <w:bCs/>
                <w:color w:val="000000"/>
                <w:sz w:val="19"/>
                <w:szCs w:val="19"/>
                <w:lang w:val="en-US"/>
              </w:rPr>
              <w:t>RAC servicing</w:t>
            </w:r>
            <w:r w:rsidR="00E32CCF" w:rsidRPr="00DB2303">
              <w:rPr>
                <w:b/>
                <w:bCs/>
                <w:color w:val="000000"/>
                <w:sz w:val="19"/>
                <w:szCs w:val="19"/>
                <w:lang w:val="en-US"/>
              </w:rPr>
              <w:t xml:space="preserve"> sector</w:t>
            </w:r>
          </w:p>
        </w:tc>
      </w:tr>
      <w:tr w:rsidR="00D0229B" w:rsidRPr="00DB2303" w14:paraId="23714A9D" w14:textId="77777777" w:rsidTr="00D0229B">
        <w:trPr>
          <w:trHeight w:val="119"/>
        </w:trPr>
        <w:tc>
          <w:tcPr>
            <w:tcW w:w="3029" w:type="pct"/>
            <w:tcBorders>
              <w:top w:val="nil"/>
              <w:left w:val="single" w:sz="4" w:space="0" w:color="auto"/>
              <w:bottom w:val="single" w:sz="4" w:space="0" w:color="auto"/>
              <w:right w:val="single" w:sz="4" w:space="0" w:color="auto"/>
            </w:tcBorders>
            <w:shd w:val="clear" w:color="auto" w:fill="auto"/>
            <w:vAlign w:val="center"/>
            <w:hideMark/>
          </w:tcPr>
          <w:p w14:paraId="529BBCD0" w14:textId="77777777" w:rsidR="00D0229B" w:rsidRPr="00DB2303" w:rsidRDefault="00D0229B" w:rsidP="00D0229B">
            <w:pPr>
              <w:rPr>
                <w:color w:val="000000"/>
                <w:sz w:val="19"/>
                <w:szCs w:val="19"/>
                <w:lang w:val="en-US"/>
              </w:rPr>
            </w:pPr>
            <w:r>
              <w:rPr>
                <w:color w:val="000000"/>
                <w:sz w:val="19"/>
                <w:szCs w:val="19"/>
                <w:lang w:val="en-US"/>
              </w:rPr>
              <w:t>G</w:t>
            </w:r>
            <w:r w:rsidRPr="00DB2303">
              <w:rPr>
                <w:color w:val="000000"/>
                <w:sz w:val="19"/>
                <w:szCs w:val="19"/>
                <w:lang w:val="en-US"/>
              </w:rPr>
              <w:t>ood refrigeration practices and procedures in the use of low-GWP refrigerants</w:t>
            </w:r>
          </w:p>
        </w:tc>
        <w:tc>
          <w:tcPr>
            <w:tcW w:w="482" w:type="pct"/>
            <w:tcBorders>
              <w:left w:val="nil"/>
              <w:right w:val="single" w:sz="4" w:space="0" w:color="auto"/>
            </w:tcBorders>
            <w:shd w:val="clear" w:color="auto" w:fill="auto"/>
            <w:noWrap/>
            <w:vAlign w:val="center"/>
            <w:hideMark/>
          </w:tcPr>
          <w:p w14:paraId="3BA76B54" w14:textId="77777777" w:rsidR="00D0229B" w:rsidRPr="00DB2303" w:rsidRDefault="00D0229B" w:rsidP="00D0229B">
            <w:pPr>
              <w:jc w:val="center"/>
              <w:rPr>
                <w:color w:val="000000"/>
                <w:sz w:val="19"/>
                <w:szCs w:val="19"/>
                <w:lang w:val="en-US"/>
              </w:rPr>
            </w:pPr>
          </w:p>
        </w:tc>
        <w:tc>
          <w:tcPr>
            <w:tcW w:w="481" w:type="pct"/>
            <w:tcBorders>
              <w:top w:val="nil"/>
              <w:left w:val="nil"/>
              <w:bottom w:val="single" w:sz="4" w:space="0" w:color="auto"/>
              <w:right w:val="single" w:sz="4" w:space="0" w:color="auto"/>
            </w:tcBorders>
            <w:shd w:val="clear" w:color="auto" w:fill="auto"/>
            <w:noWrap/>
            <w:hideMark/>
          </w:tcPr>
          <w:p w14:paraId="20CD4158" w14:textId="77777777" w:rsidR="00D0229B" w:rsidRPr="00DB2303" w:rsidRDefault="00D0229B" w:rsidP="00D0229B">
            <w:pPr>
              <w:jc w:val="right"/>
              <w:rPr>
                <w:color w:val="000000"/>
                <w:sz w:val="19"/>
                <w:szCs w:val="19"/>
                <w:lang w:val="en-US"/>
              </w:rPr>
            </w:pPr>
            <w:r w:rsidRPr="00DB2303">
              <w:rPr>
                <w:color w:val="000000"/>
                <w:sz w:val="19"/>
                <w:szCs w:val="19"/>
                <w:lang w:val="en-US"/>
              </w:rPr>
              <w:t xml:space="preserve">33.64 </w:t>
            </w:r>
          </w:p>
        </w:tc>
        <w:tc>
          <w:tcPr>
            <w:tcW w:w="482" w:type="pct"/>
            <w:tcBorders>
              <w:top w:val="nil"/>
              <w:left w:val="nil"/>
              <w:bottom w:val="single" w:sz="4" w:space="0" w:color="auto"/>
              <w:right w:val="single" w:sz="4" w:space="0" w:color="auto"/>
            </w:tcBorders>
            <w:shd w:val="clear" w:color="auto" w:fill="auto"/>
            <w:noWrap/>
            <w:hideMark/>
          </w:tcPr>
          <w:p w14:paraId="7D509FE9" w14:textId="77777777" w:rsidR="00D0229B" w:rsidRPr="00DB2303" w:rsidRDefault="00D0229B" w:rsidP="00D0229B">
            <w:pPr>
              <w:jc w:val="right"/>
              <w:rPr>
                <w:color w:val="000000"/>
                <w:sz w:val="19"/>
                <w:szCs w:val="19"/>
                <w:lang w:val="en-US"/>
              </w:rPr>
            </w:pPr>
            <w:r w:rsidRPr="00DB2303">
              <w:rPr>
                <w:color w:val="000000"/>
                <w:sz w:val="19"/>
                <w:szCs w:val="19"/>
                <w:lang w:val="en-US"/>
              </w:rPr>
              <w:t xml:space="preserve">1.85 </w:t>
            </w:r>
          </w:p>
        </w:tc>
        <w:tc>
          <w:tcPr>
            <w:tcW w:w="526" w:type="pct"/>
            <w:tcBorders>
              <w:top w:val="nil"/>
              <w:left w:val="nil"/>
              <w:bottom w:val="single" w:sz="4" w:space="0" w:color="auto"/>
              <w:right w:val="single" w:sz="4" w:space="0" w:color="auto"/>
            </w:tcBorders>
            <w:shd w:val="clear" w:color="auto" w:fill="auto"/>
            <w:noWrap/>
            <w:hideMark/>
          </w:tcPr>
          <w:p w14:paraId="1913B0C6" w14:textId="77777777" w:rsidR="00D0229B" w:rsidRPr="00DB2303" w:rsidRDefault="00D0229B" w:rsidP="00D0229B">
            <w:pPr>
              <w:jc w:val="right"/>
              <w:rPr>
                <w:color w:val="000000"/>
                <w:sz w:val="19"/>
                <w:szCs w:val="19"/>
                <w:lang w:val="en-US"/>
              </w:rPr>
            </w:pPr>
            <w:r w:rsidRPr="00DB2303">
              <w:rPr>
                <w:color w:val="000000"/>
                <w:sz w:val="19"/>
                <w:szCs w:val="19"/>
                <w:lang w:val="en-US"/>
              </w:rPr>
              <w:t xml:space="preserve">161,800 </w:t>
            </w:r>
          </w:p>
        </w:tc>
      </w:tr>
      <w:tr w:rsidR="00D0229B" w:rsidRPr="00DB2303" w14:paraId="0E403F85" w14:textId="77777777" w:rsidTr="00D0229B">
        <w:trPr>
          <w:trHeight w:val="47"/>
        </w:trPr>
        <w:tc>
          <w:tcPr>
            <w:tcW w:w="3029" w:type="pct"/>
            <w:tcBorders>
              <w:top w:val="nil"/>
              <w:left w:val="single" w:sz="4" w:space="0" w:color="auto"/>
              <w:bottom w:val="single" w:sz="4" w:space="0" w:color="auto"/>
              <w:right w:val="single" w:sz="4" w:space="0" w:color="auto"/>
            </w:tcBorders>
            <w:shd w:val="clear" w:color="auto" w:fill="auto"/>
            <w:vAlign w:val="center"/>
            <w:hideMark/>
          </w:tcPr>
          <w:p w14:paraId="4C4822BB" w14:textId="77777777" w:rsidR="00D0229B" w:rsidRPr="00DB2303" w:rsidRDefault="00D0229B" w:rsidP="00D0229B">
            <w:pPr>
              <w:rPr>
                <w:color w:val="000000"/>
                <w:sz w:val="19"/>
                <w:szCs w:val="19"/>
                <w:lang w:val="en-US"/>
              </w:rPr>
            </w:pPr>
            <w:r w:rsidRPr="00DB2303">
              <w:rPr>
                <w:color w:val="000000"/>
                <w:sz w:val="19"/>
                <w:szCs w:val="19"/>
                <w:lang w:val="en-US"/>
              </w:rPr>
              <w:t>Strengthening of technical institutes</w:t>
            </w:r>
          </w:p>
        </w:tc>
        <w:tc>
          <w:tcPr>
            <w:tcW w:w="482" w:type="pct"/>
            <w:tcBorders>
              <w:left w:val="nil"/>
              <w:right w:val="single" w:sz="4" w:space="0" w:color="auto"/>
            </w:tcBorders>
            <w:shd w:val="clear" w:color="auto" w:fill="auto"/>
            <w:noWrap/>
            <w:vAlign w:val="center"/>
            <w:hideMark/>
          </w:tcPr>
          <w:p w14:paraId="06693488" w14:textId="77777777" w:rsidR="00D0229B" w:rsidRPr="00DB2303" w:rsidRDefault="00D0229B" w:rsidP="00D0229B">
            <w:pPr>
              <w:jc w:val="center"/>
              <w:rPr>
                <w:color w:val="000000"/>
                <w:sz w:val="19"/>
                <w:szCs w:val="19"/>
                <w:lang w:val="en-US"/>
              </w:rPr>
            </w:pPr>
          </w:p>
        </w:tc>
        <w:tc>
          <w:tcPr>
            <w:tcW w:w="481" w:type="pct"/>
            <w:tcBorders>
              <w:top w:val="nil"/>
              <w:left w:val="nil"/>
              <w:bottom w:val="single" w:sz="4" w:space="0" w:color="auto"/>
              <w:right w:val="single" w:sz="4" w:space="0" w:color="auto"/>
            </w:tcBorders>
            <w:shd w:val="clear" w:color="auto" w:fill="auto"/>
            <w:noWrap/>
            <w:hideMark/>
          </w:tcPr>
          <w:p w14:paraId="0D10FBA8" w14:textId="77777777" w:rsidR="00D0229B" w:rsidRPr="00DB2303" w:rsidRDefault="00D0229B" w:rsidP="00D0229B">
            <w:pPr>
              <w:jc w:val="right"/>
              <w:rPr>
                <w:color w:val="000000"/>
                <w:sz w:val="19"/>
                <w:szCs w:val="19"/>
                <w:lang w:val="en-US"/>
              </w:rPr>
            </w:pPr>
            <w:r w:rsidRPr="00DB2303">
              <w:rPr>
                <w:color w:val="000000"/>
                <w:sz w:val="19"/>
                <w:szCs w:val="19"/>
                <w:lang w:val="en-US"/>
              </w:rPr>
              <w:t xml:space="preserve">26.00 </w:t>
            </w:r>
          </w:p>
        </w:tc>
        <w:tc>
          <w:tcPr>
            <w:tcW w:w="482" w:type="pct"/>
            <w:tcBorders>
              <w:top w:val="nil"/>
              <w:left w:val="nil"/>
              <w:bottom w:val="single" w:sz="4" w:space="0" w:color="auto"/>
              <w:right w:val="single" w:sz="4" w:space="0" w:color="auto"/>
            </w:tcBorders>
            <w:shd w:val="clear" w:color="auto" w:fill="auto"/>
            <w:noWrap/>
            <w:hideMark/>
          </w:tcPr>
          <w:p w14:paraId="5F9322FD" w14:textId="77777777" w:rsidR="00D0229B" w:rsidRPr="00DB2303" w:rsidRDefault="00D0229B" w:rsidP="00D0229B">
            <w:pPr>
              <w:jc w:val="right"/>
              <w:rPr>
                <w:color w:val="000000"/>
                <w:sz w:val="19"/>
                <w:szCs w:val="19"/>
                <w:lang w:val="en-US"/>
              </w:rPr>
            </w:pPr>
            <w:r w:rsidRPr="00DB2303">
              <w:rPr>
                <w:color w:val="000000"/>
                <w:sz w:val="19"/>
                <w:szCs w:val="19"/>
                <w:lang w:val="en-US"/>
              </w:rPr>
              <w:t xml:space="preserve">1.43 </w:t>
            </w:r>
          </w:p>
        </w:tc>
        <w:tc>
          <w:tcPr>
            <w:tcW w:w="526" w:type="pct"/>
            <w:tcBorders>
              <w:top w:val="nil"/>
              <w:left w:val="nil"/>
              <w:bottom w:val="single" w:sz="4" w:space="0" w:color="auto"/>
              <w:right w:val="single" w:sz="4" w:space="0" w:color="auto"/>
            </w:tcBorders>
            <w:shd w:val="clear" w:color="auto" w:fill="auto"/>
            <w:noWrap/>
            <w:hideMark/>
          </w:tcPr>
          <w:p w14:paraId="2AB21E46" w14:textId="77777777" w:rsidR="00D0229B" w:rsidRPr="00DB2303" w:rsidRDefault="00D0229B" w:rsidP="00D0229B">
            <w:pPr>
              <w:jc w:val="right"/>
              <w:rPr>
                <w:color w:val="000000"/>
                <w:sz w:val="19"/>
                <w:szCs w:val="19"/>
                <w:lang w:val="en-US"/>
              </w:rPr>
            </w:pPr>
            <w:r w:rsidRPr="00DB2303">
              <w:rPr>
                <w:color w:val="000000"/>
                <w:sz w:val="19"/>
                <w:szCs w:val="19"/>
                <w:lang w:val="en-US"/>
              </w:rPr>
              <w:t xml:space="preserve">125,000 </w:t>
            </w:r>
          </w:p>
        </w:tc>
      </w:tr>
      <w:tr w:rsidR="00D0229B" w:rsidRPr="00DB2303" w14:paraId="5BB84C45" w14:textId="77777777" w:rsidTr="00D0229B">
        <w:trPr>
          <w:trHeight w:val="92"/>
        </w:trPr>
        <w:tc>
          <w:tcPr>
            <w:tcW w:w="3029" w:type="pct"/>
            <w:tcBorders>
              <w:top w:val="nil"/>
              <w:left w:val="single" w:sz="4" w:space="0" w:color="auto"/>
              <w:bottom w:val="single" w:sz="4" w:space="0" w:color="auto"/>
              <w:right w:val="single" w:sz="4" w:space="0" w:color="auto"/>
            </w:tcBorders>
            <w:shd w:val="clear" w:color="auto" w:fill="auto"/>
            <w:vAlign w:val="center"/>
            <w:hideMark/>
          </w:tcPr>
          <w:p w14:paraId="51D18DDC" w14:textId="77777777" w:rsidR="00D0229B" w:rsidRPr="00DB2303" w:rsidRDefault="00D0229B" w:rsidP="00D0229B">
            <w:pPr>
              <w:rPr>
                <w:color w:val="000000"/>
                <w:sz w:val="19"/>
                <w:szCs w:val="19"/>
                <w:lang w:val="en-US"/>
              </w:rPr>
            </w:pPr>
            <w:r w:rsidRPr="00DB2303">
              <w:rPr>
                <w:color w:val="000000"/>
                <w:sz w:val="19"/>
                <w:szCs w:val="19"/>
                <w:lang w:val="en-US"/>
              </w:rPr>
              <w:t xml:space="preserve">Training programme for RAC technicians  </w:t>
            </w:r>
          </w:p>
        </w:tc>
        <w:tc>
          <w:tcPr>
            <w:tcW w:w="482" w:type="pct"/>
            <w:tcBorders>
              <w:left w:val="nil"/>
              <w:right w:val="single" w:sz="4" w:space="0" w:color="auto"/>
            </w:tcBorders>
            <w:shd w:val="clear" w:color="auto" w:fill="auto"/>
            <w:noWrap/>
            <w:vAlign w:val="center"/>
            <w:hideMark/>
          </w:tcPr>
          <w:p w14:paraId="6F3C01C4" w14:textId="531E958C" w:rsidR="00D0229B" w:rsidRPr="00DB2303" w:rsidRDefault="001F0E3D" w:rsidP="00D0229B">
            <w:pPr>
              <w:jc w:val="center"/>
              <w:rPr>
                <w:color w:val="000000"/>
                <w:sz w:val="19"/>
                <w:szCs w:val="19"/>
                <w:lang w:val="en-US"/>
              </w:rPr>
            </w:pPr>
            <w:r w:rsidRPr="00DB2303">
              <w:rPr>
                <w:color w:val="000000"/>
                <w:sz w:val="19"/>
                <w:szCs w:val="19"/>
                <w:lang w:val="en-US"/>
              </w:rPr>
              <w:t>UNDP</w:t>
            </w:r>
          </w:p>
        </w:tc>
        <w:tc>
          <w:tcPr>
            <w:tcW w:w="481" w:type="pct"/>
            <w:tcBorders>
              <w:top w:val="nil"/>
              <w:left w:val="nil"/>
              <w:bottom w:val="single" w:sz="4" w:space="0" w:color="auto"/>
              <w:right w:val="single" w:sz="4" w:space="0" w:color="auto"/>
            </w:tcBorders>
            <w:shd w:val="clear" w:color="auto" w:fill="auto"/>
            <w:noWrap/>
            <w:hideMark/>
          </w:tcPr>
          <w:p w14:paraId="6C1CBC07" w14:textId="77777777" w:rsidR="00D0229B" w:rsidRPr="00DB2303" w:rsidRDefault="00D0229B" w:rsidP="00D0229B">
            <w:pPr>
              <w:jc w:val="right"/>
              <w:rPr>
                <w:color w:val="000000"/>
                <w:sz w:val="19"/>
                <w:szCs w:val="19"/>
                <w:lang w:val="en-US"/>
              </w:rPr>
            </w:pPr>
            <w:r w:rsidRPr="00DB2303">
              <w:rPr>
                <w:color w:val="000000"/>
                <w:sz w:val="19"/>
                <w:szCs w:val="19"/>
                <w:lang w:val="en-US"/>
              </w:rPr>
              <w:t xml:space="preserve">25.82 </w:t>
            </w:r>
          </w:p>
        </w:tc>
        <w:tc>
          <w:tcPr>
            <w:tcW w:w="482" w:type="pct"/>
            <w:tcBorders>
              <w:top w:val="nil"/>
              <w:left w:val="nil"/>
              <w:bottom w:val="single" w:sz="4" w:space="0" w:color="auto"/>
              <w:right w:val="single" w:sz="4" w:space="0" w:color="auto"/>
            </w:tcBorders>
            <w:shd w:val="clear" w:color="auto" w:fill="auto"/>
            <w:noWrap/>
            <w:hideMark/>
          </w:tcPr>
          <w:p w14:paraId="25665440" w14:textId="77777777" w:rsidR="00D0229B" w:rsidRPr="00DB2303" w:rsidRDefault="00D0229B" w:rsidP="00D0229B">
            <w:pPr>
              <w:jc w:val="right"/>
              <w:rPr>
                <w:color w:val="000000"/>
                <w:sz w:val="19"/>
                <w:szCs w:val="19"/>
                <w:lang w:val="en-US"/>
              </w:rPr>
            </w:pPr>
            <w:r w:rsidRPr="00DB2303">
              <w:rPr>
                <w:color w:val="000000"/>
                <w:sz w:val="19"/>
                <w:szCs w:val="19"/>
                <w:lang w:val="en-US"/>
              </w:rPr>
              <w:t xml:space="preserve">1.42 </w:t>
            </w:r>
          </w:p>
        </w:tc>
        <w:tc>
          <w:tcPr>
            <w:tcW w:w="526" w:type="pct"/>
            <w:tcBorders>
              <w:top w:val="nil"/>
              <w:left w:val="nil"/>
              <w:bottom w:val="single" w:sz="4" w:space="0" w:color="auto"/>
              <w:right w:val="single" w:sz="4" w:space="0" w:color="auto"/>
            </w:tcBorders>
            <w:shd w:val="clear" w:color="auto" w:fill="auto"/>
            <w:noWrap/>
            <w:hideMark/>
          </w:tcPr>
          <w:p w14:paraId="61BAF0E4" w14:textId="77777777" w:rsidR="00D0229B" w:rsidRPr="00DB2303" w:rsidRDefault="00D0229B" w:rsidP="00D0229B">
            <w:pPr>
              <w:jc w:val="right"/>
              <w:rPr>
                <w:color w:val="000000"/>
                <w:sz w:val="19"/>
                <w:szCs w:val="19"/>
                <w:lang w:val="en-US"/>
              </w:rPr>
            </w:pPr>
            <w:r w:rsidRPr="00DB2303">
              <w:rPr>
                <w:color w:val="000000"/>
                <w:sz w:val="19"/>
                <w:szCs w:val="19"/>
                <w:lang w:val="en-US"/>
              </w:rPr>
              <w:t xml:space="preserve">124,000 </w:t>
            </w:r>
          </w:p>
        </w:tc>
      </w:tr>
      <w:tr w:rsidR="00E32CCF" w:rsidRPr="00DB2303" w14:paraId="5EFA8D99" w14:textId="77777777" w:rsidTr="00D0229B">
        <w:trPr>
          <w:trHeight w:val="173"/>
        </w:trPr>
        <w:tc>
          <w:tcPr>
            <w:tcW w:w="3029" w:type="pct"/>
            <w:tcBorders>
              <w:top w:val="nil"/>
              <w:left w:val="single" w:sz="4" w:space="0" w:color="auto"/>
              <w:bottom w:val="single" w:sz="4" w:space="0" w:color="auto"/>
              <w:right w:val="single" w:sz="4" w:space="0" w:color="auto"/>
            </w:tcBorders>
            <w:shd w:val="clear" w:color="auto" w:fill="auto"/>
            <w:vAlign w:val="center"/>
            <w:hideMark/>
          </w:tcPr>
          <w:p w14:paraId="4852CD0E" w14:textId="77777777" w:rsidR="00E32CCF" w:rsidRPr="00DB2303" w:rsidRDefault="00D0229B" w:rsidP="00D0229B">
            <w:pPr>
              <w:rPr>
                <w:color w:val="000000"/>
                <w:sz w:val="19"/>
                <w:szCs w:val="19"/>
                <w:lang w:val="en-US"/>
              </w:rPr>
            </w:pPr>
            <w:r>
              <w:rPr>
                <w:color w:val="000000"/>
                <w:sz w:val="19"/>
                <w:szCs w:val="19"/>
                <w:lang w:val="en-US"/>
              </w:rPr>
              <w:t>I</w:t>
            </w:r>
            <w:r w:rsidR="00E32CCF" w:rsidRPr="00DB2303">
              <w:rPr>
                <w:color w:val="000000"/>
                <w:sz w:val="19"/>
                <w:szCs w:val="19"/>
                <w:lang w:val="en-US"/>
              </w:rPr>
              <w:t xml:space="preserve">mplementation of refrigerant </w:t>
            </w:r>
            <w:r>
              <w:rPr>
                <w:color w:val="000000"/>
                <w:sz w:val="19"/>
                <w:szCs w:val="19"/>
                <w:lang w:val="en-US"/>
              </w:rPr>
              <w:t>RRR</w:t>
            </w:r>
            <w:r w:rsidR="00EC55AC" w:rsidRPr="00DB2303">
              <w:rPr>
                <w:color w:val="000000"/>
                <w:sz w:val="19"/>
                <w:szCs w:val="19"/>
                <w:lang w:val="en-US"/>
              </w:rPr>
              <w:t xml:space="preserve"> </w:t>
            </w:r>
            <w:r w:rsidR="00E32CCF" w:rsidRPr="00DB2303">
              <w:rPr>
                <w:color w:val="000000"/>
                <w:sz w:val="19"/>
                <w:szCs w:val="19"/>
                <w:lang w:val="en-US"/>
              </w:rPr>
              <w:t>centers</w:t>
            </w:r>
          </w:p>
        </w:tc>
        <w:tc>
          <w:tcPr>
            <w:tcW w:w="482" w:type="pct"/>
            <w:tcBorders>
              <w:top w:val="nil"/>
              <w:left w:val="nil"/>
              <w:right w:val="single" w:sz="4" w:space="0" w:color="auto"/>
            </w:tcBorders>
            <w:shd w:val="clear" w:color="auto" w:fill="auto"/>
            <w:noWrap/>
            <w:vAlign w:val="center"/>
            <w:hideMark/>
          </w:tcPr>
          <w:p w14:paraId="2B9171B2" w14:textId="5C2002F7" w:rsidR="00E32CCF" w:rsidRPr="00DB2303" w:rsidRDefault="00E32CCF" w:rsidP="00D0229B">
            <w:pPr>
              <w:jc w:val="center"/>
              <w:rPr>
                <w:color w:val="000000"/>
                <w:sz w:val="19"/>
                <w:szCs w:val="19"/>
                <w:lang w:val="en-US"/>
              </w:rPr>
            </w:pPr>
          </w:p>
        </w:tc>
        <w:tc>
          <w:tcPr>
            <w:tcW w:w="481" w:type="pct"/>
            <w:tcBorders>
              <w:top w:val="nil"/>
              <w:left w:val="nil"/>
              <w:bottom w:val="single" w:sz="4" w:space="0" w:color="auto"/>
              <w:right w:val="single" w:sz="4" w:space="0" w:color="auto"/>
            </w:tcBorders>
            <w:shd w:val="clear" w:color="auto" w:fill="auto"/>
            <w:noWrap/>
            <w:hideMark/>
          </w:tcPr>
          <w:p w14:paraId="05C38AD1" w14:textId="77777777" w:rsidR="00E32CCF" w:rsidRPr="00DB2303" w:rsidRDefault="00E32CCF" w:rsidP="0023662F">
            <w:pPr>
              <w:jc w:val="right"/>
              <w:rPr>
                <w:color w:val="000000"/>
                <w:sz w:val="19"/>
                <w:szCs w:val="19"/>
                <w:lang w:val="en-US"/>
              </w:rPr>
            </w:pPr>
            <w:r w:rsidRPr="00DB2303">
              <w:rPr>
                <w:color w:val="000000"/>
                <w:sz w:val="19"/>
                <w:szCs w:val="19"/>
                <w:lang w:val="en-US"/>
              </w:rPr>
              <w:t xml:space="preserve">81.27 </w:t>
            </w:r>
          </w:p>
        </w:tc>
        <w:tc>
          <w:tcPr>
            <w:tcW w:w="482" w:type="pct"/>
            <w:tcBorders>
              <w:top w:val="nil"/>
              <w:left w:val="nil"/>
              <w:bottom w:val="single" w:sz="4" w:space="0" w:color="auto"/>
              <w:right w:val="single" w:sz="4" w:space="0" w:color="auto"/>
            </w:tcBorders>
            <w:shd w:val="clear" w:color="auto" w:fill="auto"/>
            <w:noWrap/>
            <w:hideMark/>
          </w:tcPr>
          <w:p w14:paraId="39B11C8A" w14:textId="77777777" w:rsidR="00E32CCF" w:rsidRPr="00DB2303" w:rsidRDefault="00E32CCF" w:rsidP="0023662F">
            <w:pPr>
              <w:jc w:val="right"/>
              <w:rPr>
                <w:color w:val="000000"/>
                <w:sz w:val="19"/>
                <w:szCs w:val="19"/>
                <w:lang w:val="en-US"/>
              </w:rPr>
            </w:pPr>
            <w:r w:rsidRPr="00DB2303">
              <w:rPr>
                <w:color w:val="000000"/>
                <w:sz w:val="19"/>
                <w:szCs w:val="19"/>
                <w:lang w:val="en-US"/>
              </w:rPr>
              <w:t xml:space="preserve">4.47 </w:t>
            </w:r>
          </w:p>
        </w:tc>
        <w:tc>
          <w:tcPr>
            <w:tcW w:w="526" w:type="pct"/>
            <w:tcBorders>
              <w:top w:val="nil"/>
              <w:left w:val="nil"/>
              <w:bottom w:val="single" w:sz="4" w:space="0" w:color="auto"/>
              <w:right w:val="single" w:sz="4" w:space="0" w:color="auto"/>
            </w:tcBorders>
            <w:shd w:val="clear" w:color="auto" w:fill="auto"/>
            <w:noWrap/>
            <w:hideMark/>
          </w:tcPr>
          <w:p w14:paraId="5AA09ED7" w14:textId="77777777" w:rsidR="00E32CCF" w:rsidRPr="00DB2303" w:rsidRDefault="00E32CCF" w:rsidP="0023662F">
            <w:pPr>
              <w:jc w:val="right"/>
              <w:rPr>
                <w:color w:val="000000"/>
                <w:sz w:val="19"/>
                <w:szCs w:val="19"/>
                <w:lang w:val="en-US"/>
              </w:rPr>
            </w:pPr>
            <w:r w:rsidRPr="00DB2303">
              <w:rPr>
                <w:color w:val="000000"/>
                <w:sz w:val="19"/>
                <w:szCs w:val="19"/>
                <w:lang w:val="en-US"/>
              </w:rPr>
              <w:t xml:space="preserve">381,200 </w:t>
            </w:r>
          </w:p>
        </w:tc>
      </w:tr>
      <w:tr w:rsidR="00E32CCF" w:rsidRPr="00DB2303" w14:paraId="0EE44B85" w14:textId="77777777" w:rsidTr="00D0229B">
        <w:trPr>
          <w:trHeight w:val="317"/>
        </w:trPr>
        <w:tc>
          <w:tcPr>
            <w:tcW w:w="3029" w:type="pct"/>
            <w:tcBorders>
              <w:top w:val="nil"/>
              <w:left w:val="single" w:sz="4" w:space="0" w:color="auto"/>
              <w:bottom w:val="single" w:sz="4" w:space="0" w:color="auto"/>
              <w:right w:val="single" w:sz="4" w:space="0" w:color="auto"/>
            </w:tcBorders>
            <w:shd w:val="clear" w:color="auto" w:fill="auto"/>
            <w:vAlign w:val="center"/>
            <w:hideMark/>
          </w:tcPr>
          <w:p w14:paraId="4D170B36" w14:textId="77777777" w:rsidR="00E32CCF" w:rsidRPr="00DB2303" w:rsidRDefault="00EC55AC" w:rsidP="0023662F">
            <w:pPr>
              <w:rPr>
                <w:color w:val="000000"/>
                <w:sz w:val="19"/>
                <w:szCs w:val="19"/>
                <w:lang w:val="en-US"/>
              </w:rPr>
            </w:pPr>
            <w:r w:rsidRPr="00DB2303">
              <w:rPr>
                <w:color w:val="000000"/>
                <w:sz w:val="19"/>
                <w:szCs w:val="19"/>
                <w:lang w:val="en-US"/>
              </w:rPr>
              <w:t>Promotion of alternatives for the reduction of HCFC consumption and the use of low-GWP refrigerants in key sectors: supermarkets and hotels</w:t>
            </w:r>
          </w:p>
        </w:tc>
        <w:tc>
          <w:tcPr>
            <w:tcW w:w="482" w:type="pct"/>
            <w:tcBorders>
              <w:left w:val="nil"/>
              <w:right w:val="single" w:sz="4" w:space="0" w:color="auto"/>
            </w:tcBorders>
            <w:shd w:val="clear" w:color="auto" w:fill="auto"/>
            <w:noWrap/>
            <w:vAlign w:val="center"/>
            <w:hideMark/>
          </w:tcPr>
          <w:p w14:paraId="0815EE49" w14:textId="77777777" w:rsidR="00E32CCF" w:rsidRPr="00DB2303" w:rsidRDefault="00E32CCF" w:rsidP="0023662F">
            <w:pPr>
              <w:jc w:val="center"/>
              <w:rPr>
                <w:color w:val="000000"/>
                <w:sz w:val="19"/>
                <w:szCs w:val="19"/>
                <w:lang w:val="en-US"/>
              </w:rPr>
            </w:pPr>
          </w:p>
        </w:tc>
        <w:tc>
          <w:tcPr>
            <w:tcW w:w="481" w:type="pct"/>
            <w:tcBorders>
              <w:top w:val="nil"/>
              <w:left w:val="nil"/>
              <w:bottom w:val="single" w:sz="4" w:space="0" w:color="auto"/>
              <w:right w:val="single" w:sz="4" w:space="0" w:color="auto"/>
            </w:tcBorders>
            <w:shd w:val="clear" w:color="auto" w:fill="auto"/>
            <w:noWrap/>
            <w:hideMark/>
          </w:tcPr>
          <w:p w14:paraId="4C632DED" w14:textId="77777777" w:rsidR="00E32CCF" w:rsidRPr="00DB2303" w:rsidRDefault="00E32CCF" w:rsidP="0023662F">
            <w:pPr>
              <w:jc w:val="right"/>
              <w:rPr>
                <w:color w:val="000000"/>
                <w:sz w:val="19"/>
                <w:szCs w:val="19"/>
                <w:lang w:val="en-US"/>
              </w:rPr>
            </w:pPr>
            <w:r w:rsidRPr="00DB2303">
              <w:rPr>
                <w:color w:val="000000"/>
                <w:sz w:val="19"/>
                <w:szCs w:val="19"/>
                <w:lang w:val="en-US"/>
              </w:rPr>
              <w:t xml:space="preserve">20.73 </w:t>
            </w:r>
          </w:p>
        </w:tc>
        <w:tc>
          <w:tcPr>
            <w:tcW w:w="482" w:type="pct"/>
            <w:tcBorders>
              <w:top w:val="nil"/>
              <w:left w:val="nil"/>
              <w:bottom w:val="single" w:sz="4" w:space="0" w:color="auto"/>
              <w:right w:val="single" w:sz="4" w:space="0" w:color="auto"/>
            </w:tcBorders>
            <w:shd w:val="clear" w:color="auto" w:fill="auto"/>
            <w:noWrap/>
            <w:hideMark/>
          </w:tcPr>
          <w:p w14:paraId="13E5BAE9" w14:textId="77777777" w:rsidR="00E32CCF" w:rsidRPr="00DB2303" w:rsidRDefault="00E32CCF" w:rsidP="0023662F">
            <w:pPr>
              <w:jc w:val="right"/>
              <w:rPr>
                <w:color w:val="000000"/>
                <w:sz w:val="19"/>
                <w:szCs w:val="19"/>
                <w:lang w:val="en-US"/>
              </w:rPr>
            </w:pPr>
            <w:r w:rsidRPr="00DB2303">
              <w:rPr>
                <w:color w:val="000000"/>
                <w:sz w:val="19"/>
                <w:szCs w:val="19"/>
                <w:lang w:val="en-US"/>
              </w:rPr>
              <w:t xml:space="preserve">1.14 </w:t>
            </w:r>
          </w:p>
        </w:tc>
        <w:tc>
          <w:tcPr>
            <w:tcW w:w="526" w:type="pct"/>
            <w:tcBorders>
              <w:top w:val="nil"/>
              <w:left w:val="nil"/>
              <w:bottom w:val="single" w:sz="4" w:space="0" w:color="auto"/>
              <w:right w:val="single" w:sz="4" w:space="0" w:color="auto"/>
            </w:tcBorders>
            <w:shd w:val="clear" w:color="auto" w:fill="auto"/>
            <w:noWrap/>
            <w:hideMark/>
          </w:tcPr>
          <w:p w14:paraId="6F404001" w14:textId="77777777" w:rsidR="00E32CCF" w:rsidRPr="00DB2303" w:rsidRDefault="00A41D74" w:rsidP="0023662F">
            <w:pPr>
              <w:jc w:val="right"/>
              <w:rPr>
                <w:color w:val="000000"/>
                <w:sz w:val="19"/>
                <w:szCs w:val="19"/>
                <w:lang w:val="en-US"/>
              </w:rPr>
            </w:pPr>
            <w:r w:rsidRPr="00DB2303">
              <w:rPr>
                <w:color w:val="000000"/>
                <w:sz w:val="19"/>
                <w:szCs w:val="19"/>
                <w:lang w:val="en-US"/>
              </w:rPr>
              <w:t>1</w:t>
            </w:r>
            <w:r w:rsidR="00E32CCF" w:rsidRPr="00DB2303">
              <w:rPr>
                <w:color w:val="000000"/>
                <w:sz w:val="19"/>
                <w:szCs w:val="19"/>
                <w:lang w:val="en-US"/>
              </w:rPr>
              <w:t xml:space="preserve">00,000 </w:t>
            </w:r>
          </w:p>
        </w:tc>
      </w:tr>
      <w:tr w:rsidR="00E32CCF" w:rsidRPr="00DB2303" w14:paraId="0B0EA69D" w14:textId="77777777" w:rsidTr="00D0229B">
        <w:trPr>
          <w:trHeight w:val="63"/>
        </w:trPr>
        <w:tc>
          <w:tcPr>
            <w:tcW w:w="30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31E92F" w14:textId="77777777" w:rsidR="00E32CCF" w:rsidRPr="00DB2303" w:rsidRDefault="00E32CCF" w:rsidP="0023662F">
            <w:pPr>
              <w:jc w:val="left"/>
              <w:rPr>
                <w:b/>
                <w:bCs/>
                <w:color w:val="000000"/>
                <w:sz w:val="19"/>
                <w:szCs w:val="19"/>
                <w:lang w:val="en-US"/>
              </w:rPr>
            </w:pPr>
            <w:r w:rsidRPr="00DB2303">
              <w:rPr>
                <w:b/>
                <w:bCs/>
                <w:color w:val="000000"/>
                <w:sz w:val="19"/>
                <w:szCs w:val="19"/>
                <w:lang w:val="en-US"/>
              </w:rPr>
              <w:t>Subtotal</w:t>
            </w:r>
          </w:p>
        </w:tc>
        <w:tc>
          <w:tcPr>
            <w:tcW w:w="482" w:type="pct"/>
            <w:tcBorders>
              <w:left w:val="single" w:sz="4" w:space="0" w:color="auto"/>
              <w:bottom w:val="single" w:sz="4" w:space="0" w:color="auto"/>
              <w:right w:val="single" w:sz="4" w:space="0" w:color="auto"/>
            </w:tcBorders>
            <w:shd w:val="clear" w:color="auto" w:fill="auto"/>
            <w:vAlign w:val="center"/>
          </w:tcPr>
          <w:p w14:paraId="00CB8EF0" w14:textId="77777777" w:rsidR="00E32CCF" w:rsidRPr="00DB2303" w:rsidRDefault="00E32CCF" w:rsidP="0023662F">
            <w:pPr>
              <w:jc w:val="left"/>
              <w:rPr>
                <w:b/>
                <w:bCs/>
                <w:color w:val="000000"/>
                <w:sz w:val="19"/>
                <w:szCs w:val="19"/>
                <w:lang w:val="en-US"/>
              </w:rPr>
            </w:pPr>
          </w:p>
        </w:tc>
        <w:tc>
          <w:tcPr>
            <w:tcW w:w="481" w:type="pct"/>
            <w:tcBorders>
              <w:top w:val="nil"/>
              <w:left w:val="nil"/>
              <w:bottom w:val="single" w:sz="4" w:space="0" w:color="auto"/>
              <w:right w:val="single" w:sz="4" w:space="0" w:color="auto"/>
            </w:tcBorders>
            <w:shd w:val="clear" w:color="auto" w:fill="auto"/>
            <w:noWrap/>
            <w:hideMark/>
          </w:tcPr>
          <w:p w14:paraId="1C373F04" w14:textId="77777777" w:rsidR="00E32CCF" w:rsidRPr="00DB2303" w:rsidRDefault="00E32CCF" w:rsidP="0023662F">
            <w:pPr>
              <w:jc w:val="right"/>
              <w:rPr>
                <w:b/>
                <w:bCs/>
                <w:color w:val="000000"/>
                <w:sz w:val="19"/>
                <w:szCs w:val="19"/>
                <w:lang w:val="en-US"/>
              </w:rPr>
            </w:pPr>
            <w:r w:rsidRPr="00DB2303">
              <w:rPr>
                <w:b/>
                <w:bCs/>
                <w:color w:val="000000"/>
                <w:sz w:val="19"/>
                <w:szCs w:val="19"/>
                <w:lang w:val="en-US"/>
              </w:rPr>
              <w:t xml:space="preserve">187.45 </w:t>
            </w:r>
          </w:p>
        </w:tc>
        <w:tc>
          <w:tcPr>
            <w:tcW w:w="482" w:type="pct"/>
            <w:tcBorders>
              <w:top w:val="nil"/>
              <w:left w:val="nil"/>
              <w:bottom w:val="single" w:sz="4" w:space="0" w:color="auto"/>
              <w:right w:val="single" w:sz="4" w:space="0" w:color="auto"/>
            </w:tcBorders>
            <w:shd w:val="clear" w:color="auto" w:fill="auto"/>
            <w:noWrap/>
            <w:hideMark/>
          </w:tcPr>
          <w:p w14:paraId="0E794E48" w14:textId="77777777" w:rsidR="00E32CCF" w:rsidRPr="00DB2303" w:rsidRDefault="00E32CCF" w:rsidP="0023662F">
            <w:pPr>
              <w:jc w:val="right"/>
              <w:rPr>
                <w:b/>
                <w:bCs/>
                <w:color w:val="000000"/>
                <w:sz w:val="19"/>
                <w:szCs w:val="19"/>
                <w:lang w:val="en-US"/>
              </w:rPr>
            </w:pPr>
            <w:r w:rsidRPr="00DB2303">
              <w:rPr>
                <w:b/>
                <w:bCs/>
                <w:color w:val="000000"/>
                <w:sz w:val="19"/>
                <w:szCs w:val="19"/>
                <w:lang w:val="en-US"/>
              </w:rPr>
              <w:t xml:space="preserve">10.31 </w:t>
            </w:r>
          </w:p>
        </w:tc>
        <w:tc>
          <w:tcPr>
            <w:tcW w:w="526" w:type="pct"/>
            <w:tcBorders>
              <w:top w:val="nil"/>
              <w:left w:val="nil"/>
              <w:bottom w:val="single" w:sz="4" w:space="0" w:color="auto"/>
              <w:right w:val="single" w:sz="4" w:space="0" w:color="auto"/>
            </w:tcBorders>
            <w:shd w:val="clear" w:color="auto" w:fill="auto"/>
            <w:noWrap/>
            <w:hideMark/>
          </w:tcPr>
          <w:p w14:paraId="5EBCC641" w14:textId="77777777" w:rsidR="00E32CCF" w:rsidRPr="00DB2303" w:rsidRDefault="00E32CCF" w:rsidP="0023662F">
            <w:pPr>
              <w:jc w:val="right"/>
              <w:rPr>
                <w:b/>
                <w:bCs/>
                <w:color w:val="000000"/>
                <w:sz w:val="19"/>
                <w:szCs w:val="19"/>
                <w:lang w:val="en-US"/>
              </w:rPr>
            </w:pPr>
            <w:r w:rsidRPr="00DB2303">
              <w:rPr>
                <w:b/>
                <w:bCs/>
                <w:color w:val="000000"/>
                <w:sz w:val="19"/>
                <w:szCs w:val="19"/>
                <w:lang w:val="en-US"/>
              </w:rPr>
              <w:t xml:space="preserve">892,000 </w:t>
            </w:r>
          </w:p>
        </w:tc>
      </w:tr>
      <w:tr w:rsidR="00E32CCF" w:rsidRPr="00DB2303" w14:paraId="6D1B539D" w14:textId="77777777" w:rsidTr="00D0229B">
        <w:trPr>
          <w:trHeight w:val="137"/>
        </w:trPr>
        <w:tc>
          <w:tcPr>
            <w:tcW w:w="3029" w:type="pct"/>
            <w:tcBorders>
              <w:top w:val="nil"/>
              <w:left w:val="single" w:sz="4" w:space="0" w:color="auto"/>
              <w:bottom w:val="single" w:sz="4" w:space="0" w:color="auto"/>
              <w:right w:val="single" w:sz="4" w:space="0" w:color="auto"/>
            </w:tcBorders>
            <w:shd w:val="clear" w:color="auto" w:fill="auto"/>
            <w:vAlign w:val="center"/>
            <w:hideMark/>
          </w:tcPr>
          <w:p w14:paraId="4C1A7B8C" w14:textId="77777777" w:rsidR="00E32CCF" w:rsidRPr="00DB2303" w:rsidRDefault="00E32CCF" w:rsidP="0023662F">
            <w:pPr>
              <w:jc w:val="left"/>
              <w:rPr>
                <w:b/>
                <w:bCs/>
                <w:color w:val="000000"/>
                <w:sz w:val="19"/>
                <w:szCs w:val="19"/>
                <w:lang w:val="en-US"/>
              </w:rPr>
            </w:pPr>
            <w:r w:rsidRPr="00DB2303">
              <w:rPr>
                <w:b/>
                <w:bCs/>
                <w:color w:val="000000"/>
                <w:sz w:val="19"/>
                <w:szCs w:val="19"/>
                <w:lang w:val="en-US"/>
              </w:rPr>
              <w:t>Public</w:t>
            </w:r>
            <w:r w:rsidR="00096DE3" w:rsidRPr="00DB2303">
              <w:rPr>
                <w:b/>
                <w:bCs/>
                <w:color w:val="000000"/>
                <w:sz w:val="19"/>
                <w:szCs w:val="19"/>
                <w:lang w:val="en-US"/>
              </w:rPr>
              <w:t xml:space="preserve"> a</w:t>
            </w:r>
            <w:r w:rsidRPr="00DB2303">
              <w:rPr>
                <w:b/>
                <w:bCs/>
                <w:color w:val="000000"/>
                <w:sz w:val="19"/>
                <w:szCs w:val="19"/>
                <w:lang w:val="en-US"/>
              </w:rPr>
              <w:t xml:space="preserve">wareness to promote </w:t>
            </w:r>
            <w:r w:rsidR="00096DE3" w:rsidRPr="00DB2303">
              <w:rPr>
                <w:b/>
                <w:bCs/>
                <w:color w:val="000000"/>
                <w:sz w:val="19"/>
                <w:szCs w:val="19"/>
                <w:lang w:val="en-US"/>
              </w:rPr>
              <w:t>HCFC phase-out</w:t>
            </w:r>
          </w:p>
        </w:tc>
        <w:tc>
          <w:tcPr>
            <w:tcW w:w="482" w:type="pct"/>
            <w:tcBorders>
              <w:top w:val="nil"/>
              <w:left w:val="nil"/>
              <w:bottom w:val="single" w:sz="4" w:space="0" w:color="auto"/>
              <w:right w:val="single" w:sz="4" w:space="0" w:color="auto"/>
            </w:tcBorders>
            <w:shd w:val="clear" w:color="auto" w:fill="auto"/>
            <w:vAlign w:val="center"/>
            <w:hideMark/>
          </w:tcPr>
          <w:p w14:paraId="2F0291A3" w14:textId="77777777" w:rsidR="00E32CCF" w:rsidRPr="00DB2303" w:rsidRDefault="00E32CCF" w:rsidP="0023662F">
            <w:pPr>
              <w:jc w:val="left"/>
              <w:rPr>
                <w:b/>
                <w:bCs/>
                <w:color w:val="000000"/>
                <w:sz w:val="19"/>
                <w:szCs w:val="19"/>
                <w:lang w:val="en-US"/>
              </w:rPr>
            </w:pPr>
            <w:r w:rsidRPr="00DB2303">
              <w:rPr>
                <w:color w:val="000000"/>
                <w:sz w:val="19"/>
                <w:szCs w:val="19"/>
                <w:lang w:val="en-US"/>
              </w:rPr>
              <w:t>UNDP</w:t>
            </w:r>
          </w:p>
        </w:tc>
        <w:tc>
          <w:tcPr>
            <w:tcW w:w="481" w:type="pct"/>
            <w:tcBorders>
              <w:top w:val="nil"/>
              <w:left w:val="nil"/>
              <w:bottom w:val="single" w:sz="4" w:space="0" w:color="auto"/>
              <w:right w:val="single" w:sz="4" w:space="0" w:color="auto"/>
            </w:tcBorders>
            <w:shd w:val="clear" w:color="auto" w:fill="auto"/>
            <w:hideMark/>
          </w:tcPr>
          <w:p w14:paraId="1099E3A6" w14:textId="77777777" w:rsidR="00E32CCF" w:rsidRPr="00DB2303" w:rsidRDefault="00E32CCF" w:rsidP="0023662F">
            <w:pPr>
              <w:jc w:val="right"/>
              <w:rPr>
                <w:b/>
                <w:bCs/>
                <w:color w:val="000000"/>
                <w:sz w:val="19"/>
                <w:szCs w:val="19"/>
                <w:lang w:val="en-US"/>
              </w:rPr>
            </w:pPr>
            <w:r w:rsidRPr="00DB2303">
              <w:rPr>
                <w:color w:val="000000"/>
                <w:sz w:val="19"/>
                <w:szCs w:val="19"/>
                <w:lang w:val="en-US"/>
              </w:rPr>
              <w:t>31.27</w:t>
            </w:r>
          </w:p>
        </w:tc>
        <w:tc>
          <w:tcPr>
            <w:tcW w:w="482" w:type="pct"/>
            <w:tcBorders>
              <w:top w:val="nil"/>
              <w:left w:val="nil"/>
              <w:bottom w:val="single" w:sz="4" w:space="0" w:color="auto"/>
              <w:right w:val="single" w:sz="4" w:space="0" w:color="auto"/>
            </w:tcBorders>
            <w:shd w:val="clear" w:color="auto" w:fill="auto"/>
            <w:hideMark/>
          </w:tcPr>
          <w:p w14:paraId="7ABF0B14" w14:textId="77777777" w:rsidR="00E32CCF" w:rsidRPr="00DB2303" w:rsidRDefault="00E32CCF" w:rsidP="0023662F">
            <w:pPr>
              <w:jc w:val="right"/>
              <w:rPr>
                <w:b/>
                <w:bCs/>
                <w:color w:val="000000"/>
                <w:sz w:val="19"/>
                <w:szCs w:val="19"/>
                <w:lang w:val="en-US"/>
              </w:rPr>
            </w:pPr>
            <w:r w:rsidRPr="00DB2303">
              <w:rPr>
                <w:color w:val="000000"/>
                <w:sz w:val="19"/>
                <w:szCs w:val="19"/>
                <w:lang w:val="en-US"/>
              </w:rPr>
              <w:t>1.72</w:t>
            </w:r>
          </w:p>
        </w:tc>
        <w:tc>
          <w:tcPr>
            <w:tcW w:w="526" w:type="pct"/>
            <w:tcBorders>
              <w:top w:val="nil"/>
              <w:left w:val="nil"/>
              <w:bottom w:val="single" w:sz="4" w:space="0" w:color="auto"/>
              <w:right w:val="single" w:sz="4" w:space="0" w:color="auto"/>
            </w:tcBorders>
            <w:shd w:val="clear" w:color="auto" w:fill="auto"/>
            <w:hideMark/>
          </w:tcPr>
          <w:p w14:paraId="0E18EBD0" w14:textId="77777777" w:rsidR="00E32CCF" w:rsidRPr="00DB2303" w:rsidRDefault="00E32CCF" w:rsidP="0023662F">
            <w:pPr>
              <w:jc w:val="right"/>
              <w:rPr>
                <w:b/>
                <w:bCs/>
                <w:color w:val="000000"/>
                <w:sz w:val="19"/>
                <w:szCs w:val="19"/>
                <w:lang w:val="en-US"/>
              </w:rPr>
            </w:pPr>
            <w:r w:rsidRPr="00DB2303">
              <w:rPr>
                <w:color w:val="000000"/>
                <w:sz w:val="19"/>
                <w:szCs w:val="19"/>
                <w:lang w:val="en-US"/>
              </w:rPr>
              <w:t>150,000</w:t>
            </w:r>
          </w:p>
        </w:tc>
      </w:tr>
      <w:tr w:rsidR="00E32CCF" w:rsidRPr="00DB2303" w14:paraId="2DB01272" w14:textId="77777777" w:rsidTr="00D0229B">
        <w:trPr>
          <w:trHeight w:val="182"/>
        </w:trPr>
        <w:tc>
          <w:tcPr>
            <w:tcW w:w="3029" w:type="pct"/>
            <w:tcBorders>
              <w:top w:val="nil"/>
              <w:left w:val="single" w:sz="4" w:space="0" w:color="auto"/>
              <w:bottom w:val="single" w:sz="4" w:space="0" w:color="auto"/>
              <w:right w:val="single" w:sz="4" w:space="0" w:color="auto"/>
            </w:tcBorders>
            <w:shd w:val="clear" w:color="auto" w:fill="auto"/>
            <w:vAlign w:val="center"/>
            <w:hideMark/>
          </w:tcPr>
          <w:p w14:paraId="4C63B20F" w14:textId="77777777" w:rsidR="00E32CCF" w:rsidRPr="00DB2303" w:rsidRDefault="00E32CCF" w:rsidP="0023662F">
            <w:pPr>
              <w:jc w:val="left"/>
              <w:rPr>
                <w:b/>
                <w:bCs/>
                <w:color w:val="000000"/>
                <w:sz w:val="19"/>
                <w:szCs w:val="19"/>
                <w:lang w:val="en-US"/>
              </w:rPr>
            </w:pPr>
            <w:r w:rsidRPr="00DB2303">
              <w:rPr>
                <w:b/>
                <w:bCs/>
                <w:color w:val="000000"/>
                <w:sz w:val="19"/>
                <w:szCs w:val="19"/>
                <w:lang w:val="en-US"/>
              </w:rPr>
              <w:t>Subtotal refrigeration servicing sector (1+2+3)</w:t>
            </w:r>
          </w:p>
        </w:tc>
        <w:tc>
          <w:tcPr>
            <w:tcW w:w="482" w:type="pct"/>
            <w:tcBorders>
              <w:top w:val="nil"/>
              <w:left w:val="nil"/>
              <w:bottom w:val="single" w:sz="4" w:space="0" w:color="auto"/>
              <w:right w:val="single" w:sz="4" w:space="0" w:color="auto"/>
            </w:tcBorders>
            <w:shd w:val="clear" w:color="auto" w:fill="auto"/>
            <w:vAlign w:val="center"/>
            <w:hideMark/>
          </w:tcPr>
          <w:p w14:paraId="27B2C563" w14:textId="77777777" w:rsidR="00E32CCF" w:rsidRPr="00DB2303" w:rsidRDefault="00E32CCF" w:rsidP="0023662F">
            <w:pPr>
              <w:jc w:val="center"/>
              <w:rPr>
                <w:b/>
                <w:bCs/>
                <w:color w:val="000000"/>
                <w:sz w:val="19"/>
                <w:szCs w:val="19"/>
                <w:lang w:val="en-US"/>
              </w:rPr>
            </w:pPr>
          </w:p>
        </w:tc>
        <w:tc>
          <w:tcPr>
            <w:tcW w:w="481" w:type="pct"/>
            <w:tcBorders>
              <w:top w:val="nil"/>
              <w:left w:val="nil"/>
              <w:bottom w:val="single" w:sz="4" w:space="0" w:color="auto"/>
              <w:right w:val="single" w:sz="4" w:space="0" w:color="auto"/>
            </w:tcBorders>
            <w:shd w:val="clear" w:color="auto" w:fill="auto"/>
            <w:noWrap/>
            <w:hideMark/>
          </w:tcPr>
          <w:p w14:paraId="104B3BF0" w14:textId="77777777" w:rsidR="00E32CCF" w:rsidRPr="00DB2303" w:rsidRDefault="00E32CCF" w:rsidP="0023662F">
            <w:pPr>
              <w:jc w:val="right"/>
              <w:rPr>
                <w:b/>
                <w:bCs/>
                <w:color w:val="000000"/>
                <w:sz w:val="19"/>
                <w:szCs w:val="19"/>
                <w:lang w:val="en-US"/>
              </w:rPr>
            </w:pPr>
            <w:r w:rsidRPr="00DB2303">
              <w:rPr>
                <w:b/>
                <w:bCs/>
                <w:color w:val="000000"/>
                <w:sz w:val="19"/>
                <w:szCs w:val="19"/>
                <w:lang w:val="en-US"/>
              </w:rPr>
              <w:t>261.82</w:t>
            </w:r>
          </w:p>
        </w:tc>
        <w:tc>
          <w:tcPr>
            <w:tcW w:w="482" w:type="pct"/>
            <w:tcBorders>
              <w:top w:val="nil"/>
              <w:left w:val="nil"/>
              <w:bottom w:val="single" w:sz="4" w:space="0" w:color="auto"/>
              <w:right w:val="single" w:sz="4" w:space="0" w:color="auto"/>
            </w:tcBorders>
            <w:shd w:val="clear" w:color="auto" w:fill="auto"/>
            <w:noWrap/>
            <w:hideMark/>
          </w:tcPr>
          <w:p w14:paraId="314718EA" w14:textId="77777777" w:rsidR="00E32CCF" w:rsidRPr="00DB2303" w:rsidRDefault="00E32CCF" w:rsidP="0023662F">
            <w:pPr>
              <w:jc w:val="right"/>
              <w:rPr>
                <w:b/>
                <w:bCs/>
                <w:color w:val="000000"/>
                <w:sz w:val="19"/>
                <w:szCs w:val="19"/>
                <w:lang w:val="en-US"/>
              </w:rPr>
            </w:pPr>
            <w:r w:rsidRPr="00DB2303">
              <w:rPr>
                <w:b/>
                <w:bCs/>
                <w:color w:val="000000"/>
                <w:sz w:val="19"/>
                <w:szCs w:val="19"/>
                <w:lang w:val="en-US"/>
              </w:rPr>
              <w:t>14.40</w:t>
            </w:r>
          </w:p>
        </w:tc>
        <w:tc>
          <w:tcPr>
            <w:tcW w:w="526" w:type="pct"/>
            <w:tcBorders>
              <w:top w:val="nil"/>
              <w:left w:val="nil"/>
              <w:bottom w:val="single" w:sz="4" w:space="0" w:color="auto"/>
              <w:right w:val="single" w:sz="4" w:space="0" w:color="auto"/>
            </w:tcBorders>
            <w:shd w:val="clear" w:color="auto" w:fill="auto"/>
            <w:noWrap/>
            <w:hideMark/>
          </w:tcPr>
          <w:p w14:paraId="0F93A1BA" w14:textId="77777777" w:rsidR="00E32CCF" w:rsidRPr="00DB2303" w:rsidRDefault="00E32CCF" w:rsidP="0023662F">
            <w:pPr>
              <w:jc w:val="right"/>
              <w:rPr>
                <w:b/>
                <w:color w:val="000000"/>
                <w:sz w:val="19"/>
                <w:szCs w:val="19"/>
                <w:lang w:val="en-US"/>
              </w:rPr>
            </w:pPr>
            <w:r w:rsidRPr="00DB2303">
              <w:rPr>
                <w:b/>
                <w:color w:val="000000"/>
                <w:sz w:val="19"/>
                <w:szCs w:val="19"/>
                <w:lang w:val="en-US"/>
              </w:rPr>
              <w:t>1,250,000</w:t>
            </w:r>
          </w:p>
        </w:tc>
      </w:tr>
      <w:tr w:rsidR="00E32CCF" w:rsidRPr="00DB2303" w14:paraId="77E53E3A" w14:textId="77777777" w:rsidTr="00D0229B">
        <w:trPr>
          <w:trHeight w:val="63"/>
        </w:trPr>
        <w:tc>
          <w:tcPr>
            <w:tcW w:w="3029" w:type="pct"/>
            <w:tcBorders>
              <w:top w:val="nil"/>
              <w:left w:val="single" w:sz="4" w:space="0" w:color="auto"/>
              <w:bottom w:val="single" w:sz="4" w:space="0" w:color="auto"/>
              <w:right w:val="single" w:sz="4" w:space="0" w:color="auto"/>
            </w:tcBorders>
            <w:shd w:val="clear" w:color="auto" w:fill="auto"/>
            <w:vAlign w:val="center"/>
            <w:hideMark/>
          </w:tcPr>
          <w:p w14:paraId="56C069E4" w14:textId="77777777" w:rsidR="00E32CCF" w:rsidRPr="00DB2303" w:rsidRDefault="00E32CCF" w:rsidP="0023662F">
            <w:pPr>
              <w:rPr>
                <w:color w:val="000000"/>
                <w:sz w:val="19"/>
                <w:szCs w:val="19"/>
                <w:lang w:val="en-US"/>
              </w:rPr>
            </w:pPr>
            <w:r w:rsidRPr="00DB2303">
              <w:rPr>
                <w:color w:val="000000"/>
                <w:sz w:val="19"/>
                <w:szCs w:val="19"/>
                <w:lang w:val="en-US"/>
              </w:rPr>
              <w:t>Project for coordination and management</w:t>
            </w:r>
          </w:p>
        </w:tc>
        <w:tc>
          <w:tcPr>
            <w:tcW w:w="482" w:type="pct"/>
            <w:tcBorders>
              <w:top w:val="nil"/>
              <w:left w:val="nil"/>
              <w:bottom w:val="single" w:sz="4" w:space="0" w:color="auto"/>
              <w:right w:val="single" w:sz="4" w:space="0" w:color="auto"/>
            </w:tcBorders>
            <w:shd w:val="clear" w:color="auto" w:fill="auto"/>
            <w:noWrap/>
            <w:vAlign w:val="center"/>
            <w:hideMark/>
          </w:tcPr>
          <w:p w14:paraId="2EAB3ECC" w14:textId="77777777" w:rsidR="00E32CCF" w:rsidRPr="00DB2303" w:rsidRDefault="00E32CCF" w:rsidP="0023662F">
            <w:pPr>
              <w:jc w:val="center"/>
              <w:rPr>
                <w:color w:val="000000"/>
                <w:sz w:val="19"/>
                <w:szCs w:val="19"/>
                <w:lang w:val="en-US"/>
              </w:rPr>
            </w:pPr>
            <w:r w:rsidRPr="00DB2303">
              <w:rPr>
                <w:color w:val="000000"/>
                <w:sz w:val="19"/>
                <w:szCs w:val="19"/>
                <w:lang w:val="en-US"/>
              </w:rPr>
              <w:t>UNDP</w:t>
            </w:r>
          </w:p>
        </w:tc>
        <w:tc>
          <w:tcPr>
            <w:tcW w:w="481" w:type="pct"/>
            <w:tcBorders>
              <w:top w:val="nil"/>
              <w:left w:val="nil"/>
              <w:bottom w:val="single" w:sz="4" w:space="0" w:color="auto"/>
              <w:right w:val="single" w:sz="4" w:space="0" w:color="auto"/>
            </w:tcBorders>
            <w:shd w:val="clear" w:color="auto" w:fill="auto"/>
            <w:noWrap/>
            <w:hideMark/>
          </w:tcPr>
          <w:p w14:paraId="7A94F252" w14:textId="77777777" w:rsidR="00E32CCF" w:rsidRPr="00DB2303" w:rsidRDefault="00E32CCF" w:rsidP="0023662F">
            <w:pPr>
              <w:jc w:val="right"/>
              <w:rPr>
                <w:color w:val="000000"/>
                <w:sz w:val="19"/>
                <w:szCs w:val="19"/>
                <w:lang w:val="en-US"/>
              </w:rPr>
            </w:pPr>
          </w:p>
        </w:tc>
        <w:tc>
          <w:tcPr>
            <w:tcW w:w="482" w:type="pct"/>
            <w:tcBorders>
              <w:top w:val="nil"/>
              <w:left w:val="nil"/>
              <w:bottom w:val="single" w:sz="4" w:space="0" w:color="auto"/>
              <w:right w:val="single" w:sz="4" w:space="0" w:color="auto"/>
            </w:tcBorders>
            <w:shd w:val="clear" w:color="auto" w:fill="auto"/>
            <w:noWrap/>
            <w:hideMark/>
          </w:tcPr>
          <w:p w14:paraId="3F21284E" w14:textId="77777777" w:rsidR="00E32CCF" w:rsidRPr="00DB2303" w:rsidRDefault="00E32CCF" w:rsidP="0023662F">
            <w:pPr>
              <w:jc w:val="right"/>
              <w:rPr>
                <w:color w:val="000000"/>
                <w:sz w:val="19"/>
                <w:szCs w:val="19"/>
                <w:lang w:val="en-US"/>
              </w:rPr>
            </w:pPr>
          </w:p>
        </w:tc>
        <w:tc>
          <w:tcPr>
            <w:tcW w:w="526" w:type="pct"/>
            <w:tcBorders>
              <w:top w:val="nil"/>
              <w:left w:val="nil"/>
              <w:bottom w:val="single" w:sz="4" w:space="0" w:color="auto"/>
              <w:right w:val="single" w:sz="4" w:space="0" w:color="auto"/>
            </w:tcBorders>
            <w:shd w:val="clear" w:color="auto" w:fill="auto"/>
            <w:noWrap/>
            <w:hideMark/>
          </w:tcPr>
          <w:p w14:paraId="7613FD31" w14:textId="77777777" w:rsidR="00E32CCF" w:rsidRPr="00DB2303" w:rsidRDefault="00E32CCF" w:rsidP="0023662F">
            <w:pPr>
              <w:jc w:val="right"/>
              <w:rPr>
                <w:color w:val="000000"/>
                <w:sz w:val="19"/>
                <w:szCs w:val="19"/>
                <w:lang w:val="en-US"/>
              </w:rPr>
            </w:pPr>
            <w:r w:rsidRPr="00DB2303">
              <w:rPr>
                <w:color w:val="000000"/>
                <w:sz w:val="19"/>
                <w:szCs w:val="19"/>
                <w:lang w:val="en-US"/>
              </w:rPr>
              <w:t>125,000</w:t>
            </w:r>
          </w:p>
        </w:tc>
      </w:tr>
      <w:tr w:rsidR="00E32CCF" w:rsidRPr="00DB2303" w14:paraId="41CA3255" w14:textId="77777777" w:rsidTr="00D0229B">
        <w:trPr>
          <w:trHeight w:val="74"/>
        </w:trPr>
        <w:tc>
          <w:tcPr>
            <w:tcW w:w="35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9139F9" w14:textId="77777777" w:rsidR="00E32CCF" w:rsidRPr="00DB2303" w:rsidRDefault="00E32CCF" w:rsidP="0023662F">
            <w:pPr>
              <w:jc w:val="left"/>
              <w:rPr>
                <w:b/>
                <w:bCs/>
                <w:color w:val="000000"/>
                <w:sz w:val="19"/>
                <w:szCs w:val="19"/>
                <w:lang w:val="en-US"/>
              </w:rPr>
            </w:pPr>
            <w:r w:rsidRPr="00DB2303">
              <w:rPr>
                <w:b/>
                <w:bCs/>
                <w:color w:val="000000"/>
                <w:sz w:val="19"/>
                <w:szCs w:val="19"/>
                <w:lang w:val="en-US"/>
              </w:rPr>
              <w:t>Total</w:t>
            </w:r>
          </w:p>
        </w:tc>
        <w:tc>
          <w:tcPr>
            <w:tcW w:w="481" w:type="pct"/>
            <w:tcBorders>
              <w:top w:val="nil"/>
              <w:left w:val="nil"/>
              <w:bottom w:val="single" w:sz="4" w:space="0" w:color="auto"/>
              <w:right w:val="single" w:sz="4" w:space="0" w:color="auto"/>
            </w:tcBorders>
            <w:shd w:val="clear" w:color="auto" w:fill="auto"/>
            <w:noWrap/>
            <w:hideMark/>
          </w:tcPr>
          <w:p w14:paraId="4E69C585" w14:textId="77777777" w:rsidR="00E32CCF" w:rsidRPr="00DB2303" w:rsidRDefault="00E32CCF" w:rsidP="0023662F">
            <w:pPr>
              <w:jc w:val="right"/>
              <w:rPr>
                <w:b/>
                <w:bCs/>
                <w:color w:val="000000"/>
                <w:sz w:val="19"/>
                <w:szCs w:val="19"/>
                <w:lang w:val="en-US"/>
              </w:rPr>
            </w:pPr>
            <w:r w:rsidRPr="00DB2303">
              <w:rPr>
                <w:b/>
                <w:bCs/>
                <w:color w:val="000000"/>
                <w:sz w:val="19"/>
                <w:szCs w:val="19"/>
                <w:lang w:val="en-US"/>
              </w:rPr>
              <w:t>261.82</w:t>
            </w:r>
          </w:p>
        </w:tc>
        <w:tc>
          <w:tcPr>
            <w:tcW w:w="482" w:type="pct"/>
            <w:tcBorders>
              <w:top w:val="nil"/>
              <w:left w:val="nil"/>
              <w:bottom w:val="single" w:sz="4" w:space="0" w:color="auto"/>
              <w:right w:val="single" w:sz="4" w:space="0" w:color="auto"/>
            </w:tcBorders>
            <w:shd w:val="clear" w:color="auto" w:fill="auto"/>
            <w:noWrap/>
            <w:hideMark/>
          </w:tcPr>
          <w:p w14:paraId="4ACB64C5" w14:textId="77777777" w:rsidR="00E32CCF" w:rsidRPr="00DB2303" w:rsidRDefault="00E32CCF" w:rsidP="0023662F">
            <w:pPr>
              <w:jc w:val="right"/>
              <w:rPr>
                <w:b/>
                <w:bCs/>
                <w:color w:val="000000"/>
                <w:sz w:val="19"/>
                <w:szCs w:val="19"/>
                <w:lang w:val="en-US"/>
              </w:rPr>
            </w:pPr>
            <w:r w:rsidRPr="00DB2303">
              <w:rPr>
                <w:b/>
                <w:bCs/>
                <w:color w:val="000000"/>
                <w:sz w:val="19"/>
                <w:szCs w:val="19"/>
                <w:lang w:val="en-US"/>
              </w:rPr>
              <w:t>14.40</w:t>
            </w:r>
          </w:p>
        </w:tc>
        <w:tc>
          <w:tcPr>
            <w:tcW w:w="526" w:type="pct"/>
            <w:tcBorders>
              <w:top w:val="nil"/>
              <w:left w:val="nil"/>
              <w:bottom w:val="single" w:sz="4" w:space="0" w:color="auto"/>
              <w:right w:val="single" w:sz="4" w:space="0" w:color="auto"/>
            </w:tcBorders>
            <w:shd w:val="clear" w:color="auto" w:fill="auto"/>
            <w:noWrap/>
            <w:hideMark/>
          </w:tcPr>
          <w:p w14:paraId="77E5B128" w14:textId="77777777" w:rsidR="00E32CCF" w:rsidRPr="00DB2303" w:rsidRDefault="00E32CCF" w:rsidP="0023662F">
            <w:pPr>
              <w:jc w:val="right"/>
              <w:rPr>
                <w:b/>
                <w:bCs/>
                <w:color w:val="000000"/>
                <w:sz w:val="19"/>
                <w:szCs w:val="19"/>
                <w:lang w:val="en-US"/>
              </w:rPr>
            </w:pPr>
            <w:r w:rsidRPr="00DB2303">
              <w:rPr>
                <w:b/>
                <w:bCs/>
                <w:color w:val="000000"/>
                <w:sz w:val="19"/>
                <w:szCs w:val="19"/>
                <w:lang w:val="en-US"/>
              </w:rPr>
              <w:t>1,375,000</w:t>
            </w:r>
          </w:p>
        </w:tc>
      </w:tr>
    </w:tbl>
    <w:p w14:paraId="04F9C8D0" w14:textId="77777777" w:rsidR="00C355C5" w:rsidRPr="00DB2303" w:rsidRDefault="00C355C5" w:rsidP="0023662F">
      <w:pPr>
        <w:rPr>
          <w:rFonts w:eastAsia="SimSun"/>
          <w:lang w:eastAsia="zh-CN"/>
        </w:rPr>
      </w:pPr>
    </w:p>
    <w:p w14:paraId="7D99968C" w14:textId="77777777" w:rsidR="00C355C5" w:rsidRPr="00DB2303" w:rsidRDefault="00C355C5" w:rsidP="0023662F">
      <w:pPr>
        <w:pStyle w:val="Heading1"/>
        <w:rPr>
          <w:lang w:val="en-CA"/>
        </w:rPr>
      </w:pPr>
      <w:r w:rsidRPr="00DB2303">
        <w:rPr>
          <w:lang w:val="en-CA"/>
        </w:rPr>
        <w:t>With the approval of stage II of the HPMP, Peru will phase out 14.40</w:t>
      </w:r>
      <w:r w:rsidR="008C2783">
        <w:rPr>
          <w:lang w:val="en-CA"/>
        </w:rPr>
        <w:t> ODP ton</w:t>
      </w:r>
      <w:r w:rsidRPr="00DB2303">
        <w:rPr>
          <w:lang w:val="en-CA"/>
        </w:rPr>
        <w:t>nes of HCFC-22 used in the refrigeration servicing sector and the Government commits to reducing HCFC consumption by 67.5 per cent of the baseline by 1 January 2025.</w:t>
      </w:r>
    </w:p>
    <w:p w14:paraId="0831618A" w14:textId="77777777" w:rsidR="00733A76" w:rsidRPr="00DB2303" w:rsidRDefault="00733A76" w:rsidP="00733A76">
      <w:pPr>
        <w:pStyle w:val="Heading1"/>
        <w:numPr>
          <w:ilvl w:val="0"/>
          <w:numId w:val="0"/>
        </w:numPr>
        <w:rPr>
          <w:rFonts w:eastAsia="SimSun"/>
          <w:i/>
          <w:lang w:eastAsia="zh-CN"/>
        </w:rPr>
      </w:pPr>
      <w:r w:rsidRPr="00DB2303">
        <w:rPr>
          <w:rFonts w:eastAsia="SimSun"/>
          <w:i/>
          <w:lang w:eastAsia="zh-CN"/>
        </w:rPr>
        <w:t>Tranche distribution</w:t>
      </w:r>
    </w:p>
    <w:p w14:paraId="6977952A" w14:textId="77777777" w:rsidR="00733A76" w:rsidRPr="00013852" w:rsidRDefault="00733A76" w:rsidP="00733A76">
      <w:pPr>
        <w:pStyle w:val="Heading1"/>
        <w:rPr>
          <w:rFonts w:eastAsia="SimSun"/>
          <w:lang w:eastAsia="zh-CN"/>
        </w:rPr>
      </w:pPr>
      <w:r w:rsidRPr="00DB2303">
        <w:rPr>
          <w:rFonts w:eastAsia="SimSun"/>
          <w:lang w:eastAsia="zh-CN"/>
        </w:rPr>
        <w:t xml:space="preserve">Stage II only included three </w:t>
      </w:r>
      <w:r>
        <w:rPr>
          <w:rFonts w:eastAsia="SimSun"/>
          <w:lang w:eastAsia="zh-CN"/>
        </w:rPr>
        <w:t xml:space="preserve">funding </w:t>
      </w:r>
      <w:r w:rsidRPr="00DB2303">
        <w:rPr>
          <w:rFonts w:eastAsia="SimSun"/>
          <w:lang w:eastAsia="zh-CN"/>
        </w:rPr>
        <w:t>tranches</w:t>
      </w:r>
      <w:r>
        <w:rPr>
          <w:rFonts w:eastAsia="SimSun"/>
          <w:lang w:eastAsia="zh-CN"/>
        </w:rPr>
        <w:t xml:space="preserve"> for</w:t>
      </w:r>
      <w:r w:rsidRPr="00DB2303">
        <w:rPr>
          <w:rFonts w:eastAsia="SimSun"/>
          <w:lang w:eastAsia="zh-CN"/>
        </w:rPr>
        <w:t xml:space="preserve"> 50 per cent</w:t>
      </w:r>
      <w:r>
        <w:rPr>
          <w:rFonts w:eastAsia="SimSun"/>
          <w:lang w:eastAsia="zh-CN"/>
        </w:rPr>
        <w:t xml:space="preserve">, </w:t>
      </w:r>
      <w:r w:rsidRPr="00DB2303">
        <w:rPr>
          <w:rFonts w:eastAsia="SimSun"/>
          <w:lang w:eastAsia="zh-CN"/>
        </w:rPr>
        <w:t>40 per cent</w:t>
      </w:r>
      <w:r>
        <w:rPr>
          <w:rFonts w:eastAsia="SimSun"/>
          <w:lang w:eastAsia="zh-CN"/>
        </w:rPr>
        <w:t xml:space="preserve"> and </w:t>
      </w:r>
      <w:r w:rsidRPr="00DB2303">
        <w:rPr>
          <w:rFonts w:eastAsia="SimSun"/>
          <w:lang w:eastAsia="zh-CN"/>
        </w:rPr>
        <w:t xml:space="preserve">10 per cent with 90 per cent of the funds released by 2020 and the last tranche in 2023. Upon discussion, </w:t>
      </w:r>
      <w:r>
        <w:rPr>
          <w:rFonts w:eastAsia="SimSun"/>
          <w:lang w:eastAsia="zh-CN"/>
        </w:rPr>
        <w:t xml:space="preserve">it was </w:t>
      </w:r>
      <w:r w:rsidRPr="00DB2303">
        <w:rPr>
          <w:rFonts w:eastAsia="SimSun"/>
          <w:lang w:eastAsia="zh-CN"/>
        </w:rPr>
        <w:t>agreed</w:t>
      </w:r>
      <w:r>
        <w:rPr>
          <w:rFonts w:eastAsia="SimSun"/>
          <w:lang w:eastAsia="zh-CN"/>
        </w:rPr>
        <w:t xml:space="preserve"> to have four tranches of: </w:t>
      </w:r>
      <w:r w:rsidRPr="00DB2303">
        <w:rPr>
          <w:rFonts w:eastAsia="SimSun"/>
          <w:lang w:eastAsia="zh-CN"/>
        </w:rPr>
        <w:t>30 per cent</w:t>
      </w:r>
      <w:r>
        <w:rPr>
          <w:rFonts w:eastAsia="SimSun"/>
          <w:lang w:eastAsia="zh-CN"/>
        </w:rPr>
        <w:t xml:space="preserve">, </w:t>
      </w:r>
      <w:r w:rsidRPr="00DB2303">
        <w:rPr>
          <w:rFonts w:eastAsia="SimSun"/>
          <w:lang w:eastAsia="zh-CN"/>
        </w:rPr>
        <w:t>30 per cent</w:t>
      </w:r>
      <w:r>
        <w:rPr>
          <w:rFonts w:eastAsia="SimSun"/>
          <w:lang w:eastAsia="zh-CN"/>
        </w:rPr>
        <w:t xml:space="preserve">, </w:t>
      </w:r>
      <w:r w:rsidRPr="00DB2303">
        <w:rPr>
          <w:rFonts w:eastAsia="SimSun"/>
          <w:lang w:eastAsia="zh-CN"/>
        </w:rPr>
        <w:t>30 per cent</w:t>
      </w:r>
      <w:r>
        <w:rPr>
          <w:rFonts w:eastAsia="SimSun"/>
          <w:lang w:eastAsia="zh-CN"/>
        </w:rPr>
        <w:t xml:space="preserve"> and </w:t>
      </w:r>
      <w:r w:rsidRPr="00DB2303">
        <w:rPr>
          <w:rFonts w:eastAsia="SimSun"/>
          <w:lang w:eastAsia="zh-CN"/>
        </w:rPr>
        <w:t>10 per cent</w:t>
      </w:r>
      <w:r>
        <w:rPr>
          <w:rFonts w:eastAsia="SimSun"/>
          <w:lang w:eastAsia="zh-CN"/>
        </w:rPr>
        <w:t xml:space="preserve">, with </w:t>
      </w:r>
      <w:r w:rsidRPr="00013852">
        <w:rPr>
          <w:rFonts w:eastAsia="SimSun"/>
          <w:lang w:eastAsia="zh-CN"/>
        </w:rPr>
        <w:t>the last tranche in 2025.</w:t>
      </w:r>
    </w:p>
    <w:p w14:paraId="2BA268A4" w14:textId="314D3547" w:rsidR="00733A76" w:rsidRPr="00013852" w:rsidRDefault="00733A76" w:rsidP="00733A76">
      <w:pPr>
        <w:rPr>
          <w:rFonts w:eastAsia="SimSun"/>
          <w:i/>
          <w:lang w:eastAsia="zh-CN"/>
        </w:rPr>
      </w:pPr>
      <w:r w:rsidRPr="00013852">
        <w:rPr>
          <w:rFonts w:eastAsia="SimSun"/>
          <w:i/>
          <w:lang w:eastAsia="zh-CN"/>
        </w:rPr>
        <w:t xml:space="preserve">Revised </w:t>
      </w:r>
      <w:r w:rsidR="00A640D4" w:rsidRPr="00013852">
        <w:rPr>
          <w:rFonts w:eastAsia="SimSun"/>
          <w:i/>
          <w:lang w:eastAsia="zh-CN"/>
        </w:rPr>
        <w:t xml:space="preserve">outputs for the </w:t>
      </w:r>
      <w:r w:rsidRPr="00013852">
        <w:rPr>
          <w:rFonts w:eastAsia="SimSun"/>
          <w:i/>
          <w:lang w:eastAsia="zh-CN"/>
        </w:rPr>
        <w:t>first tranche</w:t>
      </w:r>
    </w:p>
    <w:p w14:paraId="10952323" w14:textId="77777777" w:rsidR="00733A76" w:rsidRPr="00013852" w:rsidRDefault="00733A76" w:rsidP="00733A76">
      <w:pPr>
        <w:rPr>
          <w:rFonts w:eastAsia="SimSun"/>
          <w:lang w:eastAsia="zh-CN"/>
        </w:rPr>
      </w:pPr>
      <w:r w:rsidRPr="00013852">
        <w:rPr>
          <w:rFonts w:eastAsia="SimSun"/>
          <w:lang w:eastAsia="zh-CN"/>
        </w:rPr>
        <w:t xml:space="preserve"> </w:t>
      </w:r>
    </w:p>
    <w:p w14:paraId="4471BB19" w14:textId="2B9A04DE" w:rsidR="00F07C89" w:rsidRPr="00013852" w:rsidRDefault="00F07C89" w:rsidP="0023662F">
      <w:pPr>
        <w:pStyle w:val="Heading1"/>
        <w:rPr>
          <w:rFonts w:eastAsia="SimSun"/>
          <w:lang w:eastAsia="zh-CN"/>
        </w:rPr>
      </w:pPr>
      <w:r w:rsidRPr="00013852">
        <w:rPr>
          <w:rFonts w:eastAsia="SimSun"/>
          <w:lang w:eastAsia="zh-CN"/>
        </w:rPr>
        <w:t>Based on the</w:t>
      </w:r>
      <w:r w:rsidR="00733A76" w:rsidRPr="00013852">
        <w:rPr>
          <w:rFonts w:eastAsia="SimSun"/>
          <w:lang w:eastAsia="zh-CN"/>
        </w:rPr>
        <w:t xml:space="preserve"> new tranche distribution and </w:t>
      </w:r>
      <w:r w:rsidRPr="00013852">
        <w:rPr>
          <w:rFonts w:eastAsia="SimSun"/>
          <w:lang w:eastAsia="zh-CN"/>
        </w:rPr>
        <w:t>the experience gained during the implementation of s</w:t>
      </w:r>
      <w:r w:rsidR="00682B63" w:rsidRPr="00013852">
        <w:rPr>
          <w:rFonts w:eastAsia="SimSun"/>
          <w:lang w:eastAsia="zh-CN"/>
        </w:rPr>
        <w:t>tage I</w:t>
      </w:r>
      <w:r w:rsidRPr="00013852">
        <w:rPr>
          <w:rFonts w:eastAsia="SimSun"/>
          <w:lang w:eastAsia="zh-CN"/>
        </w:rPr>
        <w:t xml:space="preserve">  of the HPMP, UNDP </w:t>
      </w:r>
      <w:r w:rsidR="00733A76" w:rsidRPr="00013852">
        <w:rPr>
          <w:rFonts w:eastAsia="SimSun"/>
          <w:lang w:eastAsia="zh-CN"/>
        </w:rPr>
        <w:t xml:space="preserve">revised the plan of action for the first tranche and proposed concrete </w:t>
      </w:r>
      <w:r w:rsidRPr="00013852">
        <w:rPr>
          <w:rFonts w:eastAsia="SimSun"/>
          <w:lang w:eastAsia="zh-CN"/>
        </w:rPr>
        <w:t xml:space="preserve">outputs. The </w:t>
      </w:r>
      <w:r w:rsidR="00733A76" w:rsidRPr="00013852">
        <w:rPr>
          <w:rFonts w:eastAsia="SimSun"/>
          <w:lang w:eastAsia="zh-CN"/>
        </w:rPr>
        <w:t xml:space="preserve">Secretariat agreed that this was a good way to measure progress achieved </w:t>
      </w:r>
      <w:r w:rsidR="00CE7E8C" w:rsidRPr="00013852">
        <w:rPr>
          <w:rFonts w:eastAsia="SimSun"/>
          <w:lang w:eastAsia="zh-CN"/>
        </w:rPr>
        <w:t xml:space="preserve">at the time of </w:t>
      </w:r>
      <w:r w:rsidR="00A640D4" w:rsidRPr="00013852">
        <w:rPr>
          <w:rFonts w:eastAsia="SimSun"/>
          <w:lang w:eastAsia="zh-CN"/>
        </w:rPr>
        <w:t xml:space="preserve">reviewing </w:t>
      </w:r>
      <w:r w:rsidR="00CE7E8C" w:rsidRPr="00013852">
        <w:rPr>
          <w:rFonts w:eastAsia="SimSun"/>
          <w:lang w:eastAsia="zh-CN"/>
        </w:rPr>
        <w:t>the next tranche</w:t>
      </w:r>
      <w:r w:rsidR="00A640D4" w:rsidRPr="00013852">
        <w:rPr>
          <w:rFonts w:eastAsia="SimSun"/>
          <w:lang w:eastAsia="zh-CN"/>
        </w:rPr>
        <w:t xml:space="preserve"> request</w:t>
      </w:r>
      <w:r w:rsidR="00CE7E8C" w:rsidRPr="00013852">
        <w:rPr>
          <w:rFonts w:eastAsia="SimSun"/>
          <w:lang w:eastAsia="zh-CN"/>
        </w:rPr>
        <w:t xml:space="preserve">, as </w:t>
      </w:r>
      <w:r w:rsidR="00733A76" w:rsidRPr="00013852">
        <w:rPr>
          <w:rFonts w:eastAsia="SimSun"/>
          <w:lang w:eastAsia="zh-CN"/>
        </w:rPr>
        <w:lastRenderedPageBreak/>
        <w:t xml:space="preserve">it </w:t>
      </w:r>
      <w:r w:rsidR="00A640D4" w:rsidRPr="00013852">
        <w:rPr>
          <w:rFonts w:eastAsia="SimSun"/>
          <w:lang w:eastAsia="zh-CN"/>
        </w:rPr>
        <w:t>has been</w:t>
      </w:r>
      <w:r w:rsidR="00733A76" w:rsidRPr="00013852">
        <w:rPr>
          <w:rFonts w:eastAsia="SimSun"/>
          <w:lang w:eastAsia="zh-CN"/>
        </w:rPr>
        <w:t xml:space="preserve"> done during stage I. </w:t>
      </w:r>
      <w:r w:rsidRPr="00013852">
        <w:rPr>
          <w:rFonts w:eastAsia="SimSun"/>
          <w:lang w:eastAsia="zh-CN"/>
        </w:rPr>
        <w:t xml:space="preserve">Additional outputs will be proposed with each tranche request. </w:t>
      </w:r>
      <w:r w:rsidR="00CE7E8C" w:rsidRPr="00013852">
        <w:rPr>
          <w:rFonts w:eastAsia="SimSun"/>
          <w:lang w:eastAsia="zh-CN"/>
        </w:rPr>
        <w:t>The o</w:t>
      </w:r>
      <w:r w:rsidRPr="00013852">
        <w:rPr>
          <w:rFonts w:eastAsia="SimSun"/>
          <w:lang w:eastAsia="zh-CN"/>
        </w:rPr>
        <w:t>utputs proposed for the first tranche are listed below:</w:t>
      </w:r>
    </w:p>
    <w:p w14:paraId="5A238F90" w14:textId="4FC91596" w:rsidR="00F07C89" w:rsidRPr="00013852" w:rsidRDefault="00F07C89" w:rsidP="0023662F">
      <w:pPr>
        <w:pStyle w:val="Heading2"/>
      </w:pPr>
      <w:r w:rsidRPr="00013852">
        <w:rPr>
          <w:i/>
          <w:lang w:val="en-CA"/>
        </w:rPr>
        <w:t>Strengthening the legal and institutional sectors:</w:t>
      </w:r>
      <w:r w:rsidR="00CE7E8C" w:rsidRPr="00013852">
        <w:rPr>
          <w:lang w:val="en-CA"/>
        </w:rPr>
        <w:t xml:space="preserve"> </w:t>
      </w:r>
      <w:r w:rsidR="00013852" w:rsidRPr="00013852">
        <w:rPr>
          <w:lang w:val="en-CA"/>
        </w:rPr>
        <w:t>R</w:t>
      </w:r>
      <w:r w:rsidR="00CE7E8C" w:rsidRPr="00013852">
        <w:rPr>
          <w:lang w:val="en-CA"/>
        </w:rPr>
        <w:t>eviewing customs procedures;</w:t>
      </w:r>
      <w:r w:rsidRPr="00013852">
        <w:rPr>
          <w:lang w:val="en-CA"/>
        </w:rPr>
        <w:t xml:space="preserve"> implementing the </w:t>
      </w:r>
      <w:r w:rsidR="00CE7E8C" w:rsidRPr="00013852">
        <w:rPr>
          <w:lang w:val="en-CA"/>
        </w:rPr>
        <w:t xml:space="preserve">quota system to import HCFC; holding two </w:t>
      </w:r>
      <w:r w:rsidRPr="00013852">
        <w:rPr>
          <w:lang w:val="en-CA"/>
        </w:rPr>
        <w:t xml:space="preserve">training workshops for </w:t>
      </w:r>
      <w:r w:rsidR="00CE7E8C" w:rsidRPr="00013852">
        <w:rPr>
          <w:lang w:val="en-CA"/>
        </w:rPr>
        <w:t>80</w:t>
      </w:r>
      <w:r w:rsidR="00013852" w:rsidRPr="00013852">
        <w:rPr>
          <w:lang w:val="en-CA"/>
        </w:rPr>
        <w:t> </w:t>
      </w:r>
      <w:r w:rsidRPr="00013852">
        <w:rPr>
          <w:lang w:val="en-CA"/>
        </w:rPr>
        <w:t>custom officers</w:t>
      </w:r>
      <w:r w:rsidR="00013852" w:rsidRPr="00013852">
        <w:rPr>
          <w:lang w:val="en-CA"/>
        </w:rPr>
        <w:t>;</w:t>
      </w:r>
      <w:r w:rsidRPr="00013852">
        <w:rPr>
          <w:lang w:val="en-CA"/>
        </w:rPr>
        <w:t xml:space="preserve"> visiting </w:t>
      </w:r>
      <w:r w:rsidR="00CE7E8C" w:rsidRPr="00013852">
        <w:rPr>
          <w:lang w:val="en-CA"/>
        </w:rPr>
        <w:t xml:space="preserve">the institutions in charge of the technicians </w:t>
      </w:r>
      <w:r w:rsidRPr="00013852">
        <w:rPr>
          <w:lang w:val="en-CA"/>
        </w:rPr>
        <w:t xml:space="preserve">certification </w:t>
      </w:r>
      <w:r w:rsidR="00CE7E8C" w:rsidRPr="00013852">
        <w:rPr>
          <w:lang w:val="en-CA"/>
        </w:rPr>
        <w:t xml:space="preserve">scheme in one country from </w:t>
      </w:r>
      <w:r w:rsidRPr="00013852">
        <w:rPr>
          <w:lang w:val="en-CA"/>
        </w:rPr>
        <w:t>the region</w:t>
      </w:r>
      <w:r w:rsidR="00013852" w:rsidRPr="00013852">
        <w:rPr>
          <w:lang w:val="en-CA"/>
        </w:rPr>
        <w:t>;</w:t>
      </w:r>
      <w:r w:rsidRPr="00013852">
        <w:rPr>
          <w:lang w:val="en-CA"/>
        </w:rPr>
        <w:t xml:space="preserve"> conducting an awareness campaign on the certification proces</w:t>
      </w:r>
      <w:r w:rsidR="00CE7E8C" w:rsidRPr="00013852">
        <w:rPr>
          <w:lang w:val="en-CA"/>
        </w:rPr>
        <w:t>s</w:t>
      </w:r>
      <w:r w:rsidR="00013852" w:rsidRPr="00013852">
        <w:rPr>
          <w:lang w:val="en-CA"/>
        </w:rPr>
        <w:t>;</w:t>
      </w:r>
      <w:r w:rsidR="00CE7E8C" w:rsidRPr="00013852">
        <w:rPr>
          <w:lang w:val="en-CA"/>
        </w:rPr>
        <w:t xml:space="preserve"> and developing a first draft of a technical standard on </w:t>
      </w:r>
      <w:r w:rsidR="007D5608" w:rsidRPr="00013852">
        <w:rPr>
          <w:lang w:val="en-CA"/>
        </w:rPr>
        <w:t>the safe use of flammable refrigerants;</w:t>
      </w:r>
    </w:p>
    <w:p w14:paraId="21476D38" w14:textId="7C5A2B05" w:rsidR="00F07C89" w:rsidRPr="00013852" w:rsidRDefault="00F07C89" w:rsidP="00C85260">
      <w:pPr>
        <w:pStyle w:val="Heading2"/>
        <w:rPr>
          <w:lang w:val="en-CA"/>
        </w:rPr>
      </w:pPr>
      <w:r w:rsidRPr="00013852">
        <w:rPr>
          <w:i/>
          <w:lang w:val="en-CA"/>
        </w:rPr>
        <w:t xml:space="preserve">RAC servicing sector: </w:t>
      </w:r>
      <w:r w:rsidR="00013852" w:rsidRPr="00013852">
        <w:rPr>
          <w:lang w:val="en-CA"/>
        </w:rPr>
        <w:t>P</w:t>
      </w:r>
      <w:r w:rsidRPr="00013852">
        <w:rPr>
          <w:lang w:val="en-CA"/>
        </w:rPr>
        <w:t xml:space="preserve">rocuring </w:t>
      </w:r>
      <w:r w:rsidR="00A81BB8" w:rsidRPr="00013852">
        <w:rPr>
          <w:lang w:val="en-CA"/>
        </w:rPr>
        <w:t xml:space="preserve">equipment for the </w:t>
      </w:r>
      <w:r w:rsidRPr="00013852">
        <w:rPr>
          <w:lang w:val="en-CA"/>
        </w:rPr>
        <w:t xml:space="preserve">five </w:t>
      </w:r>
      <w:r w:rsidR="00A81BB8" w:rsidRPr="00013852">
        <w:rPr>
          <w:lang w:val="en-CA"/>
        </w:rPr>
        <w:t>recovery and recycling centres</w:t>
      </w:r>
      <w:r w:rsidRPr="00013852">
        <w:rPr>
          <w:lang w:val="en-CA"/>
        </w:rPr>
        <w:t>,</w:t>
      </w:r>
      <w:r w:rsidR="00A81BB8" w:rsidRPr="00013852">
        <w:rPr>
          <w:lang w:val="en-CA"/>
        </w:rPr>
        <w:t xml:space="preserve"> </w:t>
      </w:r>
      <w:r w:rsidR="00E03E51" w:rsidRPr="00013852">
        <w:rPr>
          <w:lang w:val="en-CA"/>
        </w:rPr>
        <w:t xml:space="preserve">holding </w:t>
      </w:r>
      <w:r w:rsidR="008F7234" w:rsidRPr="00013852">
        <w:rPr>
          <w:lang w:val="en-CA"/>
        </w:rPr>
        <w:t xml:space="preserve">first train-the-trainers and </w:t>
      </w:r>
      <w:r w:rsidR="00A81BB8" w:rsidRPr="00013852">
        <w:rPr>
          <w:lang w:val="en-CA"/>
        </w:rPr>
        <w:t xml:space="preserve">first four workshops </w:t>
      </w:r>
      <w:r w:rsidR="008F7234" w:rsidRPr="00013852">
        <w:rPr>
          <w:lang w:val="en-CA"/>
        </w:rPr>
        <w:t xml:space="preserve">on RRR (approximately 100 technicians); visiting one regional RRR network; procuring 35 tool-kits for safe handling of HC; </w:t>
      </w:r>
      <w:r w:rsidR="00E03E51" w:rsidRPr="00013852">
        <w:rPr>
          <w:lang w:val="en-CA"/>
        </w:rPr>
        <w:t xml:space="preserve">holding </w:t>
      </w:r>
      <w:r w:rsidR="008F7234" w:rsidRPr="00013852">
        <w:rPr>
          <w:lang w:val="en-CA"/>
        </w:rPr>
        <w:t xml:space="preserve">first two workshops (approximately 80 technicians) in good refrigeration practices and proper handling of HC refrigerants; </w:t>
      </w:r>
      <w:r w:rsidR="00E03E51" w:rsidRPr="00013852">
        <w:rPr>
          <w:lang w:val="en-CA"/>
        </w:rPr>
        <w:t xml:space="preserve">preparing </w:t>
      </w:r>
      <w:r w:rsidR="008F7234" w:rsidRPr="00013852">
        <w:rPr>
          <w:lang w:val="en-CA"/>
        </w:rPr>
        <w:t>t</w:t>
      </w:r>
      <w:r w:rsidR="00A81BB8" w:rsidRPr="00013852">
        <w:rPr>
          <w:lang w:val="en-CA"/>
        </w:rPr>
        <w:t>echnical specifications of</w:t>
      </w:r>
      <w:r w:rsidR="00E03E51" w:rsidRPr="00013852">
        <w:rPr>
          <w:lang w:val="en-CA"/>
        </w:rPr>
        <w:t xml:space="preserve"> equipment for training institutes; </w:t>
      </w:r>
      <w:r w:rsidRPr="00013852">
        <w:rPr>
          <w:lang w:val="en-CA"/>
        </w:rPr>
        <w:t>and identify</w:t>
      </w:r>
      <w:r w:rsidR="001723F4" w:rsidRPr="00013852">
        <w:rPr>
          <w:lang w:val="en-CA"/>
        </w:rPr>
        <w:t>ing</w:t>
      </w:r>
      <w:r w:rsidR="00DC68B8" w:rsidRPr="00013852">
        <w:rPr>
          <w:lang w:val="en-CA"/>
        </w:rPr>
        <w:t xml:space="preserve"> potential </w:t>
      </w:r>
      <w:r w:rsidRPr="00013852">
        <w:rPr>
          <w:lang w:val="en-CA"/>
        </w:rPr>
        <w:t xml:space="preserve">end-users for </w:t>
      </w:r>
      <w:r w:rsidR="001723F4" w:rsidRPr="00013852">
        <w:rPr>
          <w:lang w:val="en-CA"/>
        </w:rPr>
        <w:t>a</w:t>
      </w:r>
      <w:r w:rsidRPr="00013852">
        <w:rPr>
          <w:lang w:val="en-CA"/>
        </w:rPr>
        <w:t xml:space="preserve"> pilot on the installation of alternative refrigeration systems operating with low</w:t>
      </w:r>
      <w:r w:rsidRPr="00013852">
        <w:rPr>
          <w:lang w:val="en-CA"/>
        </w:rPr>
        <w:noBreakHyphen/>
        <w:t xml:space="preserve">GWP alternatives, including their counterparts and possible co-financing strategies; </w:t>
      </w:r>
    </w:p>
    <w:p w14:paraId="4C35B205" w14:textId="77777777" w:rsidR="00F07C89" w:rsidRPr="00944A77" w:rsidRDefault="00F07C89" w:rsidP="0023662F">
      <w:pPr>
        <w:pStyle w:val="Heading2"/>
      </w:pPr>
      <w:r w:rsidRPr="00013852">
        <w:rPr>
          <w:i/>
          <w:lang w:val="en-CA"/>
        </w:rPr>
        <w:t xml:space="preserve">Public awareness to </w:t>
      </w:r>
      <w:r w:rsidRPr="00944A77">
        <w:rPr>
          <w:i/>
          <w:lang w:val="en-CA"/>
        </w:rPr>
        <w:t>promote HCFC phase-out</w:t>
      </w:r>
      <w:r w:rsidRPr="00944A77">
        <w:rPr>
          <w:lang w:val="en-CA"/>
        </w:rPr>
        <w:t>: Assessing awareness requirements, designing awareness materials, reproducing and distributing awareness materials, and implementing awareness campaigns; and</w:t>
      </w:r>
    </w:p>
    <w:p w14:paraId="42FB37E4" w14:textId="77777777" w:rsidR="00F07C89" w:rsidRPr="00944A77" w:rsidRDefault="00F07C89" w:rsidP="0023662F">
      <w:pPr>
        <w:pStyle w:val="Heading2"/>
        <w:rPr>
          <w:lang w:val="en-CA"/>
        </w:rPr>
      </w:pPr>
      <w:r w:rsidRPr="00944A77">
        <w:rPr>
          <w:i/>
          <w:lang w:val="en-CA"/>
        </w:rPr>
        <w:t>Project coordination and management</w:t>
      </w:r>
      <w:r w:rsidRPr="00944A77">
        <w:rPr>
          <w:i/>
        </w:rPr>
        <w:t>:</w:t>
      </w:r>
      <w:r w:rsidRPr="00944A77">
        <w:t xml:space="preserve"> Hiring a project monitoring team, </w:t>
      </w:r>
      <w:r w:rsidRPr="00944A77">
        <w:rPr>
          <w:lang w:val="en-CA"/>
        </w:rPr>
        <w:t>holding three meetings with stakeholders</w:t>
      </w:r>
      <w:r w:rsidR="00CE7E8C" w:rsidRPr="00944A77">
        <w:rPr>
          <w:lang w:val="en-CA"/>
        </w:rPr>
        <w:t>, producing relevant reports</w:t>
      </w:r>
      <w:r w:rsidRPr="00944A77">
        <w:t xml:space="preserve"> and </w:t>
      </w:r>
      <w:r w:rsidR="00CE7E8C" w:rsidRPr="00944A77">
        <w:t>comissioning</w:t>
      </w:r>
      <w:r w:rsidRPr="00944A77">
        <w:t xml:space="preserve"> one verification report</w:t>
      </w:r>
      <w:r w:rsidRPr="00944A77">
        <w:rPr>
          <w:lang w:val="en-CA"/>
        </w:rPr>
        <w:t>.</w:t>
      </w:r>
    </w:p>
    <w:p w14:paraId="74C2D678" w14:textId="77777777" w:rsidR="00B42267" w:rsidRDefault="00B42267" w:rsidP="0023662F">
      <w:pPr>
        <w:rPr>
          <w:i/>
          <w:lang w:val="en-CA"/>
        </w:rPr>
      </w:pPr>
    </w:p>
    <w:p w14:paraId="3A9C0A02" w14:textId="1A70CF06" w:rsidR="00C355C5" w:rsidRPr="00DB2303" w:rsidRDefault="00C355C5" w:rsidP="0023662F">
      <w:pPr>
        <w:rPr>
          <w:i/>
          <w:lang w:val="en-CA"/>
        </w:rPr>
      </w:pPr>
      <w:r w:rsidRPr="00944A77">
        <w:rPr>
          <w:i/>
          <w:lang w:val="en-CA"/>
        </w:rPr>
        <w:t>Intermediate HCFC reductions</w:t>
      </w:r>
    </w:p>
    <w:p w14:paraId="0F38C2F3" w14:textId="77777777" w:rsidR="00C355C5" w:rsidRPr="00DB2303" w:rsidRDefault="00C355C5" w:rsidP="0023662F">
      <w:pPr>
        <w:rPr>
          <w:lang w:val="en-CA"/>
        </w:rPr>
      </w:pPr>
    </w:p>
    <w:p w14:paraId="0F9B9E0D" w14:textId="77777777" w:rsidR="00C355C5" w:rsidRPr="00DB2303" w:rsidRDefault="00C355C5" w:rsidP="0023662F">
      <w:pPr>
        <w:pStyle w:val="Heading1"/>
        <w:rPr>
          <w:rFonts w:eastAsia="SimSun"/>
          <w:lang w:eastAsia="zh-CN"/>
        </w:rPr>
      </w:pPr>
      <w:r w:rsidRPr="00DB2303">
        <w:rPr>
          <w:rFonts w:eastAsia="SimSun"/>
          <w:lang w:eastAsia="zh-CN"/>
        </w:rPr>
        <w:t>Noting</w:t>
      </w:r>
      <w:r w:rsidR="001E67E7">
        <w:rPr>
          <w:rFonts w:eastAsia="SimSun"/>
          <w:lang w:eastAsia="zh-CN"/>
        </w:rPr>
        <w:t xml:space="preserve"> </w:t>
      </w:r>
      <w:r w:rsidR="00F26E43" w:rsidRPr="00DB2303">
        <w:rPr>
          <w:rFonts w:eastAsia="SimSun"/>
          <w:lang w:eastAsia="zh-CN"/>
        </w:rPr>
        <w:t>the comprehensive set of activities planned</w:t>
      </w:r>
      <w:r w:rsidR="00F26E43">
        <w:rPr>
          <w:rFonts w:eastAsia="SimSun"/>
          <w:lang w:eastAsia="zh-CN"/>
        </w:rPr>
        <w:t xml:space="preserve"> and </w:t>
      </w:r>
      <w:r w:rsidR="001E67E7">
        <w:rPr>
          <w:rFonts w:eastAsia="SimSun"/>
          <w:lang w:eastAsia="zh-CN"/>
        </w:rPr>
        <w:t xml:space="preserve">that Peru is </w:t>
      </w:r>
      <w:r w:rsidR="00F26E43">
        <w:rPr>
          <w:rFonts w:eastAsia="SimSun"/>
          <w:lang w:eastAsia="zh-CN"/>
        </w:rPr>
        <w:t>a non-</w:t>
      </w:r>
      <w:r w:rsidR="001E67E7">
        <w:rPr>
          <w:rFonts w:eastAsia="SimSun"/>
          <w:lang w:eastAsia="zh-CN"/>
        </w:rPr>
        <w:t>low–volume consuming country</w:t>
      </w:r>
      <w:r w:rsidR="00F26E43">
        <w:rPr>
          <w:rFonts w:eastAsia="SimSun"/>
          <w:lang w:eastAsia="zh-CN"/>
        </w:rPr>
        <w:t xml:space="preserve"> with an</w:t>
      </w:r>
      <w:r w:rsidRPr="00DB2303">
        <w:rPr>
          <w:rFonts w:eastAsia="SimSun"/>
          <w:lang w:eastAsia="zh-CN"/>
        </w:rPr>
        <w:t xml:space="preserve"> ambitious plan to achieve the next HCFC reduction target (35 per cent target in 2020), as well as the 67.5 per cent reduction target in 2025, the Secretariat suggest</w:t>
      </w:r>
      <w:r w:rsidR="001E67E7">
        <w:rPr>
          <w:rFonts w:eastAsia="SimSun"/>
          <w:lang w:eastAsia="zh-CN"/>
        </w:rPr>
        <w:t>ed</w:t>
      </w:r>
      <w:r w:rsidRPr="00DB2303">
        <w:rPr>
          <w:rFonts w:eastAsia="SimSun"/>
          <w:lang w:eastAsia="zh-CN"/>
        </w:rPr>
        <w:t xml:space="preserve"> an intermediate HCFC consumption reduction between 2020 and 2025, which would reflect the progress and impact of the activities implemented. The Government of Peru indicated that </w:t>
      </w:r>
      <w:r w:rsidR="001E67E7">
        <w:rPr>
          <w:rFonts w:eastAsia="SimSun"/>
          <w:lang w:eastAsia="zh-CN"/>
        </w:rPr>
        <w:t>as</w:t>
      </w:r>
      <w:r w:rsidRPr="00DB2303">
        <w:rPr>
          <w:rFonts w:eastAsia="SimSun"/>
          <w:lang w:eastAsia="zh-CN"/>
        </w:rPr>
        <w:t xml:space="preserve"> an intermediate reduction was not mandatory </w:t>
      </w:r>
      <w:r w:rsidR="001E67E7">
        <w:rPr>
          <w:rFonts w:eastAsia="SimSun"/>
          <w:lang w:eastAsia="zh-CN"/>
        </w:rPr>
        <w:t xml:space="preserve">under the Montreal Protocol </w:t>
      </w:r>
      <w:r w:rsidRPr="00DB2303">
        <w:rPr>
          <w:rFonts w:eastAsia="SimSun"/>
          <w:lang w:eastAsia="zh-CN"/>
        </w:rPr>
        <w:t xml:space="preserve">the Government did not have the legal justification to override the demands of private enterprises that might be affected. In addition, </w:t>
      </w:r>
      <w:r w:rsidR="001E67E7">
        <w:rPr>
          <w:rFonts w:eastAsia="SimSun"/>
          <w:lang w:eastAsia="zh-CN"/>
        </w:rPr>
        <w:t xml:space="preserve">the Government </w:t>
      </w:r>
      <w:r w:rsidRPr="00DB2303">
        <w:rPr>
          <w:rFonts w:eastAsia="SimSun"/>
          <w:lang w:eastAsia="zh-CN"/>
        </w:rPr>
        <w:t xml:space="preserve">is not proposing accelerated phase-out, nor is requesting additional funding for that purpose. In 2020, the country could analyse the situation and consider lowering the </w:t>
      </w:r>
      <w:r w:rsidR="001E67E7">
        <w:rPr>
          <w:rFonts w:eastAsia="SimSun"/>
          <w:lang w:eastAsia="zh-CN"/>
        </w:rPr>
        <w:t xml:space="preserve">import </w:t>
      </w:r>
      <w:r w:rsidRPr="00DB2303">
        <w:rPr>
          <w:rFonts w:eastAsia="SimSun"/>
          <w:lang w:eastAsia="zh-CN"/>
        </w:rPr>
        <w:t>quotas</w:t>
      </w:r>
      <w:r w:rsidR="001E67E7">
        <w:rPr>
          <w:rFonts w:eastAsia="SimSun"/>
          <w:lang w:eastAsia="zh-CN"/>
        </w:rPr>
        <w:t xml:space="preserve"> of HCFCs</w:t>
      </w:r>
      <w:r w:rsidRPr="00DB2303">
        <w:rPr>
          <w:rFonts w:eastAsia="SimSun"/>
          <w:lang w:eastAsia="zh-CN"/>
        </w:rPr>
        <w:t xml:space="preserve"> at that time.</w:t>
      </w:r>
    </w:p>
    <w:p w14:paraId="600B0DEC" w14:textId="77777777" w:rsidR="00C355C5" w:rsidRPr="00DB2303" w:rsidRDefault="00C355C5" w:rsidP="0023662F">
      <w:pPr>
        <w:widowControl w:val="0"/>
        <w:spacing w:after="240"/>
        <w:rPr>
          <w:u w:val="single"/>
          <w:lang w:val="en-CA"/>
        </w:rPr>
      </w:pPr>
      <w:r w:rsidRPr="00DB2303">
        <w:rPr>
          <w:u w:val="single"/>
          <w:lang w:val="en-CA"/>
        </w:rPr>
        <w:t>Impact on the climate</w:t>
      </w:r>
    </w:p>
    <w:p w14:paraId="2321EF3A" w14:textId="77777777" w:rsidR="00C355C5" w:rsidRPr="00DB2303" w:rsidRDefault="00C355C5" w:rsidP="0023662F">
      <w:pPr>
        <w:pStyle w:val="Heading1"/>
        <w:rPr>
          <w:lang w:val="en-CA"/>
        </w:rPr>
      </w:pPr>
      <w:r w:rsidRPr="00DB2303">
        <w:rPr>
          <w:lang w:val="en-CA"/>
        </w:rPr>
        <w:t>The proposed activities in the servicing sector, which include better containment of refrigerants through training and the provision of equipment, will further reduce the amount of HCFC</w:t>
      </w:r>
      <w:r w:rsidRPr="00DB2303">
        <w:rPr>
          <w:lang w:val="en-CA"/>
        </w:rPr>
        <w:noBreakHyphen/>
        <w:t xml:space="preserve">22 used for refrigeration servicing. </w:t>
      </w:r>
      <w:r w:rsidR="00A41D74" w:rsidRPr="00DB2303">
        <w:rPr>
          <w:lang w:val="en-CA"/>
        </w:rPr>
        <w:t>Each kilogramme of HCFC-22 not emitted due to better refrigeration practices results in a savings of approximately 1.82 CO</w:t>
      </w:r>
      <w:r w:rsidR="00A41D74" w:rsidRPr="00DB2303">
        <w:rPr>
          <w:vertAlign w:val="subscript"/>
          <w:lang w:val="en-CA"/>
        </w:rPr>
        <w:t>2</w:t>
      </w:r>
      <w:r w:rsidR="00A41D74" w:rsidRPr="00DB2303">
        <w:rPr>
          <w:lang w:val="en-CA"/>
        </w:rPr>
        <w:t xml:space="preserve">-equivalent tonnes. </w:t>
      </w:r>
      <w:r w:rsidRPr="00DB2303">
        <w:rPr>
          <w:lang w:val="en-CA"/>
        </w:rPr>
        <w:t xml:space="preserve">Although a calculation of the impact on the climate was not included </w:t>
      </w:r>
      <w:r w:rsidRPr="00DB2303">
        <w:rPr>
          <w:lang w:val="en-CA"/>
        </w:rPr>
        <w:lastRenderedPageBreak/>
        <w:t>in the HPMP, the activities planned by Peru, in particular its efforts to promote low</w:t>
      </w:r>
      <w:r w:rsidRPr="00DB2303">
        <w:rPr>
          <w:lang w:val="en-CA"/>
        </w:rPr>
        <w:noBreakHyphen/>
        <w:t xml:space="preserve">GWP alternatives, as well as refrigerant recovery and reuse, indicate that the implementation of the HPMP will reduce the emission of refrigerants into the atmosphere, resulting in climate benefits. </w:t>
      </w:r>
    </w:p>
    <w:p w14:paraId="67E34B66" w14:textId="77777777" w:rsidR="00C355C5" w:rsidRPr="00DB2303" w:rsidRDefault="00C355C5" w:rsidP="0023662F">
      <w:pPr>
        <w:pStyle w:val="Heading1"/>
        <w:numPr>
          <w:ilvl w:val="0"/>
          <w:numId w:val="0"/>
        </w:numPr>
        <w:rPr>
          <w:b/>
          <w:lang w:val="en-CA"/>
        </w:rPr>
      </w:pPr>
      <w:r w:rsidRPr="00DB2303">
        <w:rPr>
          <w:b/>
          <w:lang w:val="en-CA"/>
        </w:rPr>
        <w:t>Co-financing</w:t>
      </w:r>
    </w:p>
    <w:p w14:paraId="15D08543" w14:textId="77777777" w:rsidR="00C355C5" w:rsidRPr="00DB2303" w:rsidRDefault="00F33EEE" w:rsidP="0023662F">
      <w:pPr>
        <w:pStyle w:val="Heading1"/>
        <w:rPr>
          <w:lang w:val="en-CA"/>
        </w:rPr>
      </w:pPr>
      <w:r>
        <w:rPr>
          <w:lang w:val="en-CA"/>
        </w:rPr>
        <w:t xml:space="preserve">Co-financing </w:t>
      </w:r>
      <w:r w:rsidR="00C355C5" w:rsidRPr="00DB2303">
        <w:rPr>
          <w:lang w:val="en-CA"/>
        </w:rPr>
        <w:t>from the demonstration project in supermarkets</w:t>
      </w:r>
      <w:r>
        <w:rPr>
          <w:lang w:val="en-CA"/>
        </w:rPr>
        <w:t xml:space="preserve"> will be determined at a future tranche of the HPMP</w:t>
      </w:r>
      <w:r w:rsidR="00C355C5" w:rsidRPr="00DB2303">
        <w:rPr>
          <w:lang w:val="en-CA"/>
        </w:rPr>
        <w:t>.</w:t>
      </w:r>
    </w:p>
    <w:p w14:paraId="7B9522D1" w14:textId="77777777" w:rsidR="00C355C5" w:rsidRPr="00DB2303" w:rsidRDefault="00C355C5" w:rsidP="0023662F">
      <w:pPr>
        <w:keepNext/>
        <w:spacing w:after="240"/>
        <w:outlineLvl w:val="0"/>
        <w:rPr>
          <w:b/>
          <w:bCs/>
          <w:lang w:val="en-CA"/>
        </w:rPr>
      </w:pPr>
      <w:r w:rsidRPr="00DB2303">
        <w:rPr>
          <w:b/>
          <w:bCs/>
          <w:lang w:val="en-CA"/>
        </w:rPr>
        <w:t>2016-2018 draft business plan of the Multilateral Fund</w:t>
      </w:r>
    </w:p>
    <w:p w14:paraId="2365B712" w14:textId="77777777" w:rsidR="00C355C5" w:rsidRPr="00DB2303" w:rsidRDefault="00C355C5" w:rsidP="0023662F">
      <w:pPr>
        <w:pStyle w:val="Heading1"/>
        <w:rPr>
          <w:lang w:val="en-CA"/>
        </w:rPr>
      </w:pPr>
      <w:r w:rsidRPr="00DB2303">
        <w:rPr>
          <w:lang w:val="en-CA"/>
        </w:rPr>
        <w:t xml:space="preserve">UNDP and UNEP are requesting </w:t>
      </w:r>
      <w:r w:rsidR="00682B63">
        <w:rPr>
          <w:lang w:val="en-CA"/>
        </w:rPr>
        <w:t>US $</w:t>
      </w:r>
      <w:r w:rsidR="00DC017B" w:rsidRPr="00DB2303">
        <w:rPr>
          <w:lang w:val="en-CA"/>
        </w:rPr>
        <w:t>1,</w:t>
      </w:r>
      <w:r w:rsidR="00A41D74" w:rsidRPr="00DB2303">
        <w:rPr>
          <w:lang w:val="en-CA"/>
        </w:rPr>
        <w:t>483,730 including</w:t>
      </w:r>
      <w:r w:rsidRPr="00DB2303">
        <w:rPr>
          <w:lang w:val="en-CA"/>
        </w:rPr>
        <w:t xml:space="preserve"> agency support costs </w:t>
      </w:r>
      <w:r w:rsidRPr="00DB2303">
        <w:t>for the implementation of s</w:t>
      </w:r>
      <w:r w:rsidR="00682B63">
        <w:t>tage I</w:t>
      </w:r>
      <w:r w:rsidRPr="00DB2303">
        <w:t>I of the HPMP.</w:t>
      </w:r>
      <w:r w:rsidRPr="00DB2303">
        <w:rPr>
          <w:lang w:val="en-CA"/>
        </w:rPr>
        <w:t xml:space="preserve"> </w:t>
      </w:r>
      <w:r w:rsidRPr="00DB2303">
        <w:t>The total value requested of</w:t>
      </w:r>
      <w:r w:rsidRPr="00DB2303">
        <w:rPr>
          <w:lang w:val="en-CA"/>
        </w:rPr>
        <w:t xml:space="preserve"> </w:t>
      </w:r>
      <w:r w:rsidR="00682B63">
        <w:rPr>
          <w:lang w:val="en-CA"/>
        </w:rPr>
        <w:t>US $</w:t>
      </w:r>
      <w:r w:rsidR="00A41D74" w:rsidRPr="00DB2303">
        <w:rPr>
          <w:lang w:val="en-CA"/>
        </w:rPr>
        <w:t>890,238</w:t>
      </w:r>
      <w:r w:rsidRPr="00DB2303">
        <w:rPr>
          <w:lang w:val="en-CA"/>
        </w:rPr>
        <w:t xml:space="preserve"> </w:t>
      </w:r>
      <w:r w:rsidRPr="00DB2303">
        <w:t xml:space="preserve">for the period 2017 to 2019, is </w:t>
      </w:r>
      <w:r w:rsidR="00682B63">
        <w:rPr>
          <w:lang w:val="en-CA"/>
        </w:rPr>
        <w:t>US $</w:t>
      </w:r>
      <w:r w:rsidR="001B4B84" w:rsidRPr="00DB2303">
        <w:rPr>
          <w:lang w:val="en-CA"/>
        </w:rPr>
        <w:t>349,361</w:t>
      </w:r>
      <w:r w:rsidR="00DC017B" w:rsidRPr="00DB2303">
        <w:rPr>
          <w:lang w:val="en-CA"/>
        </w:rPr>
        <w:t xml:space="preserve"> </w:t>
      </w:r>
      <w:r w:rsidRPr="00DB2303">
        <w:rPr>
          <w:lang w:val="en-CA"/>
        </w:rPr>
        <w:t>above the amount in the business plan between 2017 and 2019.</w:t>
      </w:r>
    </w:p>
    <w:p w14:paraId="102CECDB" w14:textId="77777777" w:rsidR="00C355C5" w:rsidRPr="00DB2303" w:rsidRDefault="00C355C5" w:rsidP="0023662F">
      <w:pPr>
        <w:pStyle w:val="Style1"/>
        <w:numPr>
          <w:ilvl w:val="0"/>
          <w:numId w:val="0"/>
        </w:numPr>
        <w:spacing w:after="240" w:line="240" w:lineRule="auto"/>
        <w:rPr>
          <w:b/>
          <w:bCs/>
          <w:lang w:val="en-CA"/>
        </w:rPr>
      </w:pPr>
      <w:r w:rsidRPr="00DB2303">
        <w:rPr>
          <w:b/>
          <w:bCs/>
          <w:lang w:val="en-CA"/>
        </w:rPr>
        <w:t>Draft Agreement</w:t>
      </w:r>
    </w:p>
    <w:p w14:paraId="268753B1" w14:textId="77777777" w:rsidR="00C355C5" w:rsidRPr="00DB2303" w:rsidRDefault="00C355C5" w:rsidP="0023662F">
      <w:pPr>
        <w:pStyle w:val="Heading1"/>
        <w:rPr>
          <w:lang w:val="en-CA"/>
        </w:rPr>
      </w:pPr>
      <w:r w:rsidRPr="00DB2303">
        <w:t>A draft Agreement between the Government of Peru and the Executive Committee for the phase</w:t>
      </w:r>
      <w:r w:rsidRPr="00DB2303">
        <w:noBreakHyphen/>
        <w:t>out of HCFCs in stage II of the HPMP is contained in Annex I to the present document.</w:t>
      </w:r>
    </w:p>
    <w:p w14:paraId="30A287BE" w14:textId="77777777" w:rsidR="00C355C5" w:rsidRPr="00DB2303" w:rsidRDefault="00C355C5" w:rsidP="00A640D4">
      <w:pPr>
        <w:keepNext/>
        <w:contextualSpacing/>
        <w:rPr>
          <w:b/>
          <w:bCs/>
          <w:lang w:val="en-CA"/>
        </w:rPr>
      </w:pPr>
      <w:r w:rsidRPr="00DB2303">
        <w:rPr>
          <w:b/>
          <w:bCs/>
          <w:lang w:val="en-CA"/>
        </w:rPr>
        <w:t>RECOMMENDATION</w:t>
      </w:r>
    </w:p>
    <w:p w14:paraId="663E40B7" w14:textId="77777777" w:rsidR="00C355C5" w:rsidRPr="00DB2303" w:rsidRDefault="00C355C5" w:rsidP="00A640D4">
      <w:pPr>
        <w:keepNext/>
        <w:contextualSpacing/>
        <w:rPr>
          <w:u w:val="single"/>
          <w:lang w:val="en-CA"/>
        </w:rPr>
      </w:pPr>
    </w:p>
    <w:p w14:paraId="7D458B43" w14:textId="77777777" w:rsidR="00C355C5" w:rsidRPr="00DB2303" w:rsidRDefault="00C355C5" w:rsidP="00A640D4">
      <w:pPr>
        <w:pStyle w:val="Heading1"/>
        <w:keepNext/>
      </w:pPr>
      <w:r w:rsidRPr="00DB2303">
        <w:t>The Executive Committee may wish to consider:</w:t>
      </w:r>
    </w:p>
    <w:p w14:paraId="6FFC80EC" w14:textId="77777777" w:rsidR="00C355C5" w:rsidRPr="00DB2303" w:rsidRDefault="00C355C5" w:rsidP="00A640D4">
      <w:pPr>
        <w:pStyle w:val="Heading2"/>
        <w:keepNext/>
        <w:widowControl/>
      </w:pPr>
      <w:r w:rsidRPr="00DB2303">
        <w:t>Approving, in principle, s</w:t>
      </w:r>
      <w:r w:rsidR="00682B63">
        <w:t>tage I</w:t>
      </w:r>
      <w:r w:rsidRPr="00DB2303">
        <w:t xml:space="preserve">I of the HCFC phase-out management plan (HPMP) for Peru for the period from 2017 to 2025 to reduce HCFC consumption by 67.5 per cent of the baseline, in the amount of </w:t>
      </w:r>
      <w:r w:rsidR="00682B63">
        <w:t>US $</w:t>
      </w:r>
      <w:r w:rsidR="00A343E6" w:rsidRPr="00DB2303">
        <w:t>1,483,730</w:t>
      </w:r>
      <w:r w:rsidRPr="00DB2303">
        <w:t xml:space="preserve">, consisting of </w:t>
      </w:r>
      <w:r w:rsidR="00682B63">
        <w:t>US $</w:t>
      </w:r>
      <w:r w:rsidR="00A343E6" w:rsidRPr="00DB2303">
        <w:t>1,167,000</w:t>
      </w:r>
      <w:r w:rsidR="00CC1548">
        <w:t>,</w:t>
      </w:r>
      <w:r w:rsidR="00A343E6" w:rsidRPr="00DB2303">
        <w:t xml:space="preserve"> </w:t>
      </w:r>
      <w:r w:rsidRPr="00DB2303">
        <w:t xml:space="preserve">plus agency support costs of </w:t>
      </w:r>
      <w:r w:rsidR="00682B63">
        <w:t>US $</w:t>
      </w:r>
      <w:r w:rsidR="00A343E6" w:rsidRPr="00DB2303">
        <w:t xml:space="preserve">81,690 </w:t>
      </w:r>
      <w:r w:rsidRPr="00DB2303">
        <w:t>for UNDP</w:t>
      </w:r>
      <w:r w:rsidR="00CC1548">
        <w:t>,</w:t>
      </w:r>
      <w:r w:rsidRPr="00DB2303">
        <w:t xml:space="preserve"> and </w:t>
      </w:r>
      <w:r w:rsidR="00682B63">
        <w:t>US $</w:t>
      </w:r>
      <w:r w:rsidR="00A343E6" w:rsidRPr="00DB2303">
        <w:t>208,000</w:t>
      </w:r>
      <w:r w:rsidRPr="00DB2303">
        <w:t xml:space="preserve">, plus agency support costs of </w:t>
      </w:r>
      <w:r w:rsidR="00682B63">
        <w:t>US $</w:t>
      </w:r>
      <w:r w:rsidR="00A343E6" w:rsidRPr="00DB2303">
        <w:t xml:space="preserve">27,040 </w:t>
      </w:r>
      <w:r w:rsidRPr="00DB2303">
        <w:t xml:space="preserve">for UNEP; </w:t>
      </w:r>
    </w:p>
    <w:p w14:paraId="44EADA0A" w14:textId="77777777" w:rsidR="00C355C5" w:rsidRPr="00DB2303" w:rsidRDefault="00C355C5" w:rsidP="0023662F">
      <w:pPr>
        <w:pStyle w:val="Heading2"/>
        <w:keepNext/>
        <w:widowControl/>
      </w:pPr>
      <w:r w:rsidRPr="00DB2303">
        <w:t>Noting:</w:t>
      </w:r>
    </w:p>
    <w:p w14:paraId="00BB98AA" w14:textId="77777777" w:rsidR="00C355C5" w:rsidRPr="00DB2303" w:rsidRDefault="00C355C5" w:rsidP="0023662F">
      <w:pPr>
        <w:pStyle w:val="Heading3"/>
        <w:keepNext/>
        <w:widowControl/>
      </w:pPr>
      <w:r w:rsidRPr="00DB2303">
        <w:t>The commitment of the Government of Peru to reduce HCFC consumption by 67.5 per cent of the baseline by 2025;</w:t>
      </w:r>
    </w:p>
    <w:p w14:paraId="37DC5BDE" w14:textId="77777777" w:rsidR="00B40B62" w:rsidRPr="00DB2303" w:rsidRDefault="00B40B62" w:rsidP="0023662F">
      <w:pPr>
        <w:pStyle w:val="Heading3"/>
      </w:pPr>
      <w:r w:rsidRPr="00DB2303">
        <w:t xml:space="preserve">That the revised starting point for sustained aggregate reduction in HCFC consumption was </w:t>
      </w:r>
      <w:r w:rsidR="006B7E67" w:rsidRPr="00DB2303">
        <w:t>54.79</w:t>
      </w:r>
      <w:r w:rsidR="008C2783">
        <w:t> ODP ton</w:t>
      </w:r>
      <w:r w:rsidRPr="00DB2303">
        <w:t xml:space="preserve">nes, calculated using actual consumption of </w:t>
      </w:r>
      <w:r w:rsidR="00FB70A8" w:rsidRPr="00DB2303">
        <w:t>27.3</w:t>
      </w:r>
      <w:r w:rsidR="008C2783">
        <w:t> ODP ton</w:t>
      </w:r>
      <w:r w:rsidRPr="00DB2303">
        <w:t xml:space="preserve">nes and </w:t>
      </w:r>
      <w:r w:rsidR="00FB70A8" w:rsidRPr="00DB2303">
        <w:t>26.45</w:t>
      </w:r>
      <w:r w:rsidR="008C2783">
        <w:t> ODP ton</w:t>
      </w:r>
      <w:r w:rsidRPr="00DB2303">
        <w:t xml:space="preserve">nes reported for 2009 and 2010, respectively, under Article 7 of the Montreal Protocol, plus </w:t>
      </w:r>
      <w:r w:rsidR="00FB70A8" w:rsidRPr="00DB2303">
        <w:t>27.91</w:t>
      </w:r>
      <w:r w:rsidR="008C2783">
        <w:t> ODP ton</w:t>
      </w:r>
      <w:r w:rsidRPr="00DB2303">
        <w:t>nes of HCFC-141b contained in imported pre-blended polyol systems;</w:t>
      </w:r>
    </w:p>
    <w:p w14:paraId="1BBD30A3" w14:textId="77777777" w:rsidR="00C2432F" w:rsidRPr="00DB2303" w:rsidRDefault="00C2432F" w:rsidP="0023662F">
      <w:pPr>
        <w:pStyle w:val="Heading3"/>
      </w:pPr>
      <w:r w:rsidRPr="00DB2303">
        <w:t>That during implementation of stage II of the HPMP the Government of Peru could submit a project to phase</w:t>
      </w:r>
      <w:r w:rsidR="00CC1548">
        <w:t xml:space="preserve"> </w:t>
      </w:r>
      <w:r w:rsidRPr="00DB2303">
        <w:t>out the use of HCFC-141b contained in imported pre</w:t>
      </w:r>
      <w:r w:rsidR="00DC54B8">
        <w:noBreakHyphen/>
      </w:r>
      <w:r w:rsidRPr="00DB2303">
        <w:t>blende</w:t>
      </w:r>
      <w:r w:rsidR="00CC1548">
        <w:t>d polyols</w:t>
      </w:r>
      <w:r w:rsidRPr="00DB2303">
        <w:t xml:space="preserve"> in the polyurethane foam sector, when proven cost-effective and commercially available </w:t>
      </w:r>
      <w:r w:rsidRPr="00DB2303">
        <w:lastRenderedPageBreak/>
        <w:t>low-GWP technology makes it possible;</w:t>
      </w:r>
    </w:p>
    <w:p w14:paraId="43FFAC1D" w14:textId="77777777" w:rsidR="00C355C5" w:rsidRPr="00DB2303" w:rsidRDefault="00C355C5" w:rsidP="0023662F">
      <w:pPr>
        <w:pStyle w:val="Heading2"/>
      </w:pPr>
      <w:r w:rsidRPr="00DB2303">
        <w:t>Deducting 14.40</w:t>
      </w:r>
      <w:r w:rsidR="008C2783">
        <w:t> ODP ton</w:t>
      </w:r>
      <w:r w:rsidRPr="00DB2303">
        <w:t xml:space="preserve">nes of HCFCs from the remaining HCFC consumption eligible for funding; </w:t>
      </w:r>
    </w:p>
    <w:p w14:paraId="427AB8A4" w14:textId="77777777" w:rsidR="00C355C5" w:rsidRPr="00DB2303" w:rsidRDefault="00F6373B" w:rsidP="0023662F">
      <w:pPr>
        <w:pStyle w:val="Heading2"/>
      </w:pPr>
      <w:r w:rsidRPr="00DB2303">
        <w:t>A</w:t>
      </w:r>
      <w:r w:rsidR="00C355C5" w:rsidRPr="00DB2303">
        <w:t>pproving the draft Agreement between the Government of Peru and the Executive Committee for the reduction in consumption of HCFCs, in accordance with s</w:t>
      </w:r>
      <w:r w:rsidR="00682B63">
        <w:t>tage I</w:t>
      </w:r>
      <w:r w:rsidR="00C355C5" w:rsidRPr="00DB2303">
        <w:t>I of the HPMP, contained in Annex I to the present document; and</w:t>
      </w:r>
    </w:p>
    <w:p w14:paraId="790A38D3" w14:textId="77777777" w:rsidR="00F734BB" w:rsidRDefault="00C355C5" w:rsidP="0023662F">
      <w:pPr>
        <w:pStyle w:val="Heading2"/>
        <w:sectPr w:rsidR="00F734BB" w:rsidSect="005A21EB">
          <w:headerReference w:type="even" r:id="rId10"/>
          <w:headerReference w:type="default" r:id="rId11"/>
          <w:footerReference w:type="even" r:id="rId12"/>
          <w:footerReference w:type="default" r:id="rId13"/>
          <w:footerReference w:type="first" r:id="rId14"/>
          <w:pgSz w:w="12240" w:h="15840" w:code="1"/>
          <w:pgMar w:top="600" w:right="1440" w:bottom="600" w:left="1440" w:header="720" w:footer="475" w:gutter="0"/>
          <w:cols w:space="720"/>
          <w:titlePg/>
          <w:docGrid w:linePitch="299"/>
        </w:sectPr>
      </w:pPr>
      <w:r w:rsidRPr="00DB2303">
        <w:t xml:space="preserve">Approving the first tranche of stage II of the HPMP for Peru, and the corresponding tranche implementation plans, in the amount of </w:t>
      </w:r>
      <w:r w:rsidR="00682B63">
        <w:t>US $</w:t>
      </w:r>
      <w:r w:rsidR="00BA62C6" w:rsidRPr="00DB2303">
        <w:t>445,119</w:t>
      </w:r>
      <w:r w:rsidRPr="00DB2303">
        <w:t xml:space="preserve">, consisting of </w:t>
      </w:r>
      <w:r w:rsidR="00682B63">
        <w:t>US $</w:t>
      </w:r>
      <w:r w:rsidR="00BA62C6" w:rsidRPr="00DB2303">
        <w:t xml:space="preserve">350,100 </w:t>
      </w:r>
      <w:r w:rsidRPr="00DB2303">
        <w:t xml:space="preserve">plus agency support costs of </w:t>
      </w:r>
      <w:r w:rsidR="00682B63">
        <w:t>US $</w:t>
      </w:r>
      <w:r w:rsidR="00BA62C6" w:rsidRPr="00DB2303">
        <w:t xml:space="preserve">24,507 </w:t>
      </w:r>
      <w:r w:rsidRPr="00DB2303">
        <w:t>for UNDP</w:t>
      </w:r>
      <w:r w:rsidR="00CC1548">
        <w:t>,</w:t>
      </w:r>
      <w:r w:rsidRPr="00DB2303">
        <w:t xml:space="preserve"> and </w:t>
      </w:r>
      <w:r w:rsidR="00682B63">
        <w:t>US $</w:t>
      </w:r>
      <w:r w:rsidR="00BA62C6" w:rsidRPr="00DB2303">
        <w:t>62,400</w:t>
      </w:r>
      <w:r w:rsidRPr="00DB2303">
        <w:t xml:space="preserve">, plus agency support costs of </w:t>
      </w:r>
      <w:r w:rsidR="00682B63">
        <w:t>US $</w:t>
      </w:r>
      <w:r w:rsidR="00BA62C6" w:rsidRPr="00DB2303">
        <w:t xml:space="preserve">8,112 </w:t>
      </w:r>
      <w:r w:rsidRPr="00DB2303">
        <w:t>for UNEP.</w:t>
      </w:r>
    </w:p>
    <w:p w14:paraId="18330146" w14:textId="77777777" w:rsidR="00F734BB" w:rsidRPr="00F734BB" w:rsidRDefault="00F734BB" w:rsidP="00F734BB">
      <w:pPr>
        <w:jc w:val="center"/>
        <w:rPr>
          <w:b/>
        </w:rPr>
      </w:pPr>
      <w:r w:rsidRPr="00F734BB">
        <w:rPr>
          <w:b/>
        </w:rPr>
        <w:lastRenderedPageBreak/>
        <w:t>DRAFT AGREEMENT BETWEEN THE GOVERNMENT OF PERU AND THE EXECUTIVE COMMITTEE OF THE MULTILATERAL FUND FOR THE REDUCTION IN CONSUMPTION OF HYDROCHLOROFLUOROCARBONS IN ACCORDANCE WITH STAGE II OF THE HCFC PHASE-OUT MANAGEMENT PLAN</w:t>
      </w:r>
    </w:p>
    <w:tbl>
      <w:tblPr>
        <w:tblW w:w="5000" w:type="pct"/>
        <w:tblLook w:val="0000" w:firstRow="0" w:lastRow="0" w:firstColumn="0" w:lastColumn="0" w:noHBand="0" w:noVBand="0"/>
      </w:tblPr>
      <w:tblGrid>
        <w:gridCol w:w="9360"/>
      </w:tblGrid>
      <w:tr w:rsidR="00F734BB" w:rsidRPr="00F734BB" w14:paraId="4ABE4C5E" w14:textId="77777777" w:rsidTr="00F734BB">
        <w:trPr>
          <w:trHeight w:val="341"/>
        </w:trPr>
        <w:tc>
          <w:tcPr>
            <w:tcW w:w="5000" w:type="pct"/>
          </w:tcPr>
          <w:p w14:paraId="77C48F67" w14:textId="77777777" w:rsidR="00F734BB" w:rsidRPr="00F734BB" w:rsidRDefault="00F734BB" w:rsidP="00F734BB">
            <w:pPr>
              <w:jc w:val="left"/>
              <w:rPr>
                <w:b/>
                <w:sz w:val="20"/>
                <w:szCs w:val="20"/>
                <w:highlight w:val="yellow"/>
              </w:rPr>
            </w:pPr>
          </w:p>
        </w:tc>
      </w:tr>
      <w:tr w:rsidR="00F734BB" w:rsidRPr="00F734BB" w14:paraId="5C13269E" w14:textId="77777777" w:rsidTr="00F734BB">
        <w:trPr>
          <w:trHeight w:val="1860"/>
        </w:trPr>
        <w:tc>
          <w:tcPr>
            <w:tcW w:w="5000" w:type="pct"/>
          </w:tcPr>
          <w:p w14:paraId="018485FF" w14:textId="77777777" w:rsidR="00F734BB" w:rsidRPr="00F734BB" w:rsidRDefault="00F734BB" w:rsidP="00F734BB">
            <w:pPr>
              <w:rPr>
                <w:b/>
              </w:rPr>
            </w:pPr>
            <w:r w:rsidRPr="00F734BB">
              <w:rPr>
                <w:b/>
              </w:rPr>
              <w:t>Purpose</w:t>
            </w:r>
          </w:p>
          <w:p w14:paraId="541544ED" w14:textId="77777777" w:rsidR="00F734BB" w:rsidRPr="00F734BB" w:rsidRDefault="00F734BB" w:rsidP="00F734BB"/>
          <w:p w14:paraId="4F022844" w14:textId="77777777" w:rsidR="00F734BB" w:rsidRPr="00F734BB" w:rsidRDefault="00F734BB" w:rsidP="00F734BB">
            <w:pPr>
              <w:pStyle w:val="Heading1"/>
              <w:numPr>
                <w:ilvl w:val="0"/>
                <w:numId w:val="39"/>
              </w:numPr>
            </w:pPr>
            <w:r w:rsidRPr="00F734BB">
              <w:t>This Agreement represents the understanding of the Government of Peru (the “Country”) and the Executive Committee with respect to the reduction of controlled use of the ozone</w:t>
            </w:r>
            <w:r w:rsidRPr="00F734BB">
              <w:noBreakHyphen/>
              <w:t>depleting substances (ODS) set out in Appendix 1-A (“The Substances”) to a sustained level of 8.74</w:t>
            </w:r>
            <w:r w:rsidR="008C2783">
              <w:t> ODP ton</w:t>
            </w:r>
            <w:r w:rsidRPr="00F734BB">
              <w:t xml:space="preserve">nes by 1 January 2025 in compliance with Montreal Protocol schedule. </w:t>
            </w:r>
          </w:p>
          <w:p w14:paraId="20CF9AC9" w14:textId="77777777" w:rsidR="00F734BB" w:rsidRPr="00F734BB" w:rsidRDefault="00F734BB" w:rsidP="00F734BB">
            <w:pPr>
              <w:numPr>
                <w:ilvl w:val="0"/>
                <w:numId w:val="1"/>
              </w:numPr>
              <w:spacing w:after="240"/>
              <w:outlineLvl w:val="0"/>
            </w:pPr>
            <w:r w:rsidRPr="00F734BB">
              <w:t>The Country agrees to meet the annual consumption limits of the Substances as set out in row 1.2 of Appendix 2</w:t>
            </w:r>
            <w:r w:rsidRPr="00F734BB">
              <w:noBreakHyphen/>
              <w:t>A (“The Targets, and Funding”) in this Agreement as well as in the Montreal Protocol reduction schedule for all Substances mentioned in Appendix 1-A. The Country accepts that, by its acceptance of this Agreement and performance by the Executive Committee of its funding obligations described in paragraph 3, it is precluded from applying for or receiving further funding from the Multilateral Fund in respect to any consumption of the Substances that exceeds the level defined in row 1.2 of Appendix 2-A as the final reduction step under this Agreement for all of the Substances specified in Appendix 1-A, and in respect to any consumption of each of the Substances that exceeds the level defined in rows 4.1.3, 4.2.3, 4.3.3, 4.4.3 and 4.5.3 (remaining consumption eligible for funding).</w:t>
            </w:r>
          </w:p>
          <w:p w14:paraId="5771E1F1" w14:textId="77777777" w:rsidR="00F734BB" w:rsidRPr="00F734BB" w:rsidRDefault="00F734BB" w:rsidP="00F734BB">
            <w:pPr>
              <w:numPr>
                <w:ilvl w:val="0"/>
                <w:numId w:val="1"/>
              </w:numPr>
              <w:spacing w:after="240"/>
              <w:outlineLvl w:val="0"/>
            </w:pPr>
            <w:r w:rsidRPr="00F734BB">
              <w:t>Subject to compliance by the Country with its obligations set out in this Agreement, the Executive Committee agrees, in principle, to provide the funding set out in row 3.1 of Appendix 2-A to the Country. The Executive Committee will, in principle, provide this funding at the Executive                                Committee meetings specified in Appendix 3-A (“Funding Approval Schedule”).</w:t>
            </w:r>
          </w:p>
          <w:p w14:paraId="46F5BAFC" w14:textId="77777777" w:rsidR="00F734BB" w:rsidRPr="00F734BB" w:rsidRDefault="00F734BB" w:rsidP="00F734BB">
            <w:pPr>
              <w:numPr>
                <w:ilvl w:val="0"/>
                <w:numId w:val="1"/>
              </w:numPr>
              <w:spacing w:after="240"/>
              <w:outlineLvl w:val="0"/>
            </w:pPr>
            <w:r w:rsidRPr="00F734BB">
              <w:t>The Country agrees to implement this Agreement in accordance with the stage II of the HCFC phase-out management plan (HPMP) approved (“the Plan”). In accordance with sub-paragraph 5(b) of this Agreement, the Country will accept independent verification of the achievement of the annual consumption limits of the Substances as set out in row 1.2 of Appendix 2-A of this Agreement. The aforementioned verification will be commissioned by the relevant bilateral or implementing agency.</w:t>
            </w:r>
          </w:p>
        </w:tc>
      </w:tr>
      <w:tr w:rsidR="00F734BB" w:rsidRPr="00F734BB" w14:paraId="5A0D1357" w14:textId="77777777" w:rsidTr="00F734BB">
        <w:trPr>
          <w:trHeight w:val="1860"/>
        </w:trPr>
        <w:tc>
          <w:tcPr>
            <w:tcW w:w="5000" w:type="pct"/>
          </w:tcPr>
          <w:p w14:paraId="65BD69C4" w14:textId="77777777" w:rsidR="00F734BB" w:rsidRPr="00F734BB" w:rsidRDefault="00F734BB" w:rsidP="00F734BB">
            <w:pPr>
              <w:rPr>
                <w:b/>
              </w:rPr>
            </w:pPr>
            <w:r w:rsidRPr="00F734BB">
              <w:rPr>
                <w:b/>
              </w:rPr>
              <w:t>Conditions for funding release</w:t>
            </w:r>
          </w:p>
          <w:p w14:paraId="2E8F7366" w14:textId="77777777" w:rsidR="00F734BB" w:rsidRPr="00F734BB" w:rsidRDefault="00F734BB" w:rsidP="00F734BB"/>
          <w:p w14:paraId="504AD8CF" w14:textId="77777777" w:rsidR="00F734BB" w:rsidRPr="00F734BB" w:rsidRDefault="00F734BB" w:rsidP="00F734BB">
            <w:pPr>
              <w:numPr>
                <w:ilvl w:val="0"/>
                <w:numId w:val="1"/>
              </w:numPr>
              <w:spacing w:after="240"/>
              <w:outlineLvl w:val="0"/>
            </w:pPr>
            <w:r w:rsidRPr="00F734BB">
              <w:t>The Executive Committee will only provide the Funding in accordance with the Funding Approval Schedule when the Country satisfies the following conditions at least eight weeks in advance of the applicable Executive Committee meeting set out in the Funding Approval Schedule:</w:t>
            </w:r>
          </w:p>
          <w:p w14:paraId="626C6559" w14:textId="77777777" w:rsidR="00F734BB" w:rsidRPr="00F734BB" w:rsidRDefault="00F734BB" w:rsidP="00F734BB">
            <w:pPr>
              <w:widowControl w:val="0"/>
              <w:numPr>
                <w:ilvl w:val="1"/>
                <w:numId w:val="1"/>
              </w:numPr>
              <w:tabs>
                <w:tab w:val="clear" w:pos="0"/>
                <w:tab w:val="num" w:pos="-720"/>
              </w:tabs>
              <w:spacing w:after="240"/>
              <w:ind w:hanging="697"/>
              <w:outlineLvl w:val="1"/>
            </w:pPr>
            <w:r w:rsidRPr="00F734BB">
              <w:t>That the Country has met the Targets set out in row 1.2 of Appendix 2-A for all relevant years. Relevant years are all years since the year in which this Agreement was approved. Years for which there are no due country programme implementation reports at the date of the Executive Committee meeting at which the funding request is being presented are exempted;</w:t>
            </w:r>
          </w:p>
          <w:p w14:paraId="7378F39A" w14:textId="77777777" w:rsidR="00F734BB" w:rsidRPr="00F734BB" w:rsidRDefault="00F734BB" w:rsidP="00F734BB">
            <w:pPr>
              <w:widowControl w:val="0"/>
              <w:numPr>
                <w:ilvl w:val="1"/>
                <w:numId w:val="1"/>
              </w:numPr>
              <w:tabs>
                <w:tab w:val="clear" w:pos="0"/>
                <w:tab w:val="num" w:pos="-720"/>
              </w:tabs>
              <w:spacing w:after="240"/>
              <w:ind w:hanging="697"/>
              <w:outlineLvl w:val="1"/>
            </w:pPr>
            <w:r w:rsidRPr="00F734BB">
              <w:t>That the meeting of these Targets has been independently verified for all relevant years, unless the Executive Committee decided that such verification would not be required;</w:t>
            </w:r>
          </w:p>
          <w:p w14:paraId="022646D9" w14:textId="77777777" w:rsidR="00F734BB" w:rsidRPr="00F734BB" w:rsidRDefault="00F734BB" w:rsidP="00F734BB">
            <w:pPr>
              <w:widowControl w:val="0"/>
              <w:numPr>
                <w:ilvl w:val="1"/>
                <w:numId w:val="1"/>
              </w:numPr>
              <w:tabs>
                <w:tab w:val="clear" w:pos="0"/>
                <w:tab w:val="num" w:pos="-720"/>
              </w:tabs>
              <w:spacing w:after="240"/>
              <w:ind w:hanging="697"/>
              <w:outlineLvl w:val="1"/>
            </w:pPr>
            <w:r w:rsidRPr="00F734BB">
              <w:t>That the Country had submitted a Tranche Implementation Report in the form of Appendix 4-A (“Format of Tranche Implementation Reports and Plans”) covering each previous calendar year; that it had achieved a significant level of implementation of activities initiated with previously approved tranches; and that the rate of disbursement of funding available from the previously approved tranche was more than 20 per cent; and</w:t>
            </w:r>
          </w:p>
          <w:p w14:paraId="11789587" w14:textId="77777777" w:rsidR="00F734BB" w:rsidRPr="00F734BB" w:rsidRDefault="00F734BB" w:rsidP="00F734BB">
            <w:pPr>
              <w:widowControl w:val="0"/>
              <w:numPr>
                <w:ilvl w:val="1"/>
                <w:numId w:val="1"/>
              </w:numPr>
              <w:tabs>
                <w:tab w:val="clear" w:pos="0"/>
                <w:tab w:val="num" w:pos="-720"/>
              </w:tabs>
              <w:spacing w:after="240"/>
              <w:ind w:hanging="697"/>
              <w:outlineLvl w:val="1"/>
              <w:rPr>
                <w:b/>
              </w:rPr>
            </w:pPr>
            <w:r w:rsidRPr="00F734BB">
              <w:t>That the Country has submitted a Tranche Implementation Plan in the form of Appendix 4</w:t>
            </w:r>
            <w:r w:rsidRPr="00F734BB">
              <w:noBreakHyphen/>
              <w:t>A covering each calendar year until and including the year for which the funding schedule foresees the submission of the next tranche or, in case of the final tranche, until completion of all activities foreseen.</w:t>
            </w:r>
          </w:p>
        </w:tc>
      </w:tr>
      <w:tr w:rsidR="00F734BB" w:rsidRPr="00F734BB" w14:paraId="57EB9359" w14:textId="77777777" w:rsidTr="00F734BB">
        <w:trPr>
          <w:trHeight w:val="50"/>
        </w:trPr>
        <w:tc>
          <w:tcPr>
            <w:tcW w:w="5000" w:type="pct"/>
          </w:tcPr>
          <w:p w14:paraId="42ABE365" w14:textId="77777777" w:rsidR="00F734BB" w:rsidRPr="00F734BB" w:rsidRDefault="00F734BB" w:rsidP="00F734BB">
            <w:pPr>
              <w:rPr>
                <w:b/>
              </w:rPr>
            </w:pPr>
            <w:r w:rsidRPr="00F734BB">
              <w:rPr>
                <w:b/>
              </w:rPr>
              <w:t>Monitoring</w:t>
            </w:r>
          </w:p>
          <w:p w14:paraId="573F7E05" w14:textId="77777777" w:rsidR="00F734BB" w:rsidRPr="00F734BB" w:rsidRDefault="00F734BB" w:rsidP="00F734BB">
            <w:pPr>
              <w:rPr>
                <w:b/>
              </w:rPr>
            </w:pPr>
          </w:p>
          <w:p w14:paraId="39D267F9" w14:textId="77777777" w:rsidR="00F734BB" w:rsidRPr="00F734BB" w:rsidRDefault="00F734BB" w:rsidP="00F734BB">
            <w:pPr>
              <w:numPr>
                <w:ilvl w:val="0"/>
                <w:numId w:val="1"/>
              </w:numPr>
              <w:spacing w:after="240"/>
              <w:outlineLvl w:val="0"/>
              <w:rPr>
                <w:b/>
              </w:rPr>
            </w:pPr>
            <w:r w:rsidRPr="00F734BB">
              <w:t>The Country will ensure that it conducts accurate monitoring of its activities under this Agreement. The institutions set out in Appendix 5-A (“Monitoring Institutions and Roles”) will monitor and report on implementation of the activities in the previous Tranche Implementation Plans in accordance with their roles and responsibilities set out in the same appendix.</w:t>
            </w:r>
          </w:p>
        </w:tc>
      </w:tr>
      <w:tr w:rsidR="00F734BB" w:rsidRPr="00F734BB" w14:paraId="34D0D2A3" w14:textId="77777777" w:rsidTr="00F734BB">
        <w:trPr>
          <w:trHeight w:val="404"/>
        </w:trPr>
        <w:tc>
          <w:tcPr>
            <w:tcW w:w="5000" w:type="pct"/>
          </w:tcPr>
          <w:p w14:paraId="038099A6" w14:textId="77777777" w:rsidR="00F734BB" w:rsidRPr="00F734BB" w:rsidRDefault="00F734BB" w:rsidP="00F734BB">
            <w:pPr>
              <w:rPr>
                <w:b/>
              </w:rPr>
            </w:pPr>
            <w:r w:rsidRPr="00F734BB">
              <w:rPr>
                <w:b/>
              </w:rPr>
              <w:lastRenderedPageBreak/>
              <w:t>Flexibility in the reallocation of funds</w:t>
            </w:r>
          </w:p>
          <w:p w14:paraId="77932063" w14:textId="77777777" w:rsidR="00F734BB" w:rsidRPr="00F734BB" w:rsidRDefault="00F734BB" w:rsidP="00F734BB"/>
          <w:p w14:paraId="624E60D0" w14:textId="77777777" w:rsidR="00F734BB" w:rsidRPr="00F734BB" w:rsidRDefault="00F734BB" w:rsidP="00F734BB">
            <w:pPr>
              <w:numPr>
                <w:ilvl w:val="0"/>
                <w:numId w:val="1"/>
              </w:numPr>
              <w:spacing w:after="240"/>
              <w:outlineLvl w:val="0"/>
            </w:pPr>
            <w:r w:rsidRPr="00F734BB">
              <w:t>The Executive Committee agrees that the Country may have the flexibility to reallocate part or all of the approved funds, according to the evolving circumstances to achieve the smoothest reduction of consumption and phase-out of the Substances specified in Appendix 1-A:</w:t>
            </w:r>
          </w:p>
          <w:p w14:paraId="73E4E64C" w14:textId="77777777" w:rsidR="00F734BB" w:rsidRPr="00F734BB" w:rsidRDefault="00F734BB" w:rsidP="00F734BB">
            <w:pPr>
              <w:widowControl w:val="0"/>
              <w:numPr>
                <w:ilvl w:val="1"/>
                <w:numId w:val="1"/>
              </w:numPr>
              <w:tabs>
                <w:tab w:val="clear" w:pos="0"/>
                <w:tab w:val="num" w:pos="-720"/>
              </w:tabs>
              <w:spacing w:after="240"/>
              <w:ind w:hanging="697"/>
              <w:outlineLvl w:val="1"/>
            </w:pPr>
            <w:r w:rsidRPr="00F734BB">
              <w:t>Reallocations categorized as major changes must be documented in advance either in a Tranche Implementation Plan as foreseen in sub</w:t>
            </w:r>
            <w:r w:rsidRPr="00F734BB">
              <w:noBreakHyphen/>
              <w:t>paragraph 5(d) above, or as a revision to an existing Tranche Implementation Plan to be submitted eight weeks prior to any meeting of the Executive Committee, for its approval. Major changes would relate to:</w:t>
            </w:r>
          </w:p>
          <w:p w14:paraId="2F63F08A" w14:textId="77777777" w:rsidR="00F734BB" w:rsidRPr="00F734BB" w:rsidRDefault="00F734BB" w:rsidP="00F734BB">
            <w:pPr>
              <w:widowControl w:val="0"/>
              <w:numPr>
                <w:ilvl w:val="2"/>
                <w:numId w:val="1"/>
              </w:numPr>
              <w:spacing w:after="240"/>
              <w:outlineLvl w:val="2"/>
            </w:pPr>
            <w:r w:rsidRPr="00F734BB">
              <w:t xml:space="preserve">Issues potentially concerning the rules and policies of the Multilateral Fund; </w:t>
            </w:r>
          </w:p>
          <w:p w14:paraId="280FAC96" w14:textId="77777777" w:rsidR="00F734BB" w:rsidRPr="00F734BB" w:rsidRDefault="00F734BB" w:rsidP="00F734BB">
            <w:pPr>
              <w:widowControl w:val="0"/>
              <w:numPr>
                <w:ilvl w:val="2"/>
                <w:numId w:val="1"/>
              </w:numPr>
              <w:spacing w:after="240"/>
              <w:outlineLvl w:val="2"/>
            </w:pPr>
            <w:r w:rsidRPr="00F734BB">
              <w:t xml:space="preserve">Changes which would modify any clause of this Agreement; </w:t>
            </w:r>
          </w:p>
          <w:p w14:paraId="7C5CB0C8" w14:textId="77777777" w:rsidR="00F734BB" w:rsidRPr="00F734BB" w:rsidRDefault="00F734BB" w:rsidP="00F734BB">
            <w:pPr>
              <w:widowControl w:val="0"/>
              <w:numPr>
                <w:ilvl w:val="2"/>
                <w:numId w:val="1"/>
              </w:numPr>
              <w:spacing w:after="240"/>
              <w:outlineLvl w:val="2"/>
            </w:pPr>
            <w:r w:rsidRPr="00F734BB">
              <w:t>Changes in the annual levels of funding allocated to individual bilateral or implementing agencies for the different tranches;</w:t>
            </w:r>
          </w:p>
          <w:p w14:paraId="0AF6F500" w14:textId="77777777" w:rsidR="00F734BB" w:rsidRPr="00F734BB" w:rsidRDefault="00F734BB" w:rsidP="00F734BB">
            <w:pPr>
              <w:widowControl w:val="0"/>
              <w:numPr>
                <w:ilvl w:val="2"/>
                <w:numId w:val="1"/>
              </w:numPr>
              <w:spacing w:after="240"/>
              <w:outlineLvl w:val="2"/>
            </w:pPr>
            <w:r w:rsidRPr="00F734BB">
              <w:t>Provision of funding for activities not included in the current endorsed Tranche Implementation Plan, or removal of an activity in the Tranche Implementation Plan, with a cost greater than 30 per cent of the total cost of the last approved tranche; and</w:t>
            </w:r>
          </w:p>
          <w:p w14:paraId="3F21BCB8" w14:textId="77777777" w:rsidR="00F734BB" w:rsidRPr="00F734BB" w:rsidRDefault="00F734BB" w:rsidP="00F734BB">
            <w:pPr>
              <w:widowControl w:val="0"/>
              <w:numPr>
                <w:ilvl w:val="2"/>
                <w:numId w:val="1"/>
              </w:numPr>
              <w:spacing w:after="240"/>
              <w:outlineLvl w:val="2"/>
              <w:rPr>
                <w:lang w:val="en-US"/>
              </w:rPr>
            </w:pPr>
            <w:r w:rsidRPr="00F734BB">
              <w:rPr>
                <w:lang w:val="en-US"/>
              </w:rPr>
              <w:t xml:space="preserve"> Changes in alternative technologies, on the understanding that any submission for such a request would identify the associated incremental costs, the potential impact to the climate, and any differences in</w:t>
            </w:r>
            <w:r w:rsidR="008C2783">
              <w:rPr>
                <w:lang w:val="en-US"/>
              </w:rPr>
              <w:t> ODP ton</w:t>
            </w:r>
            <w:r w:rsidRPr="00F734BB">
              <w:rPr>
                <w:lang w:val="en-US"/>
              </w:rPr>
              <w:t>nes to be phased out if applicable, as well as confirm that the Country agrees that potential savings related to the change of technology would decrease the overall funding level under this Agreement accordingly;</w:t>
            </w:r>
          </w:p>
          <w:p w14:paraId="0C51AFC5" w14:textId="77777777" w:rsidR="00F734BB" w:rsidRPr="00F734BB" w:rsidRDefault="00F734BB" w:rsidP="00F734BB">
            <w:pPr>
              <w:widowControl w:val="0"/>
              <w:numPr>
                <w:ilvl w:val="1"/>
                <w:numId w:val="1"/>
              </w:numPr>
              <w:tabs>
                <w:tab w:val="clear" w:pos="0"/>
                <w:tab w:val="num" w:pos="-720"/>
              </w:tabs>
              <w:spacing w:after="240"/>
              <w:ind w:hanging="697"/>
              <w:outlineLvl w:val="1"/>
              <w:rPr>
                <w:b/>
              </w:rPr>
            </w:pPr>
            <w:r w:rsidRPr="00F734BB">
              <w:t>Reallocations not categorized as major changes may be incorporated in the approved Tranche Implementation Plan, under implementation at the time, and reported to the Executive Committee in the subsequent Tranche Implementation Report;</w:t>
            </w:r>
          </w:p>
        </w:tc>
      </w:tr>
      <w:tr w:rsidR="00F734BB" w:rsidRPr="00F734BB" w14:paraId="50F661A8" w14:textId="77777777" w:rsidTr="00F734BB">
        <w:trPr>
          <w:trHeight w:val="1223"/>
        </w:trPr>
        <w:tc>
          <w:tcPr>
            <w:tcW w:w="5000" w:type="pct"/>
          </w:tcPr>
          <w:p w14:paraId="4A2D8849" w14:textId="77777777" w:rsidR="00F734BB" w:rsidRPr="00F734BB" w:rsidRDefault="00F734BB" w:rsidP="00F734BB">
            <w:pPr>
              <w:widowControl w:val="0"/>
              <w:numPr>
                <w:ilvl w:val="1"/>
                <w:numId w:val="1"/>
              </w:numPr>
              <w:tabs>
                <w:tab w:val="clear" w:pos="0"/>
                <w:tab w:val="num" w:pos="-720"/>
              </w:tabs>
              <w:spacing w:after="240"/>
              <w:ind w:hanging="697"/>
              <w:outlineLvl w:val="1"/>
            </w:pPr>
            <w:r w:rsidRPr="00F734BB">
              <w:t xml:space="preserve">Any enterprise to be converted to non-HCFC technology included in the Plan and that would be found to be ineligible under the policies of the Multilateral Fund (i.e., due to foreign ownership or establishment post the 21 September 2007 cut-off date), would not receive financial assistance. This information would be reported as part of the Tranche Implementation Plan; </w:t>
            </w:r>
          </w:p>
          <w:p w14:paraId="4FD246E3" w14:textId="77777777" w:rsidR="00F734BB" w:rsidRPr="00F734BB" w:rsidRDefault="00F734BB" w:rsidP="00A1083B">
            <w:pPr>
              <w:widowControl w:val="0"/>
              <w:numPr>
                <w:ilvl w:val="1"/>
                <w:numId w:val="1"/>
              </w:numPr>
              <w:tabs>
                <w:tab w:val="clear" w:pos="0"/>
                <w:tab w:val="num" w:pos="-720"/>
              </w:tabs>
              <w:spacing w:after="240"/>
              <w:ind w:hanging="697"/>
              <w:outlineLvl w:val="1"/>
              <w:rPr>
                <w:b/>
              </w:rPr>
            </w:pPr>
            <w:r w:rsidRPr="00F734BB">
              <w:t xml:space="preserve">The Country commits to examining the possibility of using pre-blended systems with low-global warming potential blowing agents instead of blending them in-house, for those foam enterprises covered under the Plan, should this be technically viable, economically feasible and acceptable to the enterprises; </w:t>
            </w:r>
          </w:p>
        </w:tc>
      </w:tr>
      <w:tr w:rsidR="00F734BB" w:rsidRPr="00F734BB" w14:paraId="7621EEF4" w14:textId="77777777" w:rsidTr="00F734BB">
        <w:trPr>
          <w:trHeight w:val="638"/>
        </w:trPr>
        <w:tc>
          <w:tcPr>
            <w:tcW w:w="5000" w:type="pct"/>
          </w:tcPr>
          <w:p w14:paraId="170D5927" w14:textId="77777777" w:rsidR="00F734BB" w:rsidRPr="00F734BB" w:rsidRDefault="00F734BB" w:rsidP="00F734BB">
            <w:pPr>
              <w:widowControl w:val="0"/>
              <w:numPr>
                <w:ilvl w:val="1"/>
                <w:numId w:val="1"/>
              </w:numPr>
              <w:tabs>
                <w:tab w:val="clear" w:pos="0"/>
                <w:tab w:val="num" w:pos="-720"/>
              </w:tabs>
              <w:spacing w:after="240"/>
              <w:ind w:hanging="697"/>
              <w:outlineLvl w:val="1"/>
              <w:rPr>
                <w:color w:val="000000"/>
              </w:rPr>
            </w:pPr>
            <w:r w:rsidRPr="00F734BB">
              <w:t xml:space="preserve">Any remaining funds held by the bilateral or implementing agencies or the country under the Plan will be returned to the Multilateral Fund upon completion of the last tranche foreseen under this Agreement. </w:t>
            </w:r>
          </w:p>
        </w:tc>
      </w:tr>
      <w:tr w:rsidR="00F734BB" w:rsidRPr="00F734BB" w14:paraId="48801D2D" w14:textId="77777777" w:rsidTr="00F734BB">
        <w:trPr>
          <w:trHeight w:val="50"/>
        </w:trPr>
        <w:tc>
          <w:tcPr>
            <w:tcW w:w="5000" w:type="pct"/>
          </w:tcPr>
          <w:p w14:paraId="0ED8F2EA" w14:textId="77777777" w:rsidR="00F734BB" w:rsidRPr="00F734BB" w:rsidRDefault="00F734BB" w:rsidP="00F734BB">
            <w:pPr>
              <w:rPr>
                <w:b/>
              </w:rPr>
            </w:pPr>
            <w:r w:rsidRPr="00F734BB">
              <w:rPr>
                <w:b/>
              </w:rPr>
              <w:t>Considerations for the refrigeration servicing sector</w:t>
            </w:r>
          </w:p>
          <w:p w14:paraId="33EBC09E" w14:textId="77777777" w:rsidR="00F734BB" w:rsidRPr="00F734BB" w:rsidRDefault="00F734BB" w:rsidP="00F734BB">
            <w:pPr>
              <w:ind w:left="720"/>
              <w:rPr>
                <w:u w:val="single"/>
              </w:rPr>
            </w:pPr>
          </w:p>
          <w:p w14:paraId="76493D6B" w14:textId="77777777" w:rsidR="00F734BB" w:rsidRPr="00F734BB" w:rsidRDefault="00F734BB" w:rsidP="00F734BB">
            <w:pPr>
              <w:numPr>
                <w:ilvl w:val="0"/>
                <w:numId w:val="1"/>
              </w:numPr>
              <w:spacing w:after="240"/>
              <w:outlineLvl w:val="0"/>
            </w:pPr>
            <w:r w:rsidRPr="00F734BB">
              <w:t>Specific attention will be paid to the execution of the activities in the refrigeration servicing sub</w:t>
            </w:r>
            <w:r w:rsidRPr="00F734BB">
              <w:noBreakHyphen/>
              <w:t>sector included in the Plan, in particular:</w:t>
            </w:r>
          </w:p>
          <w:p w14:paraId="72C631C5" w14:textId="77777777" w:rsidR="00F734BB" w:rsidRPr="00F734BB" w:rsidRDefault="00F734BB" w:rsidP="00F734BB">
            <w:pPr>
              <w:widowControl w:val="0"/>
              <w:numPr>
                <w:ilvl w:val="1"/>
                <w:numId w:val="1"/>
              </w:numPr>
              <w:tabs>
                <w:tab w:val="clear" w:pos="0"/>
                <w:tab w:val="num" w:pos="-720"/>
              </w:tabs>
              <w:spacing w:after="240"/>
              <w:ind w:hanging="697"/>
              <w:outlineLvl w:val="1"/>
            </w:pPr>
            <w:r w:rsidRPr="00F734BB">
              <w:t xml:space="preserve">The Country would use the flexibility available under this Agreement to address specific needs that might arise during </w:t>
            </w:r>
            <w:r w:rsidRPr="00F734BB">
              <w:lastRenderedPageBreak/>
              <w:t xml:space="preserve">project implementation; </w:t>
            </w:r>
          </w:p>
          <w:p w14:paraId="3870552B" w14:textId="77777777" w:rsidR="00F734BB" w:rsidRPr="00F734BB" w:rsidRDefault="00F734BB" w:rsidP="00F734BB">
            <w:pPr>
              <w:widowControl w:val="0"/>
              <w:numPr>
                <w:ilvl w:val="1"/>
                <w:numId w:val="1"/>
              </w:numPr>
              <w:tabs>
                <w:tab w:val="clear" w:pos="0"/>
                <w:tab w:val="num" w:pos="-720"/>
              </w:tabs>
              <w:spacing w:after="240"/>
              <w:ind w:hanging="697"/>
              <w:outlineLvl w:val="1"/>
            </w:pPr>
            <w:r w:rsidRPr="00F734BB">
              <w:t>The Country and relevant bilateral and/or implementing agencies would take into consideration relevant decisions on the refrigerant servicing sector during the implementation of the Plan.</w:t>
            </w:r>
          </w:p>
        </w:tc>
      </w:tr>
      <w:tr w:rsidR="00F734BB" w:rsidRPr="00F734BB" w14:paraId="07ABBF2C" w14:textId="77777777" w:rsidTr="00F734BB">
        <w:trPr>
          <w:trHeight w:val="50"/>
        </w:trPr>
        <w:tc>
          <w:tcPr>
            <w:tcW w:w="5000" w:type="pct"/>
          </w:tcPr>
          <w:p w14:paraId="75EC16EB" w14:textId="77777777" w:rsidR="00F734BB" w:rsidRPr="00F734BB" w:rsidRDefault="00F734BB" w:rsidP="00F734BB">
            <w:pPr>
              <w:rPr>
                <w:b/>
              </w:rPr>
            </w:pPr>
            <w:r w:rsidRPr="00F734BB">
              <w:rPr>
                <w:b/>
              </w:rPr>
              <w:lastRenderedPageBreak/>
              <w:t>Bilateral and implementing agencies</w:t>
            </w:r>
          </w:p>
          <w:p w14:paraId="7D3831D3" w14:textId="77777777" w:rsidR="00F734BB" w:rsidRPr="00F734BB" w:rsidRDefault="00F734BB" w:rsidP="00F734BB"/>
          <w:p w14:paraId="6FDC609D" w14:textId="77777777" w:rsidR="00F734BB" w:rsidRPr="00F734BB" w:rsidRDefault="00F734BB" w:rsidP="00F734BB">
            <w:pPr>
              <w:numPr>
                <w:ilvl w:val="0"/>
                <w:numId w:val="1"/>
              </w:numPr>
              <w:spacing w:after="240"/>
              <w:outlineLvl w:val="0"/>
            </w:pPr>
            <w:r w:rsidRPr="00F734BB">
              <w:t>The Country agrees to assume overall responsibility for the management and implementation of this Agreement and of all activities undertaken by it or on its behalf to fulfil the obligations under this Agreement. The United Nations Development Programme (UNDP) has agreed to be the lead implementing agency (the “Lead IA”) and the United Nations Environment Programme (UN</w:t>
            </w:r>
            <w:r w:rsidR="00A1083B">
              <w:t>EP</w:t>
            </w:r>
            <w:r w:rsidRPr="00F734BB">
              <w:t>) has agreed to be the cooperating implementing agency (the “Cooperating IA”) under the lead of the Lead IA in respect of the Country’s activities under this Agreement. The Country agrees to evaluations, which might be carried out under the monitoring and evaluation work programmes of the Multilateral Fund or under the evaluation programme of the Lead IA and Cooperating IA taking part in this Agreement.</w:t>
            </w:r>
          </w:p>
          <w:p w14:paraId="747355B4" w14:textId="77777777" w:rsidR="00F734BB" w:rsidRPr="00F734BB" w:rsidRDefault="00F734BB" w:rsidP="00F734BB">
            <w:pPr>
              <w:numPr>
                <w:ilvl w:val="0"/>
                <w:numId w:val="1"/>
              </w:numPr>
              <w:spacing w:after="240"/>
              <w:outlineLvl w:val="0"/>
              <w:rPr>
                <w:b/>
              </w:rPr>
            </w:pPr>
            <w:r w:rsidRPr="00F734BB">
              <w:t>The Lead IA will be responsible for ensuring co-ordinated planning, implementation and reporting of all activities under this Agreement, including but not limited to independent verification as per sub-paragraph 5(b). The Cooperating IA will support the Lead IA by implementing the Plan under the overall co</w:t>
            </w:r>
            <w:r w:rsidRPr="00F734BB">
              <w:noBreakHyphen/>
              <w:t>ordination of the Lead IA. The roles of the Lead IA and Cooperating IA are contained in Appendix 6-A and Appendix 6-B, respectively. The Executive Committee agrees, in principle, to provide the Lead IA and the Cooperating IA with the fees set out in rows 2.2 and 2.4 of Appendix 2</w:t>
            </w:r>
            <w:r w:rsidRPr="00F734BB">
              <w:noBreakHyphen/>
              <w:t>A.</w:t>
            </w:r>
          </w:p>
        </w:tc>
      </w:tr>
      <w:tr w:rsidR="00F734BB" w:rsidRPr="00F734BB" w14:paraId="5AB7BC8F" w14:textId="77777777" w:rsidTr="00F734BB">
        <w:trPr>
          <w:trHeight w:val="5886"/>
        </w:trPr>
        <w:tc>
          <w:tcPr>
            <w:tcW w:w="5000" w:type="pct"/>
            <w:shd w:val="clear" w:color="auto" w:fill="auto"/>
          </w:tcPr>
          <w:p w14:paraId="62D1BA4C" w14:textId="77777777" w:rsidR="00F734BB" w:rsidRPr="00F734BB" w:rsidRDefault="00F734BB" w:rsidP="00F734BB">
            <w:pPr>
              <w:spacing w:after="240"/>
              <w:outlineLvl w:val="0"/>
              <w:rPr>
                <w:b/>
              </w:rPr>
            </w:pPr>
            <w:r w:rsidRPr="00F734BB">
              <w:rPr>
                <w:b/>
              </w:rPr>
              <w:t>Non-compliance with the Agreement</w:t>
            </w:r>
          </w:p>
          <w:p w14:paraId="22E4E21C" w14:textId="77777777" w:rsidR="00F734BB" w:rsidRPr="00F734BB" w:rsidRDefault="00F734BB" w:rsidP="00F734BB">
            <w:pPr>
              <w:numPr>
                <w:ilvl w:val="0"/>
                <w:numId w:val="1"/>
              </w:numPr>
              <w:spacing w:after="240"/>
              <w:outlineLvl w:val="0"/>
            </w:pPr>
            <w:r w:rsidRPr="00F734BB">
              <w:t>Should the Country, for any reason, not meet the Targets for the elimination of the Substances set out in row 1.2 of Appendix 2-A or otherwise does not comply with this Agreement, then the Country agrees that it will not be entitled to the Funding in accordance with the Funding Approval Schedule. At the discretion of the Executive Committee, funding will be reinstated according to a revised Funding Approval Schedule determined by the Executive Committee after the Country has demonstrated that it has satisfied all of its obligations that were due to be met prior to receipt of the next tranche of funding under the Funding Approval Schedule. The Country acknowledges that the Executive Committee may reduce the amount of the Funding by the amount set out in Appendix 7-A (“Reductions in Funding for Failure to Comply”) in respect of each ODP kilogram of reductions in consumption not achieved in any one year. The Executive Committee will discuss each specific case in which the Country did not comply with this Agreement, and take related decisions. Once decisions are taken, the specific case of not compliance with this Agreement will not be an impediment for the provision of funding for future tranches as per paragraph 5 above.</w:t>
            </w:r>
          </w:p>
          <w:p w14:paraId="41C3003F" w14:textId="77777777" w:rsidR="00F734BB" w:rsidRPr="00F734BB" w:rsidRDefault="00F734BB" w:rsidP="00F734BB">
            <w:pPr>
              <w:numPr>
                <w:ilvl w:val="0"/>
                <w:numId w:val="1"/>
              </w:numPr>
              <w:spacing w:after="240"/>
              <w:outlineLvl w:val="0"/>
            </w:pPr>
            <w:r w:rsidRPr="00F734BB">
              <w:t>The Funding of this Agreement will not be modified on the basis of any future Executive Committee decisions that may affect the funding of any other consumption sector projects or any other related activities in the Country.</w:t>
            </w:r>
          </w:p>
          <w:p w14:paraId="70ED53F0" w14:textId="77777777" w:rsidR="00F734BB" w:rsidRPr="00F734BB" w:rsidRDefault="00F734BB" w:rsidP="00F734BB">
            <w:pPr>
              <w:numPr>
                <w:ilvl w:val="0"/>
                <w:numId w:val="1"/>
              </w:numPr>
              <w:spacing w:after="240"/>
              <w:outlineLvl w:val="0"/>
            </w:pPr>
            <w:r w:rsidRPr="00F734BB">
              <w:t>The Country will comply with any reasonable request of the Executive Committee, the Lead IA and the Cooperating IA to facilitate implementation of this Agreement. In particular, it will provide the Lead IA and the Cooperating IA with access to the information necessary to verify compliance with this Agreement.</w:t>
            </w:r>
          </w:p>
          <w:p w14:paraId="5BBA2355" w14:textId="77777777" w:rsidR="00F734BB" w:rsidRPr="00F734BB" w:rsidRDefault="00F734BB" w:rsidP="00F734BB">
            <w:pPr>
              <w:rPr>
                <w:b/>
              </w:rPr>
            </w:pPr>
            <w:r w:rsidRPr="00F734BB">
              <w:rPr>
                <w:b/>
              </w:rPr>
              <w:t>Date of completion</w:t>
            </w:r>
          </w:p>
          <w:p w14:paraId="0EEA6B8B" w14:textId="77777777" w:rsidR="00F734BB" w:rsidRPr="00F734BB" w:rsidRDefault="00F734BB" w:rsidP="00F734BB"/>
          <w:p w14:paraId="522C6A0B" w14:textId="77777777" w:rsidR="00F734BB" w:rsidRPr="00F734BB" w:rsidRDefault="00F734BB" w:rsidP="00F734BB">
            <w:pPr>
              <w:numPr>
                <w:ilvl w:val="0"/>
                <w:numId w:val="1"/>
              </w:numPr>
              <w:spacing w:after="240"/>
              <w:outlineLvl w:val="0"/>
            </w:pPr>
            <w:r w:rsidRPr="00F734BB">
              <w:t>The completion of the Plan and the associated Agreement will take place at the end of the year following the last year for which a maximum allowable total consumption level has been specified in Appendix 2-A. Should at that time there still be activities that are outstanding, and which were foreseen in the last Tranche Implementation Plan and its subsequent revisions as per sub-paragraph 5(d) and paragraph 7, the completion of the Plan will be delayed until the end of the year following the implementation of the remaining activities. The reporting requirements as per sub-paragraphs 1(a), 1(b), 1(d), and 1(e) of Appendix 4-A will continue until the time of the completion of the Plan unless otherwise specified by the Executive Committee.</w:t>
            </w:r>
          </w:p>
          <w:p w14:paraId="0CED0AD4" w14:textId="77777777" w:rsidR="00F734BB" w:rsidRPr="00F734BB" w:rsidRDefault="00F734BB" w:rsidP="00F734BB">
            <w:pPr>
              <w:rPr>
                <w:b/>
              </w:rPr>
            </w:pPr>
            <w:r w:rsidRPr="00F734BB">
              <w:rPr>
                <w:b/>
              </w:rPr>
              <w:t>Validity</w:t>
            </w:r>
          </w:p>
          <w:p w14:paraId="7CC530E4" w14:textId="77777777" w:rsidR="00F734BB" w:rsidRPr="00F734BB" w:rsidRDefault="00F734BB" w:rsidP="00F734BB">
            <w:pPr>
              <w:rPr>
                <w:b/>
              </w:rPr>
            </w:pPr>
          </w:p>
          <w:p w14:paraId="33F19EC7" w14:textId="77777777" w:rsidR="00F734BB" w:rsidRPr="00F734BB" w:rsidRDefault="00F734BB" w:rsidP="00F734BB">
            <w:pPr>
              <w:numPr>
                <w:ilvl w:val="0"/>
                <w:numId w:val="1"/>
              </w:numPr>
              <w:spacing w:after="240"/>
              <w:outlineLvl w:val="0"/>
            </w:pPr>
            <w:r w:rsidRPr="00F734BB">
              <w:lastRenderedPageBreak/>
              <w:t>All of the conditions set out in this Agreement are undertaken solely within the context of the Montreal Protocol and as specified in this Agreement.  All terms used in this Agreement have the meaning ascribed to them in the Montreal Protocol unless otherwise defined herein</w:t>
            </w:r>
          </w:p>
          <w:p w14:paraId="57650D30" w14:textId="77777777" w:rsidR="00F734BB" w:rsidRPr="00F734BB" w:rsidRDefault="00F734BB" w:rsidP="00F734BB">
            <w:pPr>
              <w:numPr>
                <w:ilvl w:val="0"/>
                <w:numId w:val="1"/>
              </w:numPr>
              <w:spacing w:after="240"/>
              <w:outlineLvl w:val="0"/>
            </w:pPr>
            <w:r w:rsidRPr="00F734BB">
              <w:t>This Agreement may be modified or terminated only by mutual written agreement of the Country and the Executive Committee of the Multilateral Fund.</w:t>
            </w:r>
          </w:p>
        </w:tc>
      </w:tr>
    </w:tbl>
    <w:p w14:paraId="55C996C9" w14:textId="77777777" w:rsidR="00F734BB" w:rsidRPr="00FF531D" w:rsidRDefault="00F734BB" w:rsidP="00F734BB">
      <w:pPr>
        <w:keepNext/>
        <w:suppressLineNumbers/>
        <w:rPr>
          <w:b/>
          <w:sz w:val="18"/>
          <w:szCs w:val="18"/>
        </w:rPr>
      </w:pPr>
      <w:r w:rsidRPr="00FF531D">
        <w:rPr>
          <w:b/>
          <w:sz w:val="18"/>
          <w:szCs w:val="18"/>
        </w:rPr>
        <w:lastRenderedPageBreak/>
        <w:t xml:space="preserve">APPENDICES </w:t>
      </w:r>
    </w:p>
    <w:p w14:paraId="31AA78E2" w14:textId="77777777" w:rsidR="00F734BB" w:rsidRPr="00FF531D" w:rsidRDefault="00F734BB" w:rsidP="00F734BB">
      <w:pPr>
        <w:keepNext/>
        <w:suppressLineNumbers/>
        <w:rPr>
          <w:b/>
          <w:sz w:val="18"/>
          <w:szCs w:val="18"/>
        </w:rPr>
      </w:pPr>
    </w:p>
    <w:p w14:paraId="73EC4419" w14:textId="77777777" w:rsidR="00F734BB" w:rsidRPr="00FF531D" w:rsidRDefault="00F734BB" w:rsidP="00F734BB">
      <w:pPr>
        <w:keepNext/>
        <w:suppressLineNumbers/>
        <w:rPr>
          <w:b/>
          <w:sz w:val="18"/>
          <w:szCs w:val="18"/>
        </w:rPr>
      </w:pPr>
      <w:r w:rsidRPr="00FF531D">
        <w:rPr>
          <w:b/>
          <w:sz w:val="18"/>
          <w:szCs w:val="18"/>
        </w:rPr>
        <w:t>APPENDIX 1-A: THE SUBSTANCES</w:t>
      </w:r>
    </w:p>
    <w:tbl>
      <w:tblPr>
        <w:tblW w:w="97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00"/>
        <w:gridCol w:w="900"/>
        <w:gridCol w:w="5078"/>
      </w:tblGrid>
      <w:tr w:rsidR="00F734BB" w:rsidRPr="00FF531D" w14:paraId="1C410E61" w14:textId="77777777" w:rsidTr="00F734BB">
        <w:tc>
          <w:tcPr>
            <w:tcW w:w="2880" w:type="dxa"/>
          </w:tcPr>
          <w:p w14:paraId="49FD76A8" w14:textId="77777777" w:rsidR="00F734BB" w:rsidRPr="00FF531D" w:rsidRDefault="00F734BB" w:rsidP="00F734BB">
            <w:pPr>
              <w:keepNext/>
              <w:suppressLineNumbers/>
              <w:jc w:val="center"/>
              <w:rPr>
                <w:sz w:val="18"/>
                <w:szCs w:val="18"/>
              </w:rPr>
            </w:pPr>
            <w:r w:rsidRPr="00FF531D">
              <w:rPr>
                <w:sz w:val="18"/>
                <w:szCs w:val="18"/>
              </w:rPr>
              <w:t>Substance</w:t>
            </w:r>
          </w:p>
        </w:tc>
        <w:tc>
          <w:tcPr>
            <w:tcW w:w="900" w:type="dxa"/>
          </w:tcPr>
          <w:p w14:paraId="1BBDE360" w14:textId="77777777" w:rsidR="00F734BB" w:rsidRPr="00FF531D" w:rsidRDefault="00F734BB" w:rsidP="00F734BB">
            <w:pPr>
              <w:keepNext/>
              <w:suppressLineNumbers/>
              <w:jc w:val="center"/>
              <w:rPr>
                <w:sz w:val="18"/>
                <w:szCs w:val="18"/>
              </w:rPr>
            </w:pPr>
            <w:r w:rsidRPr="00FF531D">
              <w:rPr>
                <w:sz w:val="18"/>
                <w:szCs w:val="18"/>
              </w:rPr>
              <w:t>Annex</w:t>
            </w:r>
          </w:p>
        </w:tc>
        <w:tc>
          <w:tcPr>
            <w:tcW w:w="900" w:type="dxa"/>
          </w:tcPr>
          <w:p w14:paraId="5EC89345" w14:textId="77777777" w:rsidR="00F734BB" w:rsidRPr="00FF531D" w:rsidRDefault="00F734BB" w:rsidP="00F734BB">
            <w:pPr>
              <w:keepNext/>
              <w:suppressLineNumbers/>
              <w:jc w:val="center"/>
              <w:rPr>
                <w:sz w:val="18"/>
                <w:szCs w:val="18"/>
              </w:rPr>
            </w:pPr>
            <w:r w:rsidRPr="00FF531D">
              <w:rPr>
                <w:sz w:val="18"/>
                <w:szCs w:val="18"/>
              </w:rPr>
              <w:t>Group</w:t>
            </w:r>
          </w:p>
        </w:tc>
        <w:tc>
          <w:tcPr>
            <w:tcW w:w="5078" w:type="dxa"/>
          </w:tcPr>
          <w:p w14:paraId="4FC69D26" w14:textId="77777777" w:rsidR="00F734BB" w:rsidRPr="00FF531D" w:rsidRDefault="00F734BB" w:rsidP="00F734BB">
            <w:pPr>
              <w:keepNext/>
              <w:suppressLineNumbers/>
              <w:jc w:val="center"/>
              <w:rPr>
                <w:sz w:val="18"/>
                <w:szCs w:val="18"/>
              </w:rPr>
            </w:pPr>
            <w:r w:rsidRPr="00FF531D">
              <w:rPr>
                <w:sz w:val="18"/>
                <w:szCs w:val="18"/>
              </w:rPr>
              <w:t>Starting point for aggregate reductions in consumption</w:t>
            </w:r>
          </w:p>
          <w:p w14:paraId="1187A7E7" w14:textId="77777777" w:rsidR="00F734BB" w:rsidRPr="00FF531D" w:rsidRDefault="00F734BB" w:rsidP="00F734BB">
            <w:pPr>
              <w:keepNext/>
              <w:suppressLineNumbers/>
              <w:jc w:val="center"/>
              <w:rPr>
                <w:sz w:val="18"/>
                <w:szCs w:val="18"/>
              </w:rPr>
            </w:pPr>
            <w:r w:rsidRPr="00FF531D">
              <w:rPr>
                <w:sz w:val="18"/>
                <w:szCs w:val="18"/>
              </w:rPr>
              <w:t xml:space="preserve"> (ODP tonnes)</w:t>
            </w:r>
          </w:p>
        </w:tc>
      </w:tr>
      <w:tr w:rsidR="00F734BB" w:rsidRPr="00FF531D" w14:paraId="5064840E" w14:textId="77777777" w:rsidTr="00F734BB">
        <w:tc>
          <w:tcPr>
            <w:tcW w:w="2880" w:type="dxa"/>
          </w:tcPr>
          <w:p w14:paraId="06D16154" w14:textId="77777777" w:rsidR="00F734BB" w:rsidRPr="00FF531D" w:rsidRDefault="00F734BB" w:rsidP="00F734BB">
            <w:pPr>
              <w:keepNext/>
              <w:suppressLineNumbers/>
              <w:rPr>
                <w:sz w:val="18"/>
                <w:szCs w:val="18"/>
              </w:rPr>
            </w:pPr>
            <w:r w:rsidRPr="00FF531D">
              <w:rPr>
                <w:sz w:val="18"/>
                <w:szCs w:val="18"/>
              </w:rPr>
              <w:t>HCFC-22</w:t>
            </w:r>
          </w:p>
        </w:tc>
        <w:tc>
          <w:tcPr>
            <w:tcW w:w="900" w:type="dxa"/>
          </w:tcPr>
          <w:p w14:paraId="298F8EEF" w14:textId="77777777" w:rsidR="00F734BB" w:rsidRPr="00FF531D" w:rsidRDefault="00F734BB" w:rsidP="00F734BB">
            <w:pPr>
              <w:keepNext/>
              <w:suppressLineNumbers/>
              <w:rPr>
                <w:sz w:val="18"/>
                <w:szCs w:val="18"/>
              </w:rPr>
            </w:pPr>
            <w:r w:rsidRPr="00FF531D">
              <w:rPr>
                <w:sz w:val="18"/>
                <w:szCs w:val="18"/>
              </w:rPr>
              <w:t>C</w:t>
            </w:r>
          </w:p>
        </w:tc>
        <w:tc>
          <w:tcPr>
            <w:tcW w:w="900" w:type="dxa"/>
          </w:tcPr>
          <w:p w14:paraId="036B423E" w14:textId="77777777" w:rsidR="00F734BB" w:rsidRPr="00FF531D" w:rsidRDefault="00F734BB" w:rsidP="00F734BB">
            <w:pPr>
              <w:keepNext/>
              <w:suppressLineNumbers/>
              <w:autoSpaceDE w:val="0"/>
              <w:autoSpaceDN w:val="0"/>
              <w:adjustRightInd w:val="0"/>
              <w:rPr>
                <w:sz w:val="18"/>
                <w:szCs w:val="18"/>
              </w:rPr>
            </w:pPr>
            <w:r w:rsidRPr="00FF531D">
              <w:rPr>
                <w:sz w:val="18"/>
                <w:szCs w:val="18"/>
              </w:rPr>
              <w:t xml:space="preserve">I </w:t>
            </w:r>
          </w:p>
        </w:tc>
        <w:tc>
          <w:tcPr>
            <w:tcW w:w="5078" w:type="dxa"/>
          </w:tcPr>
          <w:p w14:paraId="44D8E8B7" w14:textId="77777777" w:rsidR="00F734BB" w:rsidRPr="00FF531D" w:rsidRDefault="00F734BB" w:rsidP="00F734BB">
            <w:pPr>
              <w:keepNext/>
              <w:suppressLineNumbers/>
              <w:autoSpaceDE w:val="0"/>
              <w:autoSpaceDN w:val="0"/>
              <w:adjustRightInd w:val="0"/>
              <w:jc w:val="right"/>
              <w:rPr>
                <w:color w:val="000000"/>
                <w:sz w:val="18"/>
                <w:szCs w:val="18"/>
              </w:rPr>
            </w:pPr>
            <w:r w:rsidRPr="00FF531D">
              <w:rPr>
                <w:color w:val="000000"/>
                <w:sz w:val="18"/>
                <w:szCs w:val="18"/>
              </w:rPr>
              <w:t>23.85</w:t>
            </w:r>
          </w:p>
        </w:tc>
      </w:tr>
      <w:tr w:rsidR="00F734BB" w:rsidRPr="00FF531D" w14:paraId="71FD009B" w14:textId="77777777" w:rsidTr="00F734BB">
        <w:tc>
          <w:tcPr>
            <w:tcW w:w="2880" w:type="dxa"/>
          </w:tcPr>
          <w:p w14:paraId="3B2AE32E" w14:textId="77777777" w:rsidR="00F734BB" w:rsidRPr="00FF531D" w:rsidRDefault="00F734BB" w:rsidP="00F734BB">
            <w:pPr>
              <w:keepNext/>
              <w:suppressLineNumbers/>
              <w:autoSpaceDE w:val="0"/>
              <w:autoSpaceDN w:val="0"/>
              <w:adjustRightInd w:val="0"/>
              <w:jc w:val="left"/>
              <w:rPr>
                <w:color w:val="000000"/>
                <w:sz w:val="18"/>
                <w:szCs w:val="18"/>
              </w:rPr>
            </w:pPr>
            <w:r w:rsidRPr="00FF531D">
              <w:rPr>
                <w:color w:val="000000"/>
                <w:sz w:val="18"/>
                <w:szCs w:val="18"/>
              </w:rPr>
              <w:t xml:space="preserve">HCFC-124 </w:t>
            </w:r>
          </w:p>
        </w:tc>
        <w:tc>
          <w:tcPr>
            <w:tcW w:w="900" w:type="dxa"/>
          </w:tcPr>
          <w:p w14:paraId="775A2A3C" w14:textId="77777777" w:rsidR="00F734BB" w:rsidRPr="00FF531D" w:rsidRDefault="00F734BB" w:rsidP="00F734BB">
            <w:pPr>
              <w:keepNext/>
              <w:suppressLineNumbers/>
              <w:autoSpaceDE w:val="0"/>
              <w:autoSpaceDN w:val="0"/>
              <w:adjustRightInd w:val="0"/>
              <w:jc w:val="left"/>
              <w:rPr>
                <w:color w:val="000000"/>
                <w:sz w:val="18"/>
                <w:szCs w:val="18"/>
              </w:rPr>
            </w:pPr>
            <w:r w:rsidRPr="00FF531D">
              <w:rPr>
                <w:color w:val="000000"/>
                <w:sz w:val="18"/>
                <w:szCs w:val="18"/>
              </w:rPr>
              <w:t xml:space="preserve">C </w:t>
            </w:r>
          </w:p>
        </w:tc>
        <w:tc>
          <w:tcPr>
            <w:tcW w:w="900" w:type="dxa"/>
          </w:tcPr>
          <w:p w14:paraId="5913276C" w14:textId="77777777" w:rsidR="00F734BB" w:rsidRPr="00FF531D" w:rsidRDefault="00F734BB" w:rsidP="00F734BB">
            <w:pPr>
              <w:keepNext/>
              <w:suppressLineNumbers/>
              <w:autoSpaceDE w:val="0"/>
              <w:autoSpaceDN w:val="0"/>
              <w:adjustRightInd w:val="0"/>
              <w:jc w:val="left"/>
              <w:rPr>
                <w:color w:val="000000"/>
                <w:sz w:val="18"/>
                <w:szCs w:val="18"/>
              </w:rPr>
            </w:pPr>
            <w:r w:rsidRPr="00FF531D">
              <w:rPr>
                <w:color w:val="000000"/>
                <w:sz w:val="18"/>
                <w:szCs w:val="18"/>
              </w:rPr>
              <w:t xml:space="preserve">I </w:t>
            </w:r>
          </w:p>
        </w:tc>
        <w:tc>
          <w:tcPr>
            <w:tcW w:w="5078" w:type="dxa"/>
          </w:tcPr>
          <w:p w14:paraId="4EDC3C2A" w14:textId="77777777" w:rsidR="00F734BB" w:rsidRPr="00FF531D" w:rsidRDefault="00F734BB" w:rsidP="00F734BB">
            <w:pPr>
              <w:keepNext/>
              <w:suppressLineNumbers/>
              <w:autoSpaceDE w:val="0"/>
              <w:autoSpaceDN w:val="0"/>
              <w:adjustRightInd w:val="0"/>
              <w:jc w:val="right"/>
              <w:rPr>
                <w:color w:val="000000"/>
                <w:sz w:val="18"/>
                <w:szCs w:val="18"/>
              </w:rPr>
            </w:pPr>
            <w:r w:rsidRPr="00FF531D">
              <w:rPr>
                <w:color w:val="000000"/>
                <w:sz w:val="18"/>
                <w:szCs w:val="18"/>
              </w:rPr>
              <w:t>0.06</w:t>
            </w:r>
          </w:p>
        </w:tc>
      </w:tr>
      <w:tr w:rsidR="00F734BB" w:rsidRPr="00FF531D" w14:paraId="6B8FEEFC" w14:textId="77777777" w:rsidTr="00F734BB">
        <w:tc>
          <w:tcPr>
            <w:tcW w:w="2880" w:type="dxa"/>
          </w:tcPr>
          <w:p w14:paraId="120D22FD" w14:textId="77777777" w:rsidR="00F734BB" w:rsidRPr="00FF531D" w:rsidRDefault="00F734BB" w:rsidP="00F734BB">
            <w:pPr>
              <w:keepNext/>
              <w:suppressLineNumbers/>
              <w:autoSpaceDE w:val="0"/>
              <w:autoSpaceDN w:val="0"/>
              <w:adjustRightInd w:val="0"/>
              <w:jc w:val="left"/>
              <w:rPr>
                <w:color w:val="000000"/>
                <w:sz w:val="18"/>
                <w:szCs w:val="18"/>
              </w:rPr>
            </w:pPr>
            <w:r w:rsidRPr="00FF531D">
              <w:rPr>
                <w:color w:val="000000"/>
                <w:sz w:val="18"/>
                <w:szCs w:val="18"/>
              </w:rPr>
              <w:t xml:space="preserve">HCFC-141b </w:t>
            </w:r>
          </w:p>
        </w:tc>
        <w:tc>
          <w:tcPr>
            <w:tcW w:w="900" w:type="dxa"/>
          </w:tcPr>
          <w:p w14:paraId="1D03EDF3" w14:textId="77777777" w:rsidR="00F734BB" w:rsidRPr="00FF531D" w:rsidRDefault="00F734BB" w:rsidP="00F734BB">
            <w:pPr>
              <w:keepNext/>
              <w:suppressLineNumbers/>
              <w:autoSpaceDE w:val="0"/>
              <w:autoSpaceDN w:val="0"/>
              <w:adjustRightInd w:val="0"/>
              <w:jc w:val="left"/>
              <w:rPr>
                <w:color w:val="000000"/>
                <w:sz w:val="18"/>
                <w:szCs w:val="18"/>
              </w:rPr>
            </w:pPr>
            <w:r w:rsidRPr="00FF531D">
              <w:rPr>
                <w:color w:val="000000"/>
                <w:sz w:val="18"/>
                <w:szCs w:val="18"/>
              </w:rPr>
              <w:t xml:space="preserve">C </w:t>
            </w:r>
          </w:p>
        </w:tc>
        <w:tc>
          <w:tcPr>
            <w:tcW w:w="900" w:type="dxa"/>
            <w:shd w:val="clear" w:color="auto" w:fill="auto"/>
          </w:tcPr>
          <w:p w14:paraId="3ACC32EF" w14:textId="77777777" w:rsidR="00F734BB" w:rsidRPr="00FF531D" w:rsidRDefault="00F734BB" w:rsidP="00F734BB">
            <w:pPr>
              <w:keepNext/>
              <w:suppressLineNumbers/>
              <w:autoSpaceDE w:val="0"/>
              <w:autoSpaceDN w:val="0"/>
              <w:adjustRightInd w:val="0"/>
              <w:jc w:val="left"/>
              <w:rPr>
                <w:color w:val="000000"/>
                <w:sz w:val="18"/>
                <w:szCs w:val="18"/>
              </w:rPr>
            </w:pPr>
            <w:r w:rsidRPr="00FF531D">
              <w:rPr>
                <w:color w:val="000000"/>
                <w:sz w:val="18"/>
                <w:szCs w:val="18"/>
              </w:rPr>
              <w:t xml:space="preserve">I </w:t>
            </w:r>
          </w:p>
        </w:tc>
        <w:tc>
          <w:tcPr>
            <w:tcW w:w="5078" w:type="dxa"/>
            <w:shd w:val="clear" w:color="auto" w:fill="auto"/>
          </w:tcPr>
          <w:p w14:paraId="46CAC261" w14:textId="77777777" w:rsidR="00F734BB" w:rsidRPr="00FF531D" w:rsidRDefault="00F734BB" w:rsidP="00F734BB">
            <w:pPr>
              <w:keepNext/>
              <w:suppressLineNumbers/>
              <w:autoSpaceDE w:val="0"/>
              <w:autoSpaceDN w:val="0"/>
              <w:adjustRightInd w:val="0"/>
              <w:jc w:val="right"/>
              <w:rPr>
                <w:color w:val="000000"/>
                <w:sz w:val="18"/>
                <w:szCs w:val="18"/>
              </w:rPr>
            </w:pPr>
            <w:r w:rsidRPr="00FF531D">
              <w:rPr>
                <w:color w:val="000000"/>
                <w:sz w:val="18"/>
                <w:szCs w:val="18"/>
              </w:rPr>
              <w:t>1.79</w:t>
            </w:r>
          </w:p>
        </w:tc>
      </w:tr>
      <w:tr w:rsidR="00F734BB" w:rsidRPr="00FF531D" w14:paraId="0A43175E" w14:textId="77777777" w:rsidTr="00F734BB">
        <w:tc>
          <w:tcPr>
            <w:tcW w:w="2880" w:type="dxa"/>
          </w:tcPr>
          <w:p w14:paraId="0BD01B08" w14:textId="77777777" w:rsidR="00F734BB" w:rsidRPr="00FF531D" w:rsidRDefault="00F734BB" w:rsidP="00F734BB">
            <w:pPr>
              <w:keepNext/>
              <w:suppressLineNumbers/>
              <w:autoSpaceDE w:val="0"/>
              <w:autoSpaceDN w:val="0"/>
              <w:adjustRightInd w:val="0"/>
              <w:jc w:val="left"/>
              <w:rPr>
                <w:color w:val="000000"/>
                <w:sz w:val="18"/>
                <w:szCs w:val="18"/>
              </w:rPr>
            </w:pPr>
            <w:r w:rsidRPr="00FF531D">
              <w:rPr>
                <w:color w:val="000000"/>
                <w:sz w:val="18"/>
                <w:szCs w:val="18"/>
              </w:rPr>
              <w:t xml:space="preserve">HCFC-142b </w:t>
            </w:r>
          </w:p>
        </w:tc>
        <w:tc>
          <w:tcPr>
            <w:tcW w:w="900" w:type="dxa"/>
          </w:tcPr>
          <w:p w14:paraId="49A9C185" w14:textId="77777777" w:rsidR="00F734BB" w:rsidRPr="00FF531D" w:rsidRDefault="00F734BB" w:rsidP="00F734BB">
            <w:pPr>
              <w:keepNext/>
              <w:suppressLineNumbers/>
              <w:autoSpaceDE w:val="0"/>
              <w:autoSpaceDN w:val="0"/>
              <w:adjustRightInd w:val="0"/>
              <w:jc w:val="left"/>
              <w:rPr>
                <w:color w:val="000000"/>
                <w:sz w:val="18"/>
                <w:szCs w:val="18"/>
              </w:rPr>
            </w:pPr>
            <w:r w:rsidRPr="00FF531D">
              <w:rPr>
                <w:color w:val="000000"/>
                <w:sz w:val="18"/>
                <w:szCs w:val="18"/>
              </w:rPr>
              <w:t xml:space="preserve">C </w:t>
            </w:r>
          </w:p>
        </w:tc>
        <w:tc>
          <w:tcPr>
            <w:tcW w:w="900" w:type="dxa"/>
            <w:shd w:val="clear" w:color="auto" w:fill="auto"/>
          </w:tcPr>
          <w:p w14:paraId="1071ED53" w14:textId="77777777" w:rsidR="00F734BB" w:rsidRPr="00FF531D" w:rsidRDefault="00F734BB" w:rsidP="00F734BB">
            <w:pPr>
              <w:keepNext/>
              <w:suppressLineNumbers/>
              <w:autoSpaceDE w:val="0"/>
              <w:autoSpaceDN w:val="0"/>
              <w:adjustRightInd w:val="0"/>
              <w:jc w:val="left"/>
              <w:rPr>
                <w:color w:val="000000"/>
                <w:sz w:val="18"/>
                <w:szCs w:val="18"/>
              </w:rPr>
            </w:pPr>
            <w:r w:rsidRPr="00FF531D">
              <w:rPr>
                <w:color w:val="000000"/>
                <w:sz w:val="18"/>
                <w:szCs w:val="18"/>
              </w:rPr>
              <w:t xml:space="preserve">I </w:t>
            </w:r>
          </w:p>
        </w:tc>
        <w:tc>
          <w:tcPr>
            <w:tcW w:w="5078" w:type="dxa"/>
            <w:shd w:val="clear" w:color="auto" w:fill="auto"/>
          </w:tcPr>
          <w:p w14:paraId="7DAA531A" w14:textId="77777777" w:rsidR="00F734BB" w:rsidRPr="00FF531D" w:rsidRDefault="00F734BB" w:rsidP="00F734BB">
            <w:pPr>
              <w:keepNext/>
              <w:suppressLineNumbers/>
              <w:autoSpaceDE w:val="0"/>
              <w:autoSpaceDN w:val="0"/>
              <w:adjustRightInd w:val="0"/>
              <w:jc w:val="right"/>
              <w:rPr>
                <w:color w:val="000000"/>
                <w:sz w:val="18"/>
                <w:szCs w:val="18"/>
              </w:rPr>
            </w:pPr>
            <w:r w:rsidRPr="00FF531D">
              <w:rPr>
                <w:color w:val="000000"/>
                <w:sz w:val="18"/>
                <w:szCs w:val="18"/>
              </w:rPr>
              <w:t>1.18</w:t>
            </w:r>
          </w:p>
        </w:tc>
      </w:tr>
      <w:tr w:rsidR="00F734BB" w:rsidRPr="00FF531D" w14:paraId="57EDA10B" w14:textId="77777777" w:rsidTr="00F734BB">
        <w:tc>
          <w:tcPr>
            <w:tcW w:w="2880" w:type="dxa"/>
          </w:tcPr>
          <w:p w14:paraId="4AE41BA2" w14:textId="77777777" w:rsidR="00F734BB" w:rsidRPr="00FF531D" w:rsidRDefault="00F734BB" w:rsidP="00F734BB">
            <w:pPr>
              <w:keepNext/>
              <w:suppressLineNumbers/>
              <w:autoSpaceDE w:val="0"/>
              <w:autoSpaceDN w:val="0"/>
              <w:adjustRightInd w:val="0"/>
              <w:jc w:val="left"/>
              <w:rPr>
                <w:color w:val="000000"/>
                <w:sz w:val="18"/>
                <w:szCs w:val="18"/>
              </w:rPr>
            </w:pPr>
            <w:r w:rsidRPr="00FF531D">
              <w:rPr>
                <w:color w:val="000000"/>
                <w:sz w:val="18"/>
                <w:szCs w:val="18"/>
              </w:rPr>
              <w:t>Sub-total</w:t>
            </w:r>
          </w:p>
        </w:tc>
        <w:tc>
          <w:tcPr>
            <w:tcW w:w="900" w:type="dxa"/>
          </w:tcPr>
          <w:p w14:paraId="2C04EF51" w14:textId="77777777" w:rsidR="00F734BB" w:rsidRPr="00FF531D" w:rsidRDefault="00F734BB" w:rsidP="00F734BB">
            <w:pPr>
              <w:keepNext/>
              <w:suppressLineNumbers/>
              <w:autoSpaceDE w:val="0"/>
              <w:autoSpaceDN w:val="0"/>
              <w:adjustRightInd w:val="0"/>
              <w:jc w:val="left"/>
              <w:rPr>
                <w:color w:val="000000"/>
                <w:sz w:val="18"/>
                <w:szCs w:val="18"/>
              </w:rPr>
            </w:pPr>
          </w:p>
        </w:tc>
        <w:tc>
          <w:tcPr>
            <w:tcW w:w="900" w:type="dxa"/>
          </w:tcPr>
          <w:p w14:paraId="545DCB9E" w14:textId="77777777" w:rsidR="00F734BB" w:rsidRPr="00FF531D" w:rsidRDefault="00F734BB" w:rsidP="00F734BB">
            <w:pPr>
              <w:keepNext/>
              <w:suppressLineNumbers/>
              <w:autoSpaceDE w:val="0"/>
              <w:autoSpaceDN w:val="0"/>
              <w:adjustRightInd w:val="0"/>
              <w:jc w:val="left"/>
              <w:rPr>
                <w:color w:val="000000"/>
                <w:sz w:val="18"/>
                <w:szCs w:val="18"/>
              </w:rPr>
            </w:pPr>
          </w:p>
        </w:tc>
        <w:tc>
          <w:tcPr>
            <w:tcW w:w="5078" w:type="dxa"/>
          </w:tcPr>
          <w:p w14:paraId="2D595A65" w14:textId="77777777" w:rsidR="00F734BB" w:rsidRPr="00FF531D" w:rsidRDefault="00F734BB" w:rsidP="00F734BB">
            <w:pPr>
              <w:keepNext/>
              <w:suppressLineNumbers/>
              <w:autoSpaceDE w:val="0"/>
              <w:autoSpaceDN w:val="0"/>
              <w:adjustRightInd w:val="0"/>
              <w:jc w:val="right"/>
              <w:rPr>
                <w:color w:val="000000"/>
                <w:sz w:val="18"/>
                <w:szCs w:val="18"/>
              </w:rPr>
            </w:pPr>
            <w:r w:rsidRPr="00FF531D">
              <w:rPr>
                <w:color w:val="000000"/>
                <w:sz w:val="18"/>
                <w:szCs w:val="18"/>
              </w:rPr>
              <w:t>26.88</w:t>
            </w:r>
          </w:p>
        </w:tc>
      </w:tr>
      <w:tr w:rsidR="00F734BB" w:rsidRPr="00FF531D" w14:paraId="111B5DC1" w14:textId="77777777" w:rsidTr="00F734BB">
        <w:tc>
          <w:tcPr>
            <w:tcW w:w="2880" w:type="dxa"/>
          </w:tcPr>
          <w:p w14:paraId="5248005B" w14:textId="77777777" w:rsidR="00F734BB" w:rsidRPr="00FF531D" w:rsidRDefault="00F734BB" w:rsidP="00F734BB">
            <w:pPr>
              <w:keepNext/>
              <w:suppressLineNumbers/>
              <w:autoSpaceDE w:val="0"/>
              <w:autoSpaceDN w:val="0"/>
              <w:adjustRightInd w:val="0"/>
              <w:jc w:val="left"/>
              <w:rPr>
                <w:color w:val="000000"/>
                <w:sz w:val="18"/>
                <w:szCs w:val="18"/>
              </w:rPr>
            </w:pPr>
            <w:r w:rsidRPr="00FF531D">
              <w:rPr>
                <w:color w:val="000000"/>
                <w:sz w:val="18"/>
                <w:szCs w:val="18"/>
              </w:rPr>
              <w:t>HCFC-141b contained in imported pre</w:t>
            </w:r>
            <w:r w:rsidRPr="00FF531D">
              <w:rPr>
                <w:color w:val="000000"/>
                <w:sz w:val="18"/>
                <w:szCs w:val="18"/>
              </w:rPr>
              <w:noBreakHyphen/>
              <w:t>blended  polyols</w:t>
            </w:r>
          </w:p>
        </w:tc>
        <w:tc>
          <w:tcPr>
            <w:tcW w:w="900" w:type="dxa"/>
          </w:tcPr>
          <w:p w14:paraId="2F428956" w14:textId="77777777" w:rsidR="00F734BB" w:rsidRPr="00FF531D" w:rsidRDefault="00F734BB" w:rsidP="00F734BB">
            <w:pPr>
              <w:keepNext/>
              <w:suppressLineNumbers/>
              <w:autoSpaceDE w:val="0"/>
              <w:autoSpaceDN w:val="0"/>
              <w:adjustRightInd w:val="0"/>
              <w:jc w:val="left"/>
              <w:rPr>
                <w:color w:val="000000"/>
                <w:sz w:val="18"/>
                <w:szCs w:val="18"/>
              </w:rPr>
            </w:pPr>
            <w:r w:rsidRPr="00FF531D">
              <w:rPr>
                <w:color w:val="000000"/>
                <w:sz w:val="18"/>
                <w:szCs w:val="18"/>
              </w:rPr>
              <w:t>C</w:t>
            </w:r>
          </w:p>
        </w:tc>
        <w:tc>
          <w:tcPr>
            <w:tcW w:w="900" w:type="dxa"/>
          </w:tcPr>
          <w:p w14:paraId="269B7FC3" w14:textId="77777777" w:rsidR="00F734BB" w:rsidRPr="00FF531D" w:rsidRDefault="00F734BB" w:rsidP="00F734BB">
            <w:pPr>
              <w:keepNext/>
              <w:suppressLineNumbers/>
              <w:autoSpaceDE w:val="0"/>
              <w:autoSpaceDN w:val="0"/>
              <w:adjustRightInd w:val="0"/>
              <w:jc w:val="left"/>
              <w:rPr>
                <w:color w:val="000000"/>
                <w:sz w:val="18"/>
                <w:szCs w:val="18"/>
              </w:rPr>
            </w:pPr>
            <w:r w:rsidRPr="00FF531D">
              <w:rPr>
                <w:color w:val="000000"/>
                <w:sz w:val="18"/>
                <w:szCs w:val="18"/>
              </w:rPr>
              <w:t>I</w:t>
            </w:r>
          </w:p>
        </w:tc>
        <w:tc>
          <w:tcPr>
            <w:tcW w:w="5078" w:type="dxa"/>
          </w:tcPr>
          <w:p w14:paraId="36811550" w14:textId="77777777" w:rsidR="00F734BB" w:rsidRPr="00FF531D" w:rsidRDefault="00F734BB" w:rsidP="00F734BB">
            <w:pPr>
              <w:keepNext/>
              <w:suppressLineNumbers/>
              <w:autoSpaceDE w:val="0"/>
              <w:autoSpaceDN w:val="0"/>
              <w:adjustRightInd w:val="0"/>
              <w:jc w:val="right"/>
              <w:rPr>
                <w:color w:val="000000"/>
                <w:sz w:val="18"/>
                <w:szCs w:val="18"/>
              </w:rPr>
            </w:pPr>
            <w:r w:rsidRPr="00FF531D">
              <w:rPr>
                <w:color w:val="000000"/>
                <w:sz w:val="18"/>
                <w:szCs w:val="18"/>
              </w:rPr>
              <w:t>27.91</w:t>
            </w:r>
          </w:p>
        </w:tc>
      </w:tr>
      <w:tr w:rsidR="00F734BB" w:rsidRPr="00FF531D" w14:paraId="52706383" w14:textId="77777777" w:rsidTr="00F734BB">
        <w:tc>
          <w:tcPr>
            <w:tcW w:w="2880" w:type="dxa"/>
          </w:tcPr>
          <w:p w14:paraId="61E877B9" w14:textId="77777777" w:rsidR="00F734BB" w:rsidRPr="00FF531D" w:rsidRDefault="00F734BB" w:rsidP="00F734BB">
            <w:pPr>
              <w:keepNext/>
              <w:suppressLineNumbers/>
              <w:autoSpaceDE w:val="0"/>
              <w:autoSpaceDN w:val="0"/>
              <w:adjustRightInd w:val="0"/>
              <w:jc w:val="left"/>
              <w:rPr>
                <w:color w:val="000000"/>
                <w:sz w:val="18"/>
                <w:szCs w:val="18"/>
              </w:rPr>
            </w:pPr>
            <w:r w:rsidRPr="00FF531D">
              <w:rPr>
                <w:color w:val="000000"/>
                <w:sz w:val="18"/>
                <w:szCs w:val="18"/>
              </w:rPr>
              <w:t>Total</w:t>
            </w:r>
          </w:p>
        </w:tc>
        <w:tc>
          <w:tcPr>
            <w:tcW w:w="900" w:type="dxa"/>
          </w:tcPr>
          <w:p w14:paraId="2E45E068" w14:textId="77777777" w:rsidR="00F734BB" w:rsidRPr="00FF531D" w:rsidRDefault="00F734BB" w:rsidP="00F734BB">
            <w:pPr>
              <w:keepNext/>
              <w:suppressLineNumbers/>
              <w:autoSpaceDE w:val="0"/>
              <w:autoSpaceDN w:val="0"/>
              <w:adjustRightInd w:val="0"/>
              <w:jc w:val="left"/>
              <w:rPr>
                <w:color w:val="000000"/>
                <w:sz w:val="18"/>
                <w:szCs w:val="18"/>
              </w:rPr>
            </w:pPr>
          </w:p>
        </w:tc>
        <w:tc>
          <w:tcPr>
            <w:tcW w:w="900" w:type="dxa"/>
          </w:tcPr>
          <w:p w14:paraId="49BEB459" w14:textId="77777777" w:rsidR="00F734BB" w:rsidRPr="00FF531D" w:rsidRDefault="00F734BB" w:rsidP="00F734BB">
            <w:pPr>
              <w:keepNext/>
              <w:suppressLineNumbers/>
              <w:autoSpaceDE w:val="0"/>
              <w:autoSpaceDN w:val="0"/>
              <w:adjustRightInd w:val="0"/>
              <w:jc w:val="left"/>
              <w:rPr>
                <w:color w:val="000000"/>
                <w:sz w:val="18"/>
                <w:szCs w:val="18"/>
              </w:rPr>
            </w:pPr>
          </w:p>
        </w:tc>
        <w:tc>
          <w:tcPr>
            <w:tcW w:w="5078" w:type="dxa"/>
          </w:tcPr>
          <w:p w14:paraId="34198782" w14:textId="77777777" w:rsidR="00F734BB" w:rsidRPr="00FF531D" w:rsidRDefault="00F734BB" w:rsidP="00F734BB">
            <w:pPr>
              <w:keepNext/>
              <w:suppressLineNumbers/>
              <w:autoSpaceDE w:val="0"/>
              <w:autoSpaceDN w:val="0"/>
              <w:adjustRightInd w:val="0"/>
              <w:jc w:val="right"/>
              <w:rPr>
                <w:color w:val="000000"/>
                <w:sz w:val="18"/>
                <w:szCs w:val="18"/>
              </w:rPr>
            </w:pPr>
            <w:r w:rsidRPr="00FF531D">
              <w:rPr>
                <w:color w:val="000000"/>
                <w:sz w:val="18"/>
                <w:szCs w:val="18"/>
              </w:rPr>
              <w:t>54.79</w:t>
            </w:r>
          </w:p>
        </w:tc>
      </w:tr>
    </w:tbl>
    <w:p w14:paraId="3CA677E6" w14:textId="77777777" w:rsidR="00F734BB" w:rsidRPr="00FF531D" w:rsidRDefault="00F734BB" w:rsidP="00F734BB">
      <w:pPr>
        <w:widowControl w:val="0"/>
        <w:rPr>
          <w:b/>
          <w:sz w:val="18"/>
          <w:szCs w:val="18"/>
        </w:rPr>
      </w:pPr>
    </w:p>
    <w:p w14:paraId="59528E31" w14:textId="77777777" w:rsidR="00F734BB" w:rsidRPr="00FF531D" w:rsidRDefault="00F734BB" w:rsidP="00F734BB">
      <w:pPr>
        <w:keepNext/>
        <w:keepLines/>
        <w:rPr>
          <w:b/>
          <w:sz w:val="18"/>
          <w:szCs w:val="18"/>
        </w:rPr>
      </w:pPr>
      <w:r w:rsidRPr="00FF531D">
        <w:rPr>
          <w:b/>
          <w:sz w:val="18"/>
          <w:szCs w:val="18"/>
        </w:rPr>
        <w:t>APPENDIX 2-A: THE TARGETS, AND FUNDING</w:t>
      </w:r>
    </w:p>
    <w:tbl>
      <w:tblPr>
        <w:tblW w:w="52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226"/>
        <w:gridCol w:w="853"/>
        <w:gridCol w:w="708"/>
        <w:gridCol w:w="851"/>
        <w:gridCol w:w="708"/>
        <w:gridCol w:w="708"/>
        <w:gridCol w:w="851"/>
        <w:gridCol w:w="710"/>
        <w:gridCol w:w="708"/>
        <w:gridCol w:w="851"/>
        <w:gridCol w:w="990"/>
      </w:tblGrid>
      <w:tr w:rsidR="00F734BB" w:rsidRPr="00F734BB" w14:paraId="20C0D114" w14:textId="77777777" w:rsidTr="00A1083B">
        <w:trPr>
          <w:trHeight w:val="98"/>
          <w:tblHeader/>
        </w:trPr>
        <w:tc>
          <w:tcPr>
            <w:tcW w:w="315" w:type="pct"/>
            <w:shd w:val="clear" w:color="auto" w:fill="auto"/>
            <w:hideMark/>
          </w:tcPr>
          <w:p w14:paraId="4F25CD42" w14:textId="77777777" w:rsidR="00F734BB" w:rsidRPr="00F734BB" w:rsidRDefault="00F734BB" w:rsidP="00F734BB">
            <w:pPr>
              <w:keepNext/>
              <w:keepLines/>
              <w:jc w:val="center"/>
              <w:rPr>
                <w:b/>
                <w:bCs/>
                <w:color w:val="000000"/>
                <w:sz w:val="16"/>
                <w:szCs w:val="16"/>
                <w:lang w:eastAsia="en-CA"/>
              </w:rPr>
            </w:pPr>
            <w:r w:rsidRPr="00F734BB">
              <w:rPr>
                <w:b/>
                <w:bCs/>
                <w:color w:val="000000"/>
                <w:sz w:val="16"/>
                <w:szCs w:val="16"/>
                <w:lang w:eastAsia="en-CA"/>
              </w:rPr>
              <w:t>Row</w:t>
            </w:r>
          </w:p>
        </w:tc>
        <w:tc>
          <w:tcPr>
            <w:tcW w:w="627" w:type="pct"/>
            <w:shd w:val="clear" w:color="auto" w:fill="auto"/>
            <w:hideMark/>
          </w:tcPr>
          <w:p w14:paraId="7840468C" w14:textId="77777777" w:rsidR="00F734BB" w:rsidRPr="00F734BB" w:rsidRDefault="00F734BB" w:rsidP="00F734BB">
            <w:pPr>
              <w:keepNext/>
              <w:keepLines/>
              <w:jc w:val="center"/>
              <w:rPr>
                <w:b/>
                <w:bCs/>
                <w:color w:val="000000"/>
                <w:sz w:val="16"/>
                <w:szCs w:val="16"/>
                <w:lang w:eastAsia="en-CA"/>
              </w:rPr>
            </w:pPr>
            <w:r w:rsidRPr="00F734BB">
              <w:rPr>
                <w:b/>
                <w:bCs/>
                <w:color w:val="000000"/>
                <w:sz w:val="16"/>
                <w:szCs w:val="16"/>
                <w:lang w:eastAsia="en-CA"/>
              </w:rPr>
              <w:t>Particulars</w:t>
            </w:r>
          </w:p>
        </w:tc>
        <w:tc>
          <w:tcPr>
            <w:tcW w:w="436" w:type="pct"/>
            <w:shd w:val="clear" w:color="auto" w:fill="auto"/>
            <w:hideMark/>
          </w:tcPr>
          <w:p w14:paraId="54DF6670" w14:textId="77777777" w:rsidR="00F734BB" w:rsidRPr="00F734BB" w:rsidRDefault="00F734BB" w:rsidP="00F734BB">
            <w:pPr>
              <w:keepNext/>
              <w:keepLines/>
              <w:jc w:val="center"/>
              <w:rPr>
                <w:b/>
                <w:bCs/>
                <w:color w:val="000000"/>
                <w:sz w:val="16"/>
                <w:szCs w:val="16"/>
                <w:lang w:eastAsia="en-CA"/>
              </w:rPr>
            </w:pPr>
            <w:r w:rsidRPr="00F734BB">
              <w:rPr>
                <w:b/>
                <w:bCs/>
                <w:color w:val="000000"/>
                <w:sz w:val="16"/>
                <w:szCs w:val="16"/>
                <w:lang w:eastAsia="en-CA"/>
              </w:rPr>
              <w:t>2017</w:t>
            </w:r>
          </w:p>
        </w:tc>
        <w:tc>
          <w:tcPr>
            <w:tcW w:w="362" w:type="pct"/>
            <w:shd w:val="clear" w:color="auto" w:fill="auto"/>
            <w:hideMark/>
          </w:tcPr>
          <w:p w14:paraId="1969C103" w14:textId="77777777" w:rsidR="00F734BB" w:rsidRPr="00F734BB" w:rsidRDefault="00F734BB" w:rsidP="00F734BB">
            <w:pPr>
              <w:keepNext/>
              <w:keepLines/>
              <w:jc w:val="center"/>
              <w:rPr>
                <w:b/>
                <w:bCs/>
                <w:color w:val="000000"/>
                <w:sz w:val="16"/>
                <w:szCs w:val="16"/>
                <w:lang w:eastAsia="en-CA"/>
              </w:rPr>
            </w:pPr>
            <w:r w:rsidRPr="00F734BB">
              <w:rPr>
                <w:b/>
                <w:bCs/>
                <w:color w:val="000000"/>
                <w:sz w:val="16"/>
                <w:szCs w:val="16"/>
                <w:lang w:eastAsia="en-CA"/>
              </w:rPr>
              <w:t>2018</w:t>
            </w:r>
          </w:p>
        </w:tc>
        <w:tc>
          <w:tcPr>
            <w:tcW w:w="435" w:type="pct"/>
            <w:shd w:val="clear" w:color="auto" w:fill="auto"/>
            <w:hideMark/>
          </w:tcPr>
          <w:p w14:paraId="091E6044" w14:textId="77777777" w:rsidR="00F734BB" w:rsidRPr="00F734BB" w:rsidRDefault="00F734BB" w:rsidP="00F734BB">
            <w:pPr>
              <w:keepNext/>
              <w:keepLines/>
              <w:jc w:val="center"/>
              <w:rPr>
                <w:b/>
                <w:bCs/>
                <w:color w:val="000000"/>
                <w:sz w:val="16"/>
                <w:szCs w:val="16"/>
                <w:lang w:eastAsia="en-CA"/>
              </w:rPr>
            </w:pPr>
            <w:r w:rsidRPr="00F734BB">
              <w:rPr>
                <w:b/>
                <w:bCs/>
                <w:color w:val="000000"/>
                <w:sz w:val="16"/>
                <w:szCs w:val="16"/>
                <w:lang w:eastAsia="en-CA"/>
              </w:rPr>
              <w:t>2019</w:t>
            </w:r>
          </w:p>
        </w:tc>
        <w:tc>
          <w:tcPr>
            <w:tcW w:w="362" w:type="pct"/>
            <w:shd w:val="clear" w:color="auto" w:fill="auto"/>
            <w:hideMark/>
          </w:tcPr>
          <w:p w14:paraId="6D5FD1D0" w14:textId="77777777" w:rsidR="00F734BB" w:rsidRPr="00F734BB" w:rsidRDefault="00F734BB" w:rsidP="00F734BB">
            <w:pPr>
              <w:keepNext/>
              <w:keepLines/>
              <w:jc w:val="center"/>
              <w:rPr>
                <w:b/>
                <w:bCs/>
                <w:color w:val="000000"/>
                <w:sz w:val="16"/>
                <w:szCs w:val="16"/>
                <w:lang w:eastAsia="en-CA"/>
              </w:rPr>
            </w:pPr>
            <w:r w:rsidRPr="00F734BB">
              <w:rPr>
                <w:b/>
                <w:bCs/>
                <w:color w:val="000000"/>
                <w:sz w:val="16"/>
                <w:szCs w:val="16"/>
                <w:lang w:eastAsia="en-CA"/>
              </w:rPr>
              <w:t>2020</w:t>
            </w:r>
          </w:p>
        </w:tc>
        <w:tc>
          <w:tcPr>
            <w:tcW w:w="362" w:type="pct"/>
            <w:shd w:val="clear" w:color="auto" w:fill="auto"/>
            <w:hideMark/>
          </w:tcPr>
          <w:p w14:paraId="100112D9" w14:textId="77777777" w:rsidR="00F734BB" w:rsidRPr="00F734BB" w:rsidRDefault="00F734BB" w:rsidP="00F734BB">
            <w:pPr>
              <w:keepNext/>
              <w:keepLines/>
              <w:jc w:val="center"/>
              <w:rPr>
                <w:b/>
                <w:bCs/>
                <w:color w:val="000000"/>
                <w:sz w:val="16"/>
                <w:szCs w:val="16"/>
                <w:lang w:eastAsia="en-CA"/>
              </w:rPr>
            </w:pPr>
            <w:r w:rsidRPr="00F734BB">
              <w:rPr>
                <w:b/>
                <w:bCs/>
                <w:color w:val="000000"/>
                <w:sz w:val="16"/>
                <w:szCs w:val="16"/>
                <w:lang w:eastAsia="en-CA"/>
              </w:rPr>
              <w:t>2021</w:t>
            </w:r>
          </w:p>
        </w:tc>
        <w:tc>
          <w:tcPr>
            <w:tcW w:w="435" w:type="pct"/>
            <w:shd w:val="clear" w:color="auto" w:fill="auto"/>
            <w:hideMark/>
          </w:tcPr>
          <w:p w14:paraId="143CD318" w14:textId="77777777" w:rsidR="00F734BB" w:rsidRPr="00F734BB" w:rsidRDefault="00F734BB" w:rsidP="00F734BB">
            <w:pPr>
              <w:keepNext/>
              <w:keepLines/>
              <w:jc w:val="center"/>
              <w:rPr>
                <w:b/>
                <w:bCs/>
                <w:color w:val="000000"/>
                <w:sz w:val="16"/>
                <w:szCs w:val="16"/>
                <w:lang w:eastAsia="en-CA"/>
              </w:rPr>
            </w:pPr>
            <w:r w:rsidRPr="00F734BB">
              <w:rPr>
                <w:b/>
                <w:bCs/>
                <w:color w:val="000000"/>
                <w:sz w:val="16"/>
                <w:szCs w:val="16"/>
                <w:lang w:eastAsia="en-CA"/>
              </w:rPr>
              <w:t>2022</w:t>
            </w:r>
          </w:p>
        </w:tc>
        <w:tc>
          <w:tcPr>
            <w:tcW w:w="363" w:type="pct"/>
            <w:shd w:val="clear" w:color="auto" w:fill="auto"/>
            <w:hideMark/>
          </w:tcPr>
          <w:p w14:paraId="7C7B0566" w14:textId="77777777" w:rsidR="00F734BB" w:rsidRPr="00F734BB" w:rsidRDefault="00F734BB" w:rsidP="00F734BB">
            <w:pPr>
              <w:keepNext/>
              <w:keepLines/>
              <w:jc w:val="center"/>
              <w:rPr>
                <w:b/>
                <w:bCs/>
                <w:color w:val="000000"/>
                <w:sz w:val="16"/>
                <w:szCs w:val="16"/>
                <w:lang w:eastAsia="en-CA"/>
              </w:rPr>
            </w:pPr>
            <w:r w:rsidRPr="00F734BB">
              <w:rPr>
                <w:b/>
                <w:bCs/>
                <w:color w:val="000000"/>
                <w:sz w:val="16"/>
                <w:szCs w:val="16"/>
                <w:lang w:eastAsia="en-CA"/>
              </w:rPr>
              <w:t>2023</w:t>
            </w:r>
          </w:p>
        </w:tc>
        <w:tc>
          <w:tcPr>
            <w:tcW w:w="362" w:type="pct"/>
          </w:tcPr>
          <w:p w14:paraId="168B176A" w14:textId="77777777" w:rsidR="00F734BB" w:rsidRPr="00F734BB" w:rsidRDefault="00F734BB" w:rsidP="00F734BB">
            <w:pPr>
              <w:keepNext/>
              <w:keepLines/>
              <w:jc w:val="center"/>
              <w:rPr>
                <w:b/>
                <w:bCs/>
                <w:color w:val="000000"/>
                <w:sz w:val="16"/>
                <w:szCs w:val="16"/>
                <w:lang w:eastAsia="en-CA"/>
              </w:rPr>
            </w:pPr>
            <w:r w:rsidRPr="00F734BB">
              <w:rPr>
                <w:b/>
                <w:bCs/>
                <w:color w:val="000000"/>
                <w:sz w:val="16"/>
                <w:szCs w:val="16"/>
                <w:lang w:eastAsia="en-CA"/>
              </w:rPr>
              <w:t>2024</w:t>
            </w:r>
          </w:p>
        </w:tc>
        <w:tc>
          <w:tcPr>
            <w:tcW w:w="435" w:type="pct"/>
          </w:tcPr>
          <w:p w14:paraId="710DECA3" w14:textId="77777777" w:rsidR="00F734BB" w:rsidRPr="00F734BB" w:rsidRDefault="00F734BB" w:rsidP="00F734BB">
            <w:pPr>
              <w:keepNext/>
              <w:keepLines/>
              <w:jc w:val="center"/>
              <w:rPr>
                <w:b/>
                <w:bCs/>
                <w:color w:val="000000"/>
                <w:sz w:val="16"/>
                <w:szCs w:val="16"/>
                <w:lang w:eastAsia="en-CA"/>
              </w:rPr>
            </w:pPr>
            <w:r w:rsidRPr="00F734BB">
              <w:rPr>
                <w:b/>
                <w:bCs/>
                <w:color w:val="000000"/>
                <w:sz w:val="16"/>
                <w:szCs w:val="16"/>
                <w:lang w:eastAsia="en-CA"/>
              </w:rPr>
              <w:t>2025</w:t>
            </w:r>
          </w:p>
        </w:tc>
        <w:tc>
          <w:tcPr>
            <w:tcW w:w="507" w:type="pct"/>
          </w:tcPr>
          <w:p w14:paraId="3E3C0CB8" w14:textId="77777777" w:rsidR="00F734BB" w:rsidRPr="00F734BB" w:rsidRDefault="00F734BB" w:rsidP="00F734BB">
            <w:pPr>
              <w:keepNext/>
              <w:keepLines/>
              <w:jc w:val="center"/>
              <w:rPr>
                <w:b/>
                <w:bCs/>
                <w:color w:val="000000"/>
                <w:sz w:val="16"/>
                <w:szCs w:val="16"/>
                <w:lang w:eastAsia="en-CA"/>
              </w:rPr>
            </w:pPr>
            <w:r w:rsidRPr="00F734BB">
              <w:rPr>
                <w:b/>
                <w:bCs/>
                <w:color w:val="000000"/>
                <w:sz w:val="16"/>
                <w:szCs w:val="16"/>
                <w:lang w:eastAsia="en-CA"/>
              </w:rPr>
              <w:t>Total</w:t>
            </w:r>
          </w:p>
        </w:tc>
      </w:tr>
      <w:tr w:rsidR="00F734BB" w:rsidRPr="00F734BB" w14:paraId="6FA0E168" w14:textId="77777777" w:rsidTr="00A1083B">
        <w:trPr>
          <w:trHeight w:val="408"/>
        </w:trPr>
        <w:tc>
          <w:tcPr>
            <w:tcW w:w="315" w:type="pct"/>
            <w:shd w:val="clear" w:color="auto" w:fill="auto"/>
            <w:hideMark/>
          </w:tcPr>
          <w:p w14:paraId="2021A4C4" w14:textId="77777777" w:rsidR="00F734BB" w:rsidRPr="00F734BB" w:rsidRDefault="00F734BB" w:rsidP="00F734BB">
            <w:pPr>
              <w:keepNext/>
              <w:keepLines/>
              <w:jc w:val="left"/>
              <w:rPr>
                <w:color w:val="000000"/>
                <w:sz w:val="16"/>
                <w:szCs w:val="16"/>
                <w:lang w:eastAsia="en-CA"/>
              </w:rPr>
            </w:pPr>
            <w:r w:rsidRPr="00F734BB">
              <w:rPr>
                <w:color w:val="000000"/>
                <w:sz w:val="16"/>
                <w:szCs w:val="16"/>
                <w:lang w:eastAsia="en-CA"/>
              </w:rPr>
              <w:t>1.1</w:t>
            </w:r>
          </w:p>
        </w:tc>
        <w:tc>
          <w:tcPr>
            <w:tcW w:w="627" w:type="pct"/>
            <w:shd w:val="clear" w:color="auto" w:fill="auto"/>
            <w:hideMark/>
          </w:tcPr>
          <w:p w14:paraId="45BAA508" w14:textId="77777777" w:rsidR="00F734BB" w:rsidRPr="00F734BB" w:rsidRDefault="00F734BB" w:rsidP="00F734BB">
            <w:pPr>
              <w:keepNext/>
              <w:keepLines/>
              <w:jc w:val="left"/>
              <w:rPr>
                <w:color w:val="000000"/>
                <w:sz w:val="16"/>
                <w:szCs w:val="16"/>
                <w:lang w:eastAsia="en-CA"/>
              </w:rPr>
            </w:pPr>
            <w:r w:rsidRPr="00F734BB">
              <w:rPr>
                <w:color w:val="000000"/>
                <w:sz w:val="16"/>
                <w:szCs w:val="16"/>
                <w:lang w:eastAsia="en-CA"/>
              </w:rPr>
              <w:t>Montreal Protocol reduction schedule of Annex C, Group I substances (ODP tonnes)</w:t>
            </w:r>
          </w:p>
        </w:tc>
        <w:tc>
          <w:tcPr>
            <w:tcW w:w="436" w:type="pct"/>
            <w:shd w:val="clear" w:color="auto" w:fill="auto"/>
          </w:tcPr>
          <w:p w14:paraId="2459F5BB" w14:textId="77777777" w:rsidR="00F734BB" w:rsidRPr="00F734BB" w:rsidRDefault="00F734BB" w:rsidP="00F734BB">
            <w:pPr>
              <w:jc w:val="right"/>
              <w:rPr>
                <w:color w:val="000000"/>
                <w:sz w:val="16"/>
                <w:szCs w:val="16"/>
                <w:lang w:val="en-US"/>
              </w:rPr>
            </w:pPr>
            <w:r w:rsidRPr="00F734BB">
              <w:rPr>
                <w:color w:val="000000"/>
                <w:sz w:val="16"/>
                <w:szCs w:val="16"/>
                <w:lang w:val="en-US"/>
              </w:rPr>
              <w:t>24.19</w:t>
            </w:r>
          </w:p>
        </w:tc>
        <w:tc>
          <w:tcPr>
            <w:tcW w:w="362" w:type="pct"/>
            <w:shd w:val="clear" w:color="auto" w:fill="auto"/>
          </w:tcPr>
          <w:p w14:paraId="2A34C7E6" w14:textId="77777777" w:rsidR="00F734BB" w:rsidRPr="00F734BB" w:rsidRDefault="00F734BB" w:rsidP="00F734BB">
            <w:pPr>
              <w:jc w:val="right"/>
              <w:rPr>
                <w:color w:val="000000"/>
                <w:sz w:val="16"/>
                <w:szCs w:val="16"/>
                <w:lang w:val="en-US"/>
              </w:rPr>
            </w:pPr>
            <w:r w:rsidRPr="00F734BB">
              <w:rPr>
                <w:color w:val="000000"/>
                <w:sz w:val="16"/>
                <w:szCs w:val="16"/>
                <w:lang w:val="en-US"/>
              </w:rPr>
              <w:t>24.19</w:t>
            </w:r>
          </w:p>
        </w:tc>
        <w:tc>
          <w:tcPr>
            <w:tcW w:w="435" w:type="pct"/>
            <w:shd w:val="clear" w:color="auto" w:fill="auto"/>
          </w:tcPr>
          <w:p w14:paraId="45E5888A" w14:textId="77777777" w:rsidR="00F734BB" w:rsidRPr="00F734BB" w:rsidRDefault="00F734BB" w:rsidP="00F734BB">
            <w:pPr>
              <w:jc w:val="right"/>
              <w:rPr>
                <w:color w:val="000000"/>
                <w:sz w:val="16"/>
                <w:szCs w:val="16"/>
                <w:lang w:val="en-US"/>
              </w:rPr>
            </w:pPr>
            <w:r w:rsidRPr="00F734BB">
              <w:rPr>
                <w:color w:val="000000"/>
                <w:sz w:val="16"/>
                <w:szCs w:val="16"/>
                <w:lang w:val="en-US"/>
              </w:rPr>
              <w:t>24.19</w:t>
            </w:r>
          </w:p>
        </w:tc>
        <w:tc>
          <w:tcPr>
            <w:tcW w:w="362" w:type="pct"/>
            <w:shd w:val="clear" w:color="auto" w:fill="auto"/>
          </w:tcPr>
          <w:p w14:paraId="11B3E2A3" w14:textId="77777777" w:rsidR="00F734BB" w:rsidRPr="00F734BB" w:rsidRDefault="00F734BB" w:rsidP="00F734BB">
            <w:pPr>
              <w:jc w:val="right"/>
              <w:rPr>
                <w:color w:val="000000"/>
                <w:sz w:val="16"/>
                <w:szCs w:val="16"/>
                <w:lang w:val="en-US"/>
              </w:rPr>
            </w:pPr>
            <w:r w:rsidRPr="00F734BB">
              <w:rPr>
                <w:color w:val="000000"/>
                <w:sz w:val="16"/>
                <w:szCs w:val="16"/>
                <w:lang w:val="en-US"/>
              </w:rPr>
              <w:t>17.47</w:t>
            </w:r>
          </w:p>
        </w:tc>
        <w:tc>
          <w:tcPr>
            <w:tcW w:w="362" w:type="pct"/>
            <w:shd w:val="clear" w:color="auto" w:fill="auto"/>
          </w:tcPr>
          <w:p w14:paraId="3D0A4C26" w14:textId="77777777" w:rsidR="00F734BB" w:rsidRPr="00F734BB" w:rsidRDefault="00F734BB" w:rsidP="00F734BB">
            <w:pPr>
              <w:jc w:val="right"/>
              <w:rPr>
                <w:color w:val="000000"/>
                <w:sz w:val="16"/>
                <w:szCs w:val="16"/>
                <w:lang w:val="en-US"/>
              </w:rPr>
            </w:pPr>
            <w:r w:rsidRPr="00F734BB">
              <w:rPr>
                <w:color w:val="000000"/>
                <w:sz w:val="16"/>
                <w:szCs w:val="16"/>
                <w:lang w:val="en-US"/>
              </w:rPr>
              <w:t>17.47</w:t>
            </w:r>
          </w:p>
        </w:tc>
        <w:tc>
          <w:tcPr>
            <w:tcW w:w="435" w:type="pct"/>
            <w:shd w:val="clear" w:color="auto" w:fill="auto"/>
          </w:tcPr>
          <w:p w14:paraId="4F182BD7" w14:textId="77777777" w:rsidR="00F734BB" w:rsidRPr="00F734BB" w:rsidRDefault="00F734BB" w:rsidP="00F734BB">
            <w:pPr>
              <w:jc w:val="right"/>
              <w:rPr>
                <w:color w:val="000000"/>
                <w:sz w:val="16"/>
                <w:szCs w:val="16"/>
                <w:lang w:val="en-US"/>
              </w:rPr>
            </w:pPr>
            <w:r w:rsidRPr="00F734BB">
              <w:rPr>
                <w:color w:val="000000"/>
                <w:sz w:val="16"/>
                <w:szCs w:val="16"/>
                <w:lang w:val="en-US"/>
              </w:rPr>
              <w:t>17.47</w:t>
            </w:r>
          </w:p>
        </w:tc>
        <w:tc>
          <w:tcPr>
            <w:tcW w:w="363" w:type="pct"/>
            <w:shd w:val="clear" w:color="auto" w:fill="auto"/>
          </w:tcPr>
          <w:p w14:paraId="6D56AF5E" w14:textId="77777777" w:rsidR="00F734BB" w:rsidRPr="00F734BB" w:rsidRDefault="00F734BB" w:rsidP="00F734BB">
            <w:pPr>
              <w:jc w:val="right"/>
              <w:rPr>
                <w:color w:val="000000"/>
                <w:sz w:val="16"/>
                <w:szCs w:val="16"/>
                <w:lang w:val="en-US"/>
              </w:rPr>
            </w:pPr>
            <w:r w:rsidRPr="00F734BB">
              <w:rPr>
                <w:color w:val="000000"/>
                <w:sz w:val="16"/>
                <w:szCs w:val="16"/>
                <w:lang w:val="en-US"/>
              </w:rPr>
              <w:t>17.47</w:t>
            </w:r>
          </w:p>
        </w:tc>
        <w:tc>
          <w:tcPr>
            <w:tcW w:w="362" w:type="pct"/>
            <w:shd w:val="clear" w:color="auto" w:fill="auto"/>
          </w:tcPr>
          <w:p w14:paraId="3192A84E" w14:textId="77777777" w:rsidR="00F734BB" w:rsidRPr="00F734BB" w:rsidRDefault="00F734BB" w:rsidP="00F734BB">
            <w:pPr>
              <w:jc w:val="right"/>
              <w:rPr>
                <w:color w:val="000000"/>
                <w:sz w:val="16"/>
                <w:szCs w:val="16"/>
                <w:lang w:val="en-US"/>
              </w:rPr>
            </w:pPr>
            <w:r w:rsidRPr="00F734BB">
              <w:rPr>
                <w:color w:val="000000"/>
                <w:sz w:val="16"/>
                <w:szCs w:val="16"/>
                <w:lang w:val="en-US"/>
              </w:rPr>
              <w:t>17.47</w:t>
            </w:r>
          </w:p>
        </w:tc>
        <w:tc>
          <w:tcPr>
            <w:tcW w:w="435" w:type="pct"/>
            <w:shd w:val="clear" w:color="auto" w:fill="auto"/>
          </w:tcPr>
          <w:p w14:paraId="624F7540" w14:textId="77777777" w:rsidR="00F734BB" w:rsidRPr="00A1083B" w:rsidRDefault="00F734BB" w:rsidP="00F734BB">
            <w:pPr>
              <w:jc w:val="center"/>
              <w:rPr>
                <w:bCs/>
                <w:color w:val="000000"/>
                <w:sz w:val="16"/>
                <w:szCs w:val="16"/>
                <w:lang w:val="en-US"/>
              </w:rPr>
            </w:pPr>
            <w:r w:rsidRPr="00A1083B">
              <w:rPr>
                <w:bCs/>
                <w:color w:val="000000"/>
                <w:sz w:val="16"/>
                <w:szCs w:val="16"/>
                <w:lang w:val="en-US"/>
              </w:rPr>
              <w:t>8.74</w:t>
            </w:r>
          </w:p>
        </w:tc>
        <w:tc>
          <w:tcPr>
            <w:tcW w:w="507" w:type="pct"/>
          </w:tcPr>
          <w:p w14:paraId="1D520BF1" w14:textId="77777777" w:rsidR="00F734BB" w:rsidRPr="00F734BB" w:rsidRDefault="00DC54B8" w:rsidP="00F734BB">
            <w:pPr>
              <w:keepNext/>
              <w:keepLines/>
              <w:jc w:val="right"/>
              <w:rPr>
                <w:color w:val="000000"/>
                <w:sz w:val="16"/>
                <w:szCs w:val="16"/>
                <w:lang w:eastAsia="en-CA"/>
              </w:rPr>
            </w:pPr>
            <w:r>
              <w:rPr>
                <w:color w:val="000000"/>
                <w:sz w:val="16"/>
                <w:szCs w:val="16"/>
                <w:lang w:eastAsia="en-CA"/>
              </w:rPr>
              <w:t>n/a</w:t>
            </w:r>
          </w:p>
        </w:tc>
      </w:tr>
      <w:tr w:rsidR="00F734BB" w:rsidRPr="00F734BB" w14:paraId="06158361" w14:textId="77777777" w:rsidTr="00A1083B">
        <w:trPr>
          <w:trHeight w:val="408"/>
        </w:trPr>
        <w:tc>
          <w:tcPr>
            <w:tcW w:w="315" w:type="pct"/>
            <w:shd w:val="clear" w:color="auto" w:fill="auto"/>
            <w:hideMark/>
          </w:tcPr>
          <w:p w14:paraId="09F45037" w14:textId="77777777" w:rsidR="00F734BB" w:rsidRPr="00F734BB" w:rsidRDefault="00F734BB" w:rsidP="00F734BB">
            <w:pPr>
              <w:jc w:val="left"/>
              <w:rPr>
                <w:color w:val="000000"/>
                <w:sz w:val="16"/>
                <w:szCs w:val="16"/>
                <w:lang w:eastAsia="en-CA"/>
              </w:rPr>
            </w:pPr>
            <w:r w:rsidRPr="00F734BB">
              <w:rPr>
                <w:color w:val="000000"/>
                <w:sz w:val="16"/>
                <w:szCs w:val="16"/>
                <w:lang w:eastAsia="en-CA"/>
              </w:rPr>
              <w:t>1.2</w:t>
            </w:r>
          </w:p>
        </w:tc>
        <w:tc>
          <w:tcPr>
            <w:tcW w:w="627" w:type="pct"/>
            <w:shd w:val="clear" w:color="auto" w:fill="auto"/>
            <w:hideMark/>
          </w:tcPr>
          <w:p w14:paraId="7CB60426" w14:textId="77777777" w:rsidR="00F734BB" w:rsidRPr="00F734BB" w:rsidRDefault="00F734BB" w:rsidP="00F734BB">
            <w:pPr>
              <w:jc w:val="left"/>
              <w:rPr>
                <w:color w:val="000000"/>
                <w:sz w:val="16"/>
                <w:szCs w:val="16"/>
                <w:lang w:eastAsia="en-CA"/>
              </w:rPr>
            </w:pPr>
            <w:r w:rsidRPr="00F734BB">
              <w:rPr>
                <w:color w:val="000000"/>
                <w:sz w:val="16"/>
                <w:szCs w:val="16"/>
                <w:lang w:eastAsia="en-CA"/>
              </w:rPr>
              <w:t>Maximum allowable total consumption of Annex C, Group I substances (ODP tonnes)</w:t>
            </w:r>
          </w:p>
        </w:tc>
        <w:tc>
          <w:tcPr>
            <w:tcW w:w="436" w:type="pct"/>
            <w:shd w:val="clear" w:color="auto" w:fill="auto"/>
          </w:tcPr>
          <w:p w14:paraId="6DCA3284" w14:textId="77777777" w:rsidR="00F734BB" w:rsidRPr="00F734BB" w:rsidRDefault="00F734BB" w:rsidP="00F734BB">
            <w:pPr>
              <w:jc w:val="right"/>
              <w:rPr>
                <w:color w:val="000000"/>
                <w:sz w:val="16"/>
                <w:szCs w:val="16"/>
                <w:lang w:val="en-US"/>
              </w:rPr>
            </w:pPr>
            <w:r w:rsidRPr="00F734BB">
              <w:rPr>
                <w:color w:val="000000"/>
                <w:sz w:val="16"/>
                <w:szCs w:val="16"/>
                <w:lang w:val="en-US"/>
              </w:rPr>
              <w:t>24.19</w:t>
            </w:r>
          </w:p>
        </w:tc>
        <w:tc>
          <w:tcPr>
            <w:tcW w:w="362" w:type="pct"/>
            <w:shd w:val="clear" w:color="auto" w:fill="auto"/>
          </w:tcPr>
          <w:p w14:paraId="0100F6F4" w14:textId="77777777" w:rsidR="00F734BB" w:rsidRPr="00F734BB" w:rsidRDefault="00F734BB" w:rsidP="00F734BB">
            <w:pPr>
              <w:jc w:val="right"/>
              <w:rPr>
                <w:color w:val="000000"/>
                <w:sz w:val="16"/>
                <w:szCs w:val="16"/>
                <w:lang w:val="en-US"/>
              </w:rPr>
            </w:pPr>
            <w:r w:rsidRPr="00F734BB">
              <w:rPr>
                <w:color w:val="000000"/>
                <w:sz w:val="16"/>
                <w:szCs w:val="16"/>
                <w:lang w:val="en-US"/>
              </w:rPr>
              <w:t>24.19</w:t>
            </w:r>
          </w:p>
        </w:tc>
        <w:tc>
          <w:tcPr>
            <w:tcW w:w="435" w:type="pct"/>
            <w:shd w:val="clear" w:color="auto" w:fill="auto"/>
          </w:tcPr>
          <w:p w14:paraId="1D0EB201" w14:textId="77777777" w:rsidR="00F734BB" w:rsidRPr="00F734BB" w:rsidRDefault="00F734BB" w:rsidP="00F734BB">
            <w:pPr>
              <w:jc w:val="right"/>
              <w:rPr>
                <w:color w:val="000000"/>
                <w:sz w:val="16"/>
                <w:szCs w:val="16"/>
                <w:lang w:val="en-US"/>
              </w:rPr>
            </w:pPr>
            <w:r w:rsidRPr="00F734BB">
              <w:rPr>
                <w:color w:val="000000"/>
                <w:sz w:val="16"/>
                <w:szCs w:val="16"/>
                <w:lang w:val="en-US"/>
              </w:rPr>
              <w:t>24.19</w:t>
            </w:r>
          </w:p>
        </w:tc>
        <w:tc>
          <w:tcPr>
            <w:tcW w:w="362" w:type="pct"/>
            <w:shd w:val="clear" w:color="auto" w:fill="auto"/>
          </w:tcPr>
          <w:p w14:paraId="57CF8F27" w14:textId="77777777" w:rsidR="00F734BB" w:rsidRPr="00F734BB" w:rsidRDefault="00F734BB" w:rsidP="00F734BB">
            <w:pPr>
              <w:jc w:val="right"/>
              <w:rPr>
                <w:color w:val="000000"/>
                <w:sz w:val="16"/>
                <w:szCs w:val="16"/>
                <w:lang w:val="en-US"/>
              </w:rPr>
            </w:pPr>
            <w:r w:rsidRPr="00F734BB">
              <w:rPr>
                <w:color w:val="000000"/>
                <w:sz w:val="16"/>
                <w:szCs w:val="16"/>
                <w:lang w:val="en-US"/>
              </w:rPr>
              <w:t>17.47</w:t>
            </w:r>
          </w:p>
        </w:tc>
        <w:tc>
          <w:tcPr>
            <w:tcW w:w="362" w:type="pct"/>
            <w:shd w:val="clear" w:color="auto" w:fill="auto"/>
          </w:tcPr>
          <w:p w14:paraId="50B3B8C0" w14:textId="77777777" w:rsidR="00F734BB" w:rsidRPr="00F734BB" w:rsidRDefault="00F734BB" w:rsidP="00F734BB">
            <w:pPr>
              <w:jc w:val="right"/>
              <w:rPr>
                <w:color w:val="000000"/>
                <w:sz w:val="16"/>
                <w:szCs w:val="16"/>
                <w:lang w:val="en-US"/>
              </w:rPr>
            </w:pPr>
            <w:r w:rsidRPr="00F734BB">
              <w:rPr>
                <w:color w:val="000000"/>
                <w:sz w:val="16"/>
                <w:szCs w:val="16"/>
                <w:lang w:val="en-US"/>
              </w:rPr>
              <w:t>17.47</w:t>
            </w:r>
          </w:p>
        </w:tc>
        <w:tc>
          <w:tcPr>
            <w:tcW w:w="435" w:type="pct"/>
            <w:shd w:val="clear" w:color="auto" w:fill="auto"/>
          </w:tcPr>
          <w:p w14:paraId="19C37D5C" w14:textId="77777777" w:rsidR="00F734BB" w:rsidRPr="00F734BB" w:rsidRDefault="00F734BB" w:rsidP="00F734BB">
            <w:pPr>
              <w:jc w:val="right"/>
              <w:rPr>
                <w:color w:val="000000"/>
                <w:sz w:val="16"/>
                <w:szCs w:val="16"/>
                <w:lang w:val="en-US"/>
              </w:rPr>
            </w:pPr>
            <w:r w:rsidRPr="00F734BB">
              <w:rPr>
                <w:color w:val="000000"/>
                <w:sz w:val="16"/>
                <w:szCs w:val="16"/>
                <w:lang w:val="en-US"/>
              </w:rPr>
              <w:t>17.47</w:t>
            </w:r>
          </w:p>
        </w:tc>
        <w:tc>
          <w:tcPr>
            <w:tcW w:w="363" w:type="pct"/>
            <w:shd w:val="clear" w:color="auto" w:fill="auto"/>
          </w:tcPr>
          <w:p w14:paraId="7BAD0391" w14:textId="77777777" w:rsidR="00F734BB" w:rsidRPr="00F734BB" w:rsidRDefault="00F734BB" w:rsidP="00F734BB">
            <w:pPr>
              <w:jc w:val="right"/>
              <w:rPr>
                <w:color w:val="000000"/>
                <w:sz w:val="16"/>
                <w:szCs w:val="16"/>
                <w:lang w:val="en-US"/>
              </w:rPr>
            </w:pPr>
            <w:r w:rsidRPr="00F734BB">
              <w:rPr>
                <w:color w:val="000000"/>
                <w:sz w:val="16"/>
                <w:szCs w:val="16"/>
                <w:lang w:val="en-US"/>
              </w:rPr>
              <w:t>17.47</w:t>
            </w:r>
          </w:p>
        </w:tc>
        <w:tc>
          <w:tcPr>
            <w:tcW w:w="362" w:type="pct"/>
            <w:shd w:val="clear" w:color="auto" w:fill="auto"/>
          </w:tcPr>
          <w:p w14:paraId="376EC704" w14:textId="77777777" w:rsidR="00F734BB" w:rsidRPr="00F734BB" w:rsidRDefault="00F734BB" w:rsidP="00F734BB">
            <w:pPr>
              <w:jc w:val="right"/>
              <w:rPr>
                <w:color w:val="000000"/>
                <w:sz w:val="16"/>
                <w:szCs w:val="16"/>
                <w:lang w:val="en-US"/>
              </w:rPr>
            </w:pPr>
            <w:r w:rsidRPr="00F734BB">
              <w:rPr>
                <w:color w:val="000000"/>
                <w:sz w:val="16"/>
                <w:szCs w:val="16"/>
                <w:lang w:val="en-US"/>
              </w:rPr>
              <w:t>17.47</w:t>
            </w:r>
          </w:p>
        </w:tc>
        <w:tc>
          <w:tcPr>
            <w:tcW w:w="435" w:type="pct"/>
            <w:shd w:val="clear" w:color="auto" w:fill="auto"/>
          </w:tcPr>
          <w:p w14:paraId="2FD5A950" w14:textId="77777777" w:rsidR="00F734BB" w:rsidRPr="00A1083B" w:rsidRDefault="00F734BB" w:rsidP="00F734BB">
            <w:pPr>
              <w:jc w:val="center"/>
              <w:rPr>
                <w:bCs/>
                <w:color w:val="000000"/>
                <w:sz w:val="16"/>
                <w:szCs w:val="16"/>
                <w:lang w:val="en-US"/>
              </w:rPr>
            </w:pPr>
            <w:r w:rsidRPr="00A1083B">
              <w:rPr>
                <w:bCs/>
                <w:color w:val="000000"/>
                <w:sz w:val="16"/>
                <w:szCs w:val="16"/>
                <w:lang w:val="en-US"/>
              </w:rPr>
              <w:t>8.74</w:t>
            </w:r>
          </w:p>
        </w:tc>
        <w:tc>
          <w:tcPr>
            <w:tcW w:w="507" w:type="pct"/>
          </w:tcPr>
          <w:p w14:paraId="32CD3921" w14:textId="77777777" w:rsidR="00F734BB" w:rsidRPr="00F734BB" w:rsidRDefault="00DC54B8" w:rsidP="00F734BB">
            <w:pPr>
              <w:jc w:val="right"/>
              <w:rPr>
                <w:color w:val="000000"/>
                <w:sz w:val="16"/>
                <w:szCs w:val="16"/>
                <w:lang w:eastAsia="en-CA"/>
              </w:rPr>
            </w:pPr>
            <w:r>
              <w:rPr>
                <w:color w:val="000000"/>
                <w:sz w:val="16"/>
                <w:szCs w:val="16"/>
                <w:lang w:eastAsia="en-CA"/>
              </w:rPr>
              <w:t>n/a</w:t>
            </w:r>
          </w:p>
        </w:tc>
      </w:tr>
      <w:tr w:rsidR="00F734BB" w:rsidRPr="00F734BB" w14:paraId="7C26539B" w14:textId="77777777" w:rsidTr="00A1083B">
        <w:trPr>
          <w:trHeight w:val="116"/>
        </w:trPr>
        <w:tc>
          <w:tcPr>
            <w:tcW w:w="315" w:type="pct"/>
            <w:shd w:val="clear" w:color="auto" w:fill="auto"/>
            <w:hideMark/>
          </w:tcPr>
          <w:p w14:paraId="025DD24B" w14:textId="77777777" w:rsidR="00F734BB" w:rsidRPr="00F734BB" w:rsidRDefault="00F734BB" w:rsidP="00F734BB">
            <w:pPr>
              <w:jc w:val="left"/>
              <w:rPr>
                <w:color w:val="000000"/>
                <w:sz w:val="16"/>
                <w:szCs w:val="16"/>
                <w:lang w:eastAsia="en-CA"/>
              </w:rPr>
            </w:pPr>
            <w:r w:rsidRPr="00F734BB">
              <w:rPr>
                <w:color w:val="000000"/>
                <w:sz w:val="16"/>
                <w:szCs w:val="16"/>
                <w:lang w:eastAsia="en-CA"/>
              </w:rPr>
              <w:t>2.1</w:t>
            </w:r>
          </w:p>
        </w:tc>
        <w:tc>
          <w:tcPr>
            <w:tcW w:w="627" w:type="pct"/>
            <w:shd w:val="clear" w:color="auto" w:fill="auto"/>
            <w:hideMark/>
          </w:tcPr>
          <w:p w14:paraId="6459479C" w14:textId="77777777" w:rsidR="00F734BB" w:rsidRPr="00F734BB" w:rsidRDefault="00F734BB" w:rsidP="00F734BB">
            <w:pPr>
              <w:jc w:val="left"/>
              <w:rPr>
                <w:color w:val="000000"/>
                <w:sz w:val="16"/>
                <w:szCs w:val="16"/>
                <w:lang w:eastAsia="en-CA"/>
              </w:rPr>
            </w:pPr>
            <w:r w:rsidRPr="00F734BB">
              <w:rPr>
                <w:color w:val="000000"/>
                <w:sz w:val="16"/>
                <w:szCs w:val="16"/>
                <w:lang w:eastAsia="en-CA"/>
              </w:rPr>
              <w:t>Lead IA (UNDP) agreed funding (</w:t>
            </w:r>
            <w:r w:rsidR="00682B63">
              <w:rPr>
                <w:color w:val="000000"/>
                <w:sz w:val="16"/>
                <w:szCs w:val="16"/>
                <w:lang w:eastAsia="en-CA"/>
              </w:rPr>
              <w:t>US $</w:t>
            </w:r>
            <w:r w:rsidRPr="00F734BB">
              <w:rPr>
                <w:color w:val="000000"/>
                <w:sz w:val="16"/>
                <w:szCs w:val="16"/>
                <w:lang w:eastAsia="en-CA"/>
              </w:rPr>
              <w:t>)</w:t>
            </w:r>
          </w:p>
        </w:tc>
        <w:tc>
          <w:tcPr>
            <w:tcW w:w="436" w:type="pct"/>
            <w:shd w:val="clear" w:color="auto" w:fill="auto"/>
          </w:tcPr>
          <w:p w14:paraId="501D06A3" w14:textId="77777777" w:rsidR="00F734BB" w:rsidRPr="00F734BB" w:rsidRDefault="00F734BB" w:rsidP="00F734BB">
            <w:pPr>
              <w:jc w:val="right"/>
              <w:rPr>
                <w:color w:val="000000"/>
                <w:sz w:val="16"/>
                <w:szCs w:val="16"/>
                <w:lang w:val="en-US"/>
              </w:rPr>
            </w:pPr>
            <w:r w:rsidRPr="00F734BB">
              <w:rPr>
                <w:color w:val="000000"/>
                <w:sz w:val="16"/>
                <w:szCs w:val="16"/>
              </w:rPr>
              <w:t>350,100</w:t>
            </w:r>
          </w:p>
        </w:tc>
        <w:tc>
          <w:tcPr>
            <w:tcW w:w="362" w:type="pct"/>
            <w:shd w:val="clear" w:color="auto" w:fill="auto"/>
          </w:tcPr>
          <w:p w14:paraId="04947954" w14:textId="77777777" w:rsidR="00F734BB" w:rsidRPr="00F734BB" w:rsidRDefault="00F734BB" w:rsidP="00F734BB">
            <w:pPr>
              <w:jc w:val="right"/>
              <w:rPr>
                <w:color w:val="000000"/>
                <w:sz w:val="16"/>
                <w:szCs w:val="16"/>
              </w:rPr>
            </w:pPr>
            <w:r w:rsidRPr="00F734BB">
              <w:rPr>
                <w:color w:val="000000"/>
                <w:sz w:val="16"/>
                <w:szCs w:val="16"/>
              </w:rPr>
              <w:t>0</w:t>
            </w:r>
          </w:p>
        </w:tc>
        <w:tc>
          <w:tcPr>
            <w:tcW w:w="435" w:type="pct"/>
            <w:shd w:val="clear" w:color="auto" w:fill="auto"/>
          </w:tcPr>
          <w:p w14:paraId="4EFF4463" w14:textId="77777777" w:rsidR="00F734BB" w:rsidRPr="00F734BB" w:rsidRDefault="00F734BB" w:rsidP="00F734BB">
            <w:pPr>
              <w:jc w:val="right"/>
              <w:rPr>
                <w:color w:val="000000"/>
                <w:sz w:val="16"/>
                <w:szCs w:val="16"/>
              </w:rPr>
            </w:pPr>
            <w:r w:rsidRPr="00F734BB">
              <w:rPr>
                <w:color w:val="000000"/>
                <w:sz w:val="16"/>
                <w:szCs w:val="16"/>
              </w:rPr>
              <w:t>350,100</w:t>
            </w:r>
          </w:p>
        </w:tc>
        <w:tc>
          <w:tcPr>
            <w:tcW w:w="362" w:type="pct"/>
            <w:shd w:val="clear" w:color="auto" w:fill="auto"/>
          </w:tcPr>
          <w:p w14:paraId="31EF5EA3" w14:textId="77777777" w:rsidR="00F734BB" w:rsidRPr="00F734BB" w:rsidRDefault="00F734BB" w:rsidP="00F734BB">
            <w:pPr>
              <w:jc w:val="right"/>
              <w:rPr>
                <w:color w:val="000000"/>
                <w:sz w:val="16"/>
                <w:szCs w:val="16"/>
              </w:rPr>
            </w:pPr>
            <w:r w:rsidRPr="00F734BB">
              <w:rPr>
                <w:color w:val="000000"/>
                <w:sz w:val="16"/>
                <w:szCs w:val="16"/>
              </w:rPr>
              <w:t>0</w:t>
            </w:r>
          </w:p>
        </w:tc>
        <w:tc>
          <w:tcPr>
            <w:tcW w:w="362" w:type="pct"/>
            <w:shd w:val="clear" w:color="auto" w:fill="auto"/>
          </w:tcPr>
          <w:p w14:paraId="470E506E" w14:textId="77777777" w:rsidR="00F734BB" w:rsidRPr="00F734BB" w:rsidRDefault="00F734BB" w:rsidP="00F734BB">
            <w:pPr>
              <w:jc w:val="right"/>
              <w:rPr>
                <w:color w:val="000000"/>
                <w:sz w:val="16"/>
                <w:szCs w:val="16"/>
              </w:rPr>
            </w:pPr>
            <w:r w:rsidRPr="00F734BB">
              <w:rPr>
                <w:color w:val="000000"/>
                <w:sz w:val="16"/>
                <w:szCs w:val="16"/>
              </w:rPr>
              <w:t>0</w:t>
            </w:r>
          </w:p>
        </w:tc>
        <w:tc>
          <w:tcPr>
            <w:tcW w:w="435" w:type="pct"/>
            <w:shd w:val="clear" w:color="auto" w:fill="auto"/>
          </w:tcPr>
          <w:p w14:paraId="0B30752A" w14:textId="77777777" w:rsidR="00F734BB" w:rsidRPr="00F734BB" w:rsidRDefault="00F734BB" w:rsidP="00F734BB">
            <w:pPr>
              <w:jc w:val="right"/>
              <w:rPr>
                <w:color w:val="000000"/>
                <w:sz w:val="16"/>
                <w:szCs w:val="16"/>
              </w:rPr>
            </w:pPr>
            <w:r w:rsidRPr="00F734BB">
              <w:rPr>
                <w:color w:val="000000"/>
                <w:sz w:val="16"/>
                <w:szCs w:val="16"/>
              </w:rPr>
              <w:t>350,100</w:t>
            </w:r>
          </w:p>
        </w:tc>
        <w:tc>
          <w:tcPr>
            <w:tcW w:w="363" w:type="pct"/>
            <w:shd w:val="clear" w:color="auto" w:fill="auto"/>
          </w:tcPr>
          <w:p w14:paraId="5D0B80A2" w14:textId="77777777" w:rsidR="00F734BB" w:rsidRPr="00F734BB" w:rsidRDefault="00F734BB" w:rsidP="00F734BB">
            <w:pPr>
              <w:jc w:val="right"/>
              <w:rPr>
                <w:color w:val="000000"/>
                <w:sz w:val="16"/>
                <w:szCs w:val="16"/>
              </w:rPr>
            </w:pPr>
            <w:r w:rsidRPr="00F734BB">
              <w:rPr>
                <w:color w:val="000000"/>
                <w:sz w:val="16"/>
                <w:szCs w:val="16"/>
              </w:rPr>
              <w:t>0</w:t>
            </w:r>
          </w:p>
        </w:tc>
        <w:tc>
          <w:tcPr>
            <w:tcW w:w="362" w:type="pct"/>
            <w:shd w:val="clear" w:color="auto" w:fill="auto"/>
          </w:tcPr>
          <w:p w14:paraId="1D529F6B" w14:textId="77777777" w:rsidR="00F734BB" w:rsidRPr="00F734BB" w:rsidRDefault="00F734BB" w:rsidP="00F734BB">
            <w:pPr>
              <w:jc w:val="right"/>
              <w:rPr>
                <w:color w:val="000000"/>
                <w:sz w:val="16"/>
                <w:szCs w:val="16"/>
              </w:rPr>
            </w:pPr>
            <w:r w:rsidRPr="00F734BB">
              <w:rPr>
                <w:color w:val="000000"/>
                <w:sz w:val="16"/>
                <w:szCs w:val="16"/>
              </w:rPr>
              <w:t>0</w:t>
            </w:r>
          </w:p>
        </w:tc>
        <w:tc>
          <w:tcPr>
            <w:tcW w:w="435" w:type="pct"/>
            <w:shd w:val="clear" w:color="auto" w:fill="auto"/>
          </w:tcPr>
          <w:p w14:paraId="05BA9A2D" w14:textId="77777777" w:rsidR="00F734BB" w:rsidRPr="00F734BB" w:rsidRDefault="00F734BB" w:rsidP="00F734BB">
            <w:pPr>
              <w:jc w:val="right"/>
              <w:rPr>
                <w:color w:val="000000"/>
                <w:sz w:val="16"/>
                <w:szCs w:val="16"/>
              </w:rPr>
            </w:pPr>
            <w:r w:rsidRPr="00F734BB">
              <w:rPr>
                <w:color w:val="000000"/>
                <w:sz w:val="16"/>
                <w:szCs w:val="16"/>
              </w:rPr>
              <w:t>116,700</w:t>
            </w:r>
          </w:p>
        </w:tc>
        <w:tc>
          <w:tcPr>
            <w:tcW w:w="507" w:type="pct"/>
            <w:shd w:val="clear" w:color="auto" w:fill="auto"/>
          </w:tcPr>
          <w:p w14:paraId="62B95CB4" w14:textId="77777777" w:rsidR="00F734BB" w:rsidRPr="00F734BB" w:rsidRDefault="00F734BB" w:rsidP="00F734BB">
            <w:pPr>
              <w:jc w:val="right"/>
              <w:rPr>
                <w:color w:val="000000"/>
                <w:sz w:val="16"/>
                <w:szCs w:val="16"/>
              </w:rPr>
            </w:pPr>
            <w:r w:rsidRPr="00F734BB">
              <w:rPr>
                <w:color w:val="000000"/>
                <w:sz w:val="16"/>
                <w:szCs w:val="16"/>
              </w:rPr>
              <w:t>1,167,000</w:t>
            </w:r>
          </w:p>
        </w:tc>
      </w:tr>
      <w:tr w:rsidR="00F734BB" w:rsidRPr="00F734BB" w14:paraId="5AB55291" w14:textId="77777777" w:rsidTr="00A1083B">
        <w:trPr>
          <w:trHeight w:val="56"/>
        </w:trPr>
        <w:tc>
          <w:tcPr>
            <w:tcW w:w="315" w:type="pct"/>
            <w:shd w:val="clear" w:color="auto" w:fill="auto"/>
            <w:hideMark/>
          </w:tcPr>
          <w:p w14:paraId="656268ED" w14:textId="77777777" w:rsidR="00F734BB" w:rsidRPr="00F734BB" w:rsidRDefault="00F734BB" w:rsidP="00F734BB">
            <w:pPr>
              <w:jc w:val="left"/>
              <w:rPr>
                <w:color w:val="000000"/>
                <w:sz w:val="16"/>
                <w:szCs w:val="16"/>
                <w:lang w:eastAsia="en-CA"/>
              </w:rPr>
            </w:pPr>
            <w:r w:rsidRPr="00F734BB">
              <w:rPr>
                <w:color w:val="000000"/>
                <w:sz w:val="16"/>
                <w:szCs w:val="16"/>
                <w:lang w:eastAsia="en-CA"/>
              </w:rPr>
              <w:t>2.2</w:t>
            </w:r>
          </w:p>
        </w:tc>
        <w:tc>
          <w:tcPr>
            <w:tcW w:w="627" w:type="pct"/>
            <w:shd w:val="clear" w:color="auto" w:fill="auto"/>
            <w:hideMark/>
          </w:tcPr>
          <w:p w14:paraId="0B60439D" w14:textId="77777777" w:rsidR="00F734BB" w:rsidRPr="00F734BB" w:rsidRDefault="00F734BB" w:rsidP="00F734BB">
            <w:pPr>
              <w:jc w:val="left"/>
              <w:rPr>
                <w:color w:val="000000"/>
                <w:sz w:val="16"/>
                <w:szCs w:val="16"/>
                <w:lang w:eastAsia="en-CA"/>
              </w:rPr>
            </w:pPr>
            <w:r w:rsidRPr="00F734BB">
              <w:rPr>
                <w:color w:val="000000"/>
                <w:sz w:val="16"/>
                <w:szCs w:val="16"/>
                <w:lang w:eastAsia="en-CA"/>
              </w:rPr>
              <w:t>Support costs for Lead IA (</w:t>
            </w:r>
            <w:r w:rsidR="00682B63">
              <w:rPr>
                <w:color w:val="000000"/>
                <w:sz w:val="16"/>
                <w:szCs w:val="16"/>
                <w:lang w:eastAsia="en-CA"/>
              </w:rPr>
              <w:t>US $</w:t>
            </w:r>
            <w:r w:rsidRPr="00F734BB">
              <w:rPr>
                <w:color w:val="000000"/>
                <w:sz w:val="16"/>
                <w:szCs w:val="16"/>
                <w:lang w:eastAsia="en-CA"/>
              </w:rPr>
              <w:t>)</w:t>
            </w:r>
          </w:p>
        </w:tc>
        <w:tc>
          <w:tcPr>
            <w:tcW w:w="436" w:type="pct"/>
            <w:shd w:val="clear" w:color="auto" w:fill="auto"/>
          </w:tcPr>
          <w:p w14:paraId="070E86A6" w14:textId="77777777" w:rsidR="00F734BB" w:rsidRPr="00F734BB" w:rsidRDefault="00F734BB" w:rsidP="00F734BB">
            <w:pPr>
              <w:jc w:val="right"/>
              <w:rPr>
                <w:color w:val="000000"/>
                <w:sz w:val="16"/>
                <w:szCs w:val="16"/>
              </w:rPr>
            </w:pPr>
            <w:r w:rsidRPr="00F734BB">
              <w:rPr>
                <w:color w:val="000000"/>
                <w:sz w:val="16"/>
                <w:szCs w:val="16"/>
              </w:rPr>
              <w:t>24,507</w:t>
            </w:r>
          </w:p>
        </w:tc>
        <w:tc>
          <w:tcPr>
            <w:tcW w:w="362" w:type="pct"/>
            <w:shd w:val="clear" w:color="auto" w:fill="auto"/>
          </w:tcPr>
          <w:p w14:paraId="53505303" w14:textId="77777777" w:rsidR="00F734BB" w:rsidRPr="00F734BB" w:rsidRDefault="00F734BB" w:rsidP="00F734BB">
            <w:pPr>
              <w:jc w:val="right"/>
              <w:rPr>
                <w:color w:val="000000"/>
                <w:sz w:val="16"/>
                <w:szCs w:val="16"/>
              </w:rPr>
            </w:pPr>
            <w:r w:rsidRPr="00F734BB">
              <w:rPr>
                <w:color w:val="000000"/>
                <w:sz w:val="16"/>
                <w:szCs w:val="16"/>
              </w:rPr>
              <w:t>0</w:t>
            </w:r>
          </w:p>
        </w:tc>
        <w:tc>
          <w:tcPr>
            <w:tcW w:w="435" w:type="pct"/>
            <w:shd w:val="clear" w:color="auto" w:fill="auto"/>
          </w:tcPr>
          <w:p w14:paraId="4B8D8995" w14:textId="77777777" w:rsidR="00F734BB" w:rsidRPr="00F734BB" w:rsidRDefault="00F734BB" w:rsidP="00F734BB">
            <w:pPr>
              <w:jc w:val="right"/>
              <w:rPr>
                <w:color w:val="000000"/>
                <w:sz w:val="16"/>
                <w:szCs w:val="16"/>
              </w:rPr>
            </w:pPr>
            <w:r w:rsidRPr="00F734BB">
              <w:rPr>
                <w:color w:val="000000"/>
                <w:sz w:val="16"/>
                <w:szCs w:val="16"/>
              </w:rPr>
              <w:t>24,507</w:t>
            </w:r>
          </w:p>
        </w:tc>
        <w:tc>
          <w:tcPr>
            <w:tcW w:w="362" w:type="pct"/>
            <w:shd w:val="clear" w:color="auto" w:fill="auto"/>
          </w:tcPr>
          <w:p w14:paraId="0FE3FDC3" w14:textId="77777777" w:rsidR="00F734BB" w:rsidRPr="00F734BB" w:rsidRDefault="00F734BB" w:rsidP="00F734BB">
            <w:pPr>
              <w:jc w:val="right"/>
              <w:rPr>
                <w:color w:val="000000"/>
                <w:sz w:val="16"/>
                <w:szCs w:val="16"/>
              </w:rPr>
            </w:pPr>
            <w:r w:rsidRPr="00F734BB">
              <w:rPr>
                <w:color w:val="000000"/>
                <w:sz w:val="16"/>
                <w:szCs w:val="16"/>
              </w:rPr>
              <w:t>0</w:t>
            </w:r>
          </w:p>
        </w:tc>
        <w:tc>
          <w:tcPr>
            <w:tcW w:w="362" w:type="pct"/>
            <w:shd w:val="clear" w:color="auto" w:fill="auto"/>
          </w:tcPr>
          <w:p w14:paraId="388AD325" w14:textId="77777777" w:rsidR="00F734BB" w:rsidRPr="00F734BB" w:rsidRDefault="00F734BB" w:rsidP="00F734BB">
            <w:pPr>
              <w:jc w:val="right"/>
              <w:rPr>
                <w:color w:val="000000"/>
                <w:sz w:val="16"/>
                <w:szCs w:val="16"/>
              </w:rPr>
            </w:pPr>
            <w:r w:rsidRPr="00F734BB">
              <w:rPr>
                <w:color w:val="000000"/>
                <w:sz w:val="16"/>
                <w:szCs w:val="16"/>
              </w:rPr>
              <w:t>0</w:t>
            </w:r>
          </w:p>
        </w:tc>
        <w:tc>
          <w:tcPr>
            <w:tcW w:w="435" w:type="pct"/>
            <w:shd w:val="clear" w:color="auto" w:fill="auto"/>
          </w:tcPr>
          <w:p w14:paraId="40D2F9D9" w14:textId="77777777" w:rsidR="00F734BB" w:rsidRPr="00F734BB" w:rsidRDefault="00F734BB" w:rsidP="00F734BB">
            <w:pPr>
              <w:jc w:val="right"/>
              <w:rPr>
                <w:color w:val="000000"/>
                <w:sz w:val="16"/>
                <w:szCs w:val="16"/>
              </w:rPr>
            </w:pPr>
            <w:r w:rsidRPr="00F734BB">
              <w:rPr>
                <w:color w:val="000000"/>
                <w:sz w:val="16"/>
                <w:szCs w:val="16"/>
              </w:rPr>
              <w:t>24,507</w:t>
            </w:r>
          </w:p>
        </w:tc>
        <w:tc>
          <w:tcPr>
            <w:tcW w:w="363" w:type="pct"/>
            <w:shd w:val="clear" w:color="auto" w:fill="auto"/>
          </w:tcPr>
          <w:p w14:paraId="78C7D7A4" w14:textId="77777777" w:rsidR="00F734BB" w:rsidRPr="00F734BB" w:rsidRDefault="00F734BB" w:rsidP="00F734BB">
            <w:pPr>
              <w:jc w:val="right"/>
              <w:rPr>
                <w:color w:val="000000"/>
                <w:sz w:val="16"/>
                <w:szCs w:val="16"/>
              </w:rPr>
            </w:pPr>
            <w:r w:rsidRPr="00F734BB">
              <w:rPr>
                <w:color w:val="000000"/>
                <w:sz w:val="16"/>
                <w:szCs w:val="16"/>
              </w:rPr>
              <w:t>0</w:t>
            </w:r>
          </w:p>
        </w:tc>
        <w:tc>
          <w:tcPr>
            <w:tcW w:w="362" w:type="pct"/>
            <w:shd w:val="clear" w:color="auto" w:fill="auto"/>
          </w:tcPr>
          <w:p w14:paraId="25A8984E" w14:textId="77777777" w:rsidR="00F734BB" w:rsidRPr="00F734BB" w:rsidRDefault="00F734BB" w:rsidP="00F734BB">
            <w:pPr>
              <w:jc w:val="right"/>
              <w:rPr>
                <w:color w:val="000000"/>
                <w:sz w:val="16"/>
                <w:szCs w:val="16"/>
              </w:rPr>
            </w:pPr>
            <w:r w:rsidRPr="00F734BB">
              <w:rPr>
                <w:color w:val="000000"/>
                <w:sz w:val="16"/>
                <w:szCs w:val="16"/>
              </w:rPr>
              <w:t>0</w:t>
            </w:r>
          </w:p>
        </w:tc>
        <w:tc>
          <w:tcPr>
            <w:tcW w:w="435" w:type="pct"/>
            <w:shd w:val="clear" w:color="auto" w:fill="auto"/>
          </w:tcPr>
          <w:p w14:paraId="4FE7A733" w14:textId="77777777" w:rsidR="00F734BB" w:rsidRPr="00F734BB" w:rsidRDefault="00F734BB" w:rsidP="00F734BB">
            <w:pPr>
              <w:jc w:val="right"/>
              <w:rPr>
                <w:color w:val="000000"/>
                <w:sz w:val="16"/>
                <w:szCs w:val="16"/>
              </w:rPr>
            </w:pPr>
            <w:r w:rsidRPr="00F734BB">
              <w:rPr>
                <w:color w:val="000000"/>
                <w:sz w:val="16"/>
                <w:szCs w:val="16"/>
              </w:rPr>
              <w:t>8,169</w:t>
            </w:r>
          </w:p>
        </w:tc>
        <w:tc>
          <w:tcPr>
            <w:tcW w:w="507" w:type="pct"/>
            <w:shd w:val="clear" w:color="auto" w:fill="auto"/>
          </w:tcPr>
          <w:p w14:paraId="05063895" w14:textId="77777777" w:rsidR="00F734BB" w:rsidRPr="00F734BB" w:rsidRDefault="00F734BB" w:rsidP="00F734BB">
            <w:pPr>
              <w:jc w:val="right"/>
              <w:rPr>
                <w:color w:val="000000"/>
                <w:sz w:val="16"/>
                <w:szCs w:val="16"/>
              </w:rPr>
            </w:pPr>
            <w:r w:rsidRPr="00F734BB">
              <w:rPr>
                <w:color w:val="000000"/>
                <w:sz w:val="16"/>
                <w:szCs w:val="16"/>
              </w:rPr>
              <w:t>81,690</w:t>
            </w:r>
          </w:p>
        </w:tc>
      </w:tr>
      <w:tr w:rsidR="00F734BB" w:rsidRPr="00F734BB" w14:paraId="6A6E060E" w14:textId="77777777" w:rsidTr="00A1083B">
        <w:trPr>
          <w:trHeight w:val="161"/>
        </w:trPr>
        <w:tc>
          <w:tcPr>
            <w:tcW w:w="315" w:type="pct"/>
            <w:shd w:val="clear" w:color="auto" w:fill="auto"/>
            <w:hideMark/>
          </w:tcPr>
          <w:p w14:paraId="792D657B" w14:textId="77777777" w:rsidR="00F734BB" w:rsidRPr="00F734BB" w:rsidRDefault="00F734BB" w:rsidP="00F734BB">
            <w:pPr>
              <w:jc w:val="left"/>
              <w:rPr>
                <w:color w:val="000000"/>
                <w:sz w:val="16"/>
                <w:szCs w:val="16"/>
                <w:lang w:eastAsia="en-CA"/>
              </w:rPr>
            </w:pPr>
            <w:r w:rsidRPr="00F734BB">
              <w:rPr>
                <w:color w:val="000000"/>
                <w:sz w:val="16"/>
                <w:szCs w:val="16"/>
                <w:lang w:eastAsia="en-CA"/>
              </w:rPr>
              <w:t>2.3</w:t>
            </w:r>
          </w:p>
        </w:tc>
        <w:tc>
          <w:tcPr>
            <w:tcW w:w="627" w:type="pct"/>
            <w:shd w:val="clear" w:color="auto" w:fill="auto"/>
            <w:hideMark/>
          </w:tcPr>
          <w:p w14:paraId="5D9B1399" w14:textId="77777777" w:rsidR="00F734BB" w:rsidRPr="00F734BB" w:rsidRDefault="00F734BB" w:rsidP="00F734BB">
            <w:pPr>
              <w:jc w:val="left"/>
              <w:rPr>
                <w:color w:val="000000"/>
                <w:sz w:val="16"/>
                <w:szCs w:val="16"/>
                <w:lang w:eastAsia="en-CA"/>
              </w:rPr>
            </w:pPr>
            <w:r w:rsidRPr="00F734BB">
              <w:rPr>
                <w:color w:val="000000"/>
                <w:sz w:val="16"/>
                <w:szCs w:val="16"/>
                <w:lang w:eastAsia="en-CA"/>
              </w:rPr>
              <w:t>Cooperating IA (UNEP) agreed funding (</w:t>
            </w:r>
            <w:r w:rsidR="00682B63">
              <w:rPr>
                <w:color w:val="000000"/>
                <w:sz w:val="16"/>
                <w:szCs w:val="16"/>
                <w:lang w:eastAsia="en-CA"/>
              </w:rPr>
              <w:t>US $</w:t>
            </w:r>
            <w:r w:rsidRPr="00F734BB">
              <w:rPr>
                <w:color w:val="000000"/>
                <w:sz w:val="16"/>
                <w:szCs w:val="16"/>
                <w:lang w:eastAsia="en-CA"/>
              </w:rPr>
              <w:t>)</w:t>
            </w:r>
          </w:p>
        </w:tc>
        <w:tc>
          <w:tcPr>
            <w:tcW w:w="436" w:type="pct"/>
            <w:shd w:val="clear" w:color="auto" w:fill="auto"/>
          </w:tcPr>
          <w:p w14:paraId="214BAE6C" w14:textId="77777777" w:rsidR="00F734BB" w:rsidRPr="00F734BB" w:rsidRDefault="00F734BB" w:rsidP="00F734BB">
            <w:pPr>
              <w:jc w:val="right"/>
              <w:rPr>
                <w:color w:val="000000"/>
                <w:sz w:val="16"/>
                <w:szCs w:val="16"/>
              </w:rPr>
            </w:pPr>
            <w:r w:rsidRPr="00F734BB">
              <w:rPr>
                <w:color w:val="000000"/>
                <w:sz w:val="16"/>
                <w:szCs w:val="16"/>
              </w:rPr>
              <w:t>62,400</w:t>
            </w:r>
          </w:p>
        </w:tc>
        <w:tc>
          <w:tcPr>
            <w:tcW w:w="362" w:type="pct"/>
            <w:shd w:val="clear" w:color="auto" w:fill="auto"/>
          </w:tcPr>
          <w:p w14:paraId="6F6F36E7" w14:textId="77777777" w:rsidR="00F734BB" w:rsidRPr="00F734BB" w:rsidRDefault="00F734BB" w:rsidP="00F734BB">
            <w:pPr>
              <w:jc w:val="right"/>
              <w:rPr>
                <w:color w:val="000000"/>
                <w:sz w:val="16"/>
                <w:szCs w:val="16"/>
              </w:rPr>
            </w:pPr>
            <w:r w:rsidRPr="00F734BB">
              <w:rPr>
                <w:color w:val="000000"/>
                <w:sz w:val="16"/>
                <w:szCs w:val="16"/>
              </w:rPr>
              <w:t>0</w:t>
            </w:r>
          </w:p>
        </w:tc>
        <w:tc>
          <w:tcPr>
            <w:tcW w:w="435" w:type="pct"/>
            <w:shd w:val="clear" w:color="auto" w:fill="auto"/>
          </w:tcPr>
          <w:p w14:paraId="189A3BAC" w14:textId="77777777" w:rsidR="00F734BB" w:rsidRPr="00F734BB" w:rsidRDefault="00F734BB" w:rsidP="00F734BB">
            <w:pPr>
              <w:jc w:val="right"/>
              <w:rPr>
                <w:color w:val="000000"/>
                <w:sz w:val="16"/>
                <w:szCs w:val="16"/>
              </w:rPr>
            </w:pPr>
            <w:r w:rsidRPr="00F734BB">
              <w:rPr>
                <w:color w:val="000000"/>
                <w:sz w:val="16"/>
                <w:szCs w:val="16"/>
              </w:rPr>
              <w:t>62,400</w:t>
            </w:r>
          </w:p>
        </w:tc>
        <w:tc>
          <w:tcPr>
            <w:tcW w:w="362" w:type="pct"/>
            <w:shd w:val="clear" w:color="auto" w:fill="auto"/>
          </w:tcPr>
          <w:p w14:paraId="6FF003C8" w14:textId="77777777" w:rsidR="00F734BB" w:rsidRPr="00F734BB" w:rsidRDefault="00F734BB" w:rsidP="00F734BB">
            <w:pPr>
              <w:jc w:val="right"/>
              <w:rPr>
                <w:color w:val="000000"/>
                <w:sz w:val="16"/>
                <w:szCs w:val="16"/>
              </w:rPr>
            </w:pPr>
            <w:r w:rsidRPr="00F734BB">
              <w:rPr>
                <w:color w:val="000000"/>
                <w:sz w:val="16"/>
                <w:szCs w:val="16"/>
              </w:rPr>
              <w:t>0</w:t>
            </w:r>
          </w:p>
        </w:tc>
        <w:tc>
          <w:tcPr>
            <w:tcW w:w="362" w:type="pct"/>
            <w:shd w:val="clear" w:color="auto" w:fill="auto"/>
          </w:tcPr>
          <w:p w14:paraId="65CE08BD" w14:textId="77777777" w:rsidR="00F734BB" w:rsidRPr="00F734BB" w:rsidRDefault="00F734BB" w:rsidP="00F734BB">
            <w:pPr>
              <w:jc w:val="right"/>
              <w:rPr>
                <w:color w:val="000000"/>
                <w:sz w:val="16"/>
                <w:szCs w:val="16"/>
              </w:rPr>
            </w:pPr>
            <w:r w:rsidRPr="00F734BB">
              <w:rPr>
                <w:color w:val="000000"/>
                <w:sz w:val="16"/>
                <w:szCs w:val="16"/>
              </w:rPr>
              <w:t>0</w:t>
            </w:r>
          </w:p>
        </w:tc>
        <w:tc>
          <w:tcPr>
            <w:tcW w:w="435" w:type="pct"/>
            <w:shd w:val="clear" w:color="auto" w:fill="auto"/>
          </w:tcPr>
          <w:p w14:paraId="2C3228E2" w14:textId="77777777" w:rsidR="00F734BB" w:rsidRPr="00F734BB" w:rsidRDefault="00F734BB" w:rsidP="00F734BB">
            <w:pPr>
              <w:jc w:val="right"/>
              <w:rPr>
                <w:color w:val="000000"/>
                <w:sz w:val="16"/>
                <w:szCs w:val="16"/>
              </w:rPr>
            </w:pPr>
            <w:r w:rsidRPr="00F734BB">
              <w:rPr>
                <w:color w:val="000000"/>
                <w:sz w:val="16"/>
                <w:szCs w:val="16"/>
              </w:rPr>
              <w:t>62,400</w:t>
            </w:r>
          </w:p>
        </w:tc>
        <w:tc>
          <w:tcPr>
            <w:tcW w:w="363" w:type="pct"/>
            <w:shd w:val="clear" w:color="auto" w:fill="auto"/>
          </w:tcPr>
          <w:p w14:paraId="1B5720FF" w14:textId="77777777" w:rsidR="00F734BB" w:rsidRPr="00F734BB" w:rsidRDefault="00F734BB" w:rsidP="00F734BB">
            <w:pPr>
              <w:jc w:val="right"/>
              <w:rPr>
                <w:color w:val="000000"/>
                <w:sz w:val="16"/>
                <w:szCs w:val="16"/>
              </w:rPr>
            </w:pPr>
            <w:r w:rsidRPr="00F734BB">
              <w:rPr>
                <w:color w:val="000000"/>
                <w:sz w:val="16"/>
                <w:szCs w:val="16"/>
              </w:rPr>
              <w:t>0</w:t>
            </w:r>
          </w:p>
        </w:tc>
        <w:tc>
          <w:tcPr>
            <w:tcW w:w="362" w:type="pct"/>
            <w:shd w:val="clear" w:color="auto" w:fill="auto"/>
          </w:tcPr>
          <w:p w14:paraId="7899A7A2" w14:textId="77777777" w:rsidR="00F734BB" w:rsidRPr="00F734BB" w:rsidRDefault="00F734BB" w:rsidP="00F734BB">
            <w:pPr>
              <w:jc w:val="right"/>
              <w:rPr>
                <w:color w:val="000000"/>
                <w:sz w:val="16"/>
                <w:szCs w:val="16"/>
              </w:rPr>
            </w:pPr>
            <w:r w:rsidRPr="00F734BB">
              <w:rPr>
                <w:color w:val="000000"/>
                <w:sz w:val="16"/>
                <w:szCs w:val="16"/>
              </w:rPr>
              <w:t>0</w:t>
            </w:r>
          </w:p>
        </w:tc>
        <w:tc>
          <w:tcPr>
            <w:tcW w:w="435" w:type="pct"/>
            <w:shd w:val="clear" w:color="auto" w:fill="auto"/>
          </w:tcPr>
          <w:p w14:paraId="39C0D941" w14:textId="77777777" w:rsidR="00F734BB" w:rsidRPr="00F734BB" w:rsidRDefault="00F734BB" w:rsidP="00F734BB">
            <w:pPr>
              <w:jc w:val="right"/>
              <w:rPr>
                <w:color w:val="000000"/>
                <w:sz w:val="16"/>
                <w:szCs w:val="16"/>
              </w:rPr>
            </w:pPr>
            <w:r w:rsidRPr="00F734BB">
              <w:rPr>
                <w:color w:val="000000"/>
                <w:sz w:val="16"/>
                <w:szCs w:val="16"/>
              </w:rPr>
              <w:t>20,800</w:t>
            </w:r>
          </w:p>
        </w:tc>
        <w:tc>
          <w:tcPr>
            <w:tcW w:w="507" w:type="pct"/>
            <w:shd w:val="clear" w:color="auto" w:fill="auto"/>
          </w:tcPr>
          <w:p w14:paraId="365B5F91" w14:textId="77777777" w:rsidR="00F734BB" w:rsidRPr="00F734BB" w:rsidRDefault="00F734BB" w:rsidP="00F734BB">
            <w:pPr>
              <w:jc w:val="right"/>
              <w:rPr>
                <w:color w:val="000000"/>
                <w:sz w:val="16"/>
                <w:szCs w:val="16"/>
              </w:rPr>
            </w:pPr>
            <w:r w:rsidRPr="00F734BB">
              <w:rPr>
                <w:color w:val="000000"/>
                <w:sz w:val="16"/>
                <w:szCs w:val="16"/>
              </w:rPr>
              <w:t>208,000</w:t>
            </w:r>
          </w:p>
        </w:tc>
      </w:tr>
      <w:tr w:rsidR="00F734BB" w:rsidRPr="00F734BB" w14:paraId="6B1BAE0E" w14:textId="77777777" w:rsidTr="00A1083B">
        <w:trPr>
          <w:trHeight w:val="60"/>
        </w:trPr>
        <w:tc>
          <w:tcPr>
            <w:tcW w:w="315" w:type="pct"/>
            <w:shd w:val="clear" w:color="auto" w:fill="auto"/>
            <w:hideMark/>
          </w:tcPr>
          <w:p w14:paraId="19EB32C3" w14:textId="77777777" w:rsidR="00F734BB" w:rsidRPr="00F734BB" w:rsidRDefault="00F734BB" w:rsidP="00F734BB">
            <w:pPr>
              <w:jc w:val="left"/>
              <w:rPr>
                <w:color w:val="000000"/>
                <w:sz w:val="16"/>
                <w:szCs w:val="16"/>
                <w:lang w:eastAsia="en-CA"/>
              </w:rPr>
            </w:pPr>
            <w:r w:rsidRPr="00F734BB">
              <w:rPr>
                <w:color w:val="000000"/>
                <w:sz w:val="16"/>
                <w:szCs w:val="16"/>
                <w:lang w:eastAsia="en-CA"/>
              </w:rPr>
              <w:lastRenderedPageBreak/>
              <w:t>2.4</w:t>
            </w:r>
          </w:p>
        </w:tc>
        <w:tc>
          <w:tcPr>
            <w:tcW w:w="627" w:type="pct"/>
            <w:shd w:val="clear" w:color="auto" w:fill="auto"/>
            <w:hideMark/>
          </w:tcPr>
          <w:p w14:paraId="6F0716FD" w14:textId="77777777" w:rsidR="00F734BB" w:rsidRPr="00F734BB" w:rsidRDefault="00F734BB" w:rsidP="00F734BB">
            <w:pPr>
              <w:jc w:val="left"/>
              <w:rPr>
                <w:color w:val="000000"/>
                <w:sz w:val="16"/>
                <w:szCs w:val="16"/>
                <w:lang w:eastAsia="en-CA"/>
              </w:rPr>
            </w:pPr>
            <w:r w:rsidRPr="00F734BB">
              <w:rPr>
                <w:color w:val="000000"/>
                <w:sz w:val="16"/>
                <w:szCs w:val="16"/>
                <w:lang w:eastAsia="en-CA"/>
              </w:rPr>
              <w:t>Support costs for Cooperating IA (</w:t>
            </w:r>
            <w:r w:rsidR="00682B63">
              <w:rPr>
                <w:color w:val="000000"/>
                <w:sz w:val="16"/>
                <w:szCs w:val="16"/>
                <w:lang w:eastAsia="en-CA"/>
              </w:rPr>
              <w:t>US $</w:t>
            </w:r>
            <w:r w:rsidRPr="00F734BB">
              <w:rPr>
                <w:color w:val="000000"/>
                <w:sz w:val="16"/>
                <w:szCs w:val="16"/>
                <w:lang w:eastAsia="en-CA"/>
              </w:rPr>
              <w:t>)</w:t>
            </w:r>
          </w:p>
        </w:tc>
        <w:tc>
          <w:tcPr>
            <w:tcW w:w="436" w:type="pct"/>
            <w:shd w:val="clear" w:color="auto" w:fill="auto"/>
          </w:tcPr>
          <w:p w14:paraId="7E09D1EE" w14:textId="77777777" w:rsidR="00F734BB" w:rsidRPr="00F734BB" w:rsidRDefault="00F734BB" w:rsidP="00F734BB">
            <w:pPr>
              <w:jc w:val="right"/>
              <w:rPr>
                <w:color w:val="000000"/>
                <w:sz w:val="16"/>
                <w:szCs w:val="16"/>
              </w:rPr>
            </w:pPr>
            <w:r w:rsidRPr="00F734BB">
              <w:rPr>
                <w:color w:val="000000"/>
                <w:sz w:val="16"/>
                <w:szCs w:val="16"/>
              </w:rPr>
              <w:t>8,112</w:t>
            </w:r>
          </w:p>
        </w:tc>
        <w:tc>
          <w:tcPr>
            <w:tcW w:w="362" w:type="pct"/>
            <w:shd w:val="clear" w:color="auto" w:fill="auto"/>
          </w:tcPr>
          <w:p w14:paraId="59C79890" w14:textId="77777777" w:rsidR="00F734BB" w:rsidRPr="00F734BB" w:rsidRDefault="00F734BB" w:rsidP="00F734BB">
            <w:pPr>
              <w:jc w:val="right"/>
              <w:rPr>
                <w:color w:val="000000"/>
                <w:sz w:val="16"/>
                <w:szCs w:val="16"/>
              </w:rPr>
            </w:pPr>
            <w:r w:rsidRPr="00F734BB">
              <w:rPr>
                <w:color w:val="000000"/>
                <w:sz w:val="16"/>
                <w:szCs w:val="16"/>
              </w:rPr>
              <w:t>0</w:t>
            </w:r>
          </w:p>
        </w:tc>
        <w:tc>
          <w:tcPr>
            <w:tcW w:w="435" w:type="pct"/>
            <w:shd w:val="clear" w:color="auto" w:fill="auto"/>
          </w:tcPr>
          <w:p w14:paraId="5934A4F4" w14:textId="77777777" w:rsidR="00F734BB" w:rsidRPr="00F734BB" w:rsidRDefault="00F734BB" w:rsidP="00F734BB">
            <w:pPr>
              <w:jc w:val="right"/>
              <w:rPr>
                <w:color w:val="000000"/>
                <w:sz w:val="16"/>
                <w:szCs w:val="16"/>
              </w:rPr>
            </w:pPr>
            <w:r w:rsidRPr="00F734BB">
              <w:rPr>
                <w:color w:val="000000"/>
                <w:sz w:val="16"/>
                <w:szCs w:val="16"/>
              </w:rPr>
              <w:t>8,112</w:t>
            </w:r>
          </w:p>
        </w:tc>
        <w:tc>
          <w:tcPr>
            <w:tcW w:w="362" w:type="pct"/>
            <w:shd w:val="clear" w:color="auto" w:fill="auto"/>
          </w:tcPr>
          <w:p w14:paraId="53A8F9E8" w14:textId="77777777" w:rsidR="00F734BB" w:rsidRPr="00F734BB" w:rsidRDefault="00F734BB" w:rsidP="00F734BB">
            <w:pPr>
              <w:jc w:val="right"/>
              <w:rPr>
                <w:color w:val="000000"/>
                <w:sz w:val="16"/>
                <w:szCs w:val="16"/>
              </w:rPr>
            </w:pPr>
            <w:r w:rsidRPr="00F734BB">
              <w:rPr>
                <w:color w:val="000000"/>
                <w:sz w:val="16"/>
                <w:szCs w:val="16"/>
              </w:rPr>
              <w:t>0</w:t>
            </w:r>
          </w:p>
        </w:tc>
        <w:tc>
          <w:tcPr>
            <w:tcW w:w="362" w:type="pct"/>
            <w:shd w:val="clear" w:color="auto" w:fill="auto"/>
          </w:tcPr>
          <w:p w14:paraId="14882E3F" w14:textId="77777777" w:rsidR="00F734BB" w:rsidRPr="00F734BB" w:rsidRDefault="00F734BB" w:rsidP="00F734BB">
            <w:pPr>
              <w:jc w:val="right"/>
              <w:rPr>
                <w:color w:val="000000"/>
                <w:sz w:val="16"/>
                <w:szCs w:val="16"/>
              </w:rPr>
            </w:pPr>
            <w:r w:rsidRPr="00F734BB">
              <w:rPr>
                <w:color w:val="000000"/>
                <w:sz w:val="16"/>
                <w:szCs w:val="16"/>
              </w:rPr>
              <w:t>0</w:t>
            </w:r>
          </w:p>
        </w:tc>
        <w:tc>
          <w:tcPr>
            <w:tcW w:w="435" w:type="pct"/>
            <w:shd w:val="clear" w:color="auto" w:fill="auto"/>
          </w:tcPr>
          <w:p w14:paraId="4762EF1E" w14:textId="77777777" w:rsidR="00F734BB" w:rsidRPr="00F734BB" w:rsidRDefault="00F734BB" w:rsidP="00F734BB">
            <w:pPr>
              <w:jc w:val="right"/>
              <w:rPr>
                <w:color w:val="000000"/>
                <w:sz w:val="16"/>
                <w:szCs w:val="16"/>
              </w:rPr>
            </w:pPr>
            <w:r w:rsidRPr="00F734BB">
              <w:rPr>
                <w:color w:val="000000"/>
                <w:sz w:val="16"/>
                <w:szCs w:val="16"/>
              </w:rPr>
              <w:t>8,112</w:t>
            </w:r>
          </w:p>
        </w:tc>
        <w:tc>
          <w:tcPr>
            <w:tcW w:w="363" w:type="pct"/>
            <w:shd w:val="clear" w:color="auto" w:fill="auto"/>
          </w:tcPr>
          <w:p w14:paraId="397C2FA2" w14:textId="77777777" w:rsidR="00F734BB" w:rsidRPr="00F734BB" w:rsidRDefault="00F734BB" w:rsidP="00F734BB">
            <w:pPr>
              <w:jc w:val="right"/>
              <w:rPr>
                <w:color w:val="000000"/>
                <w:sz w:val="16"/>
                <w:szCs w:val="16"/>
              </w:rPr>
            </w:pPr>
            <w:r w:rsidRPr="00F734BB">
              <w:rPr>
                <w:color w:val="000000"/>
                <w:sz w:val="16"/>
                <w:szCs w:val="16"/>
              </w:rPr>
              <w:t>0</w:t>
            </w:r>
          </w:p>
        </w:tc>
        <w:tc>
          <w:tcPr>
            <w:tcW w:w="362" w:type="pct"/>
            <w:shd w:val="clear" w:color="auto" w:fill="auto"/>
          </w:tcPr>
          <w:p w14:paraId="6C3C3C9B" w14:textId="77777777" w:rsidR="00F734BB" w:rsidRPr="00F734BB" w:rsidRDefault="00F734BB" w:rsidP="00F734BB">
            <w:pPr>
              <w:jc w:val="right"/>
              <w:rPr>
                <w:color w:val="000000"/>
                <w:sz w:val="16"/>
                <w:szCs w:val="16"/>
              </w:rPr>
            </w:pPr>
            <w:r w:rsidRPr="00F734BB">
              <w:rPr>
                <w:color w:val="000000"/>
                <w:sz w:val="16"/>
                <w:szCs w:val="16"/>
              </w:rPr>
              <w:t>0</w:t>
            </w:r>
          </w:p>
        </w:tc>
        <w:tc>
          <w:tcPr>
            <w:tcW w:w="435" w:type="pct"/>
            <w:shd w:val="clear" w:color="auto" w:fill="auto"/>
          </w:tcPr>
          <w:p w14:paraId="5DEDEF95" w14:textId="77777777" w:rsidR="00F734BB" w:rsidRPr="00F734BB" w:rsidRDefault="00F734BB" w:rsidP="00F734BB">
            <w:pPr>
              <w:jc w:val="right"/>
              <w:rPr>
                <w:color w:val="000000"/>
                <w:sz w:val="16"/>
                <w:szCs w:val="16"/>
              </w:rPr>
            </w:pPr>
            <w:r w:rsidRPr="00F734BB">
              <w:rPr>
                <w:color w:val="000000"/>
                <w:sz w:val="16"/>
                <w:szCs w:val="16"/>
              </w:rPr>
              <w:t>2,704</w:t>
            </w:r>
          </w:p>
        </w:tc>
        <w:tc>
          <w:tcPr>
            <w:tcW w:w="507" w:type="pct"/>
            <w:shd w:val="clear" w:color="auto" w:fill="auto"/>
          </w:tcPr>
          <w:p w14:paraId="0C0D08EA" w14:textId="77777777" w:rsidR="00F734BB" w:rsidRPr="00F734BB" w:rsidRDefault="00F734BB" w:rsidP="00F734BB">
            <w:pPr>
              <w:jc w:val="right"/>
              <w:rPr>
                <w:color w:val="000000"/>
                <w:sz w:val="16"/>
                <w:szCs w:val="16"/>
              </w:rPr>
            </w:pPr>
            <w:r w:rsidRPr="00F734BB">
              <w:rPr>
                <w:color w:val="000000"/>
                <w:sz w:val="16"/>
                <w:szCs w:val="16"/>
              </w:rPr>
              <w:t>27,040</w:t>
            </w:r>
          </w:p>
        </w:tc>
      </w:tr>
      <w:tr w:rsidR="00F734BB" w:rsidRPr="00F734BB" w14:paraId="59D24375" w14:textId="77777777" w:rsidTr="00A1083B">
        <w:trPr>
          <w:trHeight w:val="62"/>
        </w:trPr>
        <w:tc>
          <w:tcPr>
            <w:tcW w:w="315" w:type="pct"/>
            <w:shd w:val="clear" w:color="auto" w:fill="auto"/>
            <w:hideMark/>
          </w:tcPr>
          <w:p w14:paraId="1FF14001" w14:textId="77777777" w:rsidR="00F734BB" w:rsidRPr="00F734BB" w:rsidRDefault="00F734BB" w:rsidP="00F734BB">
            <w:pPr>
              <w:jc w:val="left"/>
              <w:rPr>
                <w:color w:val="000000"/>
                <w:sz w:val="16"/>
                <w:szCs w:val="16"/>
                <w:lang w:eastAsia="en-CA"/>
              </w:rPr>
            </w:pPr>
            <w:r w:rsidRPr="00F734BB">
              <w:rPr>
                <w:color w:val="000000"/>
                <w:sz w:val="16"/>
                <w:szCs w:val="16"/>
                <w:lang w:eastAsia="en-CA"/>
              </w:rPr>
              <w:t>3.1</w:t>
            </w:r>
          </w:p>
        </w:tc>
        <w:tc>
          <w:tcPr>
            <w:tcW w:w="627" w:type="pct"/>
            <w:shd w:val="clear" w:color="auto" w:fill="auto"/>
            <w:hideMark/>
          </w:tcPr>
          <w:p w14:paraId="05313604" w14:textId="77777777" w:rsidR="00F734BB" w:rsidRPr="00F734BB" w:rsidRDefault="00F734BB" w:rsidP="00F734BB">
            <w:pPr>
              <w:jc w:val="left"/>
              <w:rPr>
                <w:color w:val="000000"/>
                <w:sz w:val="16"/>
                <w:szCs w:val="16"/>
                <w:lang w:eastAsia="en-CA"/>
              </w:rPr>
            </w:pPr>
            <w:r w:rsidRPr="00F734BB">
              <w:rPr>
                <w:color w:val="000000"/>
                <w:sz w:val="16"/>
                <w:szCs w:val="16"/>
                <w:lang w:eastAsia="en-CA"/>
              </w:rPr>
              <w:t>Total agreed funding (</w:t>
            </w:r>
            <w:r w:rsidR="00682B63">
              <w:rPr>
                <w:color w:val="000000"/>
                <w:sz w:val="16"/>
                <w:szCs w:val="16"/>
                <w:lang w:eastAsia="en-CA"/>
              </w:rPr>
              <w:t>US $</w:t>
            </w:r>
            <w:r w:rsidRPr="00F734BB">
              <w:rPr>
                <w:color w:val="000000"/>
                <w:sz w:val="16"/>
                <w:szCs w:val="16"/>
                <w:lang w:eastAsia="en-CA"/>
              </w:rPr>
              <w:t>)</w:t>
            </w:r>
          </w:p>
        </w:tc>
        <w:tc>
          <w:tcPr>
            <w:tcW w:w="436" w:type="pct"/>
            <w:shd w:val="clear" w:color="auto" w:fill="auto"/>
          </w:tcPr>
          <w:p w14:paraId="4BF1EE26" w14:textId="77777777" w:rsidR="00F734BB" w:rsidRPr="00F734BB" w:rsidRDefault="00F734BB" w:rsidP="00F734BB">
            <w:pPr>
              <w:jc w:val="right"/>
              <w:rPr>
                <w:color w:val="000000"/>
                <w:sz w:val="16"/>
                <w:szCs w:val="16"/>
              </w:rPr>
            </w:pPr>
            <w:r w:rsidRPr="00F734BB">
              <w:rPr>
                <w:color w:val="000000"/>
                <w:sz w:val="16"/>
                <w:szCs w:val="16"/>
              </w:rPr>
              <w:t>412,500</w:t>
            </w:r>
          </w:p>
        </w:tc>
        <w:tc>
          <w:tcPr>
            <w:tcW w:w="362" w:type="pct"/>
            <w:shd w:val="clear" w:color="auto" w:fill="auto"/>
          </w:tcPr>
          <w:p w14:paraId="1B4A1893" w14:textId="77777777" w:rsidR="00F734BB" w:rsidRPr="00F734BB" w:rsidRDefault="00F734BB" w:rsidP="00F734BB">
            <w:pPr>
              <w:jc w:val="right"/>
              <w:rPr>
                <w:color w:val="000000"/>
                <w:sz w:val="16"/>
                <w:szCs w:val="16"/>
              </w:rPr>
            </w:pPr>
            <w:r w:rsidRPr="00F734BB">
              <w:rPr>
                <w:color w:val="000000"/>
                <w:sz w:val="16"/>
                <w:szCs w:val="16"/>
              </w:rPr>
              <w:t>0</w:t>
            </w:r>
          </w:p>
        </w:tc>
        <w:tc>
          <w:tcPr>
            <w:tcW w:w="435" w:type="pct"/>
            <w:shd w:val="clear" w:color="auto" w:fill="auto"/>
          </w:tcPr>
          <w:p w14:paraId="049D810B" w14:textId="77777777" w:rsidR="00F734BB" w:rsidRPr="00F734BB" w:rsidRDefault="00F734BB" w:rsidP="00F734BB">
            <w:pPr>
              <w:jc w:val="right"/>
              <w:rPr>
                <w:color w:val="000000"/>
                <w:sz w:val="16"/>
                <w:szCs w:val="16"/>
              </w:rPr>
            </w:pPr>
            <w:r w:rsidRPr="00F734BB">
              <w:rPr>
                <w:color w:val="000000"/>
                <w:sz w:val="16"/>
                <w:szCs w:val="16"/>
              </w:rPr>
              <w:t>412,500</w:t>
            </w:r>
          </w:p>
        </w:tc>
        <w:tc>
          <w:tcPr>
            <w:tcW w:w="362" w:type="pct"/>
            <w:shd w:val="clear" w:color="auto" w:fill="auto"/>
          </w:tcPr>
          <w:p w14:paraId="296C3AF8" w14:textId="77777777" w:rsidR="00F734BB" w:rsidRPr="00F734BB" w:rsidRDefault="00F734BB" w:rsidP="00F734BB">
            <w:pPr>
              <w:jc w:val="right"/>
              <w:rPr>
                <w:color w:val="000000"/>
                <w:sz w:val="16"/>
                <w:szCs w:val="16"/>
              </w:rPr>
            </w:pPr>
            <w:r w:rsidRPr="00F734BB">
              <w:rPr>
                <w:color w:val="000000"/>
                <w:sz w:val="16"/>
                <w:szCs w:val="16"/>
              </w:rPr>
              <w:t>0</w:t>
            </w:r>
          </w:p>
        </w:tc>
        <w:tc>
          <w:tcPr>
            <w:tcW w:w="362" w:type="pct"/>
            <w:shd w:val="clear" w:color="auto" w:fill="auto"/>
          </w:tcPr>
          <w:p w14:paraId="381F09DF" w14:textId="77777777" w:rsidR="00F734BB" w:rsidRPr="00F734BB" w:rsidRDefault="00F734BB" w:rsidP="00F734BB">
            <w:pPr>
              <w:jc w:val="right"/>
              <w:rPr>
                <w:color w:val="000000"/>
                <w:sz w:val="16"/>
                <w:szCs w:val="16"/>
              </w:rPr>
            </w:pPr>
            <w:r w:rsidRPr="00F734BB">
              <w:rPr>
                <w:color w:val="000000"/>
                <w:sz w:val="16"/>
                <w:szCs w:val="16"/>
              </w:rPr>
              <w:t>0</w:t>
            </w:r>
          </w:p>
        </w:tc>
        <w:tc>
          <w:tcPr>
            <w:tcW w:w="435" w:type="pct"/>
            <w:shd w:val="clear" w:color="auto" w:fill="auto"/>
          </w:tcPr>
          <w:p w14:paraId="19CA7852" w14:textId="77777777" w:rsidR="00F734BB" w:rsidRPr="00F734BB" w:rsidRDefault="00F734BB" w:rsidP="00F734BB">
            <w:pPr>
              <w:jc w:val="right"/>
              <w:rPr>
                <w:color w:val="000000"/>
                <w:sz w:val="16"/>
                <w:szCs w:val="16"/>
              </w:rPr>
            </w:pPr>
            <w:r w:rsidRPr="00F734BB">
              <w:rPr>
                <w:color w:val="000000"/>
                <w:sz w:val="16"/>
                <w:szCs w:val="16"/>
              </w:rPr>
              <w:t>412,500</w:t>
            </w:r>
          </w:p>
        </w:tc>
        <w:tc>
          <w:tcPr>
            <w:tcW w:w="363" w:type="pct"/>
            <w:shd w:val="clear" w:color="auto" w:fill="auto"/>
          </w:tcPr>
          <w:p w14:paraId="0776A022" w14:textId="77777777" w:rsidR="00F734BB" w:rsidRPr="00F734BB" w:rsidRDefault="00F734BB" w:rsidP="00F734BB">
            <w:pPr>
              <w:jc w:val="right"/>
              <w:rPr>
                <w:color w:val="000000"/>
                <w:sz w:val="16"/>
                <w:szCs w:val="16"/>
              </w:rPr>
            </w:pPr>
            <w:r w:rsidRPr="00F734BB">
              <w:rPr>
                <w:color w:val="000000"/>
                <w:sz w:val="16"/>
                <w:szCs w:val="16"/>
              </w:rPr>
              <w:t>0</w:t>
            </w:r>
          </w:p>
        </w:tc>
        <w:tc>
          <w:tcPr>
            <w:tcW w:w="362" w:type="pct"/>
            <w:shd w:val="clear" w:color="auto" w:fill="auto"/>
          </w:tcPr>
          <w:p w14:paraId="6CE9F09F" w14:textId="77777777" w:rsidR="00F734BB" w:rsidRPr="00F734BB" w:rsidRDefault="00F734BB" w:rsidP="00F734BB">
            <w:pPr>
              <w:jc w:val="right"/>
              <w:rPr>
                <w:color w:val="000000"/>
                <w:sz w:val="16"/>
                <w:szCs w:val="16"/>
              </w:rPr>
            </w:pPr>
            <w:r w:rsidRPr="00F734BB">
              <w:rPr>
                <w:color w:val="000000"/>
                <w:sz w:val="16"/>
                <w:szCs w:val="16"/>
              </w:rPr>
              <w:t>0</w:t>
            </w:r>
          </w:p>
        </w:tc>
        <w:tc>
          <w:tcPr>
            <w:tcW w:w="435" w:type="pct"/>
            <w:shd w:val="clear" w:color="auto" w:fill="auto"/>
          </w:tcPr>
          <w:p w14:paraId="65C0ED69" w14:textId="77777777" w:rsidR="00F734BB" w:rsidRPr="00F734BB" w:rsidRDefault="00F734BB" w:rsidP="00F734BB">
            <w:pPr>
              <w:jc w:val="right"/>
              <w:rPr>
                <w:color w:val="000000"/>
                <w:sz w:val="16"/>
                <w:szCs w:val="16"/>
              </w:rPr>
            </w:pPr>
            <w:r w:rsidRPr="00F734BB">
              <w:rPr>
                <w:color w:val="000000"/>
                <w:sz w:val="16"/>
                <w:szCs w:val="16"/>
              </w:rPr>
              <w:t>137,500</w:t>
            </w:r>
          </w:p>
        </w:tc>
        <w:tc>
          <w:tcPr>
            <w:tcW w:w="507" w:type="pct"/>
            <w:shd w:val="clear" w:color="auto" w:fill="auto"/>
          </w:tcPr>
          <w:p w14:paraId="3560B37B" w14:textId="77777777" w:rsidR="00F734BB" w:rsidRPr="00F734BB" w:rsidRDefault="00F734BB" w:rsidP="00F734BB">
            <w:pPr>
              <w:jc w:val="right"/>
              <w:rPr>
                <w:color w:val="000000"/>
                <w:sz w:val="16"/>
                <w:szCs w:val="16"/>
              </w:rPr>
            </w:pPr>
            <w:r w:rsidRPr="00F734BB">
              <w:rPr>
                <w:color w:val="000000"/>
                <w:sz w:val="16"/>
                <w:szCs w:val="16"/>
              </w:rPr>
              <w:t>1,375,000</w:t>
            </w:r>
          </w:p>
        </w:tc>
      </w:tr>
      <w:tr w:rsidR="00F734BB" w:rsidRPr="00F734BB" w14:paraId="6E544CF8" w14:textId="77777777" w:rsidTr="00A1083B">
        <w:trPr>
          <w:trHeight w:val="62"/>
        </w:trPr>
        <w:tc>
          <w:tcPr>
            <w:tcW w:w="315" w:type="pct"/>
            <w:shd w:val="clear" w:color="auto" w:fill="auto"/>
            <w:hideMark/>
          </w:tcPr>
          <w:p w14:paraId="7272CE2C" w14:textId="77777777" w:rsidR="00F734BB" w:rsidRPr="00F734BB" w:rsidRDefault="00F734BB" w:rsidP="00F734BB">
            <w:pPr>
              <w:jc w:val="left"/>
              <w:rPr>
                <w:color w:val="000000"/>
                <w:sz w:val="16"/>
                <w:szCs w:val="16"/>
                <w:lang w:eastAsia="en-CA"/>
              </w:rPr>
            </w:pPr>
            <w:r w:rsidRPr="00F734BB">
              <w:rPr>
                <w:color w:val="000000"/>
                <w:sz w:val="16"/>
                <w:szCs w:val="16"/>
                <w:lang w:eastAsia="en-CA"/>
              </w:rPr>
              <w:t>3.2</w:t>
            </w:r>
          </w:p>
        </w:tc>
        <w:tc>
          <w:tcPr>
            <w:tcW w:w="627" w:type="pct"/>
            <w:shd w:val="clear" w:color="auto" w:fill="auto"/>
            <w:hideMark/>
          </w:tcPr>
          <w:p w14:paraId="395C52B0" w14:textId="77777777" w:rsidR="00F734BB" w:rsidRPr="00F734BB" w:rsidRDefault="00F734BB" w:rsidP="00F734BB">
            <w:pPr>
              <w:jc w:val="left"/>
              <w:rPr>
                <w:color w:val="000000"/>
                <w:sz w:val="16"/>
                <w:szCs w:val="16"/>
                <w:lang w:eastAsia="en-CA"/>
              </w:rPr>
            </w:pPr>
            <w:r w:rsidRPr="00F734BB">
              <w:rPr>
                <w:color w:val="000000"/>
                <w:sz w:val="16"/>
                <w:szCs w:val="16"/>
                <w:lang w:eastAsia="en-CA"/>
              </w:rPr>
              <w:t>Total support costs (</w:t>
            </w:r>
            <w:r w:rsidR="00682B63">
              <w:rPr>
                <w:color w:val="000000"/>
                <w:sz w:val="16"/>
                <w:szCs w:val="16"/>
                <w:lang w:eastAsia="en-CA"/>
              </w:rPr>
              <w:t>US $</w:t>
            </w:r>
            <w:r w:rsidRPr="00F734BB">
              <w:rPr>
                <w:color w:val="000000"/>
                <w:sz w:val="16"/>
                <w:szCs w:val="16"/>
                <w:lang w:eastAsia="en-CA"/>
              </w:rPr>
              <w:t>)</w:t>
            </w:r>
          </w:p>
        </w:tc>
        <w:tc>
          <w:tcPr>
            <w:tcW w:w="436" w:type="pct"/>
            <w:shd w:val="clear" w:color="auto" w:fill="auto"/>
          </w:tcPr>
          <w:p w14:paraId="25DD0893" w14:textId="77777777" w:rsidR="00F734BB" w:rsidRPr="00F734BB" w:rsidRDefault="00F734BB" w:rsidP="00F734BB">
            <w:pPr>
              <w:jc w:val="right"/>
              <w:rPr>
                <w:color w:val="000000"/>
                <w:sz w:val="16"/>
                <w:szCs w:val="16"/>
              </w:rPr>
            </w:pPr>
            <w:r w:rsidRPr="00F734BB">
              <w:rPr>
                <w:color w:val="000000"/>
                <w:sz w:val="16"/>
                <w:szCs w:val="16"/>
              </w:rPr>
              <w:t>32,619</w:t>
            </w:r>
          </w:p>
        </w:tc>
        <w:tc>
          <w:tcPr>
            <w:tcW w:w="362" w:type="pct"/>
            <w:shd w:val="clear" w:color="auto" w:fill="auto"/>
          </w:tcPr>
          <w:p w14:paraId="2B9EB2B1" w14:textId="77777777" w:rsidR="00F734BB" w:rsidRPr="00F734BB" w:rsidRDefault="00F734BB" w:rsidP="00F734BB">
            <w:pPr>
              <w:jc w:val="right"/>
              <w:rPr>
                <w:color w:val="000000"/>
                <w:sz w:val="16"/>
                <w:szCs w:val="16"/>
              </w:rPr>
            </w:pPr>
            <w:r w:rsidRPr="00F734BB">
              <w:rPr>
                <w:color w:val="000000"/>
                <w:sz w:val="16"/>
                <w:szCs w:val="16"/>
              </w:rPr>
              <w:t>0</w:t>
            </w:r>
          </w:p>
        </w:tc>
        <w:tc>
          <w:tcPr>
            <w:tcW w:w="435" w:type="pct"/>
            <w:shd w:val="clear" w:color="auto" w:fill="auto"/>
          </w:tcPr>
          <w:p w14:paraId="0239E820" w14:textId="77777777" w:rsidR="00F734BB" w:rsidRPr="00F734BB" w:rsidRDefault="00F734BB" w:rsidP="00F734BB">
            <w:pPr>
              <w:jc w:val="right"/>
              <w:rPr>
                <w:color w:val="000000"/>
                <w:sz w:val="16"/>
                <w:szCs w:val="16"/>
              </w:rPr>
            </w:pPr>
            <w:r w:rsidRPr="00F734BB">
              <w:rPr>
                <w:color w:val="000000"/>
                <w:sz w:val="16"/>
                <w:szCs w:val="16"/>
              </w:rPr>
              <w:t>32,619</w:t>
            </w:r>
          </w:p>
        </w:tc>
        <w:tc>
          <w:tcPr>
            <w:tcW w:w="362" w:type="pct"/>
            <w:shd w:val="clear" w:color="auto" w:fill="auto"/>
          </w:tcPr>
          <w:p w14:paraId="028AD378" w14:textId="77777777" w:rsidR="00F734BB" w:rsidRPr="00F734BB" w:rsidRDefault="00F734BB" w:rsidP="00F734BB">
            <w:pPr>
              <w:jc w:val="right"/>
              <w:rPr>
                <w:color w:val="000000"/>
                <w:sz w:val="16"/>
                <w:szCs w:val="16"/>
              </w:rPr>
            </w:pPr>
            <w:r w:rsidRPr="00F734BB">
              <w:rPr>
                <w:color w:val="000000"/>
                <w:sz w:val="16"/>
                <w:szCs w:val="16"/>
              </w:rPr>
              <w:t>0</w:t>
            </w:r>
          </w:p>
        </w:tc>
        <w:tc>
          <w:tcPr>
            <w:tcW w:w="362" w:type="pct"/>
            <w:shd w:val="clear" w:color="auto" w:fill="auto"/>
          </w:tcPr>
          <w:p w14:paraId="22DF4CC8" w14:textId="77777777" w:rsidR="00F734BB" w:rsidRPr="00F734BB" w:rsidRDefault="00F734BB" w:rsidP="00F734BB">
            <w:pPr>
              <w:jc w:val="right"/>
              <w:rPr>
                <w:color w:val="000000"/>
                <w:sz w:val="16"/>
                <w:szCs w:val="16"/>
              </w:rPr>
            </w:pPr>
            <w:r w:rsidRPr="00F734BB">
              <w:rPr>
                <w:color w:val="000000"/>
                <w:sz w:val="16"/>
                <w:szCs w:val="16"/>
              </w:rPr>
              <w:t>0</w:t>
            </w:r>
          </w:p>
        </w:tc>
        <w:tc>
          <w:tcPr>
            <w:tcW w:w="435" w:type="pct"/>
            <w:shd w:val="clear" w:color="auto" w:fill="auto"/>
          </w:tcPr>
          <w:p w14:paraId="6B91693E" w14:textId="77777777" w:rsidR="00F734BB" w:rsidRPr="00F734BB" w:rsidRDefault="00F734BB" w:rsidP="00F734BB">
            <w:pPr>
              <w:jc w:val="right"/>
              <w:rPr>
                <w:color w:val="000000"/>
                <w:sz w:val="16"/>
                <w:szCs w:val="16"/>
              </w:rPr>
            </w:pPr>
            <w:r w:rsidRPr="00F734BB">
              <w:rPr>
                <w:color w:val="000000"/>
                <w:sz w:val="16"/>
                <w:szCs w:val="16"/>
              </w:rPr>
              <w:t>32,619</w:t>
            </w:r>
          </w:p>
        </w:tc>
        <w:tc>
          <w:tcPr>
            <w:tcW w:w="363" w:type="pct"/>
            <w:shd w:val="clear" w:color="auto" w:fill="auto"/>
          </w:tcPr>
          <w:p w14:paraId="447F6ADB" w14:textId="77777777" w:rsidR="00F734BB" w:rsidRPr="00F734BB" w:rsidRDefault="00F734BB" w:rsidP="00F734BB">
            <w:pPr>
              <w:jc w:val="right"/>
              <w:rPr>
                <w:color w:val="000000"/>
                <w:sz w:val="16"/>
                <w:szCs w:val="16"/>
              </w:rPr>
            </w:pPr>
            <w:r w:rsidRPr="00F734BB">
              <w:rPr>
                <w:color w:val="000000"/>
                <w:sz w:val="16"/>
                <w:szCs w:val="16"/>
              </w:rPr>
              <w:t>0</w:t>
            </w:r>
          </w:p>
        </w:tc>
        <w:tc>
          <w:tcPr>
            <w:tcW w:w="362" w:type="pct"/>
            <w:shd w:val="clear" w:color="auto" w:fill="auto"/>
          </w:tcPr>
          <w:p w14:paraId="67332CCC" w14:textId="77777777" w:rsidR="00F734BB" w:rsidRPr="00F734BB" w:rsidRDefault="00F734BB" w:rsidP="00F734BB">
            <w:pPr>
              <w:jc w:val="right"/>
              <w:rPr>
                <w:color w:val="000000"/>
                <w:sz w:val="16"/>
                <w:szCs w:val="16"/>
              </w:rPr>
            </w:pPr>
            <w:r w:rsidRPr="00F734BB">
              <w:rPr>
                <w:color w:val="000000"/>
                <w:sz w:val="16"/>
                <w:szCs w:val="16"/>
              </w:rPr>
              <w:t>0</w:t>
            </w:r>
          </w:p>
        </w:tc>
        <w:tc>
          <w:tcPr>
            <w:tcW w:w="435" w:type="pct"/>
            <w:shd w:val="clear" w:color="auto" w:fill="auto"/>
          </w:tcPr>
          <w:p w14:paraId="314A74C3" w14:textId="77777777" w:rsidR="00F734BB" w:rsidRPr="00F734BB" w:rsidRDefault="00F734BB" w:rsidP="00F734BB">
            <w:pPr>
              <w:jc w:val="right"/>
              <w:rPr>
                <w:color w:val="000000"/>
                <w:sz w:val="16"/>
                <w:szCs w:val="16"/>
              </w:rPr>
            </w:pPr>
            <w:r w:rsidRPr="00F734BB">
              <w:rPr>
                <w:color w:val="000000"/>
                <w:sz w:val="16"/>
                <w:szCs w:val="16"/>
              </w:rPr>
              <w:t>10,873</w:t>
            </w:r>
          </w:p>
        </w:tc>
        <w:tc>
          <w:tcPr>
            <w:tcW w:w="507" w:type="pct"/>
            <w:shd w:val="clear" w:color="auto" w:fill="auto"/>
          </w:tcPr>
          <w:p w14:paraId="106E30D6" w14:textId="77777777" w:rsidR="00F734BB" w:rsidRPr="00F734BB" w:rsidRDefault="00F734BB" w:rsidP="00F734BB">
            <w:pPr>
              <w:jc w:val="right"/>
              <w:rPr>
                <w:color w:val="000000"/>
                <w:sz w:val="16"/>
                <w:szCs w:val="16"/>
              </w:rPr>
            </w:pPr>
            <w:r w:rsidRPr="00F734BB">
              <w:rPr>
                <w:color w:val="000000"/>
                <w:sz w:val="16"/>
                <w:szCs w:val="16"/>
              </w:rPr>
              <w:t>108,730</w:t>
            </w:r>
          </w:p>
        </w:tc>
      </w:tr>
      <w:tr w:rsidR="00F734BB" w:rsidRPr="00F734BB" w14:paraId="5CCCA752" w14:textId="77777777" w:rsidTr="00A1083B">
        <w:trPr>
          <w:trHeight w:val="53"/>
        </w:trPr>
        <w:tc>
          <w:tcPr>
            <w:tcW w:w="315" w:type="pct"/>
            <w:shd w:val="clear" w:color="auto" w:fill="auto"/>
            <w:hideMark/>
          </w:tcPr>
          <w:p w14:paraId="3319AE05" w14:textId="77777777" w:rsidR="00F734BB" w:rsidRPr="00F734BB" w:rsidRDefault="00F734BB" w:rsidP="00F734BB">
            <w:pPr>
              <w:jc w:val="left"/>
              <w:rPr>
                <w:color w:val="000000"/>
                <w:sz w:val="16"/>
                <w:szCs w:val="16"/>
                <w:lang w:eastAsia="en-CA"/>
              </w:rPr>
            </w:pPr>
            <w:r w:rsidRPr="00F734BB">
              <w:rPr>
                <w:color w:val="000000"/>
                <w:sz w:val="16"/>
                <w:szCs w:val="16"/>
                <w:lang w:eastAsia="en-CA"/>
              </w:rPr>
              <w:t>3.3</w:t>
            </w:r>
          </w:p>
        </w:tc>
        <w:tc>
          <w:tcPr>
            <w:tcW w:w="627" w:type="pct"/>
            <w:shd w:val="clear" w:color="auto" w:fill="auto"/>
            <w:hideMark/>
          </w:tcPr>
          <w:p w14:paraId="7B35CD41" w14:textId="77777777" w:rsidR="00F734BB" w:rsidRPr="00F734BB" w:rsidRDefault="00F734BB" w:rsidP="00F734BB">
            <w:pPr>
              <w:jc w:val="left"/>
              <w:rPr>
                <w:color w:val="000000"/>
                <w:sz w:val="16"/>
                <w:szCs w:val="16"/>
                <w:lang w:eastAsia="en-CA"/>
              </w:rPr>
            </w:pPr>
            <w:r w:rsidRPr="00F734BB">
              <w:rPr>
                <w:color w:val="000000"/>
                <w:sz w:val="16"/>
                <w:szCs w:val="16"/>
                <w:lang w:eastAsia="en-CA"/>
              </w:rPr>
              <w:t>Total agreed costs (</w:t>
            </w:r>
            <w:r w:rsidR="00682B63">
              <w:rPr>
                <w:color w:val="000000"/>
                <w:sz w:val="16"/>
                <w:szCs w:val="16"/>
                <w:lang w:eastAsia="en-CA"/>
              </w:rPr>
              <w:t>US $</w:t>
            </w:r>
            <w:r w:rsidRPr="00F734BB">
              <w:rPr>
                <w:color w:val="000000"/>
                <w:sz w:val="16"/>
                <w:szCs w:val="16"/>
                <w:lang w:eastAsia="en-CA"/>
              </w:rPr>
              <w:t>)</w:t>
            </w:r>
          </w:p>
        </w:tc>
        <w:tc>
          <w:tcPr>
            <w:tcW w:w="436" w:type="pct"/>
            <w:shd w:val="clear" w:color="auto" w:fill="auto"/>
          </w:tcPr>
          <w:p w14:paraId="5A1035D7" w14:textId="77777777" w:rsidR="00F734BB" w:rsidRPr="00F734BB" w:rsidRDefault="00F734BB" w:rsidP="00F734BB">
            <w:pPr>
              <w:jc w:val="right"/>
              <w:rPr>
                <w:color w:val="000000"/>
                <w:sz w:val="16"/>
                <w:szCs w:val="16"/>
              </w:rPr>
            </w:pPr>
            <w:r w:rsidRPr="00F734BB">
              <w:rPr>
                <w:color w:val="000000"/>
                <w:sz w:val="16"/>
                <w:szCs w:val="16"/>
              </w:rPr>
              <w:t>445,119</w:t>
            </w:r>
          </w:p>
        </w:tc>
        <w:tc>
          <w:tcPr>
            <w:tcW w:w="362" w:type="pct"/>
            <w:shd w:val="clear" w:color="auto" w:fill="auto"/>
          </w:tcPr>
          <w:p w14:paraId="3AEE636E" w14:textId="77777777" w:rsidR="00F734BB" w:rsidRPr="00F734BB" w:rsidRDefault="00F734BB" w:rsidP="00F734BB">
            <w:pPr>
              <w:jc w:val="right"/>
              <w:rPr>
                <w:color w:val="000000"/>
                <w:sz w:val="16"/>
                <w:szCs w:val="16"/>
              </w:rPr>
            </w:pPr>
            <w:r w:rsidRPr="00F734BB">
              <w:rPr>
                <w:color w:val="000000"/>
                <w:sz w:val="16"/>
                <w:szCs w:val="16"/>
              </w:rPr>
              <w:t>0</w:t>
            </w:r>
          </w:p>
        </w:tc>
        <w:tc>
          <w:tcPr>
            <w:tcW w:w="435" w:type="pct"/>
            <w:shd w:val="clear" w:color="auto" w:fill="auto"/>
          </w:tcPr>
          <w:p w14:paraId="66694322" w14:textId="77777777" w:rsidR="00F734BB" w:rsidRPr="00F734BB" w:rsidRDefault="00F734BB" w:rsidP="00F734BB">
            <w:pPr>
              <w:jc w:val="right"/>
              <w:rPr>
                <w:color w:val="000000"/>
                <w:sz w:val="16"/>
                <w:szCs w:val="16"/>
              </w:rPr>
            </w:pPr>
            <w:r w:rsidRPr="00F734BB">
              <w:rPr>
                <w:color w:val="000000"/>
                <w:sz w:val="16"/>
                <w:szCs w:val="16"/>
              </w:rPr>
              <w:t>445,119</w:t>
            </w:r>
          </w:p>
        </w:tc>
        <w:tc>
          <w:tcPr>
            <w:tcW w:w="362" w:type="pct"/>
            <w:shd w:val="clear" w:color="auto" w:fill="auto"/>
          </w:tcPr>
          <w:p w14:paraId="6F4156D3" w14:textId="77777777" w:rsidR="00F734BB" w:rsidRPr="00F734BB" w:rsidRDefault="00F734BB" w:rsidP="00F734BB">
            <w:pPr>
              <w:jc w:val="right"/>
              <w:rPr>
                <w:color w:val="000000"/>
                <w:sz w:val="16"/>
                <w:szCs w:val="16"/>
              </w:rPr>
            </w:pPr>
            <w:r w:rsidRPr="00F734BB">
              <w:rPr>
                <w:color w:val="000000"/>
                <w:sz w:val="16"/>
                <w:szCs w:val="16"/>
              </w:rPr>
              <w:t>0</w:t>
            </w:r>
          </w:p>
        </w:tc>
        <w:tc>
          <w:tcPr>
            <w:tcW w:w="362" w:type="pct"/>
            <w:shd w:val="clear" w:color="auto" w:fill="auto"/>
          </w:tcPr>
          <w:p w14:paraId="38ACD6F0" w14:textId="77777777" w:rsidR="00F734BB" w:rsidRPr="00F734BB" w:rsidRDefault="00F734BB" w:rsidP="00F734BB">
            <w:pPr>
              <w:jc w:val="right"/>
              <w:rPr>
                <w:color w:val="000000"/>
                <w:sz w:val="16"/>
                <w:szCs w:val="16"/>
              </w:rPr>
            </w:pPr>
            <w:r w:rsidRPr="00F734BB">
              <w:rPr>
                <w:color w:val="000000"/>
                <w:sz w:val="16"/>
                <w:szCs w:val="16"/>
              </w:rPr>
              <w:t>0</w:t>
            </w:r>
          </w:p>
        </w:tc>
        <w:tc>
          <w:tcPr>
            <w:tcW w:w="435" w:type="pct"/>
            <w:shd w:val="clear" w:color="auto" w:fill="auto"/>
          </w:tcPr>
          <w:p w14:paraId="59BE7972" w14:textId="77777777" w:rsidR="00F734BB" w:rsidRPr="00F734BB" w:rsidRDefault="00F734BB" w:rsidP="00F734BB">
            <w:pPr>
              <w:jc w:val="right"/>
              <w:rPr>
                <w:color w:val="000000"/>
                <w:sz w:val="16"/>
                <w:szCs w:val="16"/>
              </w:rPr>
            </w:pPr>
            <w:r w:rsidRPr="00F734BB">
              <w:rPr>
                <w:color w:val="000000"/>
                <w:sz w:val="16"/>
                <w:szCs w:val="16"/>
              </w:rPr>
              <w:t>445,119</w:t>
            </w:r>
          </w:p>
        </w:tc>
        <w:tc>
          <w:tcPr>
            <w:tcW w:w="363" w:type="pct"/>
            <w:shd w:val="clear" w:color="auto" w:fill="auto"/>
          </w:tcPr>
          <w:p w14:paraId="7B45F675" w14:textId="77777777" w:rsidR="00F734BB" w:rsidRPr="00F734BB" w:rsidRDefault="00F734BB" w:rsidP="00F734BB">
            <w:pPr>
              <w:jc w:val="right"/>
              <w:rPr>
                <w:color w:val="000000"/>
                <w:sz w:val="16"/>
                <w:szCs w:val="16"/>
              </w:rPr>
            </w:pPr>
            <w:r w:rsidRPr="00F734BB">
              <w:rPr>
                <w:color w:val="000000"/>
                <w:sz w:val="16"/>
                <w:szCs w:val="16"/>
              </w:rPr>
              <w:t>0</w:t>
            </w:r>
          </w:p>
        </w:tc>
        <w:tc>
          <w:tcPr>
            <w:tcW w:w="362" w:type="pct"/>
            <w:shd w:val="clear" w:color="auto" w:fill="auto"/>
          </w:tcPr>
          <w:p w14:paraId="460CE3DC" w14:textId="77777777" w:rsidR="00F734BB" w:rsidRPr="00F734BB" w:rsidRDefault="00F734BB" w:rsidP="00F734BB">
            <w:pPr>
              <w:jc w:val="right"/>
              <w:rPr>
                <w:color w:val="000000"/>
                <w:sz w:val="16"/>
                <w:szCs w:val="16"/>
              </w:rPr>
            </w:pPr>
            <w:r w:rsidRPr="00F734BB">
              <w:rPr>
                <w:color w:val="000000"/>
                <w:sz w:val="16"/>
                <w:szCs w:val="16"/>
              </w:rPr>
              <w:t>0</w:t>
            </w:r>
          </w:p>
        </w:tc>
        <w:tc>
          <w:tcPr>
            <w:tcW w:w="435" w:type="pct"/>
            <w:shd w:val="clear" w:color="auto" w:fill="auto"/>
          </w:tcPr>
          <w:p w14:paraId="778E4469" w14:textId="77777777" w:rsidR="00F734BB" w:rsidRPr="00F734BB" w:rsidRDefault="00F734BB" w:rsidP="00F734BB">
            <w:pPr>
              <w:jc w:val="right"/>
              <w:rPr>
                <w:color w:val="000000"/>
                <w:sz w:val="16"/>
                <w:szCs w:val="16"/>
              </w:rPr>
            </w:pPr>
            <w:r w:rsidRPr="00F734BB">
              <w:rPr>
                <w:color w:val="000000"/>
                <w:sz w:val="16"/>
                <w:szCs w:val="16"/>
              </w:rPr>
              <w:t>148,373</w:t>
            </w:r>
          </w:p>
        </w:tc>
        <w:tc>
          <w:tcPr>
            <w:tcW w:w="507" w:type="pct"/>
            <w:shd w:val="clear" w:color="auto" w:fill="auto"/>
          </w:tcPr>
          <w:p w14:paraId="27E37A04" w14:textId="77777777" w:rsidR="00F734BB" w:rsidRPr="00F734BB" w:rsidRDefault="00F734BB" w:rsidP="00F734BB">
            <w:pPr>
              <w:jc w:val="right"/>
              <w:rPr>
                <w:color w:val="000000"/>
                <w:sz w:val="16"/>
                <w:szCs w:val="16"/>
              </w:rPr>
            </w:pPr>
            <w:r w:rsidRPr="00F734BB">
              <w:rPr>
                <w:color w:val="000000"/>
                <w:sz w:val="16"/>
                <w:szCs w:val="16"/>
              </w:rPr>
              <w:t>1,483,730</w:t>
            </w:r>
          </w:p>
        </w:tc>
      </w:tr>
      <w:tr w:rsidR="00F734BB" w:rsidRPr="00F734BB" w14:paraId="42720A55" w14:textId="77777777" w:rsidTr="00A1083B">
        <w:trPr>
          <w:trHeight w:val="53"/>
        </w:trPr>
        <w:tc>
          <w:tcPr>
            <w:tcW w:w="315" w:type="pct"/>
            <w:shd w:val="clear" w:color="auto" w:fill="auto"/>
            <w:hideMark/>
          </w:tcPr>
          <w:p w14:paraId="323BD3A6" w14:textId="77777777" w:rsidR="00F734BB" w:rsidRPr="00F734BB" w:rsidRDefault="00F734BB" w:rsidP="00F734BB">
            <w:pPr>
              <w:jc w:val="left"/>
              <w:rPr>
                <w:color w:val="000000"/>
                <w:sz w:val="16"/>
                <w:szCs w:val="16"/>
                <w:lang w:eastAsia="en-CA"/>
              </w:rPr>
            </w:pPr>
            <w:r w:rsidRPr="00F734BB">
              <w:rPr>
                <w:color w:val="000000"/>
                <w:sz w:val="16"/>
                <w:szCs w:val="16"/>
                <w:lang w:eastAsia="en-CA"/>
              </w:rPr>
              <w:t>4.1.1</w:t>
            </w:r>
          </w:p>
        </w:tc>
        <w:tc>
          <w:tcPr>
            <w:tcW w:w="4178" w:type="pct"/>
            <w:gridSpan w:val="10"/>
            <w:shd w:val="clear" w:color="auto" w:fill="auto"/>
            <w:hideMark/>
          </w:tcPr>
          <w:p w14:paraId="3C335F7F" w14:textId="77777777" w:rsidR="00F734BB" w:rsidRPr="00F734BB" w:rsidRDefault="00F734BB" w:rsidP="00F734BB">
            <w:pPr>
              <w:jc w:val="left"/>
              <w:rPr>
                <w:color w:val="000000"/>
                <w:sz w:val="16"/>
                <w:szCs w:val="16"/>
                <w:lang w:eastAsia="en-CA"/>
              </w:rPr>
            </w:pPr>
            <w:r w:rsidRPr="00F734BB">
              <w:rPr>
                <w:color w:val="000000"/>
                <w:sz w:val="16"/>
                <w:szCs w:val="16"/>
                <w:lang w:eastAsia="en-CA"/>
              </w:rPr>
              <w:t>Total phase-out of HCFC-22 agreed to be achieved under this Agreement (ODP tonnes)</w:t>
            </w:r>
          </w:p>
        </w:tc>
        <w:tc>
          <w:tcPr>
            <w:tcW w:w="507" w:type="pct"/>
          </w:tcPr>
          <w:p w14:paraId="19E35CF6" w14:textId="77777777" w:rsidR="00F734BB" w:rsidRPr="00F734BB" w:rsidRDefault="00F734BB" w:rsidP="00F734BB">
            <w:pPr>
              <w:jc w:val="right"/>
              <w:rPr>
                <w:color w:val="000000"/>
                <w:sz w:val="16"/>
                <w:szCs w:val="16"/>
                <w:lang w:eastAsia="en-CA"/>
              </w:rPr>
            </w:pPr>
            <w:r w:rsidRPr="00F734BB">
              <w:rPr>
                <w:color w:val="000000"/>
                <w:sz w:val="16"/>
                <w:szCs w:val="16"/>
                <w:lang w:eastAsia="en-CA"/>
              </w:rPr>
              <w:t>14.40</w:t>
            </w:r>
          </w:p>
        </w:tc>
      </w:tr>
      <w:tr w:rsidR="00F734BB" w:rsidRPr="00F734BB" w14:paraId="2C361176" w14:textId="77777777" w:rsidTr="00A1083B">
        <w:trPr>
          <w:trHeight w:val="116"/>
        </w:trPr>
        <w:tc>
          <w:tcPr>
            <w:tcW w:w="315" w:type="pct"/>
            <w:shd w:val="clear" w:color="auto" w:fill="auto"/>
            <w:hideMark/>
          </w:tcPr>
          <w:p w14:paraId="2C0324DD" w14:textId="77777777" w:rsidR="00F734BB" w:rsidRPr="00F734BB" w:rsidRDefault="00F734BB" w:rsidP="00F734BB">
            <w:pPr>
              <w:jc w:val="left"/>
              <w:rPr>
                <w:color w:val="000000"/>
                <w:sz w:val="16"/>
                <w:szCs w:val="16"/>
                <w:lang w:eastAsia="en-CA"/>
              </w:rPr>
            </w:pPr>
            <w:r w:rsidRPr="00F734BB">
              <w:rPr>
                <w:color w:val="000000"/>
                <w:sz w:val="16"/>
                <w:szCs w:val="16"/>
                <w:lang w:eastAsia="en-CA"/>
              </w:rPr>
              <w:t>4.1.2</w:t>
            </w:r>
          </w:p>
        </w:tc>
        <w:tc>
          <w:tcPr>
            <w:tcW w:w="4178" w:type="pct"/>
            <w:gridSpan w:val="10"/>
            <w:shd w:val="clear" w:color="auto" w:fill="auto"/>
            <w:hideMark/>
          </w:tcPr>
          <w:p w14:paraId="0FA9FECA" w14:textId="77777777" w:rsidR="00F734BB" w:rsidRPr="00F734BB" w:rsidRDefault="00F734BB" w:rsidP="00F734BB">
            <w:pPr>
              <w:jc w:val="left"/>
              <w:rPr>
                <w:color w:val="000000"/>
                <w:sz w:val="16"/>
                <w:szCs w:val="16"/>
                <w:lang w:eastAsia="en-CA"/>
              </w:rPr>
            </w:pPr>
            <w:r w:rsidRPr="00F734BB">
              <w:rPr>
                <w:color w:val="000000"/>
                <w:sz w:val="16"/>
                <w:szCs w:val="16"/>
                <w:lang w:eastAsia="en-CA"/>
              </w:rPr>
              <w:t>Phase-out of HCFC-22 to be achieved in the previous stage  (ODP tonnes)</w:t>
            </w:r>
          </w:p>
        </w:tc>
        <w:tc>
          <w:tcPr>
            <w:tcW w:w="507" w:type="pct"/>
          </w:tcPr>
          <w:p w14:paraId="07A05052" w14:textId="77777777" w:rsidR="00F734BB" w:rsidRPr="00F734BB" w:rsidRDefault="00F734BB" w:rsidP="00F734BB">
            <w:pPr>
              <w:jc w:val="right"/>
              <w:rPr>
                <w:color w:val="000000"/>
                <w:sz w:val="16"/>
                <w:szCs w:val="16"/>
                <w:lang w:eastAsia="en-CA"/>
              </w:rPr>
            </w:pPr>
            <w:r w:rsidRPr="00F734BB">
              <w:rPr>
                <w:color w:val="000000"/>
                <w:sz w:val="16"/>
                <w:szCs w:val="16"/>
                <w:lang w:eastAsia="en-CA"/>
              </w:rPr>
              <w:t>1.95</w:t>
            </w:r>
          </w:p>
        </w:tc>
      </w:tr>
      <w:tr w:rsidR="00F734BB" w:rsidRPr="00F734BB" w14:paraId="157A9BE1" w14:textId="77777777" w:rsidTr="00A1083B">
        <w:trPr>
          <w:trHeight w:val="98"/>
        </w:trPr>
        <w:tc>
          <w:tcPr>
            <w:tcW w:w="315" w:type="pct"/>
            <w:shd w:val="clear" w:color="auto" w:fill="auto"/>
            <w:hideMark/>
          </w:tcPr>
          <w:p w14:paraId="3148B422" w14:textId="77777777" w:rsidR="00F734BB" w:rsidRPr="00F734BB" w:rsidRDefault="00F734BB" w:rsidP="00F734BB">
            <w:pPr>
              <w:jc w:val="left"/>
              <w:rPr>
                <w:color w:val="000000"/>
                <w:sz w:val="16"/>
                <w:szCs w:val="16"/>
                <w:lang w:eastAsia="en-CA"/>
              </w:rPr>
            </w:pPr>
            <w:r w:rsidRPr="00F734BB">
              <w:rPr>
                <w:color w:val="000000"/>
                <w:sz w:val="16"/>
                <w:szCs w:val="16"/>
                <w:lang w:eastAsia="en-CA"/>
              </w:rPr>
              <w:t>4.1.3</w:t>
            </w:r>
          </w:p>
        </w:tc>
        <w:tc>
          <w:tcPr>
            <w:tcW w:w="4178" w:type="pct"/>
            <w:gridSpan w:val="10"/>
            <w:shd w:val="clear" w:color="auto" w:fill="auto"/>
            <w:hideMark/>
          </w:tcPr>
          <w:p w14:paraId="4D335524" w14:textId="77777777" w:rsidR="00F734BB" w:rsidRPr="00F734BB" w:rsidRDefault="00F734BB" w:rsidP="00F734BB">
            <w:pPr>
              <w:jc w:val="left"/>
              <w:rPr>
                <w:color w:val="000000"/>
                <w:sz w:val="16"/>
                <w:szCs w:val="16"/>
                <w:lang w:eastAsia="en-CA"/>
              </w:rPr>
            </w:pPr>
            <w:r w:rsidRPr="00F734BB">
              <w:rPr>
                <w:color w:val="000000"/>
                <w:sz w:val="16"/>
                <w:szCs w:val="16"/>
                <w:lang w:eastAsia="en-CA"/>
              </w:rPr>
              <w:t>Remaining eligible consumption for HCFC-22 (ODP tonnes)</w:t>
            </w:r>
          </w:p>
        </w:tc>
        <w:tc>
          <w:tcPr>
            <w:tcW w:w="507" w:type="pct"/>
          </w:tcPr>
          <w:p w14:paraId="45562948" w14:textId="77777777" w:rsidR="00F734BB" w:rsidRPr="00F734BB" w:rsidRDefault="00A1083B" w:rsidP="00A1083B">
            <w:pPr>
              <w:jc w:val="right"/>
              <w:rPr>
                <w:color w:val="000000"/>
                <w:sz w:val="16"/>
                <w:szCs w:val="16"/>
                <w:lang w:eastAsia="en-CA"/>
              </w:rPr>
            </w:pPr>
            <w:r>
              <w:rPr>
                <w:color w:val="000000"/>
                <w:sz w:val="16"/>
                <w:szCs w:val="16"/>
                <w:lang w:eastAsia="en-CA"/>
              </w:rPr>
              <w:t>7.50</w:t>
            </w:r>
          </w:p>
        </w:tc>
      </w:tr>
      <w:tr w:rsidR="00F734BB" w:rsidRPr="00F734BB" w14:paraId="0430C0DF" w14:textId="77777777" w:rsidTr="00A1083B">
        <w:trPr>
          <w:trHeight w:val="89"/>
        </w:trPr>
        <w:tc>
          <w:tcPr>
            <w:tcW w:w="315" w:type="pct"/>
            <w:shd w:val="clear" w:color="auto" w:fill="auto"/>
            <w:hideMark/>
          </w:tcPr>
          <w:p w14:paraId="1BBACFB9" w14:textId="77777777" w:rsidR="00F734BB" w:rsidRPr="00F734BB" w:rsidRDefault="00F734BB" w:rsidP="00F734BB">
            <w:pPr>
              <w:jc w:val="left"/>
              <w:rPr>
                <w:color w:val="000000"/>
                <w:sz w:val="16"/>
                <w:szCs w:val="16"/>
                <w:lang w:eastAsia="en-CA"/>
              </w:rPr>
            </w:pPr>
            <w:r w:rsidRPr="00F734BB">
              <w:rPr>
                <w:color w:val="000000"/>
                <w:sz w:val="16"/>
                <w:szCs w:val="16"/>
                <w:lang w:eastAsia="en-CA"/>
              </w:rPr>
              <w:t>4.2.1</w:t>
            </w:r>
          </w:p>
        </w:tc>
        <w:tc>
          <w:tcPr>
            <w:tcW w:w="4178" w:type="pct"/>
            <w:gridSpan w:val="10"/>
            <w:shd w:val="clear" w:color="auto" w:fill="auto"/>
            <w:hideMark/>
          </w:tcPr>
          <w:p w14:paraId="68BF9C89" w14:textId="77777777" w:rsidR="00F734BB" w:rsidRPr="00F734BB" w:rsidRDefault="00F734BB" w:rsidP="00F734BB">
            <w:pPr>
              <w:jc w:val="left"/>
              <w:rPr>
                <w:color w:val="000000"/>
                <w:sz w:val="16"/>
                <w:szCs w:val="16"/>
                <w:lang w:eastAsia="en-CA"/>
              </w:rPr>
            </w:pPr>
            <w:r w:rsidRPr="00F734BB">
              <w:rPr>
                <w:color w:val="000000"/>
                <w:sz w:val="16"/>
                <w:szCs w:val="16"/>
                <w:lang w:eastAsia="en-CA"/>
              </w:rPr>
              <w:t>Total phase-out of HCFC-124 agreed to be achieved under this Agreement (ODP tonnes)</w:t>
            </w:r>
          </w:p>
        </w:tc>
        <w:tc>
          <w:tcPr>
            <w:tcW w:w="507" w:type="pct"/>
          </w:tcPr>
          <w:p w14:paraId="19E513AE" w14:textId="77777777" w:rsidR="00F734BB" w:rsidRPr="00F734BB" w:rsidRDefault="00F734BB" w:rsidP="00F734BB">
            <w:pPr>
              <w:jc w:val="right"/>
              <w:rPr>
                <w:color w:val="000000"/>
                <w:sz w:val="16"/>
                <w:szCs w:val="16"/>
                <w:lang w:eastAsia="en-CA"/>
              </w:rPr>
            </w:pPr>
            <w:r w:rsidRPr="00F734BB">
              <w:rPr>
                <w:color w:val="000000"/>
                <w:sz w:val="16"/>
                <w:szCs w:val="16"/>
                <w:lang w:eastAsia="en-CA"/>
              </w:rPr>
              <w:t>0.00</w:t>
            </w:r>
          </w:p>
        </w:tc>
      </w:tr>
      <w:tr w:rsidR="00F734BB" w:rsidRPr="00F734BB" w14:paraId="50CB49D9" w14:textId="77777777" w:rsidTr="00A1083B">
        <w:trPr>
          <w:trHeight w:val="71"/>
        </w:trPr>
        <w:tc>
          <w:tcPr>
            <w:tcW w:w="315" w:type="pct"/>
            <w:shd w:val="clear" w:color="auto" w:fill="auto"/>
            <w:hideMark/>
          </w:tcPr>
          <w:p w14:paraId="5D63E980" w14:textId="77777777" w:rsidR="00F734BB" w:rsidRPr="00F734BB" w:rsidRDefault="00F734BB" w:rsidP="00F734BB">
            <w:pPr>
              <w:jc w:val="left"/>
              <w:rPr>
                <w:color w:val="000000"/>
                <w:sz w:val="16"/>
                <w:szCs w:val="16"/>
                <w:lang w:eastAsia="en-CA"/>
              </w:rPr>
            </w:pPr>
            <w:r w:rsidRPr="00F734BB">
              <w:rPr>
                <w:color w:val="000000"/>
                <w:sz w:val="16"/>
                <w:szCs w:val="16"/>
                <w:lang w:eastAsia="en-CA"/>
              </w:rPr>
              <w:t>4.2.2</w:t>
            </w:r>
          </w:p>
        </w:tc>
        <w:tc>
          <w:tcPr>
            <w:tcW w:w="4178" w:type="pct"/>
            <w:gridSpan w:val="10"/>
            <w:shd w:val="clear" w:color="auto" w:fill="auto"/>
            <w:hideMark/>
          </w:tcPr>
          <w:p w14:paraId="5D01C012" w14:textId="77777777" w:rsidR="00F734BB" w:rsidRPr="00F734BB" w:rsidRDefault="00F734BB" w:rsidP="00F734BB">
            <w:pPr>
              <w:jc w:val="left"/>
              <w:rPr>
                <w:color w:val="000000"/>
                <w:sz w:val="16"/>
                <w:szCs w:val="16"/>
                <w:lang w:eastAsia="en-CA"/>
              </w:rPr>
            </w:pPr>
            <w:r w:rsidRPr="00F734BB">
              <w:rPr>
                <w:color w:val="000000"/>
                <w:sz w:val="16"/>
                <w:szCs w:val="16"/>
                <w:lang w:eastAsia="en-CA"/>
              </w:rPr>
              <w:t>Phase-out of HCFC-124 to be achieved in the previous stage (ODP tonnes)</w:t>
            </w:r>
          </w:p>
        </w:tc>
        <w:tc>
          <w:tcPr>
            <w:tcW w:w="507" w:type="pct"/>
          </w:tcPr>
          <w:p w14:paraId="273253F3" w14:textId="77777777" w:rsidR="00F734BB" w:rsidRPr="00F734BB" w:rsidRDefault="00F734BB" w:rsidP="00F734BB">
            <w:pPr>
              <w:jc w:val="right"/>
              <w:rPr>
                <w:color w:val="000000"/>
                <w:sz w:val="16"/>
                <w:szCs w:val="16"/>
                <w:lang w:eastAsia="en-CA"/>
              </w:rPr>
            </w:pPr>
            <w:r w:rsidRPr="00F734BB">
              <w:rPr>
                <w:color w:val="000000"/>
                <w:sz w:val="16"/>
                <w:szCs w:val="16"/>
                <w:lang w:eastAsia="en-CA"/>
              </w:rPr>
              <w:t>0.00</w:t>
            </w:r>
          </w:p>
        </w:tc>
      </w:tr>
      <w:tr w:rsidR="00F734BB" w:rsidRPr="00F734BB" w14:paraId="324A4C5B" w14:textId="77777777" w:rsidTr="00A1083B">
        <w:trPr>
          <w:trHeight w:val="134"/>
        </w:trPr>
        <w:tc>
          <w:tcPr>
            <w:tcW w:w="315" w:type="pct"/>
            <w:shd w:val="clear" w:color="auto" w:fill="auto"/>
            <w:hideMark/>
          </w:tcPr>
          <w:p w14:paraId="21DCE8FE" w14:textId="77777777" w:rsidR="00F734BB" w:rsidRPr="00F734BB" w:rsidRDefault="00F734BB" w:rsidP="00F734BB">
            <w:pPr>
              <w:jc w:val="left"/>
              <w:rPr>
                <w:color w:val="000000"/>
                <w:sz w:val="16"/>
                <w:szCs w:val="16"/>
                <w:lang w:eastAsia="en-CA"/>
              </w:rPr>
            </w:pPr>
            <w:r w:rsidRPr="00F734BB">
              <w:rPr>
                <w:color w:val="000000"/>
                <w:sz w:val="16"/>
                <w:szCs w:val="16"/>
                <w:lang w:eastAsia="en-CA"/>
              </w:rPr>
              <w:t>4.2.3</w:t>
            </w:r>
          </w:p>
        </w:tc>
        <w:tc>
          <w:tcPr>
            <w:tcW w:w="4178" w:type="pct"/>
            <w:gridSpan w:val="10"/>
            <w:shd w:val="clear" w:color="auto" w:fill="auto"/>
            <w:hideMark/>
          </w:tcPr>
          <w:p w14:paraId="32E325FA" w14:textId="77777777" w:rsidR="00F734BB" w:rsidRPr="00F734BB" w:rsidRDefault="00F734BB" w:rsidP="00F734BB">
            <w:pPr>
              <w:jc w:val="left"/>
              <w:rPr>
                <w:color w:val="000000"/>
                <w:sz w:val="16"/>
                <w:szCs w:val="16"/>
                <w:lang w:eastAsia="en-CA"/>
              </w:rPr>
            </w:pPr>
            <w:r w:rsidRPr="00F734BB">
              <w:rPr>
                <w:color w:val="000000"/>
                <w:sz w:val="16"/>
                <w:szCs w:val="16"/>
                <w:lang w:eastAsia="en-CA"/>
              </w:rPr>
              <w:t>Remaining eligible consumption for HCFC-124 (ODP tonnes)</w:t>
            </w:r>
          </w:p>
        </w:tc>
        <w:tc>
          <w:tcPr>
            <w:tcW w:w="507" w:type="pct"/>
          </w:tcPr>
          <w:p w14:paraId="4F34A928" w14:textId="77777777" w:rsidR="00F734BB" w:rsidRPr="00F734BB" w:rsidRDefault="00F734BB" w:rsidP="00F734BB">
            <w:pPr>
              <w:jc w:val="right"/>
              <w:rPr>
                <w:color w:val="000000"/>
                <w:sz w:val="16"/>
                <w:szCs w:val="16"/>
                <w:lang w:eastAsia="en-CA"/>
              </w:rPr>
            </w:pPr>
            <w:r w:rsidRPr="00F734BB">
              <w:rPr>
                <w:color w:val="000000"/>
                <w:sz w:val="16"/>
                <w:szCs w:val="16"/>
                <w:lang w:eastAsia="en-CA"/>
              </w:rPr>
              <w:t>0.06</w:t>
            </w:r>
          </w:p>
        </w:tc>
      </w:tr>
      <w:tr w:rsidR="00F734BB" w:rsidRPr="00F734BB" w14:paraId="7EA9E40D" w14:textId="77777777" w:rsidTr="00A1083B">
        <w:trPr>
          <w:trHeight w:val="89"/>
        </w:trPr>
        <w:tc>
          <w:tcPr>
            <w:tcW w:w="315" w:type="pct"/>
            <w:shd w:val="clear" w:color="auto" w:fill="auto"/>
            <w:hideMark/>
          </w:tcPr>
          <w:p w14:paraId="67601D51" w14:textId="77777777" w:rsidR="00F734BB" w:rsidRPr="00F734BB" w:rsidRDefault="00F734BB" w:rsidP="00F734BB">
            <w:pPr>
              <w:jc w:val="left"/>
              <w:rPr>
                <w:color w:val="000000"/>
                <w:sz w:val="16"/>
                <w:szCs w:val="16"/>
                <w:lang w:eastAsia="en-CA"/>
              </w:rPr>
            </w:pPr>
            <w:r w:rsidRPr="00F734BB">
              <w:rPr>
                <w:color w:val="000000"/>
                <w:sz w:val="16"/>
                <w:szCs w:val="16"/>
                <w:lang w:eastAsia="en-CA"/>
              </w:rPr>
              <w:t>4.3.1</w:t>
            </w:r>
          </w:p>
        </w:tc>
        <w:tc>
          <w:tcPr>
            <w:tcW w:w="4178" w:type="pct"/>
            <w:gridSpan w:val="10"/>
            <w:shd w:val="clear" w:color="auto" w:fill="auto"/>
            <w:hideMark/>
          </w:tcPr>
          <w:p w14:paraId="6D519998" w14:textId="77777777" w:rsidR="00F734BB" w:rsidRPr="00F734BB" w:rsidRDefault="00F734BB" w:rsidP="00F734BB">
            <w:pPr>
              <w:jc w:val="left"/>
              <w:rPr>
                <w:color w:val="000000"/>
                <w:sz w:val="16"/>
                <w:szCs w:val="16"/>
                <w:lang w:eastAsia="en-CA"/>
              </w:rPr>
            </w:pPr>
            <w:r w:rsidRPr="00F734BB">
              <w:rPr>
                <w:color w:val="000000"/>
                <w:sz w:val="16"/>
                <w:szCs w:val="16"/>
                <w:lang w:eastAsia="en-CA"/>
              </w:rPr>
              <w:t>Total phase-out of HCFC-141b agreed to be achieved under this Agreement (ODP tonnes)</w:t>
            </w:r>
          </w:p>
        </w:tc>
        <w:tc>
          <w:tcPr>
            <w:tcW w:w="507" w:type="pct"/>
          </w:tcPr>
          <w:p w14:paraId="6E7E4F02" w14:textId="77777777" w:rsidR="00F734BB" w:rsidRPr="00F734BB" w:rsidRDefault="00F734BB" w:rsidP="00F734BB">
            <w:pPr>
              <w:jc w:val="right"/>
              <w:rPr>
                <w:color w:val="000000"/>
                <w:sz w:val="16"/>
                <w:szCs w:val="16"/>
                <w:lang w:eastAsia="en-CA"/>
              </w:rPr>
            </w:pPr>
            <w:r w:rsidRPr="00F734BB">
              <w:rPr>
                <w:color w:val="000000"/>
                <w:sz w:val="16"/>
                <w:szCs w:val="16"/>
                <w:lang w:eastAsia="en-CA"/>
              </w:rPr>
              <w:t>0.00</w:t>
            </w:r>
          </w:p>
        </w:tc>
      </w:tr>
      <w:tr w:rsidR="00F734BB" w:rsidRPr="00F734BB" w14:paraId="03B0C6D5" w14:textId="77777777" w:rsidTr="00A1083B">
        <w:trPr>
          <w:trHeight w:val="161"/>
        </w:trPr>
        <w:tc>
          <w:tcPr>
            <w:tcW w:w="315" w:type="pct"/>
            <w:shd w:val="clear" w:color="auto" w:fill="auto"/>
            <w:hideMark/>
          </w:tcPr>
          <w:p w14:paraId="569ECF51" w14:textId="77777777" w:rsidR="00F734BB" w:rsidRPr="00F734BB" w:rsidRDefault="00F734BB" w:rsidP="00F734BB">
            <w:pPr>
              <w:jc w:val="left"/>
              <w:rPr>
                <w:color w:val="000000"/>
                <w:sz w:val="16"/>
                <w:szCs w:val="16"/>
                <w:lang w:eastAsia="en-CA"/>
              </w:rPr>
            </w:pPr>
            <w:r w:rsidRPr="00F734BB">
              <w:rPr>
                <w:color w:val="000000"/>
                <w:sz w:val="16"/>
                <w:szCs w:val="16"/>
                <w:lang w:eastAsia="en-CA"/>
              </w:rPr>
              <w:t>4.3.2</w:t>
            </w:r>
          </w:p>
        </w:tc>
        <w:tc>
          <w:tcPr>
            <w:tcW w:w="4178" w:type="pct"/>
            <w:gridSpan w:val="10"/>
            <w:shd w:val="clear" w:color="auto" w:fill="auto"/>
            <w:hideMark/>
          </w:tcPr>
          <w:p w14:paraId="2584355D" w14:textId="77777777" w:rsidR="00F734BB" w:rsidRPr="00F734BB" w:rsidRDefault="00F734BB" w:rsidP="00F734BB">
            <w:pPr>
              <w:jc w:val="left"/>
              <w:rPr>
                <w:color w:val="000000"/>
                <w:sz w:val="16"/>
                <w:szCs w:val="16"/>
                <w:lang w:eastAsia="en-CA"/>
              </w:rPr>
            </w:pPr>
            <w:r w:rsidRPr="00F734BB">
              <w:rPr>
                <w:color w:val="000000"/>
                <w:sz w:val="16"/>
                <w:szCs w:val="16"/>
                <w:lang w:eastAsia="en-CA"/>
              </w:rPr>
              <w:t>Phase-out of</w:t>
            </w:r>
            <w:r w:rsidRPr="00F734BB">
              <w:rPr>
                <w:sz w:val="16"/>
                <w:szCs w:val="16"/>
              </w:rPr>
              <w:t xml:space="preserve"> </w:t>
            </w:r>
            <w:r w:rsidRPr="00F734BB">
              <w:rPr>
                <w:color w:val="000000"/>
                <w:sz w:val="16"/>
                <w:szCs w:val="16"/>
                <w:lang w:eastAsia="en-CA"/>
              </w:rPr>
              <w:t>HCFC-141b to be achieved in the previous stage (ODP tonnes)</w:t>
            </w:r>
          </w:p>
        </w:tc>
        <w:tc>
          <w:tcPr>
            <w:tcW w:w="507" w:type="pct"/>
          </w:tcPr>
          <w:p w14:paraId="5BFFE994" w14:textId="77777777" w:rsidR="00F734BB" w:rsidRPr="00F734BB" w:rsidRDefault="00F734BB" w:rsidP="00F734BB">
            <w:pPr>
              <w:jc w:val="right"/>
              <w:rPr>
                <w:color w:val="000000"/>
                <w:sz w:val="16"/>
                <w:szCs w:val="16"/>
                <w:lang w:eastAsia="en-CA"/>
              </w:rPr>
            </w:pPr>
            <w:r w:rsidRPr="00F734BB">
              <w:rPr>
                <w:color w:val="000000"/>
                <w:sz w:val="16"/>
                <w:szCs w:val="16"/>
                <w:lang w:eastAsia="en-CA"/>
              </w:rPr>
              <w:t>1.79</w:t>
            </w:r>
          </w:p>
        </w:tc>
      </w:tr>
      <w:tr w:rsidR="00F734BB" w:rsidRPr="00F734BB" w14:paraId="31CA0964" w14:textId="77777777" w:rsidTr="00A1083B">
        <w:trPr>
          <w:trHeight w:val="188"/>
        </w:trPr>
        <w:tc>
          <w:tcPr>
            <w:tcW w:w="315" w:type="pct"/>
            <w:shd w:val="clear" w:color="auto" w:fill="auto"/>
            <w:hideMark/>
          </w:tcPr>
          <w:p w14:paraId="2FC89AB8" w14:textId="77777777" w:rsidR="00F734BB" w:rsidRPr="00F734BB" w:rsidRDefault="00F734BB" w:rsidP="00F734BB">
            <w:pPr>
              <w:jc w:val="left"/>
              <w:rPr>
                <w:color w:val="000000"/>
                <w:sz w:val="16"/>
                <w:szCs w:val="16"/>
                <w:lang w:eastAsia="en-CA"/>
              </w:rPr>
            </w:pPr>
            <w:r w:rsidRPr="00F734BB">
              <w:rPr>
                <w:color w:val="000000"/>
                <w:sz w:val="16"/>
                <w:szCs w:val="16"/>
                <w:lang w:eastAsia="en-CA"/>
              </w:rPr>
              <w:t>4.3.3</w:t>
            </w:r>
          </w:p>
        </w:tc>
        <w:tc>
          <w:tcPr>
            <w:tcW w:w="4178" w:type="pct"/>
            <w:gridSpan w:val="10"/>
            <w:shd w:val="clear" w:color="auto" w:fill="auto"/>
            <w:hideMark/>
          </w:tcPr>
          <w:p w14:paraId="3DE4474E" w14:textId="77777777" w:rsidR="00F734BB" w:rsidRPr="00F734BB" w:rsidRDefault="00F734BB" w:rsidP="00F734BB">
            <w:pPr>
              <w:jc w:val="left"/>
              <w:rPr>
                <w:color w:val="000000"/>
                <w:sz w:val="16"/>
                <w:szCs w:val="16"/>
                <w:lang w:eastAsia="en-CA"/>
              </w:rPr>
            </w:pPr>
            <w:r w:rsidRPr="00F734BB">
              <w:rPr>
                <w:color w:val="000000"/>
                <w:sz w:val="16"/>
                <w:szCs w:val="16"/>
                <w:lang w:eastAsia="en-CA"/>
              </w:rPr>
              <w:t>Remaining eligible consumption for HCFC-141b (ODP tonnes)</w:t>
            </w:r>
          </w:p>
        </w:tc>
        <w:tc>
          <w:tcPr>
            <w:tcW w:w="507" w:type="pct"/>
          </w:tcPr>
          <w:p w14:paraId="79905998" w14:textId="77777777" w:rsidR="00F734BB" w:rsidRPr="00F734BB" w:rsidRDefault="00F734BB" w:rsidP="00F734BB">
            <w:pPr>
              <w:jc w:val="right"/>
              <w:rPr>
                <w:color w:val="000000"/>
                <w:sz w:val="16"/>
                <w:szCs w:val="16"/>
                <w:lang w:eastAsia="en-CA"/>
              </w:rPr>
            </w:pPr>
            <w:r w:rsidRPr="00F734BB">
              <w:rPr>
                <w:color w:val="000000"/>
                <w:sz w:val="16"/>
                <w:szCs w:val="16"/>
                <w:lang w:eastAsia="en-CA"/>
              </w:rPr>
              <w:t>0.00</w:t>
            </w:r>
          </w:p>
        </w:tc>
      </w:tr>
      <w:tr w:rsidR="00F734BB" w:rsidRPr="00F734BB" w14:paraId="6AFB9758" w14:textId="77777777" w:rsidTr="00A1083B">
        <w:trPr>
          <w:trHeight w:val="89"/>
        </w:trPr>
        <w:tc>
          <w:tcPr>
            <w:tcW w:w="315" w:type="pct"/>
            <w:shd w:val="clear" w:color="auto" w:fill="auto"/>
            <w:hideMark/>
          </w:tcPr>
          <w:p w14:paraId="2ED70DD5" w14:textId="77777777" w:rsidR="00F734BB" w:rsidRPr="00F734BB" w:rsidRDefault="00F734BB" w:rsidP="00F734BB">
            <w:pPr>
              <w:jc w:val="left"/>
              <w:rPr>
                <w:color w:val="000000"/>
                <w:sz w:val="16"/>
                <w:szCs w:val="16"/>
                <w:lang w:eastAsia="en-CA"/>
              </w:rPr>
            </w:pPr>
            <w:r w:rsidRPr="00F734BB">
              <w:rPr>
                <w:color w:val="000000"/>
                <w:sz w:val="16"/>
                <w:szCs w:val="16"/>
                <w:lang w:eastAsia="en-CA"/>
              </w:rPr>
              <w:t>4.4.1</w:t>
            </w:r>
          </w:p>
        </w:tc>
        <w:tc>
          <w:tcPr>
            <w:tcW w:w="4178" w:type="pct"/>
            <w:gridSpan w:val="10"/>
            <w:shd w:val="clear" w:color="auto" w:fill="auto"/>
            <w:hideMark/>
          </w:tcPr>
          <w:p w14:paraId="0B3A6951" w14:textId="77777777" w:rsidR="00F734BB" w:rsidRPr="00F734BB" w:rsidRDefault="00F734BB" w:rsidP="00F734BB">
            <w:pPr>
              <w:jc w:val="left"/>
              <w:rPr>
                <w:color w:val="000000"/>
                <w:sz w:val="16"/>
                <w:szCs w:val="16"/>
                <w:lang w:eastAsia="en-CA"/>
              </w:rPr>
            </w:pPr>
            <w:r w:rsidRPr="00F734BB">
              <w:rPr>
                <w:color w:val="000000"/>
                <w:sz w:val="16"/>
                <w:szCs w:val="16"/>
                <w:lang w:eastAsia="en-CA"/>
              </w:rPr>
              <w:t>Total phase-out of HCFC-142b agreed to be achieved under this Agreement (ODP tonnes)</w:t>
            </w:r>
          </w:p>
        </w:tc>
        <w:tc>
          <w:tcPr>
            <w:tcW w:w="507" w:type="pct"/>
          </w:tcPr>
          <w:p w14:paraId="5AE70019" w14:textId="77777777" w:rsidR="00F734BB" w:rsidRPr="00F734BB" w:rsidRDefault="00F734BB" w:rsidP="00F734BB">
            <w:pPr>
              <w:jc w:val="right"/>
              <w:rPr>
                <w:color w:val="000000"/>
                <w:sz w:val="16"/>
                <w:szCs w:val="16"/>
                <w:lang w:eastAsia="en-CA"/>
              </w:rPr>
            </w:pPr>
            <w:r w:rsidRPr="00F734BB">
              <w:rPr>
                <w:color w:val="000000"/>
                <w:sz w:val="16"/>
                <w:szCs w:val="16"/>
                <w:lang w:eastAsia="en-CA"/>
              </w:rPr>
              <w:t>0.00</w:t>
            </w:r>
          </w:p>
        </w:tc>
      </w:tr>
      <w:tr w:rsidR="00F734BB" w:rsidRPr="00F734BB" w14:paraId="48D7DA83" w14:textId="77777777" w:rsidTr="00A1083B">
        <w:trPr>
          <w:trHeight w:val="71"/>
        </w:trPr>
        <w:tc>
          <w:tcPr>
            <w:tcW w:w="315" w:type="pct"/>
            <w:shd w:val="clear" w:color="auto" w:fill="auto"/>
            <w:hideMark/>
          </w:tcPr>
          <w:p w14:paraId="50EA0A1F" w14:textId="77777777" w:rsidR="00F734BB" w:rsidRPr="00F734BB" w:rsidRDefault="00F734BB" w:rsidP="00F734BB">
            <w:pPr>
              <w:jc w:val="left"/>
              <w:rPr>
                <w:color w:val="000000"/>
                <w:sz w:val="16"/>
                <w:szCs w:val="16"/>
                <w:lang w:eastAsia="en-CA"/>
              </w:rPr>
            </w:pPr>
            <w:r w:rsidRPr="00F734BB">
              <w:rPr>
                <w:color w:val="000000"/>
                <w:sz w:val="16"/>
                <w:szCs w:val="16"/>
                <w:lang w:eastAsia="en-CA"/>
              </w:rPr>
              <w:t>4.4.2</w:t>
            </w:r>
          </w:p>
        </w:tc>
        <w:tc>
          <w:tcPr>
            <w:tcW w:w="4178" w:type="pct"/>
            <w:gridSpan w:val="10"/>
            <w:shd w:val="clear" w:color="auto" w:fill="auto"/>
            <w:hideMark/>
          </w:tcPr>
          <w:p w14:paraId="3D932A8B" w14:textId="77777777" w:rsidR="00F734BB" w:rsidRPr="00F734BB" w:rsidRDefault="00F734BB" w:rsidP="00F734BB">
            <w:pPr>
              <w:jc w:val="left"/>
              <w:rPr>
                <w:color w:val="000000"/>
                <w:sz w:val="16"/>
                <w:szCs w:val="16"/>
                <w:lang w:eastAsia="en-CA"/>
              </w:rPr>
            </w:pPr>
            <w:r w:rsidRPr="00F734BB">
              <w:rPr>
                <w:color w:val="000000"/>
                <w:sz w:val="16"/>
                <w:szCs w:val="16"/>
                <w:lang w:eastAsia="en-CA"/>
              </w:rPr>
              <w:t>Phase-out of</w:t>
            </w:r>
            <w:r w:rsidRPr="00F734BB">
              <w:rPr>
                <w:sz w:val="16"/>
                <w:szCs w:val="16"/>
              </w:rPr>
              <w:t xml:space="preserve"> </w:t>
            </w:r>
            <w:r w:rsidRPr="00F734BB">
              <w:rPr>
                <w:color w:val="000000"/>
                <w:sz w:val="16"/>
                <w:szCs w:val="16"/>
                <w:lang w:eastAsia="en-CA"/>
              </w:rPr>
              <w:t>HCFC-142b to be achieved in the previous stage (ODP tonnes)</w:t>
            </w:r>
          </w:p>
        </w:tc>
        <w:tc>
          <w:tcPr>
            <w:tcW w:w="507" w:type="pct"/>
          </w:tcPr>
          <w:p w14:paraId="51D3E3D2" w14:textId="77777777" w:rsidR="00F734BB" w:rsidRPr="00F734BB" w:rsidRDefault="00F734BB" w:rsidP="00F734BB">
            <w:pPr>
              <w:jc w:val="right"/>
              <w:rPr>
                <w:color w:val="000000"/>
                <w:sz w:val="16"/>
                <w:szCs w:val="16"/>
                <w:lang w:eastAsia="en-CA"/>
              </w:rPr>
            </w:pPr>
            <w:r w:rsidRPr="00F734BB">
              <w:rPr>
                <w:color w:val="000000"/>
                <w:sz w:val="16"/>
                <w:szCs w:val="16"/>
                <w:lang w:eastAsia="en-CA"/>
              </w:rPr>
              <w:t>0.00</w:t>
            </w:r>
          </w:p>
        </w:tc>
      </w:tr>
      <w:tr w:rsidR="00F734BB" w:rsidRPr="00F734BB" w14:paraId="38CEF73F" w14:textId="77777777" w:rsidTr="00A1083B">
        <w:trPr>
          <w:trHeight w:val="134"/>
        </w:trPr>
        <w:tc>
          <w:tcPr>
            <w:tcW w:w="315" w:type="pct"/>
            <w:shd w:val="clear" w:color="auto" w:fill="auto"/>
            <w:hideMark/>
          </w:tcPr>
          <w:p w14:paraId="1BE6AAA9" w14:textId="77777777" w:rsidR="00F734BB" w:rsidRPr="00F734BB" w:rsidRDefault="00F734BB" w:rsidP="00F734BB">
            <w:pPr>
              <w:jc w:val="left"/>
              <w:rPr>
                <w:color w:val="000000"/>
                <w:sz w:val="16"/>
                <w:szCs w:val="16"/>
                <w:lang w:eastAsia="en-CA"/>
              </w:rPr>
            </w:pPr>
            <w:r w:rsidRPr="00F734BB">
              <w:rPr>
                <w:color w:val="000000"/>
                <w:sz w:val="16"/>
                <w:szCs w:val="16"/>
                <w:lang w:eastAsia="en-CA"/>
              </w:rPr>
              <w:t>4.4.3</w:t>
            </w:r>
          </w:p>
        </w:tc>
        <w:tc>
          <w:tcPr>
            <w:tcW w:w="4178" w:type="pct"/>
            <w:gridSpan w:val="10"/>
            <w:shd w:val="clear" w:color="auto" w:fill="auto"/>
            <w:hideMark/>
          </w:tcPr>
          <w:p w14:paraId="7B2DCB6A" w14:textId="77777777" w:rsidR="00F734BB" w:rsidRPr="00F734BB" w:rsidRDefault="00F734BB" w:rsidP="00F734BB">
            <w:pPr>
              <w:jc w:val="left"/>
              <w:rPr>
                <w:color w:val="000000"/>
                <w:sz w:val="16"/>
                <w:szCs w:val="16"/>
                <w:lang w:eastAsia="en-CA"/>
              </w:rPr>
            </w:pPr>
            <w:r w:rsidRPr="00F734BB">
              <w:rPr>
                <w:color w:val="000000"/>
                <w:sz w:val="16"/>
                <w:szCs w:val="16"/>
                <w:lang w:eastAsia="en-CA"/>
              </w:rPr>
              <w:t>Remaining eligible consumption for HCFC-142b (ODP tonnes)</w:t>
            </w:r>
          </w:p>
        </w:tc>
        <w:tc>
          <w:tcPr>
            <w:tcW w:w="507" w:type="pct"/>
          </w:tcPr>
          <w:p w14:paraId="26E1A04A" w14:textId="77777777" w:rsidR="00F734BB" w:rsidRPr="00F734BB" w:rsidRDefault="00F734BB" w:rsidP="00F734BB">
            <w:pPr>
              <w:jc w:val="right"/>
              <w:rPr>
                <w:color w:val="000000"/>
                <w:sz w:val="16"/>
                <w:szCs w:val="16"/>
                <w:lang w:eastAsia="en-CA"/>
              </w:rPr>
            </w:pPr>
            <w:r w:rsidRPr="00F734BB">
              <w:rPr>
                <w:color w:val="000000"/>
                <w:sz w:val="16"/>
                <w:szCs w:val="16"/>
                <w:lang w:eastAsia="en-CA"/>
              </w:rPr>
              <w:t>1.18</w:t>
            </w:r>
          </w:p>
        </w:tc>
      </w:tr>
      <w:tr w:rsidR="00F734BB" w:rsidRPr="00F734BB" w14:paraId="4F203B38" w14:textId="77777777" w:rsidTr="00A1083B">
        <w:trPr>
          <w:trHeight w:val="53"/>
        </w:trPr>
        <w:tc>
          <w:tcPr>
            <w:tcW w:w="315" w:type="pct"/>
            <w:shd w:val="clear" w:color="auto" w:fill="auto"/>
            <w:hideMark/>
          </w:tcPr>
          <w:p w14:paraId="76F006D9" w14:textId="77777777" w:rsidR="00F734BB" w:rsidRPr="00F734BB" w:rsidRDefault="00F734BB" w:rsidP="00F734BB">
            <w:pPr>
              <w:jc w:val="left"/>
              <w:rPr>
                <w:color w:val="000000"/>
                <w:sz w:val="16"/>
                <w:szCs w:val="16"/>
                <w:lang w:eastAsia="en-CA"/>
              </w:rPr>
            </w:pPr>
            <w:r w:rsidRPr="00F734BB">
              <w:rPr>
                <w:color w:val="000000"/>
                <w:sz w:val="16"/>
                <w:szCs w:val="16"/>
                <w:lang w:eastAsia="en-CA"/>
              </w:rPr>
              <w:t>4.5.1</w:t>
            </w:r>
          </w:p>
        </w:tc>
        <w:tc>
          <w:tcPr>
            <w:tcW w:w="4178" w:type="pct"/>
            <w:gridSpan w:val="10"/>
            <w:shd w:val="clear" w:color="auto" w:fill="auto"/>
            <w:hideMark/>
          </w:tcPr>
          <w:p w14:paraId="7143A04D" w14:textId="77777777" w:rsidR="00F734BB" w:rsidRPr="00F734BB" w:rsidRDefault="00F734BB" w:rsidP="00F734BB">
            <w:pPr>
              <w:jc w:val="left"/>
              <w:rPr>
                <w:color w:val="000000"/>
                <w:sz w:val="16"/>
                <w:szCs w:val="16"/>
                <w:lang w:eastAsia="en-CA"/>
              </w:rPr>
            </w:pPr>
            <w:r w:rsidRPr="00F734BB">
              <w:rPr>
                <w:color w:val="000000"/>
                <w:sz w:val="16"/>
                <w:szCs w:val="16"/>
                <w:lang w:eastAsia="en-CA"/>
              </w:rPr>
              <w:t>Total phase-out of HCFC-141b contained in imported pre-blended polyols agreed to be achieved under this Agreement (ODP tonnes)</w:t>
            </w:r>
          </w:p>
        </w:tc>
        <w:tc>
          <w:tcPr>
            <w:tcW w:w="507" w:type="pct"/>
          </w:tcPr>
          <w:p w14:paraId="4A699259" w14:textId="77777777" w:rsidR="00F734BB" w:rsidRPr="00F734BB" w:rsidRDefault="00F734BB" w:rsidP="00F734BB">
            <w:pPr>
              <w:jc w:val="right"/>
              <w:rPr>
                <w:color w:val="000000"/>
                <w:sz w:val="16"/>
                <w:szCs w:val="16"/>
                <w:lang w:eastAsia="en-CA"/>
              </w:rPr>
            </w:pPr>
            <w:r w:rsidRPr="00F734BB">
              <w:rPr>
                <w:color w:val="000000"/>
                <w:sz w:val="16"/>
                <w:szCs w:val="16"/>
                <w:lang w:eastAsia="en-CA"/>
              </w:rPr>
              <w:t>0.00</w:t>
            </w:r>
          </w:p>
        </w:tc>
      </w:tr>
      <w:tr w:rsidR="00F734BB" w:rsidRPr="00F734BB" w14:paraId="095747CA" w14:textId="77777777" w:rsidTr="00A1083B">
        <w:trPr>
          <w:trHeight w:val="107"/>
        </w:trPr>
        <w:tc>
          <w:tcPr>
            <w:tcW w:w="315" w:type="pct"/>
            <w:shd w:val="clear" w:color="auto" w:fill="auto"/>
            <w:hideMark/>
          </w:tcPr>
          <w:p w14:paraId="228CB9D9" w14:textId="77777777" w:rsidR="00F734BB" w:rsidRPr="00F734BB" w:rsidRDefault="00F734BB" w:rsidP="00F734BB">
            <w:pPr>
              <w:jc w:val="left"/>
              <w:rPr>
                <w:color w:val="000000"/>
                <w:sz w:val="16"/>
                <w:szCs w:val="16"/>
                <w:lang w:eastAsia="en-CA"/>
              </w:rPr>
            </w:pPr>
            <w:r w:rsidRPr="00F734BB">
              <w:rPr>
                <w:color w:val="000000"/>
                <w:sz w:val="16"/>
                <w:szCs w:val="16"/>
                <w:lang w:eastAsia="en-CA"/>
              </w:rPr>
              <w:t>4.5.2</w:t>
            </w:r>
          </w:p>
        </w:tc>
        <w:tc>
          <w:tcPr>
            <w:tcW w:w="4178" w:type="pct"/>
            <w:gridSpan w:val="10"/>
            <w:shd w:val="clear" w:color="auto" w:fill="auto"/>
            <w:hideMark/>
          </w:tcPr>
          <w:p w14:paraId="0BC27FE5" w14:textId="77777777" w:rsidR="00F734BB" w:rsidRPr="00F734BB" w:rsidRDefault="00F734BB" w:rsidP="00F734BB">
            <w:pPr>
              <w:jc w:val="left"/>
              <w:rPr>
                <w:color w:val="000000"/>
                <w:sz w:val="16"/>
                <w:szCs w:val="16"/>
                <w:lang w:eastAsia="en-CA"/>
              </w:rPr>
            </w:pPr>
            <w:r w:rsidRPr="00F734BB">
              <w:rPr>
                <w:color w:val="000000"/>
                <w:sz w:val="16"/>
                <w:szCs w:val="16"/>
                <w:lang w:eastAsia="en-CA"/>
              </w:rPr>
              <w:t>Phase-out of HCFC-141b contained in imported pre-blended polyols to be achieved in the previous stage (ODP tonnes)</w:t>
            </w:r>
          </w:p>
        </w:tc>
        <w:tc>
          <w:tcPr>
            <w:tcW w:w="507" w:type="pct"/>
          </w:tcPr>
          <w:p w14:paraId="3FB1214C" w14:textId="77777777" w:rsidR="00F734BB" w:rsidRPr="00F734BB" w:rsidRDefault="00F734BB" w:rsidP="00F734BB">
            <w:pPr>
              <w:jc w:val="right"/>
              <w:rPr>
                <w:color w:val="000000"/>
                <w:sz w:val="16"/>
                <w:szCs w:val="16"/>
                <w:lang w:eastAsia="en-CA"/>
              </w:rPr>
            </w:pPr>
            <w:r w:rsidRPr="00F734BB">
              <w:rPr>
                <w:color w:val="000000"/>
                <w:sz w:val="16"/>
                <w:szCs w:val="16"/>
                <w:lang w:eastAsia="en-CA"/>
              </w:rPr>
              <w:t>0.00</w:t>
            </w:r>
          </w:p>
        </w:tc>
      </w:tr>
      <w:tr w:rsidR="00F734BB" w:rsidRPr="00F734BB" w14:paraId="44C7EB23" w14:textId="77777777" w:rsidTr="00A1083B">
        <w:trPr>
          <w:trHeight w:val="98"/>
        </w:trPr>
        <w:tc>
          <w:tcPr>
            <w:tcW w:w="315" w:type="pct"/>
            <w:shd w:val="clear" w:color="auto" w:fill="auto"/>
            <w:hideMark/>
          </w:tcPr>
          <w:p w14:paraId="7469C86D" w14:textId="77777777" w:rsidR="00F734BB" w:rsidRPr="00F734BB" w:rsidRDefault="00F734BB" w:rsidP="00F734BB">
            <w:pPr>
              <w:jc w:val="left"/>
              <w:rPr>
                <w:color w:val="000000"/>
                <w:sz w:val="16"/>
                <w:szCs w:val="16"/>
                <w:lang w:eastAsia="en-CA"/>
              </w:rPr>
            </w:pPr>
            <w:r w:rsidRPr="00F734BB">
              <w:rPr>
                <w:color w:val="000000"/>
                <w:sz w:val="16"/>
                <w:szCs w:val="16"/>
                <w:lang w:eastAsia="en-CA"/>
              </w:rPr>
              <w:t>4.5.3</w:t>
            </w:r>
          </w:p>
        </w:tc>
        <w:tc>
          <w:tcPr>
            <w:tcW w:w="4178" w:type="pct"/>
            <w:gridSpan w:val="10"/>
            <w:shd w:val="clear" w:color="auto" w:fill="auto"/>
            <w:hideMark/>
          </w:tcPr>
          <w:p w14:paraId="193AF8B5" w14:textId="77777777" w:rsidR="00F734BB" w:rsidRPr="00F734BB" w:rsidRDefault="00F734BB" w:rsidP="00F734BB">
            <w:pPr>
              <w:jc w:val="left"/>
              <w:rPr>
                <w:color w:val="000000"/>
                <w:sz w:val="16"/>
                <w:szCs w:val="16"/>
                <w:lang w:eastAsia="en-CA"/>
              </w:rPr>
            </w:pPr>
            <w:r w:rsidRPr="00F734BB">
              <w:rPr>
                <w:color w:val="000000"/>
                <w:sz w:val="16"/>
                <w:szCs w:val="16"/>
                <w:lang w:eastAsia="en-CA"/>
              </w:rPr>
              <w:t>Remaining eligible consumption for HCFC-141b contained in imported pre-blended polyols (ODP tonnes)</w:t>
            </w:r>
          </w:p>
        </w:tc>
        <w:tc>
          <w:tcPr>
            <w:tcW w:w="507" w:type="pct"/>
          </w:tcPr>
          <w:p w14:paraId="0663FC04" w14:textId="77777777" w:rsidR="00F734BB" w:rsidRPr="00F734BB" w:rsidRDefault="00F734BB" w:rsidP="00F734BB">
            <w:pPr>
              <w:jc w:val="right"/>
              <w:rPr>
                <w:color w:val="000000"/>
                <w:sz w:val="16"/>
                <w:szCs w:val="16"/>
                <w:lang w:eastAsia="en-CA"/>
              </w:rPr>
            </w:pPr>
            <w:r w:rsidRPr="00F734BB">
              <w:rPr>
                <w:color w:val="000000"/>
                <w:sz w:val="16"/>
                <w:szCs w:val="16"/>
                <w:lang w:eastAsia="en-CA"/>
              </w:rPr>
              <w:t>27.91</w:t>
            </w:r>
          </w:p>
        </w:tc>
      </w:tr>
      <w:tr w:rsidR="00F734BB" w:rsidRPr="00F734BB" w14:paraId="0E4E192D" w14:textId="77777777" w:rsidTr="00A1083B">
        <w:trPr>
          <w:trHeight w:val="98"/>
        </w:trPr>
        <w:tc>
          <w:tcPr>
            <w:tcW w:w="5000" w:type="pct"/>
            <w:gridSpan w:val="12"/>
            <w:shd w:val="clear" w:color="auto" w:fill="auto"/>
          </w:tcPr>
          <w:p w14:paraId="449474B5" w14:textId="77777777" w:rsidR="00F734BB" w:rsidRPr="00F734BB" w:rsidRDefault="00F734BB" w:rsidP="00F734BB">
            <w:pPr>
              <w:jc w:val="left"/>
              <w:rPr>
                <w:color w:val="000000"/>
                <w:sz w:val="16"/>
                <w:szCs w:val="16"/>
                <w:lang w:eastAsia="en-CA"/>
              </w:rPr>
            </w:pPr>
            <w:r w:rsidRPr="00F734BB">
              <w:rPr>
                <w:sz w:val="16"/>
                <w:szCs w:val="16"/>
              </w:rPr>
              <w:t>*Date of completion of stage I as per stage I Agreement: 31 December 2017</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734BB" w:rsidRPr="00F734BB" w14:paraId="7F278F3D" w14:textId="77777777" w:rsidTr="00F734BB">
        <w:tc>
          <w:tcPr>
            <w:tcW w:w="5000" w:type="pct"/>
          </w:tcPr>
          <w:p w14:paraId="65288985" w14:textId="77777777" w:rsidR="00F734BB" w:rsidRPr="00F734BB" w:rsidRDefault="00F734BB" w:rsidP="00F734BB">
            <w:pPr>
              <w:keepNext/>
              <w:suppressLineNumbers/>
              <w:rPr>
                <w:b/>
              </w:rPr>
            </w:pPr>
            <w:r w:rsidRPr="00F734BB">
              <w:rPr>
                <w:b/>
              </w:rPr>
              <w:t>APPENDIX 3-A: FUNDING APPROVAL SCHEDULE</w:t>
            </w:r>
          </w:p>
          <w:p w14:paraId="5F3099AB" w14:textId="77777777" w:rsidR="00F734BB" w:rsidRPr="00F734BB" w:rsidRDefault="00F734BB" w:rsidP="00F734BB">
            <w:pPr>
              <w:keepNext/>
              <w:suppressLineNumbers/>
            </w:pPr>
          </w:p>
          <w:p w14:paraId="6684139B" w14:textId="77777777" w:rsidR="00F734BB" w:rsidRPr="00F734BB" w:rsidRDefault="00F734BB" w:rsidP="00F734BB">
            <w:pPr>
              <w:keepNext/>
              <w:numPr>
                <w:ilvl w:val="0"/>
                <w:numId w:val="28"/>
              </w:numPr>
              <w:suppressLineNumbers/>
              <w:spacing w:after="240"/>
              <w:outlineLvl w:val="0"/>
            </w:pPr>
            <w:r w:rsidRPr="00F734BB">
              <w:t>Funding for the future tranches will be considered for approval at the first meeting of the year specified in Appendix 2-A.</w:t>
            </w:r>
          </w:p>
          <w:p w14:paraId="73F0FD05" w14:textId="77777777" w:rsidR="00F734BB" w:rsidRPr="00F734BB" w:rsidRDefault="00F734BB" w:rsidP="00F734BB">
            <w:pPr>
              <w:keepNext/>
              <w:suppressLineNumbers/>
              <w:jc w:val="left"/>
              <w:rPr>
                <w:b/>
              </w:rPr>
            </w:pPr>
          </w:p>
        </w:tc>
      </w:tr>
    </w:tbl>
    <w:tbl>
      <w:tblPr>
        <w:tblW w:w="5000" w:type="pct"/>
        <w:tblLook w:val="0000" w:firstRow="0" w:lastRow="0" w:firstColumn="0" w:lastColumn="0" w:noHBand="0" w:noVBand="0"/>
      </w:tblPr>
      <w:tblGrid>
        <w:gridCol w:w="9360"/>
      </w:tblGrid>
      <w:tr w:rsidR="00F734BB" w:rsidRPr="00F734BB" w14:paraId="41DCDBBC" w14:textId="77777777" w:rsidTr="00F734BB">
        <w:trPr>
          <w:trHeight w:val="341"/>
        </w:trPr>
        <w:tc>
          <w:tcPr>
            <w:tcW w:w="5000" w:type="pct"/>
          </w:tcPr>
          <w:p w14:paraId="2BAF230E" w14:textId="77777777" w:rsidR="00F734BB" w:rsidRPr="00F734BB" w:rsidRDefault="00F734BB" w:rsidP="00F734BB">
            <w:pPr>
              <w:widowControl w:val="0"/>
              <w:rPr>
                <w:b/>
              </w:rPr>
            </w:pPr>
            <w:r w:rsidRPr="00F734BB">
              <w:rPr>
                <w:b/>
              </w:rPr>
              <w:t>APPENDIX 4-A: FORMAT OF TRANCHE IMPLEMENTATION REPORTS AND PLANS</w:t>
            </w:r>
          </w:p>
          <w:p w14:paraId="78E0885B" w14:textId="77777777" w:rsidR="00F734BB" w:rsidRPr="00F734BB" w:rsidRDefault="00F734BB" w:rsidP="00F734BB">
            <w:pPr>
              <w:widowControl w:val="0"/>
            </w:pPr>
          </w:p>
          <w:p w14:paraId="58DBF4B5" w14:textId="77777777" w:rsidR="00F734BB" w:rsidRPr="00F734BB" w:rsidRDefault="00F734BB" w:rsidP="00FF531D">
            <w:pPr>
              <w:pStyle w:val="Heading1"/>
              <w:widowControl w:val="0"/>
              <w:numPr>
                <w:ilvl w:val="0"/>
                <w:numId w:val="43"/>
              </w:numPr>
            </w:pPr>
            <w:r w:rsidRPr="00F734BB">
              <w:t>The submission of the Tranche Implementation Report and Plans for each tranche request will consist of five parts:</w:t>
            </w:r>
          </w:p>
          <w:p w14:paraId="0947A218" w14:textId="77777777" w:rsidR="00F734BB" w:rsidRPr="00F734BB" w:rsidRDefault="00F734BB" w:rsidP="00F734BB">
            <w:pPr>
              <w:widowControl w:val="0"/>
              <w:numPr>
                <w:ilvl w:val="1"/>
                <w:numId w:val="1"/>
              </w:numPr>
              <w:tabs>
                <w:tab w:val="clear" w:pos="0"/>
                <w:tab w:val="num" w:pos="-720"/>
              </w:tabs>
              <w:spacing w:after="240"/>
              <w:ind w:hanging="697"/>
              <w:outlineLvl w:val="1"/>
            </w:pPr>
            <w:r w:rsidRPr="00F734BB">
              <w:t xml:space="preserve">A narrative report, with data provided by tranche, describing the progress achieved since the previous report, reflecting the situation of the Country in regard to phase out of the Substances, how the different activities contribute to it, and how they relate to each other. The report should include the amount of ODS phased out as a direct result from the implementation of activities, by substance, and the alternative technology used and the related phase-in of alternatives, to allow the Secretariat to provide to the Executive Committee information about the resulting change in climate relevant emissions. The report should further highlight successes, experiences, and challenges related to the different activities included in the Plan, reflecting any changes in the circumstances in the Country, and providing other relevant information. The report should also include information on and justification for any changes vis-à-vis the previously submitted Tranche Implementation Plan(s), such as delays, uses of the flexibility for reallocation of funds during implementation of a tranche, as provided for in paragraph 7 of this Agreement, or other changes; </w:t>
            </w:r>
          </w:p>
          <w:p w14:paraId="1C221A22" w14:textId="77777777" w:rsidR="00F734BB" w:rsidRPr="00F734BB" w:rsidRDefault="00F734BB" w:rsidP="00F734BB">
            <w:pPr>
              <w:widowControl w:val="0"/>
              <w:numPr>
                <w:ilvl w:val="1"/>
                <w:numId w:val="1"/>
              </w:numPr>
              <w:tabs>
                <w:tab w:val="clear" w:pos="0"/>
                <w:tab w:val="num" w:pos="-720"/>
              </w:tabs>
              <w:spacing w:after="240"/>
              <w:ind w:hanging="697"/>
              <w:outlineLvl w:val="1"/>
            </w:pPr>
            <w:r w:rsidRPr="00F734BB">
              <w:t>An independent verification report of the Plan results and the consumption of the Substances, as per sub-paragraph 5(b) of the Agreement. If not decided otherwise by the Executive Committee, such a verification has to be provided together with each tranche request and will have to provide verification of the consumption for all relevant years as specified in sub-paragraph 5(a) of the Agreement for which a verification report has not yet been acknowledged by the Committee;</w:t>
            </w:r>
          </w:p>
          <w:p w14:paraId="635152A8" w14:textId="77777777" w:rsidR="00F734BB" w:rsidRPr="00F734BB" w:rsidRDefault="00F734BB" w:rsidP="00F734BB">
            <w:pPr>
              <w:widowControl w:val="0"/>
              <w:numPr>
                <w:ilvl w:val="1"/>
                <w:numId w:val="1"/>
              </w:numPr>
              <w:tabs>
                <w:tab w:val="clear" w:pos="0"/>
                <w:tab w:val="num" w:pos="-720"/>
              </w:tabs>
              <w:spacing w:after="240"/>
              <w:ind w:hanging="697"/>
              <w:outlineLvl w:val="1"/>
              <w:rPr>
                <w:b/>
              </w:rPr>
            </w:pPr>
            <w:r w:rsidRPr="00F734BB">
              <w:t xml:space="preserve">A written description of the activities to be undertaken during the period covered by the requested tranche, highlighting implementation milestones, the time of completion and the interdependence of the activities, and taking into account experiences made and progress achieved in the implementation of earlier tranches; the data in the plan will be provided by calendar year. The description should also include a reference to the overall Plan and progress achieved, as well as any possible changes to the overall Plan that are foreseen. The description should also specify and explain in detail such changes to the overall plan. This description of future activities can be submitted as a part of the same document as the narrative </w:t>
            </w:r>
            <w:r w:rsidRPr="00F734BB">
              <w:lastRenderedPageBreak/>
              <w:t xml:space="preserve">report under sub-paragraph (b) above; </w:t>
            </w:r>
          </w:p>
        </w:tc>
      </w:tr>
      <w:tr w:rsidR="00F734BB" w:rsidRPr="00F734BB" w14:paraId="1CB1F55C" w14:textId="77777777" w:rsidTr="00F734BB">
        <w:trPr>
          <w:trHeight w:val="1394"/>
        </w:trPr>
        <w:tc>
          <w:tcPr>
            <w:tcW w:w="5000" w:type="pct"/>
          </w:tcPr>
          <w:p w14:paraId="50E699EE" w14:textId="77777777" w:rsidR="00F734BB" w:rsidRPr="00F734BB" w:rsidRDefault="00F734BB" w:rsidP="00F734BB">
            <w:pPr>
              <w:widowControl w:val="0"/>
              <w:numPr>
                <w:ilvl w:val="1"/>
                <w:numId w:val="1"/>
              </w:numPr>
              <w:tabs>
                <w:tab w:val="clear" w:pos="0"/>
                <w:tab w:val="num" w:pos="-720"/>
              </w:tabs>
              <w:spacing w:after="240"/>
              <w:ind w:hanging="697"/>
              <w:outlineLvl w:val="1"/>
            </w:pPr>
            <w:r w:rsidRPr="00F734BB">
              <w:lastRenderedPageBreak/>
              <w:t>A set of quantitative information for all Tranche Implementation Reports and Plans, submitted through an online database; and</w:t>
            </w:r>
          </w:p>
          <w:p w14:paraId="39AC291C" w14:textId="77777777" w:rsidR="00F734BB" w:rsidRPr="00F734BB" w:rsidRDefault="00F734BB" w:rsidP="00F734BB">
            <w:pPr>
              <w:widowControl w:val="0"/>
              <w:numPr>
                <w:ilvl w:val="1"/>
                <w:numId w:val="1"/>
              </w:numPr>
              <w:tabs>
                <w:tab w:val="clear" w:pos="0"/>
                <w:tab w:val="num" w:pos="-720"/>
              </w:tabs>
              <w:spacing w:after="240"/>
              <w:ind w:hanging="697"/>
              <w:outlineLvl w:val="1"/>
            </w:pPr>
            <w:r w:rsidRPr="00F734BB">
              <w:t>An Executive Summary of about five paragraphs, summarizing the information of the above sub</w:t>
            </w:r>
            <w:r w:rsidRPr="00F734BB">
              <w:noBreakHyphen/>
              <w:t>paragraphs 1(a) to 1(d).</w:t>
            </w:r>
          </w:p>
        </w:tc>
      </w:tr>
      <w:tr w:rsidR="00F734BB" w:rsidRPr="00F734BB" w14:paraId="0FE5F26C" w14:textId="77777777" w:rsidTr="00F734BB">
        <w:trPr>
          <w:trHeight w:val="2924"/>
        </w:trPr>
        <w:tc>
          <w:tcPr>
            <w:tcW w:w="5000" w:type="pct"/>
          </w:tcPr>
          <w:p w14:paraId="721E8A42" w14:textId="77777777" w:rsidR="00F734BB" w:rsidRPr="00F734BB" w:rsidRDefault="00F734BB" w:rsidP="00F734BB">
            <w:pPr>
              <w:widowControl w:val="0"/>
              <w:numPr>
                <w:ilvl w:val="0"/>
                <w:numId w:val="1"/>
              </w:numPr>
              <w:spacing w:after="240"/>
              <w:outlineLvl w:val="0"/>
            </w:pPr>
            <w:r w:rsidRPr="00F734BB">
              <w:t>In the event that in a particular year two stages of the HPMP are being implemented in parallel, the following considerations should be taken in preparing the Tranche Implementation Reports and Plans:</w:t>
            </w:r>
          </w:p>
          <w:p w14:paraId="18AAFCE4" w14:textId="77777777" w:rsidR="00F734BB" w:rsidRPr="00F734BB" w:rsidRDefault="00F734BB" w:rsidP="00F734BB">
            <w:pPr>
              <w:widowControl w:val="0"/>
              <w:numPr>
                <w:ilvl w:val="1"/>
                <w:numId w:val="1"/>
              </w:numPr>
              <w:tabs>
                <w:tab w:val="clear" w:pos="0"/>
                <w:tab w:val="num" w:pos="-720"/>
              </w:tabs>
              <w:spacing w:after="240"/>
              <w:ind w:hanging="697"/>
              <w:outlineLvl w:val="1"/>
            </w:pPr>
            <w:r w:rsidRPr="00F734BB">
              <w:t>The Tranche Implementation Reports and Plans referred to as part of this Agreement, will exclusively refer to activities and funds covered by this Agreement; and</w:t>
            </w:r>
          </w:p>
          <w:p w14:paraId="72B4747E" w14:textId="77777777" w:rsidR="00F734BB" w:rsidRPr="00F734BB" w:rsidRDefault="00F734BB" w:rsidP="00F734BB">
            <w:pPr>
              <w:widowControl w:val="0"/>
              <w:numPr>
                <w:ilvl w:val="1"/>
                <w:numId w:val="1"/>
              </w:numPr>
              <w:tabs>
                <w:tab w:val="clear" w:pos="0"/>
                <w:tab w:val="num" w:pos="-720"/>
              </w:tabs>
              <w:spacing w:after="240"/>
              <w:ind w:hanging="697"/>
              <w:outlineLvl w:val="1"/>
            </w:pPr>
            <w:r w:rsidRPr="00F734BB">
              <w:t>If the stages under implementation have different HCFC consumption targets under Appendix 2-A of each Agreement in a particular year, the lower HCFC consumption target will be used as reference for compliance with these Agreements and will be the basis for the independent verification.</w:t>
            </w:r>
          </w:p>
        </w:tc>
      </w:tr>
      <w:tr w:rsidR="00F734BB" w:rsidRPr="00F734BB" w14:paraId="1C128744" w14:textId="77777777" w:rsidTr="00F734BB">
        <w:trPr>
          <w:trHeight w:val="1727"/>
        </w:trPr>
        <w:tc>
          <w:tcPr>
            <w:tcW w:w="5000" w:type="pct"/>
          </w:tcPr>
          <w:p w14:paraId="0391DB66" w14:textId="77777777" w:rsidR="00F734BB" w:rsidRPr="00F734BB" w:rsidRDefault="00F734BB" w:rsidP="00F734BB">
            <w:pPr>
              <w:widowControl w:val="0"/>
              <w:rPr>
                <w:b/>
              </w:rPr>
            </w:pPr>
            <w:r w:rsidRPr="00F734BB">
              <w:rPr>
                <w:b/>
              </w:rPr>
              <w:t xml:space="preserve">APPENDIX 5-A: MONITORING INSTITUTIONS AND ROLES </w:t>
            </w:r>
          </w:p>
          <w:p w14:paraId="0D9A9A72" w14:textId="77777777" w:rsidR="00F734BB" w:rsidRPr="00F734BB" w:rsidRDefault="00F734BB" w:rsidP="00F734BB">
            <w:pPr>
              <w:widowControl w:val="0"/>
            </w:pPr>
          </w:p>
          <w:p w14:paraId="7F23B857" w14:textId="77777777" w:rsidR="00F734BB" w:rsidRPr="00F734BB" w:rsidRDefault="00F734BB" w:rsidP="00F734BB">
            <w:pPr>
              <w:widowControl w:val="0"/>
              <w:numPr>
                <w:ilvl w:val="0"/>
                <w:numId w:val="38"/>
              </w:numPr>
              <w:spacing w:after="240"/>
              <w:outlineLvl w:val="0"/>
            </w:pPr>
            <w:r w:rsidRPr="00F734BB">
              <w:t xml:space="preserve">Overall supervision will be provided by the Ministry of Production, through the National Ozone Office, with assistance from </w:t>
            </w:r>
            <w:r w:rsidR="00A1083B">
              <w:t>the Lead IA and the Cooperating IA</w:t>
            </w:r>
            <w:r w:rsidRPr="00F734BB">
              <w:t>.</w:t>
            </w:r>
          </w:p>
          <w:p w14:paraId="1863D2E6" w14:textId="77777777" w:rsidR="00F734BB" w:rsidRPr="00F734BB" w:rsidRDefault="00F734BB" w:rsidP="00D0229B">
            <w:pPr>
              <w:widowControl w:val="0"/>
              <w:numPr>
                <w:ilvl w:val="0"/>
                <w:numId w:val="38"/>
              </w:numPr>
              <w:spacing w:after="240"/>
              <w:outlineLvl w:val="0"/>
            </w:pPr>
            <w:r w:rsidRPr="00F734BB">
              <w:t>Consumption will be monitored and determined from official data of import and export of substances as registered by the relevant government departments.</w:t>
            </w:r>
            <w:r w:rsidR="00A1083B">
              <w:t xml:space="preserve"> The </w:t>
            </w:r>
            <w:r w:rsidRPr="00F734BB">
              <w:t xml:space="preserve">National Ozone Office will compile and report the following data and information each year on, or before the deadlines: </w:t>
            </w:r>
          </w:p>
          <w:p w14:paraId="489E8D9B" w14:textId="77777777" w:rsidR="00F734BB" w:rsidRPr="00F734BB" w:rsidRDefault="00F734BB" w:rsidP="00F734BB">
            <w:pPr>
              <w:widowControl w:val="0"/>
              <w:numPr>
                <w:ilvl w:val="1"/>
                <w:numId w:val="1"/>
              </w:numPr>
              <w:tabs>
                <w:tab w:val="clear" w:pos="0"/>
                <w:tab w:val="num" w:pos="-720"/>
              </w:tabs>
              <w:spacing w:after="240"/>
              <w:ind w:hanging="697"/>
              <w:outlineLvl w:val="1"/>
            </w:pPr>
            <w:r w:rsidRPr="00F734BB">
              <w:t>Annual reports on the consumption of the substances to be submitted to the Ozone Secretariat, and</w:t>
            </w:r>
          </w:p>
          <w:p w14:paraId="05AB5B2A" w14:textId="77777777" w:rsidR="00F734BB" w:rsidRPr="00F734BB" w:rsidRDefault="00F734BB" w:rsidP="00F734BB">
            <w:pPr>
              <w:widowControl w:val="0"/>
              <w:numPr>
                <w:ilvl w:val="1"/>
                <w:numId w:val="1"/>
              </w:numPr>
              <w:tabs>
                <w:tab w:val="clear" w:pos="0"/>
                <w:tab w:val="num" w:pos="-720"/>
              </w:tabs>
              <w:spacing w:after="240"/>
              <w:ind w:hanging="697"/>
              <w:outlineLvl w:val="1"/>
            </w:pPr>
            <w:r w:rsidRPr="00F734BB">
              <w:t>Annual reports on progress in implementing the HPMP to be submitted to the Executive Committee of the Multilateral Fund.</w:t>
            </w:r>
          </w:p>
          <w:p w14:paraId="19D5044C" w14:textId="77777777" w:rsidR="00F734BB" w:rsidRPr="00F734BB" w:rsidRDefault="00F734BB" w:rsidP="00A1083B">
            <w:pPr>
              <w:widowControl w:val="0"/>
              <w:numPr>
                <w:ilvl w:val="0"/>
                <w:numId w:val="38"/>
              </w:numPr>
              <w:spacing w:after="240"/>
              <w:outlineLvl w:val="0"/>
            </w:pPr>
            <w:r w:rsidRPr="00F734BB">
              <w:t xml:space="preserve">The National Ozone Office and </w:t>
            </w:r>
            <w:r w:rsidR="00A1083B">
              <w:t>the Lead IA</w:t>
            </w:r>
            <w:r w:rsidRPr="00F734BB">
              <w:t xml:space="preserve"> will jointly hire a qualified independent entity to conduct a qualitative and quantitative performance assessment of the implementation of the HPMP.</w:t>
            </w:r>
            <w:r w:rsidR="00A1083B">
              <w:t xml:space="preserve"> T</w:t>
            </w:r>
            <w:r w:rsidRPr="00F734BB">
              <w:t>he agency responsible for evaluation will have full access to relevant technical and financial information related to the implementation of the HPMP.</w:t>
            </w:r>
          </w:p>
        </w:tc>
      </w:tr>
      <w:tr w:rsidR="00F734BB" w:rsidRPr="00F734BB" w14:paraId="782EEDA1" w14:textId="77777777" w:rsidTr="00F734BB">
        <w:trPr>
          <w:trHeight w:val="1780"/>
        </w:trPr>
        <w:tc>
          <w:tcPr>
            <w:tcW w:w="5000" w:type="pct"/>
          </w:tcPr>
          <w:p w14:paraId="0DDC0343" w14:textId="77777777" w:rsidR="00F734BB" w:rsidRPr="00F734BB" w:rsidRDefault="00F734BB" w:rsidP="00F734BB">
            <w:pPr>
              <w:widowControl w:val="0"/>
              <w:rPr>
                <w:b/>
              </w:rPr>
            </w:pPr>
            <w:r w:rsidRPr="00F734BB">
              <w:rPr>
                <w:b/>
              </w:rPr>
              <w:t xml:space="preserve">APPENDIX 6-A: ROLE OF THE LEAD IMPLEMENTING AGENCY </w:t>
            </w:r>
          </w:p>
          <w:p w14:paraId="4C75E6B9" w14:textId="77777777" w:rsidR="00F734BB" w:rsidRPr="00F734BB" w:rsidRDefault="00F734BB" w:rsidP="00F734BB">
            <w:pPr>
              <w:widowControl w:val="0"/>
            </w:pPr>
          </w:p>
          <w:p w14:paraId="622128B0" w14:textId="77777777" w:rsidR="00F734BB" w:rsidRPr="00F734BB" w:rsidRDefault="00F734BB" w:rsidP="00F734BB">
            <w:pPr>
              <w:pStyle w:val="Heading1"/>
              <w:widowControl w:val="0"/>
              <w:numPr>
                <w:ilvl w:val="0"/>
                <w:numId w:val="40"/>
              </w:numPr>
            </w:pPr>
            <w:r w:rsidRPr="00F734BB">
              <w:t>The Lead IA will be responsible for a range of activities, including at least the following:</w:t>
            </w:r>
          </w:p>
          <w:p w14:paraId="2D22CDD7" w14:textId="77777777" w:rsidR="00F734BB" w:rsidRPr="00F734BB" w:rsidRDefault="00F734BB" w:rsidP="00F734BB">
            <w:pPr>
              <w:widowControl w:val="0"/>
              <w:numPr>
                <w:ilvl w:val="1"/>
                <w:numId w:val="1"/>
              </w:numPr>
              <w:tabs>
                <w:tab w:val="clear" w:pos="0"/>
                <w:tab w:val="num" w:pos="-720"/>
              </w:tabs>
              <w:spacing w:after="240"/>
              <w:ind w:hanging="697"/>
              <w:outlineLvl w:val="1"/>
            </w:pPr>
            <w:r w:rsidRPr="00F734BB">
              <w:t>Ensuring performance and financial verification in accordance with this Agreement and with its specific internal procedures and requirements as set out in the Country’s HPMP;</w:t>
            </w:r>
          </w:p>
          <w:p w14:paraId="2B3F8C25" w14:textId="77777777" w:rsidR="00F734BB" w:rsidRPr="00F734BB" w:rsidRDefault="00F734BB" w:rsidP="00F734BB">
            <w:pPr>
              <w:widowControl w:val="0"/>
              <w:numPr>
                <w:ilvl w:val="1"/>
                <w:numId w:val="1"/>
              </w:numPr>
              <w:tabs>
                <w:tab w:val="clear" w:pos="0"/>
                <w:tab w:val="num" w:pos="-720"/>
              </w:tabs>
              <w:spacing w:after="240"/>
              <w:ind w:hanging="697"/>
              <w:outlineLvl w:val="1"/>
            </w:pPr>
            <w:r w:rsidRPr="00F734BB">
              <w:t>Assisting the Country in preparation of the Tranche Implementation Reports and Plans as per Appendix 4</w:t>
            </w:r>
            <w:r w:rsidRPr="00F734BB">
              <w:noBreakHyphen/>
              <w:t>A;</w:t>
            </w:r>
          </w:p>
          <w:p w14:paraId="3FF03584" w14:textId="77777777" w:rsidR="00F734BB" w:rsidRPr="00F734BB" w:rsidRDefault="00F734BB" w:rsidP="00F734BB">
            <w:pPr>
              <w:widowControl w:val="0"/>
              <w:numPr>
                <w:ilvl w:val="1"/>
                <w:numId w:val="1"/>
              </w:numPr>
              <w:tabs>
                <w:tab w:val="clear" w:pos="0"/>
                <w:tab w:val="num" w:pos="-720"/>
              </w:tabs>
              <w:spacing w:after="240"/>
              <w:ind w:hanging="697"/>
              <w:outlineLvl w:val="1"/>
            </w:pPr>
            <w:r w:rsidRPr="00F734BB">
              <w:t>Providing independent verification to the Executive Committee that the Targets have been met and associated tranche activities have been completed as indicated in the Tranche Implementation Plan consistent with Appendix 4-A;</w:t>
            </w:r>
          </w:p>
          <w:p w14:paraId="7D41ED21" w14:textId="77777777" w:rsidR="00F734BB" w:rsidRPr="00F734BB" w:rsidRDefault="00F734BB" w:rsidP="00F734BB">
            <w:pPr>
              <w:widowControl w:val="0"/>
              <w:numPr>
                <w:ilvl w:val="1"/>
                <w:numId w:val="1"/>
              </w:numPr>
              <w:tabs>
                <w:tab w:val="clear" w:pos="0"/>
                <w:tab w:val="num" w:pos="-720"/>
              </w:tabs>
              <w:spacing w:after="240"/>
              <w:ind w:hanging="697"/>
              <w:outlineLvl w:val="1"/>
            </w:pPr>
            <w:r w:rsidRPr="00F734BB">
              <w:t>Ensuring that the experiences and progress is reflected in updates of the overall plan and in future Tranche Implementation Plans consistent with sub-paragraphs 1(c) and 1(d) of Appendix 4-A;</w:t>
            </w:r>
          </w:p>
          <w:p w14:paraId="65330592" w14:textId="77777777" w:rsidR="00F734BB" w:rsidRPr="00F734BB" w:rsidRDefault="00F734BB" w:rsidP="00F734BB">
            <w:pPr>
              <w:keepNext/>
              <w:numPr>
                <w:ilvl w:val="1"/>
                <w:numId w:val="1"/>
              </w:numPr>
              <w:tabs>
                <w:tab w:val="clear" w:pos="0"/>
                <w:tab w:val="num" w:pos="-720"/>
              </w:tabs>
              <w:spacing w:after="240"/>
              <w:ind w:hanging="697"/>
              <w:outlineLvl w:val="1"/>
            </w:pPr>
            <w:r w:rsidRPr="00F734BB">
              <w:lastRenderedPageBreak/>
              <w:t>Fulfilling the reporting requirements for the Tranche Implementation Reports and Plans and the overall plan as specified in Appendix 4-A for submission to the Executive Committee, and should include the activities implemented by the Cooperating IA;</w:t>
            </w:r>
          </w:p>
          <w:p w14:paraId="7169922B" w14:textId="77777777" w:rsidR="00F734BB" w:rsidRPr="00F734BB" w:rsidRDefault="00F734BB" w:rsidP="00F734BB">
            <w:pPr>
              <w:keepNext/>
              <w:numPr>
                <w:ilvl w:val="1"/>
                <w:numId w:val="1"/>
              </w:numPr>
              <w:tabs>
                <w:tab w:val="clear" w:pos="0"/>
                <w:tab w:val="num" w:pos="-720"/>
              </w:tabs>
              <w:spacing w:after="240"/>
              <w:ind w:hanging="697"/>
              <w:outlineLvl w:val="1"/>
            </w:pPr>
            <w:r w:rsidRPr="00F734BB">
              <w:t>In the event that the last funding tranche is requested one or more years prior to the last year for which a consumption target had been established, annual tranche implementation reports and, where applicable, verification reports on the current stage of the Plan should be submitted until all activities foreseen had been completed and HCFC consumption targets had been met;</w:t>
            </w:r>
          </w:p>
          <w:p w14:paraId="7A197D8B" w14:textId="77777777" w:rsidR="00F734BB" w:rsidRPr="00F734BB" w:rsidRDefault="00F734BB" w:rsidP="00F734BB">
            <w:pPr>
              <w:widowControl w:val="0"/>
              <w:numPr>
                <w:ilvl w:val="1"/>
                <w:numId w:val="1"/>
              </w:numPr>
              <w:tabs>
                <w:tab w:val="clear" w:pos="0"/>
                <w:tab w:val="num" w:pos="-720"/>
              </w:tabs>
              <w:spacing w:after="240"/>
              <w:ind w:hanging="697"/>
              <w:outlineLvl w:val="1"/>
            </w:pPr>
            <w:r w:rsidRPr="00F734BB">
              <w:t>Ensuring that appropriate independent technical experts carry out the technical reviews;</w:t>
            </w:r>
          </w:p>
          <w:p w14:paraId="3EF23C80" w14:textId="77777777" w:rsidR="00F734BB" w:rsidRPr="00F734BB" w:rsidRDefault="00F734BB" w:rsidP="00F734BB">
            <w:pPr>
              <w:widowControl w:val="0"/>
              <w:numPr>
                <w:ilvl w:val="1"/>
                <w:numId w:val="1"/>
              </w:numPr>
              <w:tabs>
                <w:tab w:val="clear" w:pos="0"/>
                <w:tab w:val="num" w:pos="-720"/>
              </w:tabs>
              <w:spacing w:after="240"/>
              <w:ind w:hanging="697"/>
              <w:outlineLvl w:val="1"/>
            </w:pPr>
            <w:r w:rsidRPr="00F734BB">
              <w:t>Carrying out required supervision missions;</w:t>
            </w:r>
          </w:p>
          <w:p w14:paraId="6E07CFD7" w14:textId="77777777" w:rsidR="00F734BB" w:rsidRPr="00F734BB" w:rsidRDefault="00F734BB" w:rsidP="00F734BB">
            <w:pPr>
              <w:widowControl w:val="0"/>
              <w:numPr>
                <w:ilvl w:val="1"/>
                <w:numId w:val="1"/>
              </w:numPr>
              <w:tabs>
                <w:tab w:val="clear" w:pos="0"/>
                <w:tab w:val="num" w:pos="-720"/>
              </w:tabs>
              <w:spacing w:after="240"/>
              <w:ind w:hanging="697"/>
              <w:outlineLvl w:val="1"/>
            </w:pPr>
            <w:r w:rsidRPr="00F734BB">
              <w:t>Ensuring the presence of an operating mechanism to allow effective, transparent implementation of the Tranche Implementation Plan and accurate data reporting;</w:t>
            </w:r>
          </w:p>
          <w:p w14:paraId="3CBD670A" w14:textId="77777777" w:rsidR="00F734BB" w:rsidRPr="00F734BB" w:rsidRDefault="00F734BB" w:rsidP="00F734BB">
            <w:pPr>
              <w:widowControl w:val="0"/>
              <w:numPr>
                <w:ilvl w:val="1"/>
                <w:numId w:val="1"/>
              </w:numPr>
              <w:tabs>
                <w:tab w:val="clear" w:pos="0"/>
                <w:tab w:val="num" w:pos="-720"/>
              </w:tabs>
              <w:spacing w:after="240"/>
              <w:ind w:hanging="697"/>
              <w:outlineLvl w:val="1"/>
            </w:pPr>
            <w:r w:rsidRPr="00F734BB">
              <w:t>Co-ordinating the activities of the Cooperating IA, and ensuring appropriate sequence of activities;</w:t>
            </w:r>
          </w:p>
          <w:p w14:paraId="4926AEE4" w14:textId="77777777" w:rsidR="00F734BB" w:rsidRPr="00F734BB" w:rsidRDefault="00F734BB" w:rsidP="00F734BB">
            <w:pPr>
              <w:widowControl w:val="0"/>
              <w:numPr>
                <w:ilvl w:val="1"/>
                <w:numId w:val="1"/>
              </w:numPr>
              <w:tabs>
                <w:tab w:val="clear" w:pos="0"/>
                <w:tab w:val="num" w:pos="-720"/>
              </w:tabs>
              <w:spacing w:after="240"/>
              <w:ind w:hanging="697"/>
              <w:outlineLvl w:val="1"/>
            </w:pPr>
            <w:r w:rsidRPr="00F734BB">
              <w:t xml:space="preserve">In case of reductions in funding for failure to comply in accordance with paragraph 11 of the Agreement, to determine, in consultation with the Country and the Cooperating IA, the allocation of the reductions to the different budget items and to the funding of the Lead IA and each Cooperating IA; </w:t>
            </w:r>
          </w:p>
          <w:p w14:paraId="6C104CDF" w14:textId="77777777" w:rsidR="00F734BB" w:rsidRPr="00F734BB" w:rsidRDefault="00F734BB" w:rsidP="00F734BB">
            <w:pPr>
              <w:widowControl w:val="0"/>
              <w:numPr>
                <w:ilvl w:val="1"/>
                <w:numId w:val="1"/>
              </w:numPr>
              <w:tabs>
                <w:tab w:val="clear" w:pos="0"/>
                <w:tab w:val="num" w:pos="-720"/>
              </w:tabs>
              <w:spacing w:after="240"/>
              <w:ind w:hanging="697"/>
              <w:outlineLvl w:val="1"/>
            </w:pPr>
            <w:r w:rsidRPr="00F734BB">
              <w:t xml:space="preserve">Ensuring that disbursements made to the Country are based on the use of the indicators; </w:t>
            </w:r>
          </w:p>
          <w:p w14:paraId="4862045E" w14:textId="77777777" w:rsidR="00F734BB" w:rsidRPr="00F734BB" w:rsidRDefault="00F734BB" w:rsidP="00F734BB">
            <w:pPr>
              <w:widowControl w:val="0"/>
              <w:numPr>
                <w:ilvl w:val="1"/>
                <w:numId w:val="1"/>
              </w:numPr>
              <w:tabs>
                <w:tab w:val="clear" w:pos="0"/>
                <w:tab w:val="num" w:pos="-720"/>
              </w:tabs>
              <w:spacing w:after="240"/>
              <w:ind w:hanging="697"/>
              <w:outlineLvl w:val="1"/>
            </w:pPr>
            <w:r w:rsidRPr="00F734BB">
              <w:t xml:space="preserve">Providing assistance with policy, management and technical support when required; Reaching consensus with the Cooperating IA on any planning, coordination and reporting arrangements required to facilitate the implementation of the Plan; </w:t>
            </w:r>
          </w:p>
          <w:p w14:paraId="734E5FA4" w14:textId="77777777" w:rsidR="00F734BB" w:rsidRPr="00F734BB" w:rsidRDefault="00F734BB" w:rsidP="00F734BB">
            <w:pPr>
              <w:widowControl w:val="0"/>
              <w:numPr>
                <w:ilvl w:val="1"/>
                <w:numId w:val="1"/>
              </w:numPr>
              <w:tabs>
                <w:tab w:val="clear" w:pos="0"/>
                <w:tab w:val="num" w:pos="-720"/>
              </w:tabs>
              <w:spacing w:after="240"/>
              <w:ind w:hanging="697"/>
              <w:outlineLvl w:val="1"/>
            </w:pPr>
            <w:r w:rsidRPr="00F734BB">
              <w:t>Reaching consensus with the Cooperating IA on any planning, coordination and reporting arrangements required to facilitate the implementation of the Plan; and</w:t>
            </w:r>
          </w:p>
          <w:p w14:paraId="20B7FA16" w14:textId="77777777" w:rsidR="00F734BB" w:rsidRPr="00F734BB" w:rsidRDefault="00F734BB" w:rsidP="00F734BB">
            <w:pPr>
              <w:widowControl w:val="0"/>
              <w:numPr>
                <w:ilvl w:val="1"/>
                <w:numId w:val="1"/>
              </w:numPr>
              <w:tabs>
                <w:tab w:val="clear" w:pos="0"/>
                <w:tab w:val="num" w:pos="-720"/>
              </w:tabs>
              <w:spacing w:after="240"/>
              <w:ind w:hanging="697"/>
              <w:outlineLvl w:val="1"/>
            </w:pPr>
            <w:r w:rsidRPr="00F734BB">
              <w:t>Timely releasing funds to the country/participating enterprises for completing the activities related to the project.</w:t>
            </w:r>
          </w:p>
          <w:p w14:paraId="4D01D9DC" w14:textId="77777777" w:rsidR="00F734BB" w:rsidRPr="00F734BB" w:rsidRDefault="00F734BB" w:rsidP="00F734BB">
            <w:pPr>
              <w:widowControl w:val="0"/>
              <w:numPr>
                <w:ilvl w:val="0"/>
                <w:numId w:val="1"/>
              </w:numPr>
              <w:spacing w:after="240"/>
              <w:outlineLvl w:val="0"/>
            </w:pPr>
            <w:r w:rsidRPr="00F734BB">
              <w:t>After consultation with the Country and taking into account any views expressed, the Lead IA will select and mandate an independent entity to carry out the verification of the HPMP results and the consumption of the Substances mentioned in Appendix 1-A, as per sub-paragraph 5(b) of the Agreement and sub-paragraph 1(b) of Appendix 4-A.</w:t>
            </w:r>
          </w:p>
          <w:p w14:paraId="5B0FABC8" w14:textId="77777777" w:rsidR="00F734BB" w:rsidRPr="00F734BB" w:rsidRDefault="00F734BB" w:rsidP="00F734BB">
            <w:pPr>
              <w:widowControl w:val="0"/>
            </w:pPr>
          </w:p>
          <w:p w14:paraId="033DEFDA" w14:textId="77777777" w:rsidR="00F734BB" w:rsidRPr="00F734BB" w:rsidRDefault="00F734BB" w:rsidP="00F734BB">
            <w:pPr>
              <w:widowControl w:val="0"/>
              <w:rPr>
                <w:b/>
              </w:rPr>
            </w:pPr>
            <w:r w:rsidRPr="00F734BB">
              <w:rPr>
                <w:b/>
              </w:rPr>
              <w:t>APPENDIX 6-B: ROLE OF THE COOPERATING IMPLEMENTING AGENCY</w:t>
            </w:r>
          </w:p>
          <w:p w14:paraId="7A2729A7" w14:textId="77777777" w:rsidR="00F734BB" w:rsidRPr="00F734BB" w:rsidRDefault="00F734BB" w:rsidP="00F734BB">
            <w:pPr>
              <w:widowControl w:val="0"/>
            </w:pPr>
          </w:p>
          <w:p w14:paraId="4B75D2FF" w14:textId="77777777" w:rsidR="00F734BB" w:rsidRPr="00F734BB" w:rsidRDefault="00F734BB" w:rsidP="00FF531D">
            <w:pPr>
              <w:pStyle w:val="Heading1"/>
              <w:widowControl w:val="0"/>
              <w:numPr>
                <w:ilvl w:val="0"/>
                <w:numId w:val="41"/>
              </w:numPr>
            </w:pPr>
            <w:r w:rsidRPr="00F734BB">
              <w:t xml:space="preserve">The Cooperating IA will be responsible for a range of activities. These activities are specified in the Plan, including at least the following: </w:t>
            </w:r>
          </w:p>
          <w:p w14:paraId="022C5DA0" w14:textId="77777777" w:rsidR="00F734BB" w:rsidRPr="00F734BB" w:rsidRDefault="00F734BB" w:rsidP="00F734BB">
            <w:pPr>
              <w:widowControl w:val="0"/>
              <w:numPr>
                <w:ilvl w:val="1"/>
                <w:numId w:val="1"/>
              </w:numPr>
              <w:tabs>
                <w:tab w:val="clear" w:pos="0"/>
                <w:tab w:val="num" w:pos="-720"/>
              </w:tabs>
              <w:spacing w:after="240"/>
              <w:ind w:hanging="697"/>
              <w:outlineLvl w:val="1"/>
            </w:pPr>
            <w:r w:rsidRPr="00F734BB">
              <w:t xml:space="preserve">Providing assistance for policy development when required; </w:t>
            </w:r>
          </w:p>
          <w:p w14:paraId="7B10868F" w14:textId="77777777" w:rsidR="00F734BB" w:rsidRPr="00F734BB" w:rsidRDefault="00F734BB" w:rsidP="00DC54B8">
            <w:pPr>
              <w:keepNext/>
              <w:numPr>
                <w:ilvl w:val="1"/>
                <w:numId w:val="1"/>
              </w:numPr>
              <w:tabs>
                <w:tab w:val="clear" w:pos="0"/>
                <w:tab w:val="num" w:pos="-720"/>
              </w:tabs>
              <w:spacing w:after="240"/>
              <w:ind w:hanging="697"/>
              <w:outlineLvl w:val="1"/>
            </w:pPr>
            <w:r w:rsidRPr="00F734BB">
              <w:lastRenderedPageBreak/>
              <w:t xml:space="preserve">Assisting the Country in the implementation and assessment of the activities funded by the Cooperating IA, and refer to the Lead IA to ensure a co-ordinated sequence in the activities; </w:t>
            </w:r>
          </w:p>
          <w:p w14:paraId="44070813" w14:textId="77777777" w:rsidR="00F734BB" w:rsidRPr="00F734BB" w:rsidRDefault="00F734BB" w:rsidP="00DC54B8">
            <w:pPr>
              <w:keepNext/>
              <w:numPr>
                <w:ilvl w:val="1"/>
                <w:numId w:val="1"/>
              </w:numPr>
              <w:tabs>
                <w:tab w:val="clear" w:pos="0"/>
                <w:tab w:val="num" w:pos="-720"/>
              </w:tabs>
              <w:spacing w:after="240"/>
              <w:ind w:hanging="697"/>
              <w:outlineLvl w:val="1"/>
            </w:pPr>
            <w:r w:rsidRPr="00F734BB">
              <w:t>Providing reports to the Lead IA on these activities, for inclusion in the consolidated reports as per Appendix 4-A; and</w:t>
            </w:r>
          </w:p>
          <w:p w14:paraId="5CCD8F80" w14:textId="77777777" w:rsidR="00F734BB" w:rsidRPr="00F734BB" w:rsidRDefault="00F734BB" w:rsidP="00DC54B8">
            <w:pPr>
              <w:keepNext/>
              <w:numPr>
                <w:ilvl w:val="1"/>
                <w:numId w:val="1"/>
              </w:numPr>
              <w:tabs>
                <w:tab w:val="clear" w:pos="0"/>
                <w:tab w:val="num" w:pos="-720"/>
              </w:tabs>
              <w:spacing w:after="240"/>
              <w:ind w:hanging="697"/>
              <w:outlineLvl w:val="1"/>
            </w:pPr>
            <w:r>
              <w:t>`</w:t>
            </w:r>
            <w:r w:rsidRPr="00F734BB">
              <w:t>Reaching consensus with the Lead IA on any planning, coordination and reporting arrangements required to facilitate the implementation of the Plan.</w:t>
            </w:r>
          </w:p>
          <w:p w14:paraId="55071018" w14:textId="77777777" w:rsidR="00F734BB" w:rsidRPr="00F734BB" w:rsidRDefault="00F734BB" w:rsidP="00F734BB">
            <w:pPr>
              <w:widowControl w:val="0"/>
            </w:pPr>
          </w:p>
          <w:p w14:paraId="0B014675" w14:textId="77777777" w:rsidR="00F734BB" w:rsidRPr="00F734BB" w:rsidRDefault="00F734BB" w:rsidP="00F734BB">
            <w:pPr>
              <w:widowControl w:val="0"/>
              <w:rPr>
                <w:b/>
              </w:rPr>
            </w:pPr>
            <w:r w:rsidRPr="00F734BB">
              <w:rPr>
                <w:b/>
              </w:rPr>
              <w:t>APPENDIX 7-A: REDUCTIONS IN FUNDING FOR FAILURE TO COMPLY</w:t>
            </w:r>
          </w:p>
          <w:p w14:paraId="4AF8B2E5" w14:textId="77777777" w:rsidR="00F734BB" w:rsidRPr="00F734BB" w:rsidRDefault="00F734BB" w:rsidP="00F734BB">
            <w:pPr>
              <w:widowControl w:val="0"/>
            </w:pPr>
          </w:p>
          <w:p w14:paraId="41F3E477" w14:textId="77777777" w:rsidR="00F734BB" w:rsidRPr="00F734BB" w:rsidRDefault="00F734BB" w:rsidP="00FF531D">
            <w:pPr>
              <w:pStyle w:val="Heading1"/>
              <w:widowControl w:val="0"/>
              <w:numPr>
                <w:ilvl w:val="0"/>
                <w:numId w:val="42"/>
              </w:numPr>
            </w:pPr>
            <w:r w:rsidRPr="00F734BB">
              <w:t xml:space="preserve">In accordance with paragraph 11 of the Agreement, the amount of funding provided may be reduced by </w:t>
            </w:r>
            <w:r w:rsidR="00682B63">
              <w:t>US $</w:t>
            </w:r>
            <w:r w:rsidRPr="00F734BB">
              <w:t>190.97 per ODP kg of consumption beyond the level defined in row 1.2 of Appendix 2</w:t>
            </w:r>
            <w:r w:rsidRPr="00F734BB">
              <w:noBreakHyphen/>
              <w:t>A for each year in which the target specified in row 1.2 of Appendix 2</w:t>
            </w:r>
            <w:r w:rsidRPr="00F734BB">
              <w:noBreakHyphen/>
              <w:t>A has not been met, on the understanding that the maximum funding reduction would not exceed the funding level of the tranche being requested. Additional measures might be considered in cases where non-compliance extends for two consecutive years.</w:t>
            </w:r>
          </w:p>
          <w:p w14:paraId="44908AF0" w14:textId="77777777" w:rsidR="00F734BB" w:rsidRPr="00F734BB" w:rsidRDefault="00F734BB" w:rsidP="00F734BB">
            <w:pPr>
              <w:widowControl w:val="0"/>
              <w:numPr>
                <w:ilvl w:val="0"/>
                <w:numId w:val="1"/>
              </w:numPr>
              <w:spacing w:after="240"/>
              <w:outlineLvl w:val="0"/>
            </w:pPr>
            <w:r w:rsidRPr="00F734BB">
              <w:t>In the event that the penalty needs to be applied for a year in which there are two Agreements in force (two stages of the HPMP being implemented in parallel) with different penalty levels, the application of the penalty will be determined on a case-by-case basis taking into consideration the specific sectors that lead to the non-compliance. If it is not possible to determine a sector, or both stages are addressing the same sector, the penalty level to be applied would be the largest.</w:t>
            </w:r>
          </w:p>
        </w:tc>
      </w:tr>
      <w:tr w:rsidR="00F734BB" w:rsidRPr="00F734BB" w14:paraId="2E20C9A1" w14:textId="77777777" w:rsidTr="00F734BB">
        <w:trPr>
          <w:trHeight w:val="3824"/>
        </w:trPr>
        <w:tc>
          <w:tcPr>
            <w:tcW w:w="5000" w:type="pct"/>
          </w:tcPr>
          <w:p w14:paraId="3B5F2E87" w14:textId="77777777" w:rsidR="00F734BB" w:rsidRPr="00F734BB" w:rsidRDefault="00F734BB" w:rsidP="00F734BB">
            <w:pPr>
              <w:widowControl w:val="0"/>
              <w:rPr>
                <w:b/>
              </w:rPr>
            </w:pPr>
            <w:r w:rsidRPr="00F734BB">
              <w:rPr>
                <w:b/>
              </w:rPr>
              <w:lastRenderedPageBreak/>
              <w:t xml:space="preserve">APPENDIX 8-A: SECTOR SPECIFIC ARRANGEMENTS </w:t>
            </w:r>
          </w:p>
          <w:p w14:paraId="4D88C064" w14:textId="77777777" w:rsidR="00F734BB" w:rsidRPr="00F734BB" w:rsidRDefault="00F734BB" w:rsidP="00F734BB">
            <w:pPr>
              <w:widowControl w:val="0"/>
            </w:pPr>
          </w:p>
          <w:p w14:paraId="1249A3E2" w14:textId="77777777" w:rsidR="00F734BB" w:rsidRPr="00F734BB" w:rsidRDefault="00F734BB" w:rsidP="00F734BB">
            <w:pPr>
              <w:numPr>
                <w:ilvl w:val="0"/>
                <w:numId w:val="28"/>
              </w:numPr>
              <w:spacing w:after="240"/>
              <w:outlineLvl w:val="0"/>
            </w:pPr>
            <w:r w:rsidRPr="00F734BB">
              <w:t xml:space="preserve">During implementation of stage II of the HPMP the Government of Peru </w:t>
            </w:r>
            <w:r w:rsidR="008A6130">
              <w:t xml:space="preserve">could submit a project to phase </w:t>
            </w:r>
            <w:r w:rsidRPr="00F734BB">
              <w:t>out the use of HCFC-141b contained in imported pre-blende</w:t>
            </w:r>
            <w:r w:rsidR="008A6130">
              <w:t>d polyols</w:t>
            </w:r>
            <w:r w:rsidRPr="00F734BB">
              <w:t xml:space="preserve"> in the polyurethane foam sector, when proven cost-effective and commercially available low-GWP technology makes it possible.</w:t>
            </w:r>
          </w:p>
        </w:tc>
      </w:tr>
    </w:tbl>
    <w:p w14:paraId="3AE3E5A1" w14:textId="77777777" w:rsidR="00F734BB" w:rsidRPr="00F734BB" w:rsidRDefault="00F734BB" w:rsidP="00F734BB">
      <w:pPr>
        <w:widowControl w:val="0"/>
      </w:pPr>
    </w:p>
    <w:p w14:paraId="53ED178C" w14:textId="77777777" w:rsidR="00F734BB" w:rsidRPr="00F734BB" w:rsidRDefault="00F734BB" w:rsidP="00F734BB">
      <w:pPr>
        <w:widowControl w:val="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F734BB" w:rsidRPr="00F734BB" w14:paraId="300560DD" w14:textId="77777777" w:rsidTr="00F734BB">
        <w:tc>
          <w:tcPr>
            <w:tcW w:w="3192" w:type="dxa"/>
          </w:tcPr>
          <w:p w14:paraId="49AD2954" w14:textId="77777777" w:rsidR="00F734BB" w:rsidRPr="00F734BB" w:rsidRDefault="00F734BB" w:rsidP="00F734BB">
            <w:pPr>
              <w:widowControl w:val="0"/>
              <w:tabs>
                <w:tab w:val="left" w:pos="927"/>
              </w:tabs>
              <w:jc w:val="center"/>
              <w:rPr>
                <w:b/>
              </w:rPr>
            </w:pPr>
          </w:p>
        </w:tc>
        <w:tc>
          <w:tcPr>
            <w:tcW w:w="3192" w:type="dxa"/>
            <w:tcBorders>
              <w:bottom w:val="single" w:sz="4" w:space="0" w:color="auto"/>
            </w:tcBorders>
          </w:tcPr>
          <w:p w14:paraId="131762B2" w14:textId="77777777" w:rsidR="00F734BB" w:rsidRPr="00F734BB" w:rsidRDefault="00F734BB" w:rsidP="00F734BB">
            <w:pPr>
              <w:widowControl w:val="0"/>
              <w:tabs>
                <w:tab w:val="left" w:pos="927"/>
              </w:tabs>
              <w:jc w:val="center"/>
              <w:rPr>
                <w:b/>
              </w:rPr>
            </w:pPr>
          </w:p>
        </w:tc>
        <w:tc>
          <w:tcPr>
            <w:tcW w:w="3192" w:type="dxa"/>
          </w:tcPr>
          <w:p w14:paraId="0331FEB7" w14:textId="77777777" w:rsidR="00F734BB" w:rsidRPr="00F734BB" w:rsidRDefault="00F734BB" w:rsidP="00F734BB">
            <w:pPr>
              <w:widowControl w:val="0"/>
              <w:tabs>
                <w:tab w:val="left" w:pos="927"/>
              </w:tabs>
              <w:jc w:val="center"/>
              <w:rPr>
                <w:b/>
              </w:rPr>
            </w:pPr>
          </w:p>
        </w:tc>
      </w:tr>
    </w:tbl>
    <w:p w14:paraId="5961C279" w14:textId="77777777" w:rsidR="00F734BB" w:rsidRPr="00F734BB" w:rsidRDefault="00F734BB" w:rsidP="00F734BB">
      <w:pPr>
        <w:widowControl w:val="0"/>
        <w:tabs>
          <w:tab w:val="left" w:pos="927"/>
        </w:tabs>
        <w:jc w:val="center"/>
        <w:rPr>
          <w:b/>
        </w:rPr>
      </w:pPr>
    </w:p>
    <w:p w14:paraId="166E71AE" w14:textId="77777777" w:rsidR="00117177" w:rsidRPr="00DB2303" w:rsidRDefault="00117177" w:rsidP="00F734BB">
      <w:pPr>
        <w:pStyle w:val="Heading2"/>
        <w:numPr>
          <w:ilvl w:val="0"/>
          <w:numId w:val="0"/>
        </w:numPr>
        <w:spacing w:line="360" w:lineRule="auto"/>
        <w:ind w:left="720"/>
      </w:pPr>
    </w:p>
    <w:sectPr w:rsidR="00117177" w:rsidRPr="00DB2303" w:rsidSect="00F734BB">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C5649" w14:textId="77777777" w:rsidR="00C85260" w:rsidRDefault="00C85260" w:rsidP="004A504B">
      <w:r>
        <w:separator/>
      </w:r>
    </w:p>
  </w:endnote>
  <w:endnote w:type="continuationSeparator" w:id="0">
    <w:p w14:paraId="7A113DA9" w14:textId="77777777" w:rsidR="00C85260" w:rsidRDefault="00C85260"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94930" w14:textId="2537363F" w:rsidR="00C85260" w:rsidRPr="0033525D" w:rsidRDefault="00C85260">
    <w:pPr>
      <w:jc w:val="center"/>
    </w:pPr>
    <w:r>
      <w:fldChar w:fldCharType="begin"/>
    </w:r>
    <w:r>
      <w:instrText xml:space="preserve"> PAGE </w:instrText>
    </w:r>
    <w:r>
      <w:fldChar w:fldCharType="separate"/>
    </w:r>
    <w:r w:rsidR="009F5F6B">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E6C61" w14:textId="30F14EEA" w:rsidR="00C85260" w:rsidRPr="0033525D" w:rsidRDefault="00C85260">
    <w:pPr>
      <w:jc w:val="center"/>
    </w:pPr>
    <w:r>
      <w:fldChar w:fldCharType="begin"/>
    </w:r>
    <w:r>
      <w:instrText xml:space="preserve"> PAGE </w:instrText>
    </w:r>
    <w:r>
      <w:fldChar w:fldCharType="separate"/>
    </w:r>
    <w:r w:rsidR="009F5F6B">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635352"/>
      <w:docPartObj>
        <w:docPartGallery w:val="Page Numbers (Bottom of Page)"/>
        <w:docPartUnique/>
      </w:docPartObj>
    </w:sdtPr>
    <w:sdtEndPr>
      <w:rPr>
        <w:noProof/>
      </w:rPr>
    </w:sdtEndPr>
    <w:sdtContent>
      <w:sdt>
        <w:sdtPr>
          <w:id w:val="563375666"/>
          <w:docPartObj>
            <w:docPartGallery w:val="Page Numbers (Bottom of Page)"/>
            <w:docPartUnique/>
          </w:docPartObj>
        </w:sdtPr>
        <w:sdtEndPr>
          <w:rPr>
            <w:noProof/>
          </w:rPr>
        </w:sdtEndPr>
        <w:sdtContent>
          <w:p w14:paraId="5A8E4C53" w14:textId="77777777" w:rsidR="00C85260" w:rsidRDefault="00C85260" w:rsidP="00DD0559">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2012EDA3" w14:textId="77777777" w:rsidR="00C85260" w:rsidRDefault="009F5F6B">
            <w:pPr>
              <w:pStyle w:val="Footer"/>
              <w:jc w:val="cente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30399" w14:textId="314F1AD6" w:rsidR="00C85260" w:rsidRPr="0033525D" w:rsidRDefault="00C85260">
    <w:pPr>
      <w:jc w:val="center"/>
    </w:pPr>
    <w:r>
      <w:fldChar w:fldCharType="begin"/>
    </w:r>
    <w:r>
      <w:instrText xml:space="preserve"> PAGE </w:instrText>
    </w:r>
    <w:r>
      <w:fldChar w:fldCharType="separate"/>
    </w:r>
    <w:r w:rsidR="009F5F6B">
      <w:rPr>
        <w:noProof/>
      </w:rPr>
      <w:t>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615E9" w14:textId="1272FDFF" w:rsidR="00C85260" w:rsidRPr="0033525D" w:rsidRDefault="00C85260">
    <w:pPr>
      <w:jc w:val="center"/>
    </w:pPr>
    <w:r>
      <w:fldChar w:fldCharType="begin"/>
    </w:r>
    <w:r>
      <w:instrText xml:space="preserve"> PAGE </w:instrText>
    </w:r>
    <w:r>
      <w:fldChar w:fldCharType="separate"/>
    </w:r>
    <w:r w:rsidR="009F5F6B">
      <w:rPr>
        <w:noProof/>
      </w:rPr>
      <w:t>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583084"/>
      <w:docPartObj>
        <w:docPartGallery w:val="Page Numbers (Bottom of Page)"/>
        <w:docPartUnique/>
      </w:docPartObj>
    </w:sdtPr>
    <w:sdtEndPr>
      <w:rPr>
        <w:noProof/>
      </w:rPr>
    </w:sdtEndPr>
    <w:sdtContent>
      <w:p w14:paraId="08B4A7D3" w14:textId="1C50FBF8" w:rsidR="00C85260" w:rsidRDefault="00C85260">
        <w:pPr>
          <w:pStyle w:val="Footer"/>
          <w:jc w:val="center"/>
        </w:pPr>
        <w:r>
          <w:fldChar w:fldCharType="begin"/>
        </w:r>
        <w:r>
          <w:instrText xml:space="preserve"> PAGE   \* MERGEFORMAT </w:instrText>
        </w:r>
        <w:r>
          <w:fldChar w:fldCharType="separate"/>
        </w:r>
        <w:r w:rsidR="002C185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4E235" w14:textId="77777777" w:rsidR="00C85260" w:rsidRDefault="00C85260" w:rsidP="004A504B">
      <w:r>
        <w:separator/>
      </w:r>
    </w:p>
  </w:footnote>
  <w:footnote w:type="continuationSeparator" w:id="0">
    <w:p w14:paraId="0B00DA9E" w14:textId="77777777" w:rsidR="00C85260" w:rsidRDefault="00C85260" w:rsidP="004A504B">
      <w:r>
        <w:continuationSeparator/>
      </w:r>
    </w:p>
  </w:footnote>
  <w:footnote w:id="1">
    <w:p w14:paraId="1EF20824" w14:textId="77777777" w:rsidR="00C85260" w:rsidRPr="00BD1867" w:rsidRDefault="00C85260">
      <w:pPr>
        <w:pStyle w:val="FootnoteText"/>
        <w:rPr>
          <w:lang w:val="en-CA"/>
        </w:rPr>
      </w:pPr>
      <w:r>
        <w:rPr>
          <w:rStyle w:val="FootnoteReference"/>
        </w:rPr>
        <w:footnoteRef/>
      </w:r>
      <w:r>
        <w:t xml:space="preserve"> </w:t>
      </w:r>
      <w:r>
        <w:rPr>
          <w:lang w:val="en-CA"/>
        </w:rPr>
        <w:t>As per the letter of 7 August 2017 from the Ministry of Production of Peru (PRODUCE) to UNDP.</w:t>
      </w:r>
    </w:p>
  </w:footnote>
  <w:footnote w:id="2">
    <w:p w14:paraId="462F0A5F" w14:textId="77777777" w:rsidR="00C85260" w:rsidRDefault="00C85260">
      <w:pPr>
        <w:pStyle w:val="FootnoteText"/>
      </w:pPr>
      <w:r>
        <w:rPr>
          <w:rStyle w:val="FootnoteReference"/>
        </w:rPr>
        <w:footnoteRef/>
      </w:r>
      <w:r>
        <w:t xml:space="preserve"> </w:t>
      </w:r>
      <w:r w:rsidRPr="00CC5C2C">
        <w:rPr>
          <w:lang w:val="en-CA"/>
        </w:rPr>
        <w:t>At the 75</w:t>
      </w:r>
      <w:r w:rsidRPr="00CC5C2C">
        <w:rPr>
          <w:vertAlign w:val="superscript"/>
          <w:lang w:val="en-CA"/>
        </w:rPr>
        <w:t>th</w:t>
      </w:r>
      <w:r w:rsidRPr="00CC5C2C">
        <w:rPr>
          <w:lang w:val="en-CA"/>
        </w:rPr>
        <w:t xml:space="preserve"> meeting the duration</w:t>
      </w:r>
      <w:r w:rsidRPr="00CC5C2C">
        <w:t xml:space="preserve"> of the implementation of stage I of the HPMP was extended until 2016.</w:t>
      </w:r>
    </w:p>
    <w:p w14:paraId="15ADA852" w14:textId="77777777" w:rsidR="00C85260" w:rsidRPr="004442FF" w:rsidRDefault="00C85260">
      <w:pPr>
        <w:pStyle w:val="FootnoteText"/>
        <w:rPr>
          <w:lang w:val="en-CA"/>
        </w:rPr>
      </w:pPr>
    </w:p>
  </w:footnote>
  <w:footnote w:id="3">
    <w:p w14:paraId="421F020B" w14:textId="77777777" w:rsidR="00C85260" w:rsidRPr="00EC250E" w:rsidRDefault="00C85260">
      <w:pPr>
        <w:pStyle w:val="FootnoteText"/>
      </w:pPr>
      <w:r>
        <w:rPr>
          <w:rStyle w:val="FootnoteReference"/>
        </w:rPr>
        <w:footnoteRef/>
      </w:r>
      <w:r>
        <w:t xml:space="preserve"> UNEP/OzL.Pro/ExCom/79/38.</w:t>
      </w:r>
    </w:p>
  </w:footnote>
  <w:footnote w:id="4">
    <w:p w14:paraId="3A9E38F0" w14:textId="77777777" w:rsidR="00C85260" w:rsidRPr="00D04F56" w:rsidRDefault="00C85260" w:rsidP="00D0229B">
      <w:pPr>
        <w:pStyle w:val="FootnoteText"/>
        <w:rPr>
          <w:lang w:val="en-CA"/>
        </w:rPr>
      </w:pPr>
      <w:r>
        <w:rPr>
          <w:rStyle w:val="FootnoteReference"/>
        </w:rPr>
        <w:footnoteRef/>
      </w:r>
      <w:r>
        <w:t xml:space="preserve"> For HC, n</w:t>
      </w:r>
      <w:r>
        <w:rPr>
          <w:lang w:eastAsia="es-CO"/>
        </w:rPr>
        <w:t>amely:</w:t>
      </w:r>
      <w:r w:rsidRPr="009A4154">
        <w:rPr>
          <w:lang w:eastAsia="es-CO"/>
        </w:rPr>
        <w:t xml:space="preserve"> charging station and vacuum; welding kit; hoses kit with ball valves; leak detectors; manometer; and precision balance with clip </w:t>
      </w:r>
      <w:r>
        <w:rPr>
          <w:lang w:eastAsia="es-CO"/>
        </w:rPr>
        <w:t>for</w:t>
      </w:r>
      <w:r w:rsidRPr="009A4154">
        <w:rPr>
          <w:lang w:eastAsia="es-CO"/>
        </w:rPr>
        <w:t xml:space="preserve"> cartridge</w:t>
      </w:r>
      <w:r>
        <w:rPr>
          <w:lang w:eastAsia="es-CO"/>
        </w:rPr>
        <w:t>.</w:t>
      </w:r>
    </w:p>
  </w:footnote>
  <w:footnote w:id="5">
    <w:p w14:paraId="62FB19F7" w14:textId="77777777" w:rsidR="00C85260" w:rsidRPr="00385A20" w:rsidRDefault="00C85260" w:rsidP="00D0229B">
      <w:pPr>
        <w:pStyle w:val="FootnoteText"/>
      </w:pPr>
      <w:r>
        <w:rPr>
          <w:rStyle w:val="FootnoteReference"/>
        </w:rPr>
        <w:footnoteRef/>
      </w:r>
      <w:r>
        <w:t xml:space="preserve"> Namely: </w:t>
      </w:r>
      <w:r w:rsidRPr="009A4154">
        <w:t>refrigerant gas</w:t>
      </w:r>
      <w:r>
        <w:t xml:space="preserve"> recovery unit and cylinders: </w:t>
      </w:r>
      <w:r w:rsidRPr="009A4154">
        <w:t>refrigerant identifier for blend refrigerants; vacuum pump; RAC module; manifold set</w:t>
      </w:r>
      <w:r>
        <w:t>s and hoses</w:t>
      </w:r>
      <w:r w:rsidRPr="009A4154">
        <w:t>; electronic scale; welding kit</w:t>
      </w:r>
      <w:r>
        <w:t xml:space="preserve"> for HC</w:t>
      </w:r>
      <w:r w:rsidRPr="009A4154">
        <w:t>; leak detector for all refrigerants; manometer; filters</w:t>
      </w:r>
      <w:r>
        <w:t>;</w:t>
      </w:r>
      <w:r w:rsidRPr="009A4154">
        <w:t xml:space="preserve"> pressure-temperature tables</w:t>
      </w:r>
      <w:r>
        <w:t>;</w:t>
      </w:r>
      <w:r w:rsidRPr="009A4154">
        <w:t xml:space="preserve"> </w:t>
      </w:r>
      <w:r>
        <w:t xml:space="preserve">and </w:t>
      </w:r>
      <w:r w:rsidRPr="009A4154">
        <w:t>refrigeration manuals</w:t>
      </w:r>
      <w:r>
        <w:t>.</w:t>
      </w:r>
    </w:p>
  </w:footnote>
  <w:footnote w:id="6">
    <w:p w14:paraId="561FFD35" w14:textId="77777777" w:rsidR="00C85260" w:rsidRPr="00606754" w:rsidRDefault="00C85260" w:rsidP="00C355C5">
      <w:pPr>
        <w:pStyle w:val="FootnoteText"/>
        <w:rPr>
          <w:lang w:val="en-US"/>
        </w:rPr>
      </w:pPr>
      <w:r>
        <w:rPr>
          <w:rStyle w:val="FootnoteReference"/>
        </w:rPr>
        <w:footnoteRef/>
      </w:r>
      <w:r>
        <w:t xml:space="preserve"> </w:t>
      </w:r>
      <w:r>
        <w:rPr>
          <w:lang w:val="en-US"/>
        </w:rPr>
        <w:t>Paragraph 36(b)(ii) of document UNEP/OzL.Pro/ExCom/68/36.</w:t>
      </w:r>
    </w:p>
  </w:footnote>
  <w:footnote w:id="7">
    <w:p w14:paraId="2441CA59" w14:textId="77777777" w:rsidR="00C85260" w:rsidRPr="0013617A" w:rsidRDefault="00C85260">
      <w:pPr>
        <w:pStyle w:val="FootnoteText"/>
        <w:rPr>
          <w:lang w:val="en-US"/>
        </w:rPr>
      </w:pPr>
      <w:r>
        <w:rPr>
          <w:rStyle w:val="FootnoteReference"/>
        </w:rPr>
        <w:footnoteRef/>
      </w:r>
      <w:r>
        <w:t xml:space="preserve"> </w:t>
      </w:r>
      <w:r w:rsidRPr="0013617A">
        <w:rPr>
          <w:lang w:val="en-US"/>
        </w:rPr>
        <w:t>See paragraph 13 of document UNEP/OzL.Pro/ ExCom/79/38.</w:t>
      </w:r>
    </w:p>
  </w:footnote>
  <w:footnote w:id="8">
    <w:p w14:paraId="0AFC87FC" w14:textId="77777777" w:rsidR="00C85260" w:rsidRPr="007F3DEF" w:rsidRDefault="00C85260">
      <w:pPr>
        <w:pStyle w:val="FootnoteText"/>
        <w:rPr>
          <w:lang w:val="en-US"/>
        </w:rPr>
      </w:pPr>
      <w:r w:rsidRPr="0013617A">
        <w:rPr>
          <w:rStyle w:val="FootnoteReference"/>
        </w:rPr>
        <w:footnoteRef/>
      </w:r>
      <w:r w:rsidRPr="0013617A">
        <w:t xml:space="preserve"> </w:t>
      </w:r>
      <w:r w:rsidRPr="0013617A">
        <w:rPr>
          <w:lang w:val="en-US"/>
        </w:rPr>
        <w:t>The training modules contain a study programme on a specific subject, related equipment and in some cases software.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16DFD" w14:textId="77777777" w:rsidR="00C85260" w:rsidRDefault="00C85260" w:rsidP="00357AC8">
    <w:pPr>
      <w:pStyle w:val="Header"/>
      <w:jc w:val="left"/>
    </w:pPr>
    <w:r>
      <w:t>UNEP/OzL.Pro/ExCom/80/47</w:t>
    </w:r>
  </w:p>
  <w:p w14:paraId="7E155B2D" w14:textId="77777777" w:rsidR="00C85260" w:rsidRDefault="00C85260" w:rsidP="00DB2303">
    <w:pPr>
      <w:pStyle w:val="Header"/>
      <w:jc w:val="left"/>
    </w:pPr>
  </w:p>
  <w:p w14:paraId="1457BD25" w14:textId="77777777" w:rsidR="00C85260" w:rsidRDefault="00C85260" w:rsidP="00DB2303">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C7386" w14:textId="77777777" w:rsidR="00C85260" w:rsidRDefault="00C85260" w:rsidP="00357AC8">
    <w:pPr>
      <w:pStyle w:val="Header"/>
      <w:jc w:val="right"/>
    </w:pPr>
    <w:r>
      <w:t>UNEP/OzL.Pro/ExCom/80/47</w:t>
    </w:r>
  </w:p>
  <w:p w14:paraId="0968CAF4" w14:textId="77777777" w:rsidR="00C85260" w:rsidRDefault="00C85260" w:rsidP="00357AC8">
    <w:pPr>
      <w:pStyle w:val="Header"/>
      <w:jc w:val="right"/>
    </w:pPr>
  </w:p>
  <w:p w14:paraId="143E9C01" w14:textId="77777777" w:rsidR="00C85260" w:rsidRDefault="00C85260" w:rsidP="00357AC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D826" w14:textId="4777B8BB" w:rsidR="00C85260" w:rsidRPr="0033525D" w:rsidRDefault="00B97D8C">
    <w:fldSimple w:instr=" DOCPROPERTY &quot;Document number&quot;  \* MERGEFORMAT ">
      <w:r w:rsidR="002C185E">
        <w:t>UNEP/OzL.Pro/ExCom/80/47</w:t>
      </w:r>
    </w:fldSimple>
  </w:p>
  <w:p w14:paraId="02FC1E3F" w14:textId="77777777" w:rsidR="00C85260" w:rsidRPr="0033525D" w:rsidRDefault="00C85260">
    <w:r>
      <w:t>Annex I</w:t>
    </w:r>
  </w:p>
  <w:p w14:paraId="1D2114DB" w14:textId="77777777" w:rsidR="00C85260" w:rsidRDefault="00C85260"/>
  <w:p w14:paraId="1929D15B" w14:textId="77777777" w:rsidR="00C85260" w:rsidRPr="0033525D" w:rsidRDefault="00C8526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06C19" w14:textId="524E1497" w:rsidR="00C85260" w:rsidRPr="00321C98" w:rsidRDefault="00C85260">
    <w:pPr>
      <w:jc w:val="right"/>
      <w:rPr>
        <w:lang w:val="en-CA"/>
      </w:rPr>
    </w:pPr>
    <w:r>
      <w:fldChar w:fldCharType="begin"/>
    </w:r>
    <w:r w:rsidRPr="00321C98">
      <w:rPr>
        <w:lang w:val="en-CA"/>
      </w:rPr>
      <w:instrText xml:space="preserve"> DOCPROPERTY "Document number"  \* MERGEFORMAT </w:instrText>
    </w:r>
    <w:r>
      <w:fldChar w:fldCharType="separate"/>
    </w:r>
    <w:r w:rsidR="002C185E">
      <w:rPr>
        <w:lang w:val="en-CA"/>
      </w:rPr>
      <w:t>UNEP/OzL.Pro/ExCom/80/47</w:t>
    </w:r>
    <w:r>
      <w:fldChar w:fldCharType="end"/>
    </w:r>
  </w:p>
  <w:p w14:paraId="43FFF3CB" w14:textId="77777777" w:rsidR="00C85260" w:rsidRDefault="00C85260" w:rsidP="00F734BB">
    <w:pPr>
      <w:jc w:val="right"/>
    </w:pPr>
    <w:r>
      <w:t>Annex I</w:t>
    </w:r>
  </w:p>
  <w:p w14:paraId="4D387E33" w14:textId="77777777" w:rsidR="00C85260" w:rsidRPr="0033525D" w:rsidRDefault="00C85260" w:rsidP="00F734BB">
    <w:pPr>
      <w:jc w:val="right"/>
    </w:pPr>
  </w:p>
  <w:p w14:paraId="0B4E4100" w14:textId="77777777" w:rsidR="00C85260" w:rsidRPr="0033525D" w:rsidRDefault="00C852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AB85E" w14:textId="6F0138C0" w:rsidR="00C85260" w:rsidRDefault="00B97D8C" w:rsidP="00F734BB">
    <w:pPr>
      <w:pStyle w:val="Header"/>
      <w:jc w:val="right"/>
    </w:pPr>
    <w:fldSimple w:instr=" DOCPROPERTY &quot;Document number&quot;  \* MERGEFORMAT ">
      <w:r w:rsidR="002C185E">
        <w:t>UNEP/OzL.Pro/ExCom/80/47</w:t>
      </w:r>
    </w:fldSimple>
  </w:p>
  <w:p w14:paraId="7CFFB5DA" w14:textId="77777777" w:rsidR="00C85260" w:rsidRDefault="00C85260" w:rsidP="00F734BB">
    <w:pPr>
      <w:pStyle w:val="Header"/>
      <w:jc w:val="right"/>
    </w:pPr>
    <w:r>
      <w:t>Annex I</w:t>
    </w:r>
  </w:p>
  <w:p w14:paraId="78F065E0" w14:textId="77777777" w:rsidR="00C85260" w:rsidRDefault="00C85260" w:rsidP="00F734BB">
    <w:pPr>
      <w:pStyle w:val="Header"/>
      <w:jc w:val="right"/>
    </w:pPr>
  </w:p>
  <w:p w14:paraId="398141FB" w14:textId="77777777" w:rsidR="00C85260" w:rsidRDefault="00C85260" w:rsidP="00F734B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BEF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74ADF66"/>
    <w:lvl w:ilvl="0">
      <w:start w:val="1"/>
      <w:numFmt w:val="decimal"/>
      <w:pStyle w:val="Heading1"/>
      <w:lvlText w:val="%1."/>
      <w:lvlJc w:val="left"/>
      <w:pPr>
        <w:tabs>
          <w:tab w:val="num" w:pos="0"/>
        </w:tabs>
        <w:ind w:left="0" w:firstLine="0"/>
      </w:pPr>
      <w:rPr>
        <w:b w:val="0"/>
        <w:i w:val="0"/>
      </w:rPr>
    </w:lvl>
    <w:lvl w:ilvl="1">
      <w:start w:val="1"/>
      <w:numFmt w:val="lowerLetter"/>
      <w:pStyle w:val="Heading2"/>
      <w:lvlText w:val="(%2)"/>
      <w:lvlJc w:val="left"/>
      <w:pPr>
        <w:tabs>
          <w:tab w:val="num" w:pos="0"/>
        </w:tabs>
        <w:ind w:left="1440" w:hanging="720"/>
      </w:pPr>
      <w:rPr>
        <w:b w:val="0"/>
        <w:i w:val="0"/>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B4A59"/>
    <w:multiLevelType w:val="hybridMultilevel"/>
    <w:tmpl w:val="06BA59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07921B3D"/>
    <w:multiLevelType w:val="hybridMultilevel"/>
    <w:tmpl w:val="30E078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0D7861F2"/>
    <w:multiLevelType w:val="multilevel"/>
    <w:tmpl w:val="1E24B704"/>
    <w:lvl w:ilvl="0">
      <w:start w:val="1"/>
      <w:numFmt w:val="decimal"/>
      <w:pStyle w:val="Style1"/>
      <w:lvlText w:val="%1."/>
      <w:lvlJc w:val="left"/>
      <w:pPr>
        <w:tabs>
          <w:tab w:val="num" w:pos="270"/>
        </w:tabs>
        <w:ind w:left="270" w:firstLine="0"/>
      </w:pPr>
      <w:rPr>
        <w:i w:val="0"/>
      </w:rPr>
    </w:lvl>
    <w:lvl w:ilvl="1">
      <w:start w:val="1"/>
      <w:numFmt w:val="lowerLetter"/>
      <w:lvlText w:val="(%2)"/>
      <w:lvlJc w:val="left"/>
      <w:pPr>
        <w:tabs>
          <w:tab w:val="num" w:pos="270"/>
        </w:tabs>
        <w:ind w:left="1710" w:hanging="720"/>
      </w:pPr>
    </w:lvl>
    <w:lvl w:ilvl="2">
      <w:start w:val="1"/>
      <w:numFmt w:val="lowerRoman"/>
      <w:lvlText w:val="(%3)"/>
      <w:lvlJc w:val="left"/>
      <w:pPr>
        <w:tabs>
          <w:tab w:val="num" w:pos="270"/>
        </w:tabs>
        <w:ind w:left="2430" w:hanging="720"/>
      </w:pPr>
    </w:lvl>
    <w:lvl w:ilvl="3">
      <w:start w:val="1"/>
      <w:numFmt w:val="lowerLetter"/>
      <w:lvlText w:val="%4)"/>
      <w:lvlJc w:val="left"/>
      <w:pPr>
        <w:tabs>
          <w:tab w:val="num" w:pos="180"/>
        </w:tabs>
        <w:ind w:left="3046" w:hanging="706"/>
      </w:pPr>
      <w:rPr>
        <w:b w:val="0"/>
        <w:i w:val="0"/>
      </w:rPr>
    </w:lvl>
    <w:lvl w:ilvl="4">
      <w:start w:val="1"/>
      <w:numFmt w:val="decimal"/>
      <w:lvlText w:val="(%5)"/>
      <w:lvlJc w:val="left"/>
      <w:pPr>
        <w:tabs>
          <w:tab w:val="num" w:pos="270"/>
        </w:tabs>
        <w:ind w:left="3841" w:hanging="705"/>
      </w:pPr>
    </w:lvl>
    <w:lvl w:ilvl="5">
      <w:start w:val="1"/>
      <w:numFmt w:val="lowerLetter"/>
      <w:lvlText w:val="(%6)"/>
      <w:lvlJc w:val="left"/>
      <w:pPr>
        <w:tabs>
          <w:tab w:val="num" w:pos="270"/>
        </w:tabs>
        <w:ind w:left="4561" w:hanging="720"/>
      </w:pPr>
    </w:lvl>
    <w:lvl w:ilvl="6">
      <w:start w:val="1"/>
      <w:numFmt w:val="lowerRoman"/>
      <w:lvlText w:val="(%7)"/>
      <w:lvlJc w:val="left"/>
      <w:pPr>
        <w:tabs>
          <w:tab w:val="num" w:pos="270"/>
        </w:tabs>
        <w:ind w:left="5267" w:hanging="706"/>
      </w:pPr>
    </w:lvl>
    <w:lvl w:ilvl="7">
      <w:start w:val="1"/>
      <w:numFmt w:val="lowerLetter"/>
      <w:lvlText w:val="(%8)"/>
      <w:lvlJc w:val="left"/>
      <w:pPr>
        <w:tabs>
          <w:tab w:val="num" w:pos="270"/>
        </w:tabs>
        <w:ind w:left="5972" w:hanging="705"/>
      </w:pPr>
    </w:lvl>
    <w:lvl w:ilvl="8">
      <w:start w:val="1"/>
      <w:numFmt w:val="lowerRoman"/>
      <w:lvlText w:val="(%9)"/>
      <w:lvlJc w:val="left"/>
      <w:pPr>
        <w:tabs>
          <w:tab w:val="num" w:pos="270"/>
        </w:tabs>
        <w:ind w:left="6678" w:hanging="706"/>
      </w:pPr>
    </w:lvl>
  </w:abstractNum>
  <w:abstractNum w:abstractNumId="14" w15:restartNumberingAfterBreak="0">
    <w:nsid w:val="103B6C0E"/>
    <w:multiLevelType w:val="hybridMultilevel"/>
    <w:tmpl w:val="56964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9E003C"/>
    <w:multiLevelType w:val="hybridMultilevel"/>
    <w:tmpl w:val="80A6008A"/>
    <w:lvl w:ilvl="0" w:tplc="04160001">
      <w:start w:val="1"/>
      <w:numFmt w:val="bullet"/>
      <w:lvlText w:val=""/>
      <w:lvlJc w:val="left"/>
      <w:pPr>
        <w:ind w:left="720" w:hanging="360"/>
      </w:pPr>
      <w:rPr>
        <w:rFonts w:ascii="Symbol" w:hAnsi="Symbol" w:hint="default"/>
      </w:rPr>
    </w:lvl>
    <w:lvl w:ilvl="1" w:tplc="3102888C">
      <w:numFmt w:val="bullet"/>
      <w:lvlText w:val="·"/>
      <w:lvlJc w:val="left"/>
      <w:pPr>
        <w:ind w:left="1650" w:hanging="570"/>
      </w:pPr>
      <w:rPr>
        <w:rFonts w:ascii="Times New Roman" w:eastAsiaTheme="minorHAnsi"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8" w15:restartNumberingAfterBreak="0">
    <w:nsid w:val="38DC7E86"/>
    <w:multiLevelType w:val="multilevel"/>
    <w:tmpl w:val="1E0C1374"/>
    <w:lvl w:ilvl="0">
      <w:start w:val="28"/>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9"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427329A"/>
    <w:multiLevelType w:val="hybridMultilevel"/>
    <w:tmpl w:val="DC28AD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2453D10"/>
    <w:multiLevelType w:val="hybridMultilevel"/>
    <w:tmpl w:val="75FE3222"/>
    <w:lvl w:ilvl="0" w:tplc="D83E673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4D570A"/>
    <w:multiLevelType w:val="hybridMultilevel"/>
    <w:tmpl w:val="CA5E37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9"/>
  </w:num>
  <w:num w:numId="18">
    <w:abstractNumId w:val="20"/>
  </w:num>
  <w:num w:numId="19">
    <w:abstractNumId w:val="24"/>
  </w:num>
  <w:num w:numId="20">
    <w:abstractNumId w:val="17"/>
  </w:num>
  <w:num w:numId="21">
    <w:abstractNumId w:val="14"/>
  </w:num>
  <w:num w:numId="22">
    <w:abstractNumId w:val="23"/>
  </w:num>
  <w:num w:numId="23">
    <w:abstractNumId w:val="10"/>
  </w:num>
  <w:num w:numId="24">
    <w:abstractNumId w:val="10"/>
  </w:num>
  <w:num w:numId="25">
    <w:abstractNumId w:val="10"/>
  </w:num>
  <w:num w:numId="26">
    <w:abstractNumId w:val="22"/>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1"/>
  </w:num>
  <w:num w:numId="31">
    <w:abstractNumId w:val="15"/>
  </w:num>
  <w:num w:numId="32">
    <w:abstractNumId w:val="12"/>
  </w:num>
  <w:num w:numId="33">
    <w:abstractNumId w:val="11"/>
  </w:num>
  <w:num w:numId="34">
    <w:abstractNumId w:val="13"/>
  </w:num>
  <w:num w:numId="35">
    <w:abstractNumId w:val="18"/>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hideSpellingErrors/>
  <w:hideGrammaticalErrors/>
  <w:activeWritingStyle w:appName="MSWord" w:lang="es-CO"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s-ES_tradnl" w:vendorID="64" w:dllVersion="131078" w:nlCheck="1" w:checkStyle="0"/>
  <w:activeWritingStyle w:appName="MSWord" w:lang="es-PE" w:vendorID="64" w:dllVersion="131078" w:nlCheck="1" w:checkStyle="0"/>
  <w:activeWritingStyle w:appName="MSWord" w:lang="fr-CA" w:vendorID="64" w:dllVersion="131078" w:nlCheck="1" w:checkStyle="0"/>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qgUAtrX0GywAAAA="/>
  </w:docVars>
  <w:rsids>
    <w:rsidRoot w:val="00BD1867"/>
    <w:rsid w:val="00000FED"/>
    <w:rsid w:val="0000434E"/>
    <w:rsid w:val="00005C05"/>
    <w:rsid w:val="0001217D"/>
    <w:rsid w:val="00013852"/>
    <w:rsid w:val="000168D7"/>
    <w:rsid w:val="00016B26"/>
    <w:rsid w:val="000211A9"/>
    <w:rsid w:val="00021D2E"/>
    <w:rsid w:val="00022C2F"/>
    <w:rsid w:val="00031260"/>
    <w:rsid w:val="0003568E"/>
    <w:rsid w:val="00035D8D"/>
    <w:rsid w:val="0003681A"/>
    <w:rsid w:val="00050A3D"/>
    <w:rsid w:val="00057A98"/>
    <w:rsid w:val="00057AA1"/>
    <w:rsid w:val="00061EC2"/>
    <w:rsid w:val="00062C70"/>
    <w:rsid w:val="00071639"/>
    <w:rsid w:val="00071A68"/>
    <w:rsid w:val="00072C0D"/>
    <w:rsid w:val="000735BD"/>
    <w:rsid w:val="00080ED0"/>
    <w:rsid w:val="00085B8F"/>
    <w:rsid w:val="00090132"/>
    <w:rsid w:val="00090481"/>
    <w:rsid w:val="00096DE3"/>
    <w:rsid w:val="00097580"/>
    <w:rsid w:val="000976E9"/>
    <w:rsid w:val="000A51E1"/>
    <w:rsid w:val="000A6C26"/>
    <w:rsid w:val="000B22D2"/>
    <w:rsid w:val="000B5AE4"/>
    <w:rsid w:val="000C1DC5"/>
    <w:rsid w:val="000D175B"/>
    <w:rsid w:val="000D5B85"/>
    <w:rsid w:val="000E07BC"/>
    <w:rsid w:val="000E1298"/>
    <w:rsid w:val="000E1926"/>
    <w:rsid w:val="000E3D0E"/>
    <w:rsid w:val="000F1CD4"/>
    <w:rsid w:val="000F4103"/>
    <w:rsid w:val="000F4424"/>
    <w:rsid w:val="000F70A7"/>
    <w:rsid w:val="00104CE5"/>
    <w:rsid w:val="00105976"/>
    <w:rsid w:val="0011667E"/>
    <w:rsid w:val="00117177"/>
    <w:rsid w:val="00122CEC"/>
    <w:rsid w:val="00122F25"/>
    <w:rsid w:val="001260F8"/>
    <w:rsid w:val="001339FE"/>
    <w:rsid w:val="00134138"/>
    <w:rsid w:val="00135980"/>
    <w:rsid w:val="0013617A"/>
    <w:rsid w:val="00141569"/>
    <w:rsid w:val="001447AE"/>
    <w:rsid w:val="00146EF2"/>
    <w:rsid w:val="0015750E"/>
    <w:rsid w:val="00164435"/>
    <w:rsid w:val="00164719"/>
    <w:rsid w:val="001650C6"/>
    <w:rsid w:val="00166FC4"/>
    <w:rsid w:val="001677AC"/>
    <w:rsid w:val="00170FCC"/>
    <w:rsid w:val="001723F4"/>
    <w:rsid w:val="0017391C"/>
    <w:rsid w:val="001804EA"/>
    <w:rsid w:val="001839D1"/>
    <w:rsid w:val="001839E4"/>
    <w:rsid w:val="00185300"/>
    <w:rsid w:val="0019025B"/>
    <w:rsid w:val="00190A61"/>
    <w:rsid w:val="00193600"/>
    <w:rsid w:val="0019498A"/>
    <w:rsid w:val="001A0B39"/>
    <w:rsid w:val="001A3342"/>
    <w:rsid w:val="001A3E3D"/>
    <w:rsid w:val="001A7049"/>
    <w:rsid w:val="001B1E40"/>
    <w:rsid w:val="001B4B84"/>
    <w:rsid w:val="001C0186"/>
    <w:rsid w:val="001C1399"/>
    <w:rsid w:val="001C25AA"/>
    <w:rsid w:val="001C3D2B"/>
    <w:rsid w:val="001C764E"/>
    <w:rsid w:val="001D55B5"/>
    <w:rsid w:val="001E1052"/>
    <w:rsid w:val="001E21B1"/>
    <w:rsid w:val="001E2F93"/>
    <w:rsid w:val="001E43AC"/>
    <w:rsid w:val="001E61E5"/>
    <w:rsid w:val="001E67E7"/>
    <w:rsid w:val="001F0B7B"/>
    <w:rsid w:val="001F0E3D"/>
    <w:rsid w:val="001F2159"/>
    <w:rsid w:val="00205444"/>
    <w:rsid w:val="0020626E"/>
    <w:rsid w:val="00210C1F"/>
    <w:rsid w:val="00210FFE"/>
    <w:rsid w:val="00214863"/>
    <w:rsid w:val="002156B4"/>
    <w:rsid w:val="00220801"/>
    <w:rsid w:val="0022238E"/>
    <w:rsid w:val="002235F2"/>
    <w:rsid w:val="002277B0"/>
    <w:rsid w:val="002279AE"/>
    <w:rsid w:val="00233AA5"/>
    <w:rsid w:val="00235EFE"/>
    <w:rsid w:val="0023662F"/>
    <w:rsid w:val="00246779"/>
    <w:rsid w:val="00253222"/>
    <w:rsid w:val="0025414B"/>
    <w:rsid w:val="00262847"/>
    <w:rsid w:val="00263981"/>
    <w:rsid w:val="00263CA8"/>
    <w:rsid w:val="002769C3"/>
    <w:rsid w:val="00281BB2"/>
    <w:rsid w:val="00283BC9"/>
    <w:rsid w:val="00286C14"/>
    <w:rsid w:val="002A4559"/>
    <w:rsid w:val="002B72E9"/>
    <w:rsid w:val="002C185E"/>
    <w:rsid w:val="002C1CC8"/>
    <w:rsid w:val="002C6E10"/>
    <w:rsid w:val="002C7998"/>
    <w:rsid w:val="002D1970"/>
    <w:rsid w:val="002D4892"/>
    <w:rsid w:val="002D49BD"/>
    <w:rsid w:val="002E03DC"/>
    <w:rsid w:val="002E0A0C"/>
    <w:rsid w:val="002E31D3"/>
    <w:rsid w:val="002E3DFE"/>
    <w:rsid w:val="002E4EAA"/>
    <w:rsid w:val="002E4F0C"/>
    <w:rsid w:val="002F1E53"/>
    <w:rsid w:val="002F2CAA"/>
    <w:rsid w:val="002F59D6"/>
    <w:rsid w:val="0030052C"/>
    <w:rsid w:val="003010FF"/>
    <w:rsid w:val="00306316"/>
    <w:rsid w:val="003117D7"/>
    <w:rsid w:val="003220B3"/>
    <w:rsid w:val="00323C8D"/>
    <w:rsid w:val="00324200"/>
    <w:rsid w:val="003306E1"/>
    <w:rsid w:val="003320E4"/>
    <w:rsid w:val="003337F4"/>
    <w:rsid w:val="0033525D"/>
    <w:rsid w:val="003414F3"/>
    <w:rsid w:val="00344829"/>
    <w:rsid w:val="003458AC"/>
    <w:rsid w:val="003534DD"/>
    <w:rsid w:val="0035613E"/>
    <w:rsid w:val="0035697B"/>
    <w:rsid w:val="00357AC8"/>
    <w:rsid w:val="003623F2"/>
    <w:rsid w:val="00363EE9"/>
    <w:rsid w:val="00367296"/>
    <w:rsid w:val="00367D79"/>
    <w:rsid w:val="00371895"/>
    <w:rsid w:val="00376128"/>
    <w:rsid w:val="0037742E"/>
    <w:rsid w:val="0038245A"/>
    <w:rsid w:val="00385A20"/>
    <w:rsid w:val="00385CFC"/>
    <w:rsid w:val="0039337A"/>
    <w:rsid w:val="00395500"/>
    <w:rsid w:val="0039588C"/>
    <w:rsid w:val="003A3189"/>
    <w:rsid w:val="003B0E56"/>
    <w:rsid w:val="003B2A52"/>
    <w:rsid w:val="003B33BD"/>
    <w:rsid w:val="003B4A5E"/>
    <w:rsid w:val="003B569D"/>
    <w:rsid w:val="003C3934"/>
    <w:rsid w:val="003C3C0E"/>
    <w:rsid w:val="003D4FAC"/>
    <w:rsid w:val="003D6A5A"/>
    <w:rsid w:val="003E7906"/>
    <w:rsid w:val="003F3C50"/>
    <w:rsid w:val="00402822"/>
    <w:rsid w:val="00403EEE"/>
    <w:rsid w:val="00406A6A"/>
    <w:rsid w:val="00406B22"/>
    <w:rsid w:val="0041204A"/>
    <w:rsid w:val="0041550D"/>
    <w:rsid w:val="00430BAB"/>
    <w:rsid w:val="00431C84"/>
    <w:rsid w:val="004328A7"/>
    <w:rsid w:val="00433FCD"/>
    <w:rsid w:val="00434C74"/>
    <w:rsid w:val="004403A3"/>
    <w:rsid w:val="004442FF"/>
    <w:rsid w:val="0045083E"/>
    <w:rsid w:val="00452BE4"/>
    <w:rsid w:val="00454586"/>
    <w:rsid w:val="00456EB4"/>
    <w:rsid w:val="00457D02"/>
    <w:rsid w:val="0046165B"/>
    <w:rsid w:val="004644DE"/>
    <w:rsid w:val="0047149B"/>
    <w:rsid w:val="004718F3"/>
    <w:rsid w:val="004723F7"/>
    <w:rsid w:val="00475040"/>
    <w:rsid w:val="00477541"/>
    <w:rsid w:val="00487BE9"/>
    <w:rsid w:val="0049030D"/>
    <w:rsid w:val="00493D40"/>
    <w:rsid w:val="00495686"/>
    <w:rsid w:val="004967B6"/>
    <w:rsid w:val="004A504B"/>
    <w:rsid w:val="004A55D4"/>
    <w:rsid w:val="004A6911"/>
    <w:rsid w:val="004B54E0"/>
    <w:rsid w:val="004B7384"/>
    <w:rsid w:val="004C1838"/>
    <w:rsid w:val="004C4269"/>
    <w:rsid w:val="004C6E59"/>
    <w:rsid w:val="004C761C"/>
    <w:rsid w:val="004C7D13"/>
    <w:rsid w:val="004D3F1F"/>
    <w:rsid w:val="004D6236"/>
    <w:rsid w:val="004E05ED"/>
    <w:rsid w:val="004E4DBB"/>
    <w:rsid w:val="004E4E41"/>
    <w:rsid w:val="004E7F9C"/>
    <w:rsid w:val="004F118B"/>
    <w:rsid w:val="004F3493"/>
    <w:rsid w:val="004F5143"/>
    <w:rsid w:val="004F6C6E"/>
    <w:rsid w:val="00503477"/>
    <w:rsid w:val="00505C21"/>
    <w:rsid w:val="00512B09"/>
    <w:rsid w:val="00525320"/>
    <w:rsid w:val="0054134A"/>
    <w:rsid w:val="00543C3A"/>
    <w:rsid w:val="00550E28"/>
    <w:rsid w:val="00555BE4"/>
    <w:rsid w:val="00555D75"/>
    <w:rsid w:val="005601A3"/>
    <w:rsid w:val="00560DF0"/>
    <w:rsid w:val="00562336"/>
    <w:rsid w:val="005629B5"/>
    <w:rsid w:val="0056657E"/>
    <w:rsid w:val="0056759C"/>
    <w:rsid w:val="00567821"/>
    <w:rsid w:val="00570F95"/>
    <w:rsid w:val="005722E5"/>
    <w:rsid w:val="005823EE"/>
    <w:rsid w:val="0058553D"/>
    <w:rsid w:val="0059293C"/>
    <w:rsid w:val="0059513E"/>
    <w:rsid w:val="005973B9"/>
    <w:rsid w:val="005A21EB"/>
    <w:rsid w:val="005A5237"/>
    <w:rsid w:val="005B0F88"/>
    <w:rsid w:val="005B141F"/>
    <w:rsid w:val="005B48FF"/>
    <w:rsid w:val="005C65ED"/>
    <w:rsid w:val="005D6408"/>
    <w:rsid w:val="005D7538"/>
    <w:rsid w:val="005E0461"/>
    <w:rsid w:val="005E0C55"/>
    <w:rsid w:val="005F47C1"/>
    <w:rsid w:val="00604B35"/>
    <w:rsid w:val="00604C15"/>
    <w:rsid w:val="006075DB"/>
    <w:rsid w:val="0061223B"/>
    <w:rsid w:val="006158D5"/>
    <w:rsid w:val="00625D83"/>
    <w:rsid w:val="00635913"/>
    <w:rsid w:val="006445DA"/>
    <w:rsid w:val="0065535D"/>
    <w:rsid w:val="006623E7"/>
    <w:rsid w:val="00662B80"/>
    <w:rsid w:val="00663375"/>
    <w:rsid w:val="006649AA"/>
    <w:rsid w:val="00670F6C"/>
    <w:rsid w:val="006710BF"/>
    <w:rsid w:val="00674A94"/>
    <w:rsid w:val="00680FAB"/>
    <w:rsid w:val="00682B63"/>
    <w:rsid w:val="006852C7"/>
    <w:rsid w:val="00685640"/>
    <w:rsid w:val="006B085A"/>
    <w:rsid w:val="006B6E42"/>
    <w:rsid w:val="006B7E67"/>
    <w:rsid w:val="006C1727"/>
    <w:rsid w:val="006C32FD"/>
    <w:rsid w:val="006C39CE"/>
    <w:rsid w:val="006D0FCC"/>
    <w:rsid w:val="006D24BA"/>
    <w:rsid w:val="006D3C80"/>
    <w:rsid w:val="006D5A7C"/>
    <w:rsid w:val="006E0236"/>
    <w:rsid w:val="006E1FC3"/>
    <w:rsid w:val="006E4677"/>
    <w:rsid w:val="006E65F0"/>
    <w:rsid w:val="00702E38"/>
    <w:rsid w:val="0070356F"/>
    <w:rsid w:val="0070616B"/>
    <w:rsid w:val="00706FDA"/>
    <w:rsid w:val="00710014"/>
    <w:rsid w:val="00710A99"/>
    <w:rsid w:val="00711F9A"/>
    <w:rsid w:val="00713810"/>
    <w:rsid w:val="00714A2C"/>
    <w:rsid w:val="00723D78"/>
    <w:rsid w:val="00726CB2"/>
    <w:rsid w:val="007303A5"/>
    <w:rsid w:val="00730B3E"/>
    <w:rsid w:val="00733A76"/>
    <w:rsid w:val="0073420B"/>
    <w:rsid w:val="007357F4"/>
    <w:rsid w:val="007362DD"/>
    <w:rsid w:val="00737CD2"/>
    <w:rsid w:val="007444C6"/>
    <w:rsid w:val="00744E1C"/>
    <w:rsid w:val="0074760E"/>
    <w:rsid w:val="00754ABA"/>
    <w:rsid w:val="007745F6"/>
    <w:rsid w:val="007808AF"/>
    <w:rsid w:val="0078236B"/>
    <w:rsid w:val="00782C13"/>
    <w:rsid w:val="00784A3F"/>
    <w:rsid w:val="00792F00"/>
    <w:rsid w:val="007A1535"/>
    <w:rsid w:val="007A1546"/>
    <w:rsid w:val="007A1F05"/>
    <w:rsid w:val="007A228C"/>
    <w:rsid w:val="007A368E"/>
    <w:rsid w:val="007A5564"/>
    <w:rsid w:val="007A5868"/>
    <w:rsid w:val="007B04CE"/>
    <w:rsid w:val="007B086F"/>
    <w:rsid w:val="007B254B"/>
    <w:rsid w:val="007B2D70"/>
    <w:rsid w:val="007B31D3"/>
    <w:rsid w:val="007B60A0"/>
    <w:rsid w:val="007B6809"/>
    <w:rsid w:val="007B6871"/>
    <w:rsid w:val="007B7A2F"/>
    <w:rsid w:val="007C353A"/>
    <w:rsid w:val="007C3D33"/>
    <w:rsid w:val="007C58C1"/>
    <w:rsid w:val="007D07EF"/>
    <w:rsid w:val="007D294A"/>
    <w:rsid w:val="007D47D2"/>
    <w:rsid w:val="007D5608"/>
    <w:rsid w:val="007D6EC0"/>
    <w:rsid w:val="007D7E1D"/>
    <w:rsid w:val="007E245C"/>
    <w:rsid w:val="007F0FDA"/>
    <w:rsid w:val="007F3DEF"/>
    <w:rsid w:val="007F6122"/>
    <w:rsid w:val="007F6C9B"/>
    <w:rsid w:val="007F7F63"/>
    <w:rsid w:val="0080538B"/>
    <w:rsid w:val="00811CFC"/>
    <w:rsid w:val="00813BF4"/>
    <w:rsid w:val="0081486F"/>
    <w:rsid w:val="008315F8"/>
    <w:rsid w:val="00831979"/>
    <w:rsid w:val="00834DD1"/>
    <w:rsid w:val="00843454"/>
    <w:rsid w:val="00851352"/>
    <w:rsid w:val="008549DA"/>
    <w:rsid w:val="008556C3"/>
    <w:rsid w:val="008568ED"/>
    <w:rsid w:val="008610B4"/>
    <w:rsid w:val="00861A41"/>
    <w:rsid w:val="00862900"/>
    <w:rsid w:val="00862F6F"/>
    <w:rsid w:val="00863230"/>
    <w:rsid w:val="008649DF"/>
    <w:rsid w:val="008717D8"/>
    <w:rsid w:val="008718AC"/>
    <w:rsid w:val="0087215C"/>
    <w:rsid w:val="008729CD"/>
    <w:rsid w:val="00877C44"/>
    <w:rsid w:val="0088447F"/>
    <w:rsid w:val="00884701"/>
    <w:rsid w:val="008875FE"/>
    <w:rsid w:val="00887F8E"/>
    <w:rsid w:val="00892AA0"/>
    <w:rsid w:val="00896234"/>
    <w:rsid w:val="00897E43"/>
    <w:rsid w:val="008A6130"/>
    <w:rsid w:val="008B4F6F"/>
    <w:rsid w:val="008C25AD"/>
    <w:rsid w:val="008C2783"/>
    <w:rsid w:val="008C5738"/>
    <w:rsid w:val="008C7EAD"/>
    <w:rsid w:val="008D0CFE"/>
    <w:rsid w:val="008D3DB7"/>
    <w:rsid w:val="008D5622"/>
    <w:rsid w:val="008D6152"/>
    <w:rsid w:val="008E706E"/>
    <w:rsid w:val="008F0F81"/>
    <w:rsid w:val="008F27BF"/>
    <w:rsid w:val="008F7234"/>
    <w:rsid w:val="009142EC"/>
    <w:rsid w:val="00922AA5"/>
    <w:rsid w:val="00923540"/>
    <w:rsid w:val="00923F55"/>
    <w:rsid w:val="00924A07"/>
    <w:rsid w:val="00925226"/>
    <w:rsid w:val="00925966"/>
    <w:rsid w:val="00926767"/>
    <w:rsid w:val="00926DF9"/>
    <w:rsid w:val="009361D5"/>
    <w:rsid w:val="009428A4"/>
    <w:rsid w:val="00944A77"/>
    <w:rsid w:val="00946A7A"/>
    <w:rsid w:val="00947B49"/>
    <w:rsid w:val="0095033F"/>
    <w:rsid w:val="0095246A"/>
    <w:rsid w:val="009526C1"/>
    <w:rsid w:val="00952919"/>
    <w:rsid w:val="00954CE1"/>
    <w:rsid w:val="009659F4"/>
    <w:rsid w:val="00970D60"/>
    <w:rsid w:val="00972184"/>
    <w:rsid w:val="0098792F"/>
    <w:rsid w:val="009960E5"/>
    <w:rsid w:val="00996BAF"/>
    <w:rsid w:val="009A4154"/>
    <w:rsid w:val="009A7ADC"/>
    <w:rsid w:val="009B77C8"/>
    <w:rsid w:val="009C19B7"/>
    <w:rsid w:val="009D7C51"/>
    <w:rsid w:val="009F36BF"/>
    <w:rsid w:val="009F504D"/>
    <w:rsid w:val="009F5B07"/>
    <w:rsid w:val="009F5F6B"/>
    <w:rsid w:val="009F7317"/>
    <w:rsid w:val="00A0405A"/>
    <w:rsid w:val="00A102C8"/>
    <w:rsid w:val="00A1083B"/>
    <w:rsid w:val="00A111B6"/>
    <w:rsid w:val="00A127F8"/>
    <w:rsid w:val="00A13A39"/>
    <w:rsid w:val="00A14889"/>
    <w:rsid w:val="00A14D6E"/>
    <w:rsid w:val="00A215D9"/>
    <w:rsid w:val="00A228AC"/>
    <w:rsid w:val="00A228D7"/>
    <w:rsid w:val="00A26D27"/>
    <w:rsid w:val="00A343E6"/>
    <w:rsid w:val="00A36BAD"/>
    <w:rsid w:val="00A376EE"/>
    <w:rsid w:val="00A413EF"/>
    <w:rsid w:val="00A41D74"/>
    <w:rsid w:val="00A42A99"/>
    <w:rsid w:val="00A5151A"/>
    <w:rsid w:val="00A53E66"/>
    <w:rsid w:val="00A57E0A"/>
    <w:rsid w:val="00A640D4"/>
    <w:rsid w:val="00A66EBA"/>
    <w:rsid w:val="00A73968"/>
    <w:rsid w:val="00A81BB8"/>
    <w:rsid w:val="00A823F6"/>
    <w:rsid w:val="00A905B0"/>
    <w:rsid w:val="00AA0A89"/>
    <w:rsid w:val="00AA362C"/>
    <w:rsid w:val="00AA6429"/>
    <w:rsid w:val="00AA6EB2"/>
    <w:rsid w:val="00AB0FFD"/>
    <w:rsid w:val="00AB10EE"/>
    <w:rsid w:val="00AB2F65"/>
    <w:rsid w:val="00AB4FA4"/>
    <w:rsid w:val="00AC01AA"/>
    <w:rsid w:val="00AC4B0C"/>
    <w:rsid w:val="00AC4F72"/>
    <w:rsid w:val="00AC5B19"/>
    <w:rsid w:val="00AD4FD4"/>
    <w:rsid w:val="00AE4CC5"/>
    <w:rsid w:val="00AF4DAC"/>
    <w:rsid w:val="00AF741A"/>
    <w:rsid w:val="00B01ADB"/>
    <w:rsid w:val="00B01EC0"/>
    <w:rsid w:val="00B04161"/>
    <w:rsid w:val="00B056F9"/>
    <w:rsid w:val="00B11E3D"/>
    <w:rsid w:val="00B15F0D"/>
    <w:rsid w:val="00B162C1"/>
    <w:rsid w:val="00B17E82"/>
    <w:rsid w:val="00B20372"/>
    <w:rsid w:val="00B2072B"/>
    <w:rsid w:val="00B220F5"/>
    <w:rsid w:val="00B22566"/>
    <w:rsid w:val="00B22CFC"/>
    <w:rsid w:val="00B23F82"/>
    <w:rsid w:val="00B259BC"/>
    <w:rsid w:val="00B37E7D"/>
    <w:rsid w:val="00B40B62"/>
    <w:rsid w:val="00B416B4"/>
    <w:rsid w:val="00B42267"/>
    <w:rsid w:val="00B44408"/>
    <w:rsid w:val="00B4575A"/>
    <w:rsid w:val="00B46975"/>
    <w:rsid w:val="00B56125"/>
    <w:rsid w:val="00B575BA"/>
    <w:rsid w:val="00B64FD4"/>
    <w:rsid w:val="00B71546"/>
    <w:rsid w:val="00B73BAC"/>
    <w:rsid w:val="00B76429"/>
    <w:rsid w:val="00B76563"/>
    <w:rsid w:val="00B84B70"/>
    <w:rsid w:val="00B8724F"/>
    <w:rsid w:val="00B956D4"/>
    <w:rsid w:val="00B95DC8"/>
    <w:rsid w:val="00B97410"/>
    <w:rsid w:val="00B97446"/>
    <w:rsid w:val="00B97D8C"/>
    <w:rsid w:val="00BA62C6"/>
    <w:rsid w:val="00BA7432"/>
    <w:rsid w:val="00BA7FFC"/>
    <w:rsid w:val="00BB19C9"/>
    <w:rsid w:val="00BC1AA0"/>
    <w:rsid w:val="00BC2495"/>
    <w:rsid w:val="00BC3C90"/>
    <w:rsid w:val="00BC5029"/>
    <w:rsid w:val="00BC7EB9"/>
    <w:rsid w:val="00BD0C93"/>
    <w:rsid w:val="00BD1867"/>
    <w:rsid w:val="00BD2643"/>
    <w:rsid w:val="00BD33C9"/>
    <w:rsid w:val="00BD48EB"/>
    <w:rsid w:val="00BD55FA"/>
    <w:rsid w:val="00BD56B1"/>
    <w:rsid w:val="00BD6558"/>
    <w:rsid w:val="00BD7C67"/>
    <w:rsid w:val="00BE2F64"/>
    <w:rsid w:val="00BF2A9B"/>
    <w:rsid w:val="00BF3022"/>
    <w:rsid w:val="00BF3214"/>
    <w:rsid w:val="00BF5573"/>
    <w:rsid w:val="00C0052F"/>
    <w:rsid w:val="00C02A5D"/>
    <w:rsid w:val="00C1174E"/>
    <w:rsid w:val="00C15867"/>
    <w:rsid w:val="00C16E10"/>
    <w:rsid w:val="00C202E0"/>
    <w:rsid w:val="00C2296D"/>
    <w:rsid w:val="00C23155"/>
    <w:rsid w:val="00C2432F"/>
    <w:rsid w:val="00C355C5"/>
    <w:rsid w:val="00C37CCE"/>
    <w:rsid w:val="00C40C41"/>
    <w:rsid w:val="00C41777"/>
    <w:rsid w:val="00C45885"/>
    <w:rsid w:val="00C45891"/>
    <w:rsid w:val="00C50F22"/>
    <w:rsid w:val="00C576AB"/>
    <w:rsid w:val="00C57971"/>
    <w:rsid w:val="00C76BA4"/>
    <w:rsid w:val="00C81092"/>
    <w:rsid w:val="00C83A48"/>
    <w:rsid w:val="00C846DF"/>
    <w:rsid w:val="00C85260"/>
    <w:rsid w:val="00C85865"/>
    <w:rsid w:val="00C85E85"/>
    <w:rsid w:val="00C878E6"/>
    <w:rsid w:val="00C93962"/>
    <w:rsid w:val="00CA2EAE"/>
    <w:rsid w:val="00CA4AC1"/>
    <w:rsid w:val="00CA759E"/>
    <w:rsid w:val="00CB0316"/>
    <w:rsid w:val="00CB0B11"/>
    <w:rsid w:val="00CB13A7"/>
    <w:rsid w:val="00CB2C90"/>
    <w:rsid w:val="00CB3960"/>
    <w:rsid w:val="00CB3BF9"/>
    <w:rsid w:val="00CB5354"/>
    <w:rsid w:val="00CC0A5C"/>
    <w:rsid w:val="00CC1548"/>
    <w:rsid w:val="00CC5C2C"/>
    <w:rsid w:val="00CC65BC"/>
    <w:rsid w:val="00CC6A14"/>
    <w:rsid w:val="00CC70A3"/>
    <w:rsid w:val="00CC7383"/>
    <w:rsid w:val="00CC7F40"/>
    <w:rsid w:val="00CD0F78"/>
    <w:rsid w:val="00CD2348"/>
    <w:rsid w:val="00CD3D3F"/>
    <w:rsid w:val="00CD4442"/>
    <w:rsid w:val="00CD53C3"/>
    <w:rsid w:val="00CD574E"/>
    <w:rsid w:val="00CE4C22"/>
    <w:rsid w:val="00CE6C3F"/>
    <w:rsid w:val="00CE7AEE"/>
    <w:rsid w:val="00CE7E8C"/>
    <w:rsid w:val="00CF2061"/>
    <w:rsid w:val="00CF3E56"/>
    <w:rsid w:val="00CF41A1"/>
    <w:rsid w:val="00CF41EC"/>
    <w:rsid w:val="00CF4E72"/>
    <w:rsid w:val="00CF50EE"/>
    <w:rsid w:val="00CF5D04"/>
    <w:rsid w:val="00D0229B"/>
    <w:rsid w:val="00D04BB2"/>
    <w:rsid w:val="00D04DE4"/>
    <w:rsid w:val="00D04F56"/>
    <w:rsid w:val="00D063F1"/>
    <w:rsid w:val="00D07582"/>
    <w:rsid w:val="00D11EC2"/>
    <w:rsid w:val="00D14F22"/>
    <w:rsid w:val="00D2698C"/>
    <w:rsid w:val="00D26FFB"/>
    <w:rsid w:val="00D41FF5"/>
    <w:rsid w:val="00D4332A"/>
    <w:rsid w:val="00D43B35"/>
    <w:rsid w:val="00D52AA1"/>
    <w:rsid w:val="00D577FC"/>
    <w:rsid w:val="00D57918"/>
    <w:rsid w:val="00D65594"/>
    <w:rsid w:val="00D656AB"/>
    <w:rsid w:val="00D71EB3"/>
    <w:rsid w:val="00D73DC6"/>
    <w:rsid w:val="00D74C1A"/>
    <w:rsid w:val="00D754C1"/>
    <w:rsid w:val="00D77A35"/>
    <w:rsid w:val="00D80D13"/>
    <w:rsid w:val="00D81B3E"/>
    <w:rsid w:val="00D867C9"/>
    <w:rsid w:val="00D878DD"/>
    <w:rsid w:val="00D905B0"/>
    <w:rsid w:val="00D906C9"/>
    <w:rsid w:val="00D90C70"/>
    <w:rsid w:val="00D90E49"/>
    <w:rsid w:val="00D96ADE"/>
    <w:rsid w:val="00DA1679"/>
    <w:rsid w:val="00DA42B2"/>
    <w:rsid w:val="00DB2303"/>
    <w:rsid w:val="00DB4495"/>
    <w:rsid w:val="00DB65FC"/>
    <w:rsid w:val="00DB737E"/>
    <w:rsid w:val="00DC017B"/>
    <w:rsid w:val="00DC2C42"/>
    <w:rsid w:val="00DC4165"/>
    <w:rsid w:val="00DC47CB"/>
    <w:rsid w:val="00DC54B8"/>
    <w:rsid w:val="00DC5B2F"/>
    <w:rsid w:val="00DC68B8"/>
    <w:rsid w:val="00DC6A10"/>
    <w:rsid w:val="00DD0559"/>
    <w:rsid w:val="00DD54E2"/>
    <w:rsid w:val="00DD6ED9"/>
    <w:rsid w:val="00DE2D2E"/>
    <w:rsid w:val="00DE40FB"/>
    <w:rsid w:val="00DE657E"/>
    <w:rsid w:val="00DF4704"/>
    <w:rsid w:val="00DF4F0A"/>
    <w:rsid w:val="00E024AA"/>
    <w:rsid w:val="00E03E51"/>
    <w:rsid w:val="00E0758C"/>
    <w:rsid w:val="00E165AE"/>
    <w:rsid w:val="00E21615"/>
    <w:rsid w:val="00E218C2"/>
    <w:rsid w:val="00E21FD9"/>
    <w:rsid w:val="00E250F1"/>
    <w:rsid w:val="00E25F6B"/>
    <w:rsid w:val="00E32CCF"/>
    <w:rsid w:val="00E348F1"/>
    <w:rsid w:val="00E3550D"/>
    <w:rsid w:val="00E4053C"/>
    <w:rsid w:val="00E4070C"/>
    <w:rsid w:val="00E40B19"/>
    <w:rsid w:val="00E44A2D"/>
    <w:rsid w:val="00E562DF"/>
    <w:rsid w:val="00E614E0"/>
    <w:rsid w:val="00E62F0C"/>
    <w:rsid w:val="00E665F9"/>
    <w:rsid w:val="00E674BF"/>
    <w:rsid w:val="00E73F7F"/>
    <w:rsid w:val="00E8015E"/>
    <w:rsid w:val="00E85409"/>
    <w:rsid w:val="00E85644"/>
    <w:rsid w:val="00E862FE"/>
    <w:rsid w:val="00E86E46"/>
    <w:rsid w:val="00E8778F"/>
    <w:rsid w:val="00E9396A"/>
    <w:rsid w:val="00E94A46"/>
    <w:rsid w:val="00EA1956"/>
    <w:rsid w:val="00EA41A9"/>
    <w:rsid w:val="00EA429F"/>
    <w:rsid w:val="00EA4F9E"/>
    <w:rsid w:val="00EA63CA"/>
    <w:rsid w:val="00EA6D3B"/>
    <w:rsid w:val="00EA75C8"/>
    <w:rsid w:val="00EA7AC8"/>
    <w:rsid w:val="00EA7B0F"/>
    <w:rsid w:val="00EB00AD"/>
    <w:rsid w:val="00EB136C"/>
    <w:rsid w:val="00EB480E"/>
    <w:rsid w:val="00EB5EC6"/>
    <w:rsid w:val="00EB6185"/>
    <w:rsid w:val="00EB6C50"/>
    <w:rsid w:val="00EB7205"/>
    <w:rsid w:val="00EB7FC9"/>
    <w:rsid w:val="00EB7FD8"/>
    <w:rsid w:val="00EC250E"/>
    <w:rsid w:val="00EC55AC"/>
    <w:rsid w:val="00ED1D6A"/>
    <w:rsid w:val="00ED27E8"/>
    <w:rsid w:val="00ED4FFF"/>
    <w:rsid w:val="00ED5CDA"/>
    <w:rsid w:val="00ED7137"/>
    <w:rsid w:val="00EE2FFB"/>
    <w:rsid w:val="00EE64DA"/>
    <w:rsid w:val="00EF389C"/>
    <w:rsid w:val="00EF53CA"/>
    <w:rsid w:val="00F002EE"/>
    <w:rsid w:val="00F02158"/>
    <w:rsid w:val="00F07C89"/>
    <w:rsid w:val="00F126D7"/>
    <w:rsid w:val="00F15DD1"/>
    <w:rsid w:val="00F20CBA"/>
    <w:rsid w:val="00F21088"/>
    <w:rsid w:val="00F23147"/>
    <w:rsid w:val="00F26E43"/>
    <w:rsid w:val="00F327E7"/>
    <w:rsid w:val="00F33EEE"/>
    <w:rsid w:val="00F35746"/>
    <w:rsid w:val="00F36A2C"/>
    <w:rsid w:val="00F37662"/>
    <w:rsid w:val="00F41D23"/>
    <w:rsid w:val="00F42AA2"/>
    <w:rsid w:val="00F447C7"/>
    <w:rsid w:val="00F50630"/>
    <w:rsid w:val="00F554A9"/>
    <w:rsid w:val="00F6373B"/>
    <w:rsid w:val="00F63B3A"/>
    <w:rsid w:val="00F63BFE"/>
    <w:rsid w:val="00F64466"/>
    <w:rsid w:val="00F716FD"/>
    <w:rsid w:val="00F734BB"/>
    <w:rsid w:val="00F7716C"/>
    <w:rsid w:val="00F80355"/>
    <w:rsid w:val="00F80D71"/>
    <w:rsid w:val="00F85BF9"/>
    <w:rsid w:val="00F96DB2"/>
    <w:rsid w:val="00FA7056"/>
    <w:rsid w:val="00FA77A8"/>
    <w:rsid w:val="00FB0C81"/>
    <w:rsid w:val="00FB0CA4"/>
    <w:rsid w:val="00FB28EA"/>
    <w:rsid w:val="00FB2F57"/>
    <w:rsid w:val="00FB3972"/>
    <w:rsid w:val="00FB4FEF"/>
    <w:rsid w:val="00FB70A8"/>
    <w:rsid w:val="00FC2200"/>
    <w:rsid w:val="00FC2540"/>
    <w:rsid w:val="00FC375B"/>
    <w:rsid w:val="00FD4C26"/>
    <w:rsid w:val="00FD5987"/>
    <w:rsid w:val="00FD78F7"/>
    <w:rsid w:val="00FE1E8D"/>
    <w:rsid w:val="00FE4103"/>
    <w:rsid w:val="00FE4778"/>
    <w:rsid w:val="00FE5018"/>
    <w:rsid w:val="00FE76A5"/>
    <w:rsid w:val="00FF0204"/>
    <w:rsid w:val="00FF0290"/>
    <w:rsid w:val="00FF0B1F"/>
    <w:rsid w:val="00FF25F2"/>
    <w:rsid w:val="00FF3AED"/>
    <w:rsid w:val="00FF5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64EE70"/>
  <w15:docId w15:val="{B2644073-31BC-40C8-80CC-F16F7BD9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link w:val="Heading3Char3"/>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aliases w:val="Ethy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basedOn w:val="Normal"/>
    <w:link w:val="FootnoteTextChar"/>
    <w:uiPriority w:val="99"/>
    <w:unhideWhenUsed/>
    <w:rsid w:val="00BD1867"/>
    <w:rPr>
      <w:sz w:val="20"/>
      <w:szCs w:val="20"/>
    </w:rPr>
  </w:style>
  <w:style w:type="character" w:customStyle="1" w:styleId="FootnoteTextChar">
    <w:name w:val="Footnote Text Char"/>
    <w:basedOn w:val="DefaultParagraphFont"/>
    <w:link w:val="FootnoteText"/>
    <w:uiPriority w:val="99"/>
    <w:rsid w:val="00BD1867"/>
    <w:rPr>
      <w:lang w:val="en-GB"/>
    </w:rPr>
  </w:style>
  <w:style w:type="character" w:styleId="FootnoteReference">
    <w:name w:val="footnote reference"/>
    <w:aliases w:val="ftref"/>
    <w:basedOn w:val="DefaultParagraphFont"/>
    <w:uiPriority w:val="99"/>
    <w:unhideWhenUsed/>
    <w:rsid w:val="00BD1867"/>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FD4C26"/>
    <w:rPr>
      <w:sz w:val="22"/>
      <w:szCs w:val="22"/>
      <w:lang w:val="en-GB"/>
    </w:rPr>
  </w:style>
  <w:style w:type="paragraph" w:styleId="ListParagraph">
    <w:name w:val="List Paragraph"/>
    <w:basedOn w:val="Normal"/>
    <w:link w:val="ListParagraphChar"/>
    <w:uiPriority w:val="34"/>
    <w:qFormat/>
    <w:rsid w:val="0056657E"/>
    <w:pPr>
      <w:ind w:left="720"/>
      <w:contextualSpacing/>
    </w:pPr>
    <w:rPr>
      <w:lang w:val="en-US"/>
    </w:rPr>
  </w:style>
  <w:style w:type="character" w:customStyle="1" w:styleId="ListParagraphChar">
    <w:name w:val="List Paragraph Char"/>
    <w:link w:val="ListParagraph"/>
    <w:uiPriority w:val="34"/>
    <w:locked/>
    <w:rsid w:val="0056657E"/>
    <w:rPr>
      <w:sz w:val="22"/>
      <w:szCs w:val="22"/>
    </w:rPr>
  </w:style>
  <w:style w:type="paragraph" w:styleId="ListBullet">
    <w:name w:val="List Bullet"/>
    <w:basedOn w:val="Normal"/>
    <w:autoRedefine/>
    <w:semiHidden/>
    <w:rsid w:val="00062C70"/>
    <w:pPr>
      <w:tabs>
        <w:tab w:val="num" w:pos="360"/>
      </w:tabs>
      <w:ind w:left="360" w:hanging="360"/>
    </w:pPr>
    <w:rPr>
      <w:lang w:val="en-US"/>
    </w:rPr>
  </w:style>
  <w:style w:type="paragraph" w:styleId="Caption">
    <w:name w:val="caption"/>
    <w:basedOn w:val="Normal"/>
    <w:next w:val="Normal"/>
    <w:unhideWhenUsed/>
    <w:qFormat/>
    <w:rsid w:val="001839D1"/>
    <w:pPr>
      <w:spacing w:after="200"/>
      <w:jc w:val="left"/>
    </w:pPr>
    <w:rPr>
      <w:rFonts w:asciiTheme="minorHAnsi" w:eastAsiaTheme="minorHAnsi" w:hAnsiTheme="minorHAnsi" w:cstheme="minorBidi"/>
      <w:b/>
      <w:bCs/>
      <w:color w:val="4F81BD" w:themeColor="accent1"/>
      <w:sz w:val="18"/>
      <w:szCs w:val="18"/>
      <w:lang w:val="es-CO"/>
    </w:rPr>
  </w:style>
  <w:style w:type="paragraph" w:customStyle="1" w:styleId="Style1">
    <w:name w:val="Style1"/>
    <w:basedOn w:val="ListParagraph"/>
    <w:link w:val="Style1Char"/>
    <w:qFormat/>
    <w:rsid w:val="00117177"/>
    <w:pPr>
      <w:numPr>
        <w:numId w:val="34"/>
      </w:numPr>
      <w:spacing w:line="360" w:lineRule="auto"/>
    </w:pPr>
    <w:rPr>
      <w:lang w:val="en-GB"/>
    </w:rPr>
  </w:style>
  <w:style w:type="character" w:customStyle="1" w:styleId="Style1Char">
    <w:name w:val="Style1 Char"/>
    <w:basedOn w:val="ListParagraphChar"/>
    <w:link w:val="Style1"/>
    <w:rsid w:val="00117177"/>
    <w:rPr>
      <w:sz w:val="22"/>
      <w:szCs w:val="22"/>
      <w:lang w:val="en-GB"/>
    </w:rPr>
  </w:style>
  <w:style w:type="character" w:customStyle="1" w:styleId="Heading3Char3">
    <w:name w:val="Heading 3 Char3"/>
    <w:aliases w:val="Char Char3,Char Char Char2,Heading 3 Char Char1,Heading 3 Char1 Char1,Heading 3 Char Char Char1,Char Char Char Char1,Char Char1 Char1,Heading 3 Char1 Char Char,Heading 3 Char Char Char Char,Char Char Char Char Char,Char Char1 Char Char"/>
    <w:link w:val="Heading3"/>
    <w:rsid w:val="00A228D7"/>
    <w:rPr>
      <w:sz w:val="22"/>
      <w:szCs w:val="22"/>
      <w:lang w:val="en-GB"/>
    </w:rPr>
  </w:style>
  <w:style w:type="character" w:customStyle="1" w:styleId="FooterChar">
    <w:name w:val="Footer Char"/>
    <w:basedOn w:val="DefaultParagraphFont"/>
    <w:link w:val="Footer"/>
    <w:uiPriority w:val="99"/>
    <w:rsid w:val="00DD0559"/>
    <w:rPr>
      <w:sz w:val="22"/>
      <w:szCs w:val="22"/>
      <w:lang w:val="en-GB"/>
    </w:rPr>
  </w:style>
  <w:style w:type="character" w:customStyle="1" w:styleId="HeaderChar">
    <w:name w:val="Header Char"/>
    <w:aliases w:val="EthylHeader Char"/>
    <w:basedOn w:val="DefaultParagraphFont"/>
    <w:link w:val="Header"/>
    <w:rsid w:val="00357AC8"/>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8378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C4D3BE67EA81429E9CFCEF859CE76D" ma:contentTypeVersion="1" ma:contentTypeDescription="Create a new document." ma:contentTypeScope="" ma:versionID="db5dc4fa37fb4935fabb10f141fd9446">
  <xsd:schema xmlns:xsd="http://www.w3.org/2001/XMLSchema" xmlns:p="http://schemas.microsoft.com/office/2006/metadata/properties" xmlns:ns1="http://schemas.microsoft.com/sharepoint/v3" xmlns:ns2="0022006E-0020-0052-6500-610064004F00" xmlns:ns3="bb1c52ca-fecf-4d22-8415-84d57dc70178" targetNamespace="http://schemas.microsoft.com/office/2006/metadata/properties" ma:root="true" ma:fieldsID="be404d6246e96f8ea69a59749b802115" ns1:_="" ns2:_="" ns3:_="">
    <xsd:import namespace="http://schemas.microsoft.com/sharepoint/v3"/>
    <xsd:import namespace="0022006E-0020-0052-6500-610064004F00"/>
    <xsd:import namespace="bb1c52ca-fecf-4d22-8415-84d57dc70178"/>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Document_x0020_number" minOccurs="0"/>
                <xsd:element ref="ns2:Language" minOccurs="0"/>
                <xsd:element ref="ns2:Document_x0020_type" minOccurs="0"/>
                <xsd:element ref="ns1:ContentTypeId" minOccurs="0"/>
                <xsd:element ref="ns1:TemplateUrl" minOccurs="0"/>
                <xsd:element ref="ns1:xd_ProgID" minOccurs="0"/>
                <xsd:element ref="ns1:xd_Signature" minOccurs="0"/>
                <xsd:element ref="ns1:ParentVersionString" minOccurs="0"/>
                <xsd:element ref="ns1:ParentLeafNam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3:Forma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ModerationComments" ma:index="8"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xsd:simpleType>
        <xsd:restriction base="dms:Text"/>
      </xsd:simpleType>
    </xsd:element>
    <xsd:element name="_SharedFileIndex" ma:index="12" nillable="true" ma:displayName="Shared File Index" ma:hidden="true" ma:internalName="_SharedFileIndex">
      <xsd:simpleType>
        <xsd:restriction base="dms:Text"/>
      </xsd:simpleType>
    </xsd:element>
    <xsd:element name="ContentTypeId" ma:index="16" nillable="true" ma:displayName="Content Type ID" ma:hidden="true" ma:internalName="ContentTypeId" ma:readOnly="true">
      <xsd:simpleType>
        <xsd:restriction base="dms:Unknown"/>
      </xsd:simpleType>
    </xsd:element>
    <xsd:element name="TemplateUrl" ma:index="17" nillable="true" ma:displayName="Template Link" ma:description="" ma:hidden="true" ma:internalName="TemplateUrl">
      <xsd:simpleType>
        <xsd:restriction base="dms:Text"/>
      </xsd:simpleType>
    </xsd:element>
    <xsd:element name="xd_ProgID" ma:index="18" nillable="true" ma:displayName="Html File Link" ma:description="" ma:hidden="true" ma:internalName="xd_ProgID">
      <xsd:simpleType>
        <xsd:restriction base="dms:Text"/>
      </xsd:simpleType>
    </xsd:element>
    <xsd:element name="xd_Signature" ma:index="19" nillable="true" ma:displayName="Is Signed" ma:description="" ma:hidden="true" ma:internalName="xd_Signature" ma:readOnly="true">
      <xsd:simpleType>
        <xsd:restriction base="dms:Boolean"/>
      </xsd:simpleType>
    </xsd:element>
    <xsd:element name="ParentVersionString" ma:index="23" nillable="true" ma:displayName="Source Version (Converted Document)" ma:hidden="true" ma:list="Docs" ma:internalName="ParentVersionString" ma:readOnly="true" ma:showField="ParentVersionString">
      <xsd:simpleType>
        <xsd:restriction base="dms:Lookup"/>
      </xsd:simpleType>
    </xsd:element>
    <xsd:element name="ParentLeafName" ma:index="24" nillable="true" ma:displayName="Source Name (Converted Document)" ma:hidden="true" ma:list="Docs" ma:internalName="ParentLeafName" ma:readOnly="true" ma:showField="ParentLeafName">
      <xsd:simpleType>
        <xsd:restriction base="dms:Lookup"/>
      </xsd:simpleType>
    </xsd:element>
    <xsd:element name="ID" ma:index="25" nillable="true" ma:displayName="ID" ma:internalName="ID" ma:readOnly="true">
      <xsd:simpleType>
        <xsd:restriction base="dms:Unknown"/>
      </xsd:simpleType>
    </xsd:element>
    <xsd:element name="Author" ma:index="2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7"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8" nillable="true" ma:displayName="Has Copy Destinations" ma:hidden="true" ma:internalName="_HasCopyDestinations" ma:readOnly="true">
      <xsd:simpleType>
        <xsd:restriction base="dms:Boolean"/>
      </xsd:simpleType>
    </xsd:element>
    <xsd:element name="_CopySource" ma:index="29" nillable="true" ma:displayName="Copy Source" ma:internalName="_CopySource" ma:readOnly="true">
      <xsd:simpleType>
        <xsd:restriction base="dms:Text"/>
      </xsd:simpleType>
    </xsd:element>
    <xsd:element name="_ModerationStatus" ma:index="30" nillable="true" ma:displayName="Approval Status" ma:default="0" ma:hidden="true" ma:internalName="_ModerationStatus" ma:readOnly="true">
      <xsd:simpleType>
        <xsd:restriction base="dms:Unknown"/>
      </xsd:simpleType>
    </xsd:element>
    <xsd:element name="FileRef" ma:index="31" nillable="true" ma:displayName="URL Path" ma:hidden="true" ma:list="Docs" ma:internalName="FileRef" ma:readOnly="true" ma:showField="FullUrl">
      <xsd:simpleType>
        <xsd:restriction base="dms:Lookup"/>
      </xsd:simpleType>
    </xsd:element>
    <xsd:element name="FileDirRef" ma:index="32" nillable="true" ma:displayName="Path" ma:hidden="true" ma:list="Docs" ma:internalName="FileDirRef" ma:readOnly="true" ma:showField="DirName">
      <xsd:simpleType>
        <xsd:restriction base="dms:Lookup"/>
      </xsd:simpleType>
    </xsd:element>
    <xsd:element name="Last_x0020_Modified" ma:index="33" nillable="true" ma:displayName="Modified" ma:format="TRUE" ma:hidden="true" ma:list="Docs" ma:internalName="Last_x0020_Modified" ma:readOnly="true" ma:showField="TimeLastModified">
      <xsd:simpleType>
        <xsd:restriction base="dms:Lookup"/>
      </xsd:simpleType>
    </xsd:element>
    <xsd:element name="Created_x0020_Date" ma:index="34" nillable="true" ma:displayName="Created" ma:format="TRUE" ma:hidden="true" ma:list="Docs" ma:internalName="Created_x0020_Date" ma:readOnly="true" ma:showField="TimeCreated">
      <xsd:simpleType>
        <xsd:restriction base="dms:Lookup"/>
      </xsd:simpleType>
    </xsd:element>
    <xsd:element name="File_x0020_Size" ma:index="35" nillable="true" ma:displayName="File Size" ma:format="TRUE" ma:hidden="true" ma:list="Docs" ma:internalName="File_x0020_Size" ma:readOnly="true" ma:showField="SizeInKB">
      <xsd:simpleType>
        <xsd:restriction base="dms:Lookup"/>
      </xsd:simpleType>
    </xsd:element>
    <xsd:element name="FSObjType" ma:index="36" nillable="true" ma:displayName="Item Type" ma:hidden="true" ma:list="Docs" ma:internalName="FSObjType" ma:readOnly="true" ma:showField="FSType">
      <xsd:simpleType>
        <xsd:restriction base="dms:Lookup"/>
      </xsd:simpleType>
    </xsd:element>
    <xsd:element name="CheckedOutUserId" ma:index="37" nillable="true" ma:displayName="ID of the User who has the item Checked Out" ma:hidden="true" ma:list="Docs" ma:internalName="CheckedOutUserId" ma:readOnly="true" ma:showField="CheckoutUserId">
      <xsd:simpleType>
        <xsd:restriction base="dms:Lookup"/>
      </xsd:simpleType>
    </xsd:element>
    <xsd:element name="IsCheckedoutToLocal" ma:index="38" nillable="true" ma:displayName="Is Checked out to local" ma:hidden="true" ma:list="Docs" ma:internalName="IsCheckedoutToLocal" ma:readOnly="true" ma:showField="IsCheckoutToLocal">
      <xsd:simpleType>
        <xsd:restriction base="dms:Lookup"/>
      </xsd:simpleType>
    </xsd:element>
    <xsd:element name="CheckoutUser" ma:index="39"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0" nillable="true" ma:displayName="Unique Id" ma:hidden="true" ma:list="Docs" ma:internalName="UniqueId" ma:readOnly="true" ma:showField="UniqueId">
      <xsd:simpleType>
        <xsd:restriction base="dms:Lookup"/>
      </xsd:simpleType>
    </xsd:element>
    <xsd:element name="ProgId" ma:index="41" nillable="true" ma:displayName="ProgId" ma:hidden="true" ma:list="Docs" ma:internalName="ProgId" ma:readOnly="true" ma:showField="ProgId">
      <xsd:simpleType>
        <xsd:restriction base="dms:Lookup"/>
      </xsd:simpleType>
    </xsd:element>
    <xsd:element name="ScopeId" ma:index="42" nillable="true" ma:displayName="ScopeId" ma:hidden="true" ma:list="Docs" ma:internalName="ScopeId" ma:readOnly="true" ma:showField="ScopeId">
      <xsd:simpleType>
        <xsd:restriction base="dms:Lookup"/>
      </xsd:simpleType>
    </xsd:element>
    <xsd:element name="VirusStatus" ma:index="43" nillable="true" ma:displayName="Virus Status" ma:format="TRUE" ma:hidden="true" ma:list="Docs" ma:internalName="VirusStatus" ma:readOnly="true" ma:showField="Size">
      <xsd:simpleType>
        <xsd:restriction base="dms:Lookup"/>
      </xsd:simpleType>
    </xsd:element>
    <xsd:element name="CheckedOutTitle" ma:index="44" nillable="true" ma:displayName="Checked Out To" ma:format="TRUE" ma:hidden="true" ma:list="Docs" ma:internalName="CheckedOutTitle" ma:readOnly="true" ma:showField="CheckedOutTitle">
      <xsd:simpleType>
        <xsd:restriction base="dms:Lookup"/>
      </xsd:simpleType>
    </xsd:element>
    <xsd:element name="_CheckinComment" ma:index="45" nillable="true" ma:displayName="Check In Comment" ma:format="TRUE" ma:list="Docs" ma:internalName="_CheckinComment" ma:readOnly="true" ma:showField="CheckinComment">
      <xsd:simpleType>
        <xsd:restriction base="dms:Lookup"/>
      </xsd:simpleType>
    </xsd:element>
    <xsd:element name="MetaInfo" ma:index="56" nillable="true" ma:displayName="Property Bag" ma:hidden="true" ma:list="Docs" ma:internalName="MetaInfo" ma:showField="MetaInfo">
      <xsd:simpleType>
        <xsd:restriction base="dms:Lookup"/>
      </xsd:simpleType>
    </xsd:element>
    <xsd:element name="_Level" ma:index="57" nillable="true" ma:displayName="Level" ma:hidden="true" ma:internalName="_Level" ma:readOnly="true">
      <xsd:simpleType>
        <xsd:restriction base="dms:Unknown"/>
      </xsd:simpleType>
    </xsd:element>
    <xsd:element name="_IsCurrentVersion" ma:index="58" nillable="true" ma:displayName="Is Current Version" ma:hidden="true" ma:internalName="_IsCurrentVersion" ma:readOnly="true">
      <xsd:simpleType>
        <xsd:restriction base="dms:Boolean"/>
      </xsd:simpleType>
    </xsd:element>
    <xsd:element name="owshiddenversion" ma:index="61" nillable="true" ma:displayName="owshiddenversion" ma:hidden="true" ma:internalName="owshiddenversion" ma:readOnly="true">
      <xsd:simpleType>
        <xsd:restriction base="dms:Unknown"/>
      </xsd:simpleType>
    </xsd:element>
    <xsd:element name="_UIVersion" ma:index="62" nillable="true" ma:displayName="UI Version" ma:hidden="true" ma:internalName="_UIVersion" ma:readOnly="true">
      <xsd:simpleType>
        <xsd:restriction base="dms:Unknown"/>
      </xsd:simpleType>
    </xsd:element>
    <xsd:element name="_UIVersionString" ma:index="63" nillable="true" ma:displayName="Version" ma:internalName="_UIVersionString" ma:readOnly="true">
      <xsd:simpleType>
        <xsd:restriction base="dms:Text"/>
      </xsd:simpleType>
    </xsd:element>
    <xsd:element name="InstanceID" ma:index="64" nillable="true" ma:displayName="Instance ID" ma:hidden="true" ma:internalName="InstanceID" ma:readOnly="true">
      <xsd:simpleType>
        <xsd:restriction base="dms:Unknown"/>
      </xsd:simpleType>
    </xsd:element>
    <xsd:element name="Order" ma:index="65" nillable="true" ma:displayName="Order" ma:hidden="true" ma:internalName="Order">
      <xsd:simpleType>
        <xsd:restriction base="dms:Number"/>
      </xsd:simpleType>
    </xsd:element>
    <xsd:element name="GUID" ma:index="66" nillable="true" ma:displayName="GUID" ma:hidden="true" ma:internalName="GUID" ma:readOnly="true">
      <xsd:simpleType>
        <xsd:restriction base="dms:Unknown"/>
      </xsd:simpleType>
    </xsd:element>
    <xsd:element name="WorkflowVersion" ma:index="67" nillable="true" ma:displayName="Workflow Version" ma:hidden="true" ma:internalName="WorkflowVersion" ma:readOnly="true">
      <xsd:simpleType>
        <xsd:restriction base="dms:Unknown"/>
      </xsd:simpleType>
    </xsd:element>
    <xsd:element name="WorkflowInstanceID" ma:index="68" nillable="true" ma:displayName="Workflow Instance ID" ma:hidden="true" ma:internalName="WorkflowInstanceID" ma:readOnly="true">
      <xsd:simpleType>
        <xsd:restriction base="dms:Unknown"/>
      </xsd:simpleType>
    </xsd:element>
  </xsd:schema>
  <xsd:schema xmlns:xsd="http://www.w3.org/2001/XMLSchema" xmlns:dms="http://schemas.microsoft.com/office/2006/documentManagement/types" targetNamespace="0022006E-0020-0052-6500-610064004F00" elementFormDefault="qualified">
    <xsd:import namespace="http://schemas.microsoft.com/office/2006/documentManagement/types"/>
    <xsd:element name="Document_x0020_number" ma:index="13" nillable="true" ma:displayName="Document number" ma:default="UNEP/OzL.Pro/ExCom/80/1" ma:internalName="Document_x0020_number">
      <xsd:simpleType>
        <xsd:restriction base="dms:Text">
          <xsd:maxLength value="255"/>
        </xsd:restriction>
      </xsd:simpleType>
    </xsd:element>
    <xsd:element name="Language" ma:index="14" nillable="true" ma:displayName="Language" ma:default="English" ma:internalName="Language">
      <xsd:simpleType>
        <xsd:restriction base="dms:Text">
          <xsd:maxLength value="255"/>
        </xsd:restriction>
      </xsd:simpleType>
    </xsd:element>
    <xsd:element name="Document_x0020_type" ma:index="15" nillable="true" ma:displayName="Document type" ma:default="Pre-session" ma:format="Dropdown" ma:internalName="Document_x0020_type">
      <xsd:simpleType>
        <xsd:restriction base="dms:Choice">
          <xsd:enumeration value="In-session"/>
          <xsd:enumeration value="Pre-session"/>
          <xsd:enumeration value="Final report"/>
          <xsd:enumeration value="Adjusted business plan"/>
        </xsd:restriction>
      </xsd:simpleType>
    </xsd:element>
  </xsd:schema>
  <xsd:schema xmlns:xsd="http://www.w3.org/2001/XMLSchema" xmlns:dms="http://schemas.microsoft.com/office/2006/documentManagement/types" targetNamespace="bb1c52ca-fecf-4d22-8415-84d57dc70178" elementFormDefault="qualified">
    <xsd:import namespace="http://schemas.microsoft.com/office/2006/documentManagement/types"/>
    <xsd:element name="Format" ma:index="69" nillable="true" ma:displayName="Format" ma:default="Word" ma:format="Dropdown" ma:internalName="Format">
      <xsd:simpleType>
        <xsd:restriction base="dms:Choice">
          <xsd:enumeration value="PDF"/>
          <xsd:enumeration value="Word"/>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0022006E-0020-0052-6500-610064004F00">UNEP/OzL.Pro/ExCom/80/47</Document_x0020_number>
    <ContentTypeId xmlns="http://schemas.microsoft.com/sharepoint/v3">0x010100EDC4D3BE67EA81429E9CFCEF859CE76D</ContentTypeId>
    <TemplateUrl xmlns="http://schemas.microsoft.com/sharepoint/v3" xsi:nil="true"/>
    <Format xmlns="bb1c52ca-fecf-4d22-8415-84d57dc70178">Word</Format>
    <Language xmlns="0022006E-0020-0052-6500-610064004F00">English</Language>
    <Document_x0020_type xmlns="0022006E-0020-0052-6500-610064004F00">Pre-session</Document_x0020_typ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BB404668-B176-4C0B-B5AF-3EA16095A29B}"/>
</file>

<file path=customXml/itemProps2.xml><?xml version="1.0" encoding="utf-8"?>
<ds:datastoreItem xmlns:ds="http://schemas.openxmlformats.org/officeDocument/2006/customXml" ds:itemID="{142CCDD4-7861-426D-861E-72DB16889396}"/>
</file>

<file path=customXml/itemProps3.xml><?xml version="1.0" encoding="utf-8"?>
<ds:datastoreItem xmlns:ds="http://schemas.openxmlformats.org/officeDocument/2006/customXml" ds:itemID="{421D77EB-087A-4F38-9F5C-4B130D74B2DF}"/>
</file>

<file path=customXml/itemProps4.xml><?xml version="1.0" encoding="utf-8"?>
<ds:datastoreItem xmlns:ds="http://schemas.openxmlformats.org/officeDocument/2006/customXml" ds:itemID="{3B2E6159-83D8-40A0-A18B-0B4BBE8B746C}"/>
</file>

<file path=docProps/app.xml><?xml version="1.0" encoding="utf-8"?>
<Properties xmlns="http://schemas.openxmlformats.org/officeDocument/2006/extended-properties" xmlns:vt="http://schemas.openxmlformats.org/officeDocument/2006/docPropsVTypes">
  <Template>normal</Template>
  <TotalTime>0</TotalTime>
  <Pages>23</Pages>
  <Words>9833</Words>
  <Characters>53810</Characters>
  <Application>Microsoft Office Word</Application>
  <DocSecurity>0</DocSecurity>
  <Lines>448</Lines>
  <Paragraphs>127</Paragraphs>
  <ScaleCrop>false</ScaleCrop>
  <HeadingPairs>
    <vt:vector size="2" baseType="variant">
      <vt:variant>
        <vt:lpstr>Title</vt:lpstr>
      </vt:variant>
      <vt:variant>
        <vt:i4>1</vt:i4>
      </vt:variant>
    </vt:vector>
  </HeadingPairs>
  <TitlesOfParts>
    <vt:vector size="1" baseType="lpstr">
      <vt:lpstr>Project Proposal: Peru</vt:lpstr>
    </vt:vector>
  </TitlesOfParts>
  <Company/>
  <LinksUpToDate>false</LinksUpToDate>
  <CharactersWithSpaces>63516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Peru</dc:title>
  <dc:creator>Alejandro Ramirez Pabon</dc:creator>
  <cp:lastModifiedBy>Alejandro Ramirez Pabon</cp:lastModifiedBy>
  <cp:revision>2</cp:revision>
  <cp:lastPrinted>2017-10-17T23:46:00Z</cp:lastPrinted>
  <dcterms:created xsi:type="dcterms:W3CDTF">2017-10-17T23:46:00Z</dcterms:created>
  <dcterms:modified xsi:type="dcterms:W3CDTF">2017-10-17T23:46:00Z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UNEP/OzL.Pro/ExCom/80/47</vt:lpwstr>
  </property>
  <property fmtid="{D5CDD505-2E9C-101B-9397-08002B2CF9AE}" pid="3" name="Revision date">
    <vt:lpwstr>16/10/2017</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