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emf" ContentType="image/x-emf"/>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013AA6" w:rsidTr="00647D2A">
        <w:trPr>
          <w:trHeight w:val="720"/>
        </w:trPr>
        <w:tc>
          <w:tcPr>
            <w:tcW w:w="5490" w:type="dxa"/>
            <w:gridSpan w:val="2"/>
            <w:tcBorders>
              <w:bottom w:val="single" w:sz="18" w:space="0" w:color="auto"/>
            </w:tcBorders>
          </w:tcPr>
          <w:p w:rsidR="00C15867" w:rsidRPr="00013AA6" w:rsidRDefault="00C15867" w:rsidP="00647D2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13AA6">
              <w:rPr>
                <w:rFonts w:ascii="Univers" w:hAnsi="Univers"/>
                <w:b/>
                <w:sz w:val="28"/>
                <w:szCs w:val="28"/>
              </w:rPr>
              <w:t>UNITED</w:t>
            </w:r>
            <w:r w:rsidRPr="00013AA6">
              <w:rPr>
                <w:rFonts w:ascii="Univers" w:hAnsi="Univers"/>
                <w:b/>
                <w:sz w:val="28"/>
                <w:szCs w:val="28"/>
              </w:rPr>
              <w:br/>
              <w:t>NATIONS</w:t>
            </w:r>
          </w:p>
        </w:tc>
        <w:tc>
          <w:tcPr>
            <w:tcW w:w="4590" w:type="dxa"/>
            <w:tcBorders>
              <w:bottom w:val="single" w:sz="18" w:space="0" w:color="auto"/>
            </w:tcBorders>
          </w:tcPr>
          <w:p w:rsidR="00C15867" w:rsidRPr="00013AA6" w:rsidRDefault="00C15867" w:rsidP="00647D2A">
            <w:pPr>
              <w:jc w:val="right"/>
              <w:rPr>
                <w:sz w:val="52"/>
                <w:szCs w:val="52"/>
              </w:rPr>
            </w:pPr>
            <w:r w:rsidRPr="00013AA6">
              <w:rPr>
                <w:rFonts w:ascii="Univers Bold" w:hAnsi="Univers Bold"/>
                <w:b/>
                <w:sz w:val="72"/>
              </w:rPr>
              <w:t>EP</w:t>
            </w:r>
          </w:p>
        </w:tc>
      </w:tr>
      <w:tr w:rsidR="00C15867" w:rsidRPr="00013AA6" w:rsidTr="00647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013AA6" w:rsidRDefault="00C15867" w:rsidP="00647D2A">
            <w:pPr>
              <w:spacing w:before="120"/>
            </w:pPr>
            <w:r w:rsidRPr="00013AA6">
              <w:rPr>
                <w:noProof/>
                <w:lang w:val="en-CA" w:eastAsia="zh-CN"/>
              </w:rPr>
              <w:drawing>
                <wp:anchor distT="0" distB="0" distL="114300" distR="114300" simplePos="0" relativeHeight="251660288" behindDoc="0" locked="0" layoutInCell="1" allowOverlap="1">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013AA6">
              <w:rPr>
                <w:noProof/>
                <w:lang w:val="en-CA" w:eastAsia="zh-CN"/>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013AA6" w:rsidRDefault="00C15867" w:rsidP="00647D2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013AA6">
              <w:rPr>
                <w:rFonts w:ascii="Univers" w:hAnsi="Univers"/>
                <w:b/>
                <w:sz w:val="32"/>
              </w:rPr>
              <w:t>United Nations</w:t>
            </w:r>
          </w:p>
          <w:p w:rsidR="00C15867" w:rsidRPr="00013AA6" w:rsidRDefault="00C15867" w:rsidP="00647D2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013AA6">
              <w:rPr>
                <w:rFonts w:ascii="Univers" w:hAnsi="Univers"/>
                <w:b/>
                <w:sz w:val="32"/>
              </w:rPr>
              <w:t>Environment</w:t>
            </w:r>
          </w:p>
          <w:p w:rsidR="00C15867" w:rsidRPr="00013AA6" w:rsidRDefault="00C15867" w:rsidP="00647D2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013AA6">
              <w:rPr>
                <w:rFonts w:ascii="Univers" w:hAnsi="Univers"/>
                <w:b/>
                <w:sz w:val="32"/>
              </w:rPr>
              <w:t>Programme</w:t>
            </w:r>
          </w:p>
          <w:p w:rsidR="00C15867" w:rsidRPr="00013AA6" w:rsidRDefault="00C15867" w:rsidP="00647D2A">
            <w:pPr>
              <w:spacing w:before="720"/>
              <w:ind w:left="158"/>
            </w:pPr>
          </w:p>
        </w:tc>
        <w:tc>
          <w:tcPr>
            <w:tcW w:w="4590" w:type="dxa"/>
            <w:tcBorders>
              <w:top w:val="nil"/>
              <w:left w:val="nil"/>
              <w:bottom w:val="single" w:sz="36" w:space="0" w:color="auto"/>
              <w:right w:val="nil"/>
            </w:tcBorders>
          </w:tcPr>
          <w:p w:rsidR="00C15867" w:rsidRPr="00013AA6" w:rsidRDefault="00C15867" w:rsidP="00647D2A">
            <w:r w:rsidRPr="00013AA6">
              <w:t>Distr.</w:t>
            </w:r>
          </w:p>
          <w:p w:rsidR="00923540" w:rsidRPr="00013AA6" w:rsidRDefault="00923540" w:rsidP="00923540">
            <w:r w:rsidRPr="00013AA6">
              <w:t>GENERAL</w:t>
            </w:r>
          </w:p>
          <w:p w:rsidR="00C15867" w:rsidRPr="00013AA6" w:rsidRDefault="00C15867" w:rsidP="00647D2A"/>
          <w:p w:rsidR="00C15867" w:rsidRPr="00013AA6" w:rsidRDefault="00C15867" w:rsidP="00647D2A"/>
          <w:p w:rsidR="00C15867" w:rsidRPr="00013AA6" w:rsidRDefault="00015809" w:rsidP="00647D2A">
            <w:r>
              <w:fldChar w:fldCharType="begin"/>
            </w:r>
            <w:r>
              <w:instrText xml:space="preserve"> DOCPROPERTY "Document number"  \* MERGEFORMAT </w:instrText>
            </w:r>
            <w:r>
              <w:fldChar w:fldCharType="separate"/>
            </w:r>
            <w:r w:rsidR="00C23FE6">
              <w:t>UNEP/OzL.Pro/</w:t>
            </w:r>
            <w:proofErr w:type="spellStart"/>
            <w:r w:rsidR="00C23FE6">
              <w:t>ExCom</w:t>
            </w:r>
            <w:proofErr w:type="spellEnd"/>
            <w:r w:rsidR="00C23FE6">
              <w:t>/80/21</w:t>
            </w:r>
            <w:r>
              <w:fldChar w:fldCharType="end"/>
            </w:r>
          </w:p>
          <w:p w:rsidR="00C15867" w:rsidRPr="00013AA6" w:rsidRDefault="00BC2495" w:rsidP="00647D2A">
            <w:r w:rsidRPr="00013AA6">
              <w:fldChar w:fldCharType="begin"/>
            </w:r>
            <w:r w:rsidR="00851352" w:rsidRPr="00013AA6">
              <w:instrText xml:space="preserve"> DOCPROPERTY "Revision date" \@ "d MMMM YYYY"  \* MERGEFORMAT </w:instrText>
            </w:r>
            <w:r w:rsidRPr="00013AA6">
              <w:fldChar w:fldCharType="separate"/>
            </w:r>
            <w:r w:rsidR="00C23FE6">
              <w:t>10 October 2017</w:t>
            </w:r>
            <w:r w:rsidRPr="00013AA6">
              <w:fldChar w:fldCharType="end"/>
            </w:r>
          </w:p>
          <w:p w:rsidR="00C15867" w:rsidRPr="00013AA6" w:rsidRDefault="00C15867" w:rsidP="00647D2A">
            <w:pPr>
              <w:rPr>
                <w:caps/>
              </w:rPr>
            </w:pPr>
          </w:p>
          <w:p w:rsidR="00C15867" w:rsidRPr="00013AA6" w:rsidRDefault="00C15867" w:rsidP="00647D2A">
            <w:r w:rsidRPr="00013AA6">
              <w:t>ORIGINAL: ENGLISH</w:t>
            </w:r>
          </w:p>
        </w:tc>
      </w:tr>
    </w:tbl>
    <w:p w:rsidR="00BF3022" w:rsidRPr="00013AA6" w:rsidRDefault="00C15867" w:rsidP="00BF3022">
      <w:pPr>
        <w:jc w:val="left"/>
      </w:pPr>
      <w:r w:rsidRPr="00013AA6">
        <w:t>EXECUTIVE COMMITTEE OF</w:t>
      </w:r>
      <w:r w:rsidRPr="00013AA6">
        <w:br/>
        <w:t xml:space="preserve">  THE MULTILATERAL FUND FOR THE</w:t>
      </w:r>
      <w:r w:rsidRPr="00013AA6">
        <w:br/>
        <w:t xml:space="preserve">  IMPLEMENTATION OF THE MONTREAL PROTOCOL</w:t>
      </w:r>
      <w:r w:rsidRPr="00013AA6">
        <w:br/>
      </w:r>
      <w:r w:rsidR="003B33BD" w:rsidRPr="00013AA6">
        <w:rPr>
          <w:lang w:val="en-CA"/>
        </w:rPr>
        <w:t>Eightieth</w:t>
      </w:r>
      <w:r w:rsidR="00831979" w:rsidRPr="00013AA6">
        <w:rPr>
          <w:lang w:val="en-CA"/>
        </w:rPr>
        <w:t xml:space="preserve"> </w:t>
      </w:r>
      <w:r w:rsidR="00BF3022" w:rsidRPr="00013AA6">
        <w:t>Meeting</w:t>
      </w:r>
    </w:p>
    <w:p w:rsidR="009960E5" w:rsidRPr="00013AA6" w:rsidRDefault="003B33BD" w:rsidP="00BF3022">
      <w:pPr>
        <w:jc w:val="left"/>
        <w:rPr>
          <w:lang w:val="en-CA"/>
        </w:rPr>
      </w:pPr>
      <w:r w:rsidRPr="00013AA6">
        <w:rPr>
          <w:lang w:val="en-CA"/>
        </w:rPr>
        <w:t>Montreal</w:t>
      </w:r>
      <w:r w:rsidR="00BF3022" w:rsidRPr="00013AA6">
        <w:rPr>
          <w:lang w:val="en-CA"/>
        </w:rPr>
        <w:t xml:space="preserve">, </w:t>
      </w:r>
      <w:r w:rsidRPr="00013AA6">
        <w:t>13</w:t>
      </w:r>
      <w:r w:rsidR="009154C3" w:rsidRPr="00013AA6">
        <w:t>-</w:t>
      </w:r>
      <w:r w:rsidRPr="00013AA6">
        <w:t>17 November 2017</w:t>
      </w:r>
    </w:p>
    <w:p w:rsidR="00C15867" w:rsidRPr="00013AA6" w:rsidRDefault="00C15867" w:rsidP="009960E5">
      <w:pPr>
        <w:jc w:val="left"/>
        <w:rPr>
          <w:lang w:val="en-US"/>
        </w:rPr>
      </w:pPr>
    </w:p>
    <w:p w:rsidR="004E7F9C" w:rsidRDefault="004E7F9C" w:rsidP="004E7F9C">
      <w:pPr>
        <w:pStyle w:val="Title1"/>
      </w:pPr>
    </w:p>
    <w:p w:rsidR="00015809" w:rsidRPr="00013AA6" w:rsidRDefault="00015809" w:rsidP="004E7F9C">
      <w:pPr>
        <w:pStyle w:val="Title1"/>
      </w:pPr>
    </w:p>
    <w:p w:rsidR="00E06711" w:rsidRPr="00013AA6" w:rsidRDefault="00E06711" w:rsidP="00015809">
      <w:pPr>
        <w:pStyle w:val="Title2"/>
      </w:pPr>
      <w:r w:rsidRPr="00013AA6">
        <w:t xml:space="preserve">THE WORLD BANK Business </w:t>
      </w:r>
      <w:smartTag w:uri="urn:schemas-microsoft-com:office:smarttags" w:element="stockticker">
        <w:r w:rsidRPr="00013AA6">
          <w:t>plan</w:t>
        </w:r>
      </w:smartTag>
      <w:r w:rsidRPr="00013AA6">
        <w:t xml:space="preserve"> for 2018-2020</w:t>
      </w:r>
    </w:p>
    <w:p w:rsidR="00E06711" w:rsidRPr="00013AA6" w:rsidRDefault="00E06711" w:rsidP="00015809">
      <w:pPr>
        <w:pStyle w:val="Heading1"/>
        <w:numPr>
          <w:ilvl w:val="0"/>
          <w:numId w:val="0"/>
        </w:numPr>
        <w:spacing w:after="0"/>
      </w:pPr>
    </w:p>
    <w:p w:rsidR="00E06711" w:rsidRPr="00013AA6" w:rsidRDefault="00E06711" w:rsidP="00015809">
      <w:pPr>
        <w:pStyle w:val="Heading1"/>
      </w:pPr>
      <w:r w:rsidRPr="00013AA6">
        <w:t>This document presents the World Bank business plan for 201</w:t>
      </w:r>
      <w:r w:rsidR="006145F9" w:rsidRPr="00013AA6">
        <w:t>8</w:t>
      </w:r>
      <w:r w:rsidRPr="00013AA6">
        <w:t>-20</w:t>
      </w:r>
      <w:r w:rsidR="006145F9" w:rsidRPr="00013AA6">
        <w:t>20</w:t>
      </w:r>
      <w:r w:rsidRPr="00013AA6">
        <w:rPr>
          <w:rStyle w:val="FootnoteReference"/>
        </w:rPr>
        <w:footnoteReference w:id="1"/>
      </w:r>
      <w:r w:rsidRPr="00013AA6">
        <w:t xml:space="preserve"> and includes: the planned activities for the phase-out of ozone-depleting substances (ODS) during the 201</w:t>
      </w:r>
      <w:r w:rsidR="006145F9" w:rsidRPr="00013AA6">
        <w:t>8</w:t>
      </w:r>
      <w:r w:rsidRPr="00013AA6">
        <w:t>-20</w:t>
      </w:r>
      <w:r w:rsidR="006145F9" w:rsidRPr="00013AA6">
        <w:t>20</w:t>
      </w:r>
      <w:r w:rsidRPr="00013AA6">
        <w:t xml:space="preserve"> period; the business plan performance indicators; and recommendations for consideration by the Executive Committee. </w:t>
      </w:r>
      <w:r w:rsidRPr="00013AA6">
        <w:rPr>
          <w:lang w:val="en-CA"/>
        </w:rPr>
        <w:t>The narrative of the World Bank’s business plan for 201</w:t>
      </w:r>
      <w:r w:rsidR="006145F9" w:rsidRPr="00013AA6">
        <w:rPr>
          <w:lang w:val="en-CA"/>
        </w:rPr>
        <w:t>8</w:t>
      </w:r>
      <w:r w:rsidRPr="00013AA6">
        <w:rPr>
          <w:lang w:val="en-CA"/>
        </w:rPr>
        <w:t>-20</w:t>
      </w:r>
      <w:r w:rsidR="006145F9" w:rsidRPr="00013AA6">
        <w:rPr>
          <w:lang w:val="en-CA"/>
        </w:rPr>
        <w:t>20</w:t>
      </w:r>
      <w:r w:rsidRPr="00013AA6">
        <w:rPr>
          <w:lang w:val="en-CA"/>
        </w:rPr>
        <w:t xml:space="preserve"> is attached to the present document</w:t>
      </w:r>
      <w:r w:rsidRPr="00013AA6">
        <w:t xml:space="preserve">. </w:t>
      </w:r>
    </w:p>
    <w:p w:rsidR="00E06711" w:rsidRPr="00013AA6" w:rsidRDefault="00EF2EA5" w:rsidP="00015809">
      <w:pPr>
        <w:rPr>
          <w:b/>
        </w:rPr>
      </w:pPr>
      <w:r>
        <w:rPr>
          <w:b/>
        </w:rPr>
        <w:t>Planned activities during 2018-2020</w:t>
      </w:r>
    </w:p>
    <w:p w:rsidR="00E06711" w:rsidRPr="00013AA6" w:rsidRDefault="00E06711" w:rsidP="00015809"/>
    <w:p w:rsidR="00E06711" w:rsidRPr="00013AA6" w:rsidRDefault="00E06711" w:rsidP="00015809">
      <w:pPr>
        <w:pStyle w:val="Heading1"/>
      </w:pPr>
      <w:r w:rsidRPr="00013AA6">
        <w:t>Table 1 sets out, by year, the value of activities included in the World Bank’s business plan.</w:t>
      </w:r>
    </w:p>
    <w:p w:rsidR="00E06711" w:rsidRPr="00013AA6" w:rsidRDefault="00E06711" w:rsidP="00015809">
      <w:pPr>
        <w:pStyle w:val="subhead"/>
        <w:keepNext/>
        <w:jc w:val="both"/>
        <w:rPr>
          <w:b/>
          <w:sz w:val="22"/>
          <w:szCs w:val="22"/>
          <w:lang w:val="en-CA"/>
        </w:rPr>
      </w:pPr>
      <w:r w:rsidRPr="00013AA6">
        <w:rPr>
          <w:b/>
          <w:sz w:val="22"/>
          <w:szCs w:val="22"/>
          <w:lang w:val="en-CA"/>
        </w:rPr>
        <w:t>Table 1: Resource allocation in the World Bank business plan for 201</w:t>
      </w:r>
      <w:r w:rsidR="00B611CB" w:rsidRPr="00013AA6">
        <w:rPr>
          <w:b/>
          <w:sz w:val="22"/>
          <w:szCs w:val="22"/>
          <w:lang w:val="en-CA"/>
        </w:rPr>
        <w:t>8</w:t>
      </w:r>
      <w:r w:rsidRPr="00013AA6">
        <w:rPr>
          <w:b/>
          <w:sz w:val="22"/>
          <w:szCs w:val="22"/>
          <w:lang w:val="en-CA"/>
        </w:rPr>
        <w:t>-20</w:t>
      </w:r>
      <w:r w:rsidR="00B611CB" w:rsidRPr="00013AA6">
        <w:rPr>
          <w:b/>
          <w:sz w:val="22"/>
          <w:szCs w:val="22"/>
          <w:lang w:val="en-CA"/>
        </w:rPr>
        <w:t>20</w:t>
      </w:r>
      <w:r w:rsidRPr="00013AA6">
        <w:rPr>
          <w:b/>
          <w:sz w:val="22"/>
          <w:szCs w:val="22"/>
          <w:lang w:val="en-CA"/>
        </w:rPr>
        <w:t xml:space="preserve"> as submitted (US $000s)*</w:t>
      </w:r>
    </w:p>
    <w:tbl>
      <w:tblPr>
        <w:tblW w:w="9493" w:type="dxa"/>
        <w:tblLayout w:type="fixed"/>
        <w:tblLook w:val="04A0" w:firstRow="1" w:lastRow="0" w:firstColumn="1" w:lastColumn="0" w:noHBand="0" w:noVBand="1"/>
      </w:tblPr>
      <w:tblGrid>
        <w:gridCol w:w="3397"/>
        <w:gridCol w:w="1219"/>
        <w:gridCol w:w="1219"/>
        <w:gridCol w:w="1219"/>
        <w:gridCol w:w="1219"/>
        <w:gridCol w:w="1220"/>
      </w:tblGrid>
      <w:tr w:rsidR="00B611CB" w:rsidRPr="00013AA6" w:rsidTr="00173F1E">
        <w:trPr>
          <w:trHeight w:val="255"/>
          <w:tblHeader/>
        </w:trPr>
        <w:tc>
          <w:tcPr>
            <w:tcW w:w="3397" w:type="dxa"/>
            <w:tcBorders>
              <w:top w:val="single" w:sz="4" w:space="0" w:color="auto"/>
              <w:left w:val="single" w:sz="4" w:space="0" w:color="auto"/>
              <w:bottom w:val="single" w:sz="4" w:space="0" w:color="auto"/>
              <w:right w:val="single" w:sz="4" w:space="0" w:color="auto"/>
            </w:tcBorders>
            <w:shd w:val="clear" w:color="auto" w:fill="auto"/>
            <w:noWrap/>
            <w:hideMark/>
          </w:tcPr>
          <w:p w:rsidR="00B611CB" w:rsidRPr="00013AA6" w:rsidRDefault="00B611CB" w:rsidP="00015809">
            <w:pPr>
              <w:jc w:val="left"/>
              <w:rPr>
                <w:b/>
                <w:bCs/>
                <w:sz w:val="20"/>
                <w:szCs w:val="20"/>
                <w:lang w:val="en-CA" w:eastAsia="en-CA"/>
              </w:rPr>
            </w:pPr>
            <w:r w:rsidRPr="00013AA6">
              <w:rPr>
                <w:b/>
                <w:bCs/>
                <w:sz w:val="20"/>
                <w:szCs w:val="20"/>
                <w:lang w:val="en-CA" w:eastAsia="en-CA"/>
              </w:rPr>
              <w:t> </w:t>
            </w:r>
          </w:p>
        </w:tc>
        <w:tc>
          <w:tcPr>
            <w:tcW w:w="1219" w:type="dxa"/>
            <w:tcBorders>
              <w:top w:val="single" w:sz="4" w:space="0" w:color="auto"/>
              <w:left w:val="nil"/>
              <w:bottom w:val="single" w:sz="4" w:space="0" w:color="auto"/>
              <w:right w:val="single" w:sz="4" w:space="0" w:color="auto"/>
            </w:tcBorders>
            <w:shd w:val="clear" w:color="auto" w:fill="auto"/>
            <w:hideMark/>
          </w:tcPr>
          <w:p w:rsidR="00B611CB" w:rsidRPr="00013AA6" w:rsidRDefault="00B611CB" w:rsidP="00015809">
            <w:pPr>
              <w:jc w:val="center"/>
              <w:rPr>
                <w:b/>
                <w:bCs/>
                <w:sz w:val="20"/>
                <w:szCs w:val="20"/>
                <w:lang w:val="en-CA" w:eastAsia="en-CA"/>
              </w:rPr>
            </w:pPr>
            <w:r w:rsidRPr="00013AA6">
              <w:rPr>
                <w:b/>
                <w:bCs/>
                <w:sz w:val="20"/>
                <w:szCs w:val="20"/>
                <w:lang w:val="en-CA" w:eastAsia="en-CA"/>
              </w:rPr>
              <w:t>2018</w:t>
            </w:r>
          </w:p>
        </w:tc>
        <w:tc>
          <w:tcPr>
            <w:tcW w:w="1219" w:type="dxa"/>
            <w:tcBorders>
              <w:top w:val="single" w:sz="4" w:space="0" w:color="auto"/>
              <w:left w:val="nil"/>
              <w:bottom w:val="single" w:sz="4" w:space="0" w:color="auto"/>
              <w:right w:val="single" w:sz="4" w:space="0" w:color="auto"/>
            </w:tcBorders>
            <w:shd w:val="clear" w:color="auto" w:fill="auto"/>
            <w:hideMark/>
          </w:tcPr>
          <w:p w:rsidR="00B611CB" w:rsidRPr="00013AA6" w:rsidRDefault="00B611CB" w:rsidP="00015809">
            <w:pPr>
              <w:jc w:val="center"/>
              <w:rPr>
                <w:b/>
                <w:bCs/>
                <w:sz w:val="20"/>
                <w:szCs w:val="20"/>
                <w:lang w:val="en-CA" w:eastAsia="en-CA"/>
              </w:rPr>
            </w:pPr>
            <w:r w:rsidRPr="00013AA6">
              <w:rPr>
                <w:b/>
                <w:bCs/>
                <w:sz w:val="20"/>
                <w:szCs w:val="20"/>
                <w:lang w:val="en-CA" w:eastAsia="en-CA"/>
              </w:rPr>
              <w:t>2019</w:t>
            </w:r>
          </w:p>
        </w:tc>
        <w:tc>
          <w:tcPr>
            <w:tcW w:w="1219" w:type="dxa"/>
            <w:tcBorders>
              <w:top w:val="single" w:sz="4" w:space="0" w:color="auto"/>
              <w:left w:val="nil"/>
              <w:bottom w:val="single" w:sz="4" w:space="0" w:color="auto"/>
              <w:right w:val="single" w:sz="4" w:space="0" w:color="auto"/>
            </w:tcBorders>
            <w:shd w:val="clear" w:color="auto" w:fill="auto"/>
            <w:hideMark/>
          </w:tcPr>
          <w:p w:rsidR="00B611CB" w:rsidRPr="00013AA6" w:rsidRDefault="00B611CB" w:rsidP="00015809">
            <w:pPr>
              <w:jc w:val="center"/>
              <w:rPr>
                <w:b/>
                <w:bCs/>
                <w:sz w:val="20"/>
                <w:szCs w:val="20"/>
                <w:lang w:val="en-CA" w:eastAsia="en-CA"/>
              </w:rPr>
            </w:pPr>
            <w:r w:rsidRPr="00013AA6">
              <w:rPr>
                <w:b/>
                <w:bCs/>
                <w:sz w:val="20"/>
                <w:szCs w:val="20"/>
                <w:lang w:val="en-CA" w:eastAsia="en-CA"/>
              </w:rPr>
              <w:t>2020</w:t>
            </w:r>
          </w:p>
        </w:tc>
        <w:tc>
          <w:tcPr>
            <w:tcW w:w="1219" w:type="dxa"/>
            <w:tcBorders>
              <w:top w:val="single" w:sz="4" w:space="0" w:color="auto"/>
              <w:left w:val="nil"/>
              <w:bottom w:val="single" w:sz="4" w:space="0" w:color="auto"/>
              <w:right w:val="single" w:sz="4" w:space="0" w:color="auto"/>
            </w:tcBorders>
            <w:shd w:val="clear" w:color="auto" w:fill="auto"/>
            <w:hideMark/>
          </w:tcPr>
          <w:p w:rsidR="00B611CB" w:rsidRPr="00013AA6" w:rsidRDefault="00B611CB" w:rsidP="00015809">
            <w:pPr>
              <w:jc w:val="center"/>
              <w:rPr>
                <w:b/>
                <w:bCs/>
                <w:sz w:val="20"/>
                <w:szCs w:val="20"/>
                <w:lang w:val="en-CA" w:eastAsia="en-CA"/>
              </w:rPr>
            </w:pPr>
            <w:r w:rsidRPr="00013AA6">
              <w:rPr>
                <w:b/>
                <w:bCs/>
                <w:sz w:val="20"/>
                <w:szCs w:val="20"/>
                <w:lang w:val="en-CA" w:eastAsia="en-CA"/>
              </w:rPr>
              <w:t xml:space="preserve">Total </w:t>
            </w:r>
          </w:p>
          <w:p w:rsidR="00B611CB" w:rsidRPr="00013AA6" w:rsidRDefault="00B611CB" w:rsidP="00015809">
            <w:pPr>
              <w:jc w:val="center"/>
              <w:rPr>
                <w:b/>
                <w:bCs/>
                <w:sz w:val="20"/>
                <w:szCs w:val="20"/>
                <w:lang w:val="en-CA" w:eastAsia="en-CA"/>
              </w:rPr>
            </w:pPr>
            <w:r w:rsidRPr="00013AA6">
              <w:rPr>
                <w:b/>
                <w:bCs/>
                <w:sz w:val="20"/>
                <w:szCs w:val="20"/>
                <w:lang w:val="en-CA" w:eastAsia="en-CA"/>
              </w:rPr>
              <w:t>(2018-2020)</w:t>
            </w:r>
          </w:p>
        </w:tc>
        <w:tc>
          <w:tcPr>
            <w:tcW w:w="1220" w:type="dxa"/>
            <w:tcBorders>
              <w:top w:val="single" w:sz="4" w:space="0" w:color="auto"/>
              <w:left w:val="nil"/>
              <w:bottom w:val="single" w:sz="4" w:space="0" w:color="auto"/>
              <w:right w:val="single" w:sz="4" w:space="0" w:color="auto"/>
            </w:tcBorders>
            <w:shd w:val="clear" w:color="auto" w:fill="auto"/>
            <w:hideMark/>
          </w:tcPr>
          <w:p w:rsidR="00B611CB" w:rsidRPr="00013AA6" w:rsidRDefault="00B611CB" w:rsidP="00015809">
            <w:pPr>
              <w:jc w:val="center"/>
              <w:rPr>
                <w:b/>
                <w:bCs/>
                <w:sz w:val="20"/>
                <w:szCs w:val="20"/>
                <w:lang w:val="en-CA" w:eastAsia="en-CA"/>
              </w:rPr>
            </w:pPr>
            <w:r w:rsidRPr="00013AA6">
              <w:rPr>
                <w:b/>
                <w:bCs/>
                <w:sz w:val="20"/>
                <w:szCs w:val="20"/>
                <w:lang w:val="en-CA" w:eastAsia="en-CA"/>
              </w:rPr>
              <w:t>Total after 2020</w:t>
            </w:r>
          </w:p>
        </w:tc>
      </w:tr>
      <w:tr w:rsidR="00013AA6" w:rsidRPr="00013AA6" w:rsidTr="00173F1E">
        <w:trPr>
          <w:trHeight w:val="255"/>
        </w:trPr>
        <w:tc>
          <w:tcPr>
            <w:tcW w:w="9493" w:type="dxa"/>
            <w:gridSpan w:val="6"/>
            <w:tcBorders>
              <w:top w:val="nil"/>
              <w:left w:val="single" w:sz="4" w:space="0" w:color="auto"/>
              <w:bottom w:val="single" w:sz="4" w:space="0" w:color="auto"/>
              <w:right w:val="single" w:sz="4" w:space="0" w:color="auto"/>
            </w:tcBorders>
            <w:shd w:val="clear" w:color="auto" w:fill="auto"/>
            <w:noWrap/>
            <w:hideMark/>
          </w:tcPr>
          <w:p w:rsidR="00013AA6" w:rsidRPr="00013AA6" w:rsidRDefault="00013AA6" w:rsidP="00015809">
            <w:pPr>
              <w:jc w:val="left"/>
              <w:rPr>
                <w:b/>
                <w:bCs/>
                <w:sz w:val="20"/>
                <w:szCs w:val="20"/>
                <w:lang w:val="en-CA" w:eastAsia="en-CA"/>
              </w:rPr>
            </w:pPr>
            <w:r w:rsidRPr="00013AA6">
              <w:rPr>
                <w:b/>
                <w:bCs/>
                <w:sz w:val="20"/>
                <w:szCs w:val="20"/>
                <w:lang w:val="en-CA" w:eastAsia="en-CA"/>
              </w:rPr>
              <w:t>Required for compliance</w:t>
            </w:r>
          </w:p>
        </w:tc>
      </w:tr>
      <w:tr w:rsidR="00B611CB" w:rsidRPr="00013AA6" w:rsidTr="00173F1E">
        <w:trPr>
          <w:trHeight w:val="255"/>
        </w:trPr>
        <w:tc>
          <w:tcPr>
            <w:tcW w:w="3397" w:type="dxa"/>
            <w:tcBorders>
              <w:top w:val="nil"/>
              <w:left w:val="single" w:sz="4" w:space="0" w:color="auto"/>
              <w:bottom w:val="single" w:sz="4" w:space="0" w:color="auto"/>
              <w:right w:val="single" w:sz="4" w:space="0" w:color="auto"/>
            </w:tcBorders>
            <w:shd w:val="clear" w:color="auto" w:fill="auto"/>
            <w:noWrap/>
            <w:hideMark/>
          </w:tcPr>
          <w:p w:rsidR="00B611CB" w:rsidRPr="00013AA6" w:rsidRDefault="00B611CB" w:rsidP="00015809">
            <w:pPr>
              <w:jc w:val="left"/>
              <w:rPr>
                <w:sz w:val="20"/>
                <w:szCs w:val="20"/>
                <w:lang w:val="en-CA" w:eastAsia="en-CA"/>
              </w:rPr>
            </w:pPr>
            <w:r w:rsidRPr="00013AA6">
              <w:rPr>
                <w:sz w:val="20"/>
                <w:szCs w:val="20"/>
                <w:lang w:val="en-CA" w:eastAsia="en-CA"/>
              </w:rPr>
              <w:t>Approved HCFC phase-out management plans (HPMPs)</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29,572</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24,662</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16,659</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70,894</w:t>
            </w:r>
          </w:p>
        </w:tc>
        <w:tc>
          <w:tcPr>
            <w:tcW w:w="1220"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88,948</w:t>
            </w:r>
          </w:p>
        </w:tc>
      </w:tr>
      <w:tr w:rsidR="00B611CB" w:rsidRPr="00013AA6" w:rsidTr="00173F1E">
        <w:trPr>
          <w:trHeight w:val="255"/>
        </w:trPr>
        <w:tc>
          <w:tcPr>
            <w:tcW w:w="3397" w:type="dxa"/>
            <w:tcBorders>
              <w:top w:val="nil"/>
              <w:left w:val="single" w:sz="4" w:space="0" w:color="auto"/>
              <w:bottom w:val="single" w:sz="4" w:space="0" w:color="auto"/>
              <w:right w:val="single" w:sz="4" w:space="0" w:color="auto"/>
            </w:tcBorders>
            <w:shd w:val="clear" w:color="auto" w:fill="auto"/>
            <w:noWrap/>
            <w:hideMark/>
          </w:tcPr>
          <w:p w:rsidR="00B611CB" w:rsidRPr="00013AA6" w:rsidRDefault="00B611CB" w:rsidP="00015809">
            <w:pPr>
              <w:jc w:val="left"/>
              <w:rPr>
                <w:sz w:val="20"/>
                <w:szCs w:val="20"/>
                <w:lang w:val="en-CA" w:eastAsia="en-CA"/>
              </w:rPr>
            </w:pPr>
            <w:r w:rsidRPr="00013AA6">
              <w:rPr>
                <w:sz w:val="20"/>
                <w:szCs w:val="20"/>
                <w:lang w:val="en-CA" w:eastAsia="en-CA"/>
              </w:rPr>
              <w:t>HCFC production - stage II</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54,346</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54,346</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24,046</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132,738</w:t>
            </w:r>
          </w:p>
        </w:tc>
        <w:tc>
          <w:tcPr>
            <w:tcW w:w="1220"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96,184</w:t>
            </w:r>
          </w:p>
        </w:tc>
      </w:tr>
      <w:tr w:rsidR="00B611CB" w:rsidRPr="00013AA6" w:rsidTr="00173F1E">
        <w:trPr>
          <w:trHeight w:val="255"/>
        </w:trPr>
        <w:tc>
          <w:tcPr>
            <w:tcW w:w="3397" w:type="dxa"/>
            <w:tcBorders>
              <w:top w:val="nil"/>
              <w:left w:val="single" w:sz="4" w:space="0" w:color="auto"/>
              <w:bottom w:val="single" w:sz="4" w:space="0" w:color="auto"/>
              <w:right w:val="single" w:sz="4" w:space="0" w:color="auto"/>
            </w:tcBorders>
            <w:shd w:val="clear" w:color="auto" w:fill="auto"/>
            <w:noWrap/>
            <w:hideMark/>
          </w:tcPr>
          <w:p w:rsidR="00B611CB" w:rsidRPr="00013AA6" w:rsidRDefault="00B611CB" w:rsidP="00015809">
            <w:pPr>
              <w:jc w:val="left"/>
              <w:rPr>
                <w:sz w:val="20"/>
                <w:szCs w:val="20"/>
                <w:lang w:val="en-CA" w:eastAsia="en-CA"/>
              </w:rPr>
            </w:pPr>
            <w:r w:rsidRPr="00013AA6">
              <w:rPr>
                <w:sz w:val="20"/>
                <w:szCs w:val="20"/>
                <w:lang w:val="en-CA" w:eastAsia="en-CA"/>
              </w:rPr>
              <w:t>HPMP stage II</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5,226</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7,078</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5,596</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17,900</w:t>
            </w:r>
          </w:p>
        </w:tc>
        <w:tc>
          <w:tcPr>
            <w:tcW w:w="1220"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1,742</w:t>
            </w:r>
          </w:p>
        </w:tc>
      </w:tr>
      <w:tr w:rsidR="00B611CB" w:rsidRPr="00013AA6" w:rsidTr="00173F1E">
        <w:trPr>
          <w:trHeight w:val="255"/>
        </w:trPr>
        <w:tc>
          <w:tcPr>
            <w:tcW w:w="3397" w:type="dxa"/>
            <w:tcBorders>
              <w:top w:val="nil"/>
              <w:left w:val="single" w:sz="4" w:space="0" w:color="auto"/>
              <w:bottom w:val="single" w:sz="4" w:space="0" w:color="auto"/>
              <w:right w:val="single" w:sz="4" w:space="0" w:color="auto"/>
            </w:tcBorders>
            <w:shd w:val="clear" w:color="auto" w:fill="auto"/>
            <w:noWrap/>
            <w:hideMark/>
          </w:tcPr>
          <w:p w:rsidR="00B611CB" w:rsidRPr="00013AA6" w:rsidRDefault="00B611CB" w:rsidP="00015809">
            <w:pPr>
              <w:jc w:val="left"/>
              <w:rPr>
                <w:b/>
                <w:bCs/>
                <w:sz w:val="20"/>
                <w:szCs w:val="20"/>
                <w:lang w:val="en-CA" w:eastAsia="en-CA"/>
              </w:rPr>
            </w:pPr>
            <w:r w:rsidRPr="00013AA6">
              <w:rPr>
                <w:b/>
                <w:bCs/>
                <w:sz w:val="20"/>
                <w:szCs w:val="20"/>
                <w:lang w:val="en-CA" w:eastAsia="en-CA"/>
              </w:rPr>
              <w:t xml:space="preserve">  </w:t>
            </w:r>
            <w:r w:rsidR="00A16D98" w:rsidRPr="00013AA6">
              <w:rPr>
                <w:b/>
                <w:bCs/>
                <w:sz w:val="20"/>
                <w:szCs w:val="20"/>
                <w:lang w:val="en-CA" w:eastAsia="en-CA"/>
              </w:rPr>
              <w:t>R</w:t>
            </w:r>
            <w:r w:rsidRPr="00013AA6">
              <w:rPr>
                <w:b/>
                <w:bCs/>
                <w:sz w:val="20"/>
                <w:szCs w:val="20"/>
                <w:lang w:val="en-CA" w:eastAsia="en-CA"/>
              </w:rPr>
              <w:t>equired for compliance</w:t>
            </w:r>
            <w:r w:rsidR="00A16D98" w:rsidRPr="00013AA6">
              <w:rPr>
                <w:b/>
                <w:bCs/>
                <w:sz w:val="20"/>
                <w:szCs w:val="20"/>
                <w:lang w:val="en-CA" w:eastAsia="en-CA"/>
              </w:rPr>
              <w:t xml:space="preserve"> subtotal</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b/>
                <w:bCs/>
                <w:sz w:val="20"/>
                <w:szCs w:val="20"/>
                <w:lang w:val="en-CA" w:eastAsia="en-CA"/>
              </w:rPr>
            </w:pPr>
            <w:r w:rsidRPr="00013AA6">
              <w:rPr>
                <w:b/>
                <w:bCs/>
                <w:sz w:val="20"/>
                <w:szCs w:val="20"/>
                <w:lang w:val="en-CA" w:eastAsia="en-CA"/>
              </w:rPr>
              <w:t>89,144</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b/>
                <w:bCs/>
                <w:sz w:val="20"/>
                <w:szCs w:val="20"/>
                <w:lang w:val="en-CA" w:eastAsia="en-CA"/>
              </w:rPr>
            </w:pPr>
            <w:r w:rsidRPr="00013AA6">
              <w:rPr>
                <w:b/>
                <w:bCs/>
                <w:sz w:val="20"/>
                <w:szCs w:val="20"/>
                <w:lang w:val="en-CA" w:eastAsia="en-CA"/>
              </w:rPr>
              <w:t>86,086</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b/>
                <w:bCs/>
                <w:sz w:val="20"/>
                <w:szCs w:val="20"/>
                <w:lang w:val="en-CA" w:eastAsia="en-CA"/>
              </w:rPr>
            </w:pPr>
            <w:r w:rsidRPr="00013AA6">
              <w:rPr>
                <w:b/>
                <w:bCs/>
                <w:sz w:val="20"/>
                <w:szCs w:val="20"/>
                <w:lang w:val="en-CA" w:eastAsia="en-CA"/>
              </w:rPr>
              <w:t>46,302</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b/>
                <w:bCs/>
                <w:sz w:val="20"/>
                <w:szCs w:val="20"/>
                <w:lang w:val="en-CA" w:eastAsia="en-CA"/>
              </w:rPr>
            </w:pPr>
            <w:r w:rsidRPr="00013AA6">
              <w:rPr>
                <w:b/>
                <w:bCs/>
                <w:sz w:val="20"/>
                <w:szCs w:val="20"/>
                <w:lang w:val="en-CA" w:eastAsia="en-CA"/>
              </w:rPr>
              <w:t>221,532</w:t>
            </w:r>
          </w:p>
        </w:tc>
        <w:tc>
          <w:tcPr>
            <w:tcW w:w="1220"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b/>
                <w:bCs/>
                <w:sz w:val="20"/>
                <w:szCs w:val="20"/>
                <w:lang w:val="en-CA" w:eastAsia="en-CA"/>
              </w:rPr>
            </w:pPr>
            <w:r w:rsidRPr="00013AA6">
              <w:rPr>
                <w:b/>
                <w:bCs/>
                <w:sz w:val="20"/>
                <w:szCs w:val="20"/>
                <w:lang w:val="en-CA" w:eastAsia="en-CA"/>
              </w:rPr>
              <w:t>186,874</w:t>
            </w:r>
          </w:p>
        </w:tc>
      </w:tr>
      <w:tr w:rsidR="00013AA6" w:rsidRPr="00013AA6" w:rsidTr="00173F1E">
        <w:trPr>
          <w:trHeight w:val="255"/>
        </w:trPr>
        <w:tc>
          <w:tcPr>
            <w:tcW w:w="9493" w:type="dxa"/>
            <w:gridSpan w:val="6"/>
            <w:tcBorders>
              <w:top w:val="nil"/>
              <w:left w:val="single" w:sz="4" w:space="0" w:color="auto"/>
              <w:bottom w:val="single" w:sz="4" w:space="0" w:color="auto"/>
              <w:right w:val="single" w:sz="4" w:space="0" w:color="auto"/>
            </w:tcBorders>
            <w:shd w:val="clear" w:color="auto" w:fill="auto"/>
            <w:noWrap/>
            <w:hideMark/>
          </w:tcPr>
          <w:p w:rsidR="00013AA6" w:rsidRPr="00013AA6" w:rsidRDefault="00013AA6" w:rsidP="00015809">
            <w:pPr>
              <w:jc w:val="left"/>
              <w:rPr>
                <w:sz w:val="20"/>
                <w:szCs w:val="20"/>
                <w:lang w:val="en-CA" w:eastAsia="en-CA"/>
              </w:rPr>
            </w:pPr>
            <w:r w:rsidRPr="00013AA6">
              <w:rPr>
                <w:b/>
                <w:bCs/>
                <w:sz w:val="20"/>
                <w:szCs w:val="20"/>
                <w:lang w:val="en-CA" w:eastAsia="en-CA"/>
              </w:rPr>
              <w:t>HFC activities</w:t>
            </w:r>
            <w:r w:rsidRPr="00013AA6">
              <w:rPr>
                <w:sz w:val="20"/>
                <w:szCs w:val="20"/>
                <w:lang w:val="en-CA" w:eastAsia="en-CA"/>
              </w:rPr>
              <w:t> </w:t>
            </w:r>
          </w:p>
        </w:tc>
      </w:tr>
      <w:tr w:rsidR="00B611CB" w:rsidRPr="00013AA6" w:rsidTr="00173F1E">
        <w:trPr>
          <w:trHeight w:val="255"/>
        </w:trPr>
        <w:tc>
          <w:tcPr>
            <w:tcW w:w="3397" w:type="dxa"/>
            <w:tcBorders>
              <w:top w:val="nil"/>
              <w:left w:val="single" w:sz="4" w:space="0" w:color="auto"/>
              <w:bottom w:val="single" w:sz="4" w:space="0" w:color="auto"/>
              <w:right w:val="single" w:sz="4" w:space="0" w:color="auto"/>
            </w:tcBorders>
            <w:shd w:val="clear" w:color="auto" w:fill="auto"/>
            <w:noWrap/>
            <w:hideMark/>
          </w:tcPr>
          <w:p w:rsidR="00B611CB" w:rsidRPr="00013AA6" w:rsidRDefault="00B611CB" w:rsidP="00015809">
            <w:pPr>
              <w:jc w:val="left"/>
              <w:rPr>
                <w:sz w:val="20"/>
                <w:szCs w:val="20"/>
                <w:lang w:val="en-CA" w:eastAsia="en-CA"/>
              </w:rPr>
            </w:pPr>
            <w:r w:rsidRPr="00013AA6">
              <w:rPr>
                <w:sz w:val="20"/>
                <w:szCs w:val="20"/>
                <w:lang w:val="en-CA" w:eastAsia="en-CA"/>
              </w:rPr>
              <w:t>HFC - demonstration</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5,885</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 </w:t>
            </w:r>
            <w:r w:rsidR="00013AA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013AA6" w:rsidP="00015809">
            <w:pPr>
              <w:jc w:val="right"/>
              <w:rPr>
                <w:sz w:val="20"/>
                <w:szCs w:val="20"/>
                <w:lang w:val="en-CA" w:eastAsia="en-CA"/>
              </w:rPr>
            </w:pPr>
            <w:r>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5,885</w:t>
            </w:r>
          </w:p>
        </w:tc>
        <w:tc>
          <w:tcPr>
            <w:tcW w:w="1220"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 </w:t>
            </w:r>
            <w:r w:rsidR="00013AA6">
              <w:rPr>
                <w:sz w:val="20"/>
                <w:szCs w:val="20"/>
                <w:lang w:val="en-CA" w:eastAsia="en-CA"/>
              </w:rPr>
              <w:t>0</w:t>
            </w:r>
          </w:p>
        </w:tc>
      </w:tr>
      <w:tr w:rsidR="00B611CB" w:rsidRPr="00013AA6" w:rsidTr="00173F1E">
        <w:trPr>
          <w:trHeight w:val="255"/>
        </w:trPr>
        <w:tc>
          <w:tcPr>
            <w:tcW w:w="3397" w:type="dxa"/>
            <w:tcBorders>
              <w:top w:val="nil"/>
              <w:left w:val="single" w:sz="4" w:space="0" w:color="auto"/>
              <w:bottom w:val="single" w:sz="4" w:space="0" w:color="auto"/>
              <w:right w:val="single" w:sz="4" w:space="0" w:color="auto"/>
            </w:tcBorders>
            <w:shd w:val="clear" w:color="auto" w:fill="auto"/>
            <w:noWrap/>
            <w:hideMark/>
          </w:tcPr>
          <w:p w:rsidR="00B611CB" w:rsidRPr="00013AA6" w:rsidRDefault="00B611CB" w:rsidP="00015809">
            <w:pPr>
              <w:jc w:val="left"/>
              <w:rPr>
                <w:sz w:val="20"/>
                <w:szCs w:val="20"/>
                <w:lang w:val="en-CA" w:eastAsia="en-CA"/>
              </w:rPr>
            </w:pPr>
            <w:r w:rsidRPr="00013AA6">
              <w:rPr>
                <w:sz w:val="20"/>
                <w:szCs w:val="20"/>
                <w:lang w:val="en-CA" w:eastAsia="en-CA"/>
              </w:rPr>
              <w:t>HFC - enabling activities</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250</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 </w:t>
            </w:r>
            <w:r w:rsidR="00013AA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013AA6" w:rsidP="00015809">
            <w:pPr>
              <w:jc w:val="right"/>
              <w:rPr>
                <w:sz w:val="20"/>
                <w:szCs w:val="20"/>
                <w:lang w:val="en-CA" w:eastAsia="en-CA"/>
              </w:rPr>
            </w:pPr>
            <w:r>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250</w:t>
            </w:r>
          </w:p>
        </w:tc>
        <w:tc>
          <w:tcPr>
            <w:tcW w:w="1220"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 </w:t>
            </w:r>
            <w:r w:rsidR="00013AA6">
              <w:rPr>
                <w:sz w:val="20"/>
                <w:szCs w:val="20"/>
                <w:lang w:val="en-CA" w:eastAsia="en-CA"/>
              </w:rPr>
              <w:t>0</w:t>
            </w:r>
          </w:p>
        </w:tc>
      </w:tr>
      <w:tr w:rsidR="00B611CB" w:rsidRPr="00013AA6" w:rsidTr="00173F1E">
        <w:trPr>
          <w:trHeight w:val="255"/>
        </w:trPr>
        <w:tc>
          <w:tcPr>
            <w:tcW w:w="3397" w:type="dxa"/>
            <w:tcBorders>
              <w:top w:val="nil"/>
              <w:left w:val="single" w:sz="4" w:space="0" w:color="auto"/>
              <w:bottom w:val="single" w:sz="4" w:space="0" w:color="auto"/>
              <w:right w:val="single" w:sz="4" w:space="0" w:color="auto"/>
            </w:tcBorders>
            <w:shd w:val="clear" w:color="auto" w:fill="auto"/>
            <w:noWrap/>
            <w:hideMark/>
          </w:tcPr>
          <w:p w:rsidR="00B611CB" w:rsidRPr="00013AA6" w:rsidRDefault="00B611CB" w:rsidP="00015809">
            <w:pPr>
              <w:jc w:val="left"/>
              <w:rPr>
                <w:sz w:val="20"/>
                <w:szCs w:val="20"/>
                <w:lang w:val="en-CA" w:eastAsia="en-CA"/>
              </w:rPr>
            </w:pPr>
            <w:r w:rsidRPr="00013AA6">
              <w:rPr>
                <w:sz w:val="20"/>
                <w:szCs w:val="20"/>
                <w:lang w:val="en-CA" w:eastAsia="en-CA"/>
              </w:rPr>
              <w:t>HFC - investment</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856</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 </w:t>
            </w:r>
            <w:r w:rsidR="00013AA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013AA6" w:rsidP="00015809">
            <w:pPr>
              <w:jc w:val="right"/>
              <w:rPr>
                <w:sz w:val="20"/>
                <w:szCs w:val="20"/>
                <w:lang w:val="en-CA" w:eastAsia="en-CA"/>
              </w:rPr>
            </w:pPr>
            <w:r>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sz w:val="20"/>
                <w:szCs w:val="20"/>
                <w:lang w:val="en-CA" w:eastAsia="en-CA"/>
              </w:rPr>
            </w:pPr>
            <w:r w:rsidRPr="00013AA6">
              <w:rPr>
                <w:sz w:val="20"/>
                <w:szCs w:val="20"/>
                <w:lang w:val="en-CA" w:eastAsia="en-CA"/>
              </w:rPr>
              <w:t>856</w:t>
            </w:r>
          </w:p>
        </w:tc>
        <w:tc>
          <w:tcPr>
            <w:tcW w:w="1220" w:type="dxa"/>
            <w:tcBorders>
              <w:top w:val="nil"/>
              <w:left w:val="nil"/>
              <w:bottom w:val="single" w:sz="4" w:space="0" w:color="auto"/>
              <w:right w:val="single" w:sz="4" w:space="0" w:color="auto"/>
            </w:tcBorders>
            <w:shd w:val="clear" w:color="auto" w:fill="auto"/>
            <w:noWrap/>
            <w:hideMark/>
          </w:tcPr>
          <w:p w:rsidR="00B611CB" w:rsidRPr="00013AA6" w:rsidRDefault="00013AA6" w:rsidP="00015809">
            <w:pPr>
              <w:jc w:val="right"/>
              <w:rPr>
                <w:sz w:val="20"/>
                <w:szCs w:val="20"/>
                <w:lang w:val="en-CA" w:eastAsia="en-CA"/>
              </w:rPr>
            </w:pPr>
            <w:r>
              <w:rPr>
                <w:sz w:val="20"/>
                <w:szCs w:val="20"/>
                <w:lang w:val="en-CA" w:eastAsia="en-CA"/>
              </w:rPr>
              <w:t>0</w:t>
            </w:r>
          </w:p>
        </w:tc>
      </w:tr>
      <w:tr w:rsidR="00B611CB" w:rsidRPr="00013AA6" w:rsidTr="00173F1E">
        <w:trPr>
          <w:trHeight w:val="255"/>
        </w:trPr>
        <w:tc>
          <w:tcPr>
            <w:tcW w:w="3397" w:type="dxa"/>
            <w:tcBorders>
              <w:top w:val="nil"/>
              <w:left w:val="single" w:sz="4" w:space="0" w:color="auto"/>
              <w:bottom w:val="single" w:sz="4" w:space="0" w:color="auto"/>
              <w:right w:val="single" w:sz="4" w:space="0" w:color="auto"/>
            </w:tcBorders>
            <w:shd w:val="clear" w:color="auto" w:fill="auto"/>
            <w:noWrap/>
            <w:hideMark/>
          </w:tcPr>
          <w:p w:rsidR="00B611CB" w:rsidRPr="00013AA6" w:rsidRDefault="00A16D98" w:rsidP="00015809">
            <w:pPr>
              <w:jc w:val="left"/>
              <w:rPr>
                <w:b/>
                <w:bCs/>
                <w:sz w:val="20"/>
                <w:szCs w:val="20"/>
                <w:lang w:val="en-CA" w:eastAsia="en-CA"/>
              </w:rPr>
            </w:pPr>
            <w:r w:rsidRPr="00013AA6">
              <w:rPr>
                <w:b/>
                <w:bCs/>
                <w:sz w:val="20"/>
                <w:szCs w:val="20"/>
                <w:lang w:val="en-CA" w:eastAsia="en-CA"/>
              </w:rPr>
              <w:t xml:space="preserve">   </w:t>
            </w:r>
            <w:r w:rsidR="00B611CB" w:rsidRPr="00013AA6">
              <w:rPr>
                <w:b/>
                <w:bCs/>
                <w:sz w:val="20"/>
                <w:szCs w:val="20"/>
                <w:lang w:val="en-CA" w:eastAsia="en-CA"/>
              </w:rPr>
              <w:t>HFC activities</w:t>
            </w:r>
            <w:r w:rsidRPr="00013AA6">
              <w:rPr>
                <w:b/>
                <w:bCs/>
                <w:sz w:val="20"/>
                <w:szCs w:val="20"/>
                <w:lang w:val="en-CA" w:eastAsia="en-CA"/>
              </w:rPr>
              <w:t xml:space="preserve"> subtotal</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b/>
                <w:bCs/>
                <w:sz w:val="20"/>
                <w:szCs w:val="20"/>
                <w:lang w:val="en-CA" w:eastAsia="en-CA"/>
              </w:rPr>
            </w:pPr>
            <w:r w:rsidRPr="00013AA6">
              <w:rPr>
                <w:b/>
                <w:bCs/>
                <w:sz w:val="20"/>
                <w:szCs w:val="20"/>
                <w:lang w:val="en-CA" w:eastAsia="en-CA"/>
              </w:rPr>
              <w:t>6,991</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b/>
                <w:bCs/>
                <w:sz w:val="20"/>
                <w:szCs w:val="20"/>
                <w:lang w:val="en-CA" w:eastAsia="en-CA"/>
              </w:rPr>
            </w:pPr>
            <w:r w:rsidRPr="00013AA6">
              <w:rPr>
                <w:b/>
                <w:bCs/>
                <w:sz w:val="20"/>
                <w:szCs w:val="20"/>
                <w:lang w:val="en-CA" w:eastAsia="en-CA"/>
              </w:rPr>
              <w:t> </w:t>
            </w:r>
            <w:r w:rsidR="00013AA6">
              <w:rPr>
                <w:b/>
                <w:bCs/>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013AA6" w:rsidP="00015809">
            <w:pPr>
              <w:jc w:val="right"/>
              <w:rPr>
                <w:b/>
                <w:bCs/>
                <w:sz w:val="20"/>
                <w:szCs w:val="20"/>
                <w:lang w:val="en-CA" w:eastAsia="en-CA"/>
              </w:rPr>
            </w:pPr>
            <w:r>
              <w:rPr>
                <w:b/>
                <w:bCs/>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b/>
                <w:bCs/>
                <w:sz w:val="20"/>
                <w:szCs w:val="20"/>
                <w:lang w:val="en-CA" w:eastAsia="en-CA"/>
              </w:rPr>
            </w:pPr>
            <w:r w:rsidRPr="00013AA6">
              <w:rPr>
                <w:b/>
                <w:bCs/>
                <w:sz w:val="20"/>
                <w:szCs w:val="20"/>
                <w:lang w:val="en-CA" w:eastAsia="en-CA"/>
              </w:rPr>
              <w:t>6,991</w:t>
            </w:r>
          </w:p>
        </w:tc>
        <w:tc>
          <w:tcPr>
            <w:tcW w:w="1220" w:type="dxa"/>
            <w:tcBorders>
              <w:top w:val="nil"/>
              <w:left w:val="nil"/>
              <w:bottom w:val="single" w:sz="4" w:space="0" w:color="auto"/>
              <w:right w:val="single" w:sz="4" w:space="0" w:color="auto"/>
            </w:tcBorders>
            <w:shd w:val="clear" w:color="auto" w:fill="auto"/>
            <w:noWrap/>
            <w:hideMark/>
          </w:tcPr>
          <w:p w:rsidR="00B611CB" w:rsidRPr="00013AA6" w:rsidRDefault="00013AA6" w:rsidP="00015809">
            <w:pPr>
              <w:jc w:val="right"/>
              <w:rPr>
                <w:b/>
                <w:bCs/>
                <w:sz w:val="20"/>
                <w:szCs w:val="20"/>
                <w:lang w:val="en-CA" w:eastAsia="en-CA"/>
              </w:rPr>
            </w:pPr>
            <w:r>
              <w:rPr>
                <w:b/>
                <w:bCs/>
                <w:sz w:val="20"/>
                <w:szCs w:val="20"/>
                <w:lang w:val="en-CA" w:eastAsia="en-CA"/>
              </w:rPr>
              <w:t>0</w:t>
            </w:r>
          </w:p>
        </w:tc>
      </w:tr>
      <w:tr w:rsidR="00013AA6" w:rsidRPr="00013AA6" w:rsidTr="00173F1E">
        <w:trPr>
          <w:trHeight w:val="255"/>
        </w:trPr>
        <w:tc>
          <w:tcPr>
            <w:tcW w:w="9493" w:type="dxa"/>
            <w:gridSpan w:val="6"/>
            <w:tcBorders>
              <w:top w:val="nil"/>
              <w:left w:val="single" w:sz="4" w:space="0" w:color="auto"/>
              <w:bottom w:val="single" w:sz="4" w:space="0" w:color="auto"/>
              <w:right w:val="single" w:sz="4" w:space="0" w:color="auto"/>
            </w:tcBorders>
            <w:shd w:val="clear" w:color="auto" w:fill="auto"/>
            <w:noWrap/>
            <w:hideMark/>
          </w:tcPr>
          <w:p w:rsidR="00013AA6" w:rsidRPr="00013AA6" w:rsidRDefault="00013AA6" w:rsidP="00015809">
            <w:pPr>
              <w:jc w:val="left"/>
              <w:rPr>
                <w:b/>
                <w:bCs/>
                <w:sz w:val="20"/>
                <w:szCs w:val="20"/>
                <w:lang w:val="en-CA" w:eastAsia="en-CA"/>
              </w:rPr>
            </w:pPr>
            <w:r w:rsidRPr="00013AA6">
              <w:rPr>
                <w:b/>
                <w:bCs/>
                <w:sz w:val="20"/>
                <w:szCs w:val="20"/>
                <w:lang w:val="en-CA" w:eastAsia="en-CA"/>
              </w:rPr>
              <w:t>Standard activities</w:t>
            </w:r>
          </w:p>
        </w:tc>
      </w:tr>
      <w:tr w:rsidR="00255A94" w:rsidRPr="00013AA6" w:rsidTr="00173F1E">
        <w:trPr>
          <w:trHeight w:val="255"/>
        </w:trPr>
        <w:tc>
          <w:tcPr>
            <w:tcW w:w="3397" w:type="dxa"/>
            <w:tcBorders>
              <w:top w:val="nil"/>
              <w:left w:val="single" w:sz="4" w:space="0" w:color="auto"/>
              <w:bottom w:val="single" w:sz="4" w:space="0" w:color="auto"/>
              <w:right w:val="single" w:sz="4" w:space="0" w:color="auto"/>
            </w:tcBorders>
            <w:shd w:val="clear" w:color="auto" w:fill="auto"/>
            <w:noWrap/>
            <w:hideMark/>
          </w:tcPr>
          <w:p w:rsidR="00255A94" w:rsidRPr="00013AA6" w:rsidRDefault="00255A94" w:rsidP="00015809">
            <w:pPr>
              <w:jc w:val="left"/>
              <w:rPr>
                <w:sz w:val="20"/>
                <w:szCs w:val="20"/>
                <w:lang w:val="en-CA" w:eastAsia="en-CA"/>
              </w:rPr>
            </w:pPr>
            <w:r w:rsidRPr="00013AA6">
              <w:rPr>
                <w:sz w:val="20"/>
                <w:szCs w:val="20"/>
                <w:lang w:val="en-CA" w:eastAsia="en-CA"/>
              </w:rPr>
              <w:t>Core unit</w:t>
            </w:r>
          </w:p>
        </w:tc>
        <w:tc>
          <w:tcPr>
            <w:tcW w:w="1219"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jc w:val="right"/>
              <w:rPr>
                <w:sz w:val="20"/>
                <w:szCs w:val="20"/>
                <w:lang w:val="en-CA" w:eastAsia="en-CA"/>
              </w:rPr>
            </w:pPr>
            <w:r w:rsidRPr="00013AA6">
              <w:rPr>
                <w:sz w:val="20"/>
                <w:szCs w:val="20"/>
                <w:lang w:val="en-CA" w:eastAsia="en-CA"/>
              </w:rPr>
              <w:t>1,735</w:t>
            </w:r>
          </w:p>
        </w:tc>
        <w:tc>
          <w:tcPr>
            <w:tcW w:w="1219"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jc w:val="right"/>
              <w:rPr>
                <w:sz w:val="20"/>
                <w:szCs w:val="20"/>
                <w:lang w:val="en-CA" w:eastAsia="en-CA"/>
              </w:rPr>
            </w:pPr>
            <w:r w:rsidRPr="00013AA6">
              <w:rPr>
                <w:sz w:val="20"/>
                <w:szCs w:val="20"/>
                <w:lang w:val="en-CA" w:eastAsia="en-CA"/>
              </w:rPr>
              <w:t>1,735</w:t>
            </w:r>
          </w:p>
        </w:tc>
        <w:tc>
          <w:tcPr>
            <w:tcW w:w="1219"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jc w:val="right"/>
              <w:rPr>
                <w:sz w:val="20"/>
                <w:szCs w:val="20"/>
                <w:lang w:val="en-CA" w:eastAsia="en-CA"/>
              </w:rPr>
            </w:pPr>
            <w:r w:rsidRPr="00013AA6">
              <w:rPr>
                <w:sz w:val="20"/>
                <w:szCs w:val="20"/>
                <w:lang w:val="en-CA" w:eastAsia="en-CA"/>
              </w:rPr>
              <w:t>1,735</w:t>
            </w:r>
          </w:p>
        </w:tc>
        <w:tc>
          <w:tcPr>
            <w:tcW w:w="1219"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jc w:val="right"/>
              <w:rPr>
                <w:sz w:val="20"/>
                <w:szCs w:val="20"/>
                <w:lang w:val="en-CA" w:eastAsia="en-CA"/>
              </w:rPr>
            </w:pPr>
            <w:r w:rsidRPr="00013AA6">
              <w:rPr>
                <w:sz w:val="20"/>
                <w:szCs w:val="20"/>
                <w:lang w:val="en-CA" w:eastAsia="en-CA"/>
              </w:rPr>
              <w:t>5,205</w:t>
            </w:r>
          </w:p>
        </w:tc>
        <w:tc>
          <w:tcPr>
            <w:tcW w:w="1220"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jc w:val="right"/>
              <w:rPr>
                <w:sz w:val="20"/>
                <w:szCs w:val="20"/>
                <w:lang w:val="en-CA" w:eastAsia="en-CA"/>
              </w:rPr>
            </w:pPr>
            <w:r w:rsidRPr="00013AA6">
              <w:rPr>
                <w:sz w:val="20"/>
                <w:szCs w:val="20"/>
                <w:lang w:val="en-CA" w:eastAsia="en-CA"/>
              </w:rPr>
              <w:t> </w:t>
            </w:r>
            <w:r w:rsidR="00013AA6">
              <w:rPr>
                <w:sz w:val="20"/>
                <w:szCs w:val="20"/>
                <w:lang w:val="en-CA" w:eastAsia="en-CA"/>
              </w:rPr>
              <w:t>0</w:t>
            </w:r>
          </w:p>
        </w:tc>
      </w:tr>
      <w:tr w:rsidR="00255A94" w:rsidRPr="00013AA6" w:rsidTr="00173F1E">
        <w:trPr>
          <w:trHeight w:val="255"/>
        </w:trPr>
        <w:tc>
          <w:tcPr>
            <w:tcW w:w="3397" w:type="dxa"/>
            <w:tcBorders>
              <w:top w:val="nil"/>
              <w:left w:val="single" w:sz="4" w:space="0" w:color="auto"/>
              <w:bottom w:val="single" w:sz="4" w:space="0" w:color="auto"/>
              <w:right w:val="single" w:sz="4" w:space="0" w:color="auto"/>
            </w:tcBorders>
            <w:shd w:val="clear" w:color="auto" w:fill="auto"/>
            <w:noWrap/>
            <w:hideMark/>
          </w:tcPr>
          <w:p w:rsidR="00255A94" w:rsidRPr="00013AA6" w:rsidRDefault="00255A94" w:rsidP="00015809">
            <w:pPr>
              <w:keepNext/>
              <w:jc w:val="left"/>
              <w:rPr>
                <w:sz w:val="20"/>
                <w:szCs w:val="20"/>
                <w:lang w:val="en-CA" w:eastAsia="en-CA"/>
              </w:rPr>
            </w:pPr>
            <w:r w:rsidRPr="00013AA6">
              <w:rPr>
                <w:sz w:val="20"/>
                <w:szCs w:val="20"/>
                <w:lang w:val="en-CA" w:eastAsia="en-CA"/>
              </w:rPr>
              <w:lastRenderedPageBreak/>
              <w:t>Institutional strengthening (IS)</w:t>
            </w:r>
          </w:p>
        </w:tc>
        <w:tc>
          <w:tcPr>
            <w:tcW w:w="1219"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keepNext/>
              <w:jc w:val="right"/>
              <w:rPr>
                <w:sz w:val="20"/>
                <w:szCs w:val="20"/>
                <w:lang w:val="en-CA" w:eastAsia="en-CA"/>
              </w:rPr>
            </w:pPr>
            <w:r w:rsidRPr="00013AA6">
              <w:rPr>
                <w:sz w:val="20"/>
                <w:szCs w:val="20"/>
                <w:lang w:val="en-CA" w:eastAsia="en-CA"/>
              </w:rPr>
              <w:t>677</w:t>
            </w:r>
          </w:p>
        </w:tc>
        <w:tc>
          <w:tcPr>
            <w:tcW w:w="1219"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keepNext/>
              <w:jc w:val="left"/>
              <w:rPr>
                <w:sz w:val="20"/>
                <w:szCs w:val="20"/>
                <w:lang w:val="en-CA" w:eastAsia="en-CA"/>
              </w:rPr>
            </w:pPr>
            <w:r w:rsidRPr="00013AA6">
              <w:rPr>
                <w:sz w:val="20"/>
                <w:szCs w:val="20"/>
                <w:lang w:val="en-CA" w:eastAsia="en-CA"/>
              </w:rPr>
              <w:t> </w:t>
            </w:r>
          </w:p>
        </w:tc>
        <w:tc>
          <w:tcPr>
            <w:tcW w:w="1219"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keepNext/>
              <w:jc w:val="right"/>
              <w:rPr>
                <w:sz w:val="20"/>
                <w:szCs w:val="20"/>
                <w:lang w:val="en-CA" w:eastAsia="en-CA"/>
              </w:rPr>
            </w:pPr>
            <w:r w:rsidRPr="00013AA6">
              <w:rPr>
                <w:sz w:val="20"/>
                <w:szCs w:val="20"/>
                <w:lang w:val="en-CA" w:eastAsia="en-CA"/>
              </w:rPr>
              <w:t>677</w:t>
            </w:r>
          </w:p>
        </w:tc>
        <w:tc>
          <w:tcPr>
            <w:tcW w:w="1219"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keepNext/>
              <w:jc w:val="right"/>
              <w:rPr>
                <w:sz w:val="20"/>
                <w:szCs w:val="20"/>
                <w:lang w:val="en-CA" w:eastAsia="en-CA"/>
              </w:rPr>
            </w:pPr>
            <w:r w:rsidRPr="00013AA6">
              <w:rPr>
                <w:sz w:val="20"/>
                <w:szCs w:val="20"/>
                <w:lang w:val="en-CA" w:eastAsia="en-CA"/>
              </w:rPr>
              <w:t>1,353</w:t>
            </w:r>
          </w:p>
        </w:tc>
        <w:tc>
          <w:tcPr>
            <w:tcW w:w="1220"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keepNext/>
              <w:jc w:val="right"/>
              <w:rPr>
                <w:sz w:val="20"/>
                <w:szCs w:val="20"/>
                <w:lang w:val="en-CA" w:eastAsia="en-CA"/>
              </w:rPr>
            </w:pPr>
            <w:r w:rsidRPr="00013AA6">
              <w:rPr>
                <w:sz w:val="20"/>
                <w:szCs w:val="20"/>
                <w:lang w:val="en-CA" w:eastAsia="en-CA"/>
              </w:rPr>
              <w:t> </w:t>
            </w:r>
            <w:r w:rsidR="00013AA6">
              <w:rPr>
                <w:sz w:val="20"/>
                <w:szCs w:val="20"/>
                <w:lang w:val="en-CA" w:eastAsia="en-CA"/>
              </w:rPr>
              <w:t>0</w:t>
            </w:r>
          </w:p>
        </w:tc>
      </w:tr>
      <w:tr w:rsidR="00255A94" w:rsidRPr="00013AA6" w:rsidTr="00173F1E">
        <w:trPr>
          <w:trHeight w:val="255"/>
        </w:trPr>
        <w:tc>
          <w:tcPr>
            <w:tcW w:w="3397" w:type="dxa"/>
            <w:tcBorders>
              <w:top w:val="nil"/>
              <w:left w:val="single" w:sz="4" w:space="0" w:color="auto"/>
              <w:bottom w:val="single" w:sz="4" w:space="0" w:color="auto"/>
              <w:right w:val="single" w:sz="4" w:space="0" w:color="auto"/>
            </w:tcBorders>
            <w:shd w:val="clear" w:color="auto" w:fill="auto"/>
            <w:noWrap/>
            <w:hideMark/>
          </w:tcPr>
          <w:p w:rsidR="00255A94" w:rsidRPr="00013AA6" w:rsidRDefault="00255A94" w:rsidP="00015809">
            <w:pPr>
              <w:keepNext/>
              <w:jc w:val="left"/>
              <w:rPr>
                <w:b/>
                <w:bCs/>
                <w:sz w:val="20"/>
                <w:szCs w:val="20"/>
                <w:lang w:val="en-CA" w:eastAsia="en-CA"/>
              </w:rPr>
            </w:pPr>
            <w:r w:rsidRPr="00013AA6">
              <w:rPr>
                <w:b/>
                <w:bCs/>
                <w:sz w:val="20"/>
                <w:szCs w:val="20"/>
                <w:lang w:val="en-CA" w:eastAsia="en-CA"/>
              </w:rPr>
              <w:t xml:space="preserve">   Standard activities subtotal</w:t>
            </w:r>
          </w:p>
        </w:tc>
        <w:tc>
          <w:tcPr>
            <w:tcW w:w="1219"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keepNext/>
              <w:jc w:val="right"/>
              <w:rPr>
                <w:b/>
                <w:bCs/>
                <w:sz w:val="20"/>
                <w:szCs w:val="20"/>
                <w:lang w:val="en-CA" w:eastAsia="en-CA"/>
              </w:rPr>
            </w:pPr>
            <w:r w:rsidRPr="00013AA6">
              <w:rPr>
                <w:b/>
                <w:bCs/>
                <w:sz w:val="20"/>
                <w:szCs w:val="20"/>
                <w:lang w:val="en-CA" w:eastAsia="en-CA"/>
              </w:rPr>
              <w:t>2,412</w:t>
            </w:r>
          </w:p>
        </w:tc>
        <w:tc>
          <w:tcPr>
            <w:tcW w:w="1219"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keepNext/>
              <w:jc w:val="right"/>
              <w:rPr>
                <w:b/>
                <w:bCs/>
                <w:sz w:val="20"/>
                <w:szCs w:val="20"/>
                <w:lang w:val="en-CA" w:eastAsia="en-CA"/>
              </w:rPr>
            </w:pPr>
            <w:r w:rsidRPr="00013AA6">
              <w:rPr>
                <w:b/>
                <w:bCs/>
                <w:sz w:val="20"/>
                <w:szCs w:val="20"/>
                <w:lang w:val="en-CA" w:eastAsia="en-CA"/>
              </w:rPr>
              <w:t>1,735</w:t>
            </w:r>
          </w:p>
        </w:tc>
        <w:tc>
          <w:tcPr>
            <w:tcW w:w="1219"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keepNext/>
              <w:jc w:val="right"/>
              <w:rPr>
                <w:b/>
                <w:bCs/>
                <w:sz w:val="20"/>
                <w:szCs w:val="20"/>
                <w:lang w:val="en-CA" w:eastAsia="en-CA"/>
              </w:rPr>
            </w:pPr>
            <w:r w:rsidRPr="00013AA6">
              <w:rPr>
                <w:b/>
                <w:bCs/>
                <w:sz w:val="20"/>
                <w:szCs w:val="20"/>
                <w:lang w:val="en-CA" w:eastAsia="en-CA"/>
              </w:rPr>
              <w:t>2,412</w:t>
            </w:r>
          </w:p>
        </w:tc>
        <w:tc>
          <w:tcPr>
            <w:tcW w:w="1219"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keepNext/>
              <w:jc w:val="right"/>
              <w:rPr>
                <w:b/>
                <w:bCs/>
                <w:sz w:val="20"/>
                <w:szCs w:val="20"/>
                <w:lang w:val="en-CA" w:eastAsia="en-CA"/>
              </w:rPr>
            </w:pPr>
            <w:r w:rsidRPr="00013AA6">
              <w:rPr>
                <w:b/>
                <w:bCs/>
                <w:sz w:val="20"/>
                <w:szCs w:val="20"/>
                <w:lang w:val="en-CA" w:eastAsia="en-CA"/>
              </w:rPr>
              <w:t>6,558</w:t>
            </w:r>
          </w:p>
        </w:tc>
        <w:tc>
          <w:tcPr>
            <w:tcW w:w="1220" w:type="dxa"/>
            <w:tcBorders>
              <w:top w:val="nil"/>
              <w:left w:val="nil"/>
              <w:bottom w:val="single" w:sz="4" w:space="0" w:color="auto"/>
              <w:right w:val="single" w:sz="4" w:space="0" w:color="auto"/>
            </w:tcBorders>
            <w:shd w:val="clear" w:color="auto" w:fill="auto"/>
            <w:noWrap/>
            <w:hideMark/>
          </w:tcPr>
          <w:p w:rsidR="00255A94" w:rsidRPr="00013AA6" w:rsidRDefault="00255A94" w:rsidP="00015809">
            <w:pPr>
              <w:keepNext/>
              <w:jc w:val="right"/>
              <w:rPr>
                <w:b/>
                <w:bCs/>
                <w:sz w:val="20"/>
                <w:szCs w:val="20"/>
                <w:lang w:val="en-CA" w:eastAsia="en-CA"/>
              </w:rPr>
            </w:pPr>
            <w:r w:rsidRPr="00013AA6">
              <w:rPr>
                <w:b/>
                <w:bCs/>
                <w:sz w:val="20"/>
                <w:szCs w:val="20"/>
                <w:lang w:val="en-CA" w:eastAsia="en-CA"/>
              </w:rPr>
              <w:t> </w:t>
            </w:r>
            <w:r w:rsidR="00013AA6">
              <w:rPr>
                <w:b/>
                <w:bCs/>
                <w:sz w:val="20"/>
                <w:szCs w:val="20"/>
                <w:lang w:val="en-CA" w:eastAsia="en-CA"/>
              </w:rPr>
              <w:t>0</w:t>
            </w:r>
          </w:p>
        </w:tc>
      </w:tr>
      <w:tr w:rsidR="00B611CB" w:rsidRPr="00013AA6" w:rsidTr="00173F1E">
        <w:trPr>
          <w:trHeight w:val="255"/>
        </w:trPr>
        <w:tc>
          <w:tcPr>
            <w:tcW w:w="3397" w:type="dxa"/>
            <w:tcBorders>
              <w:top w:val="nil"/>
              <w:left w:val="single" w:sz="4" w:space="0" w:color="auto"/>
              <w:bottom w:val="single" w:sz="4" w:space="0" w:color="auto"/>
              <w:right w:val="single" w:sz="4" w:space="0" w:color="auto"/>
            </w:tcBorders>
            <w:shd w:val="clear" w:color="auto" w:fill="auto"/>
            <w:noWrap/>
            <w:hideMark/>
          </w:tcPr>
          <w:p w:rsidR="00B611CB" w:rsidRPr="00013AA6" w:rsidRDefault="00B611CB" w:rsidP="00015809">
            <w:pPr>
              <w:jc w:val="left"/>
              <w:rPr>
                <w:b/>
                <w:bCs/>
                <w:sz w:val="20"/>
                <w:szCs w:val="20"/>
                <w:lang w:val="en-CA" w:eastAsia="en-CA"/>
              </w:rPr>
            </w:pPr>
            <w:r w:rsidRPr="00013AA6">
              <w:rPr>
                <w:b/>
                <w:bCs/>
                <w:sz w:val="20"/>
                <w:szCs w:val="20"/>
                <w:lang w:val="en-CA" w:eastAsia="en-CA"/>
              </w:rPr>
              <w:t>Grand total</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b/>
                <w:bCs/>
                <w:sz w:val="20"/>
                <w:szCs w:val="20"/>
                <w:lang w:val="en-CA" w:eastAsia="en-CA"/>
              </w:rPr>
            </w:pPr>
            <w:r w:rsidRPr="00013AA6">
              <w:rPr>
                <w:b/>
                <w:bCs/>
                <w:sz w:val="20"/>
                <w:szCs w:val="20"/>
                <w:lang w:val="en-CA" w:eastAsia="en-CA"/>
              </w:rPr>
              <w:t>98,547</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b/>
                <w:bCs/>
                <w:sz w:val="20"/>
                <w:szCs w:val="20"/>
                <w:lang w:val="en-CA" w:eastAsia="en-CA"/>
              </w:rPr>
            </w:pPr>
            <w:r w:rsidRPr="00013AA6">
              <w:rPr>
                <w:b/>
                <w:bCs/>
                <w:sz w:val="20"/>
                <w:szCs w:val="20"/>
                <w:lang w:val="en-CA" w:eastAsia="en-CA"/>
              </w:rPr>
              <w:t>87,821</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b/>
                <w:bCs/>
                <w:sz w:val="20"/>
                <w:szCs w:val="20"/>
                <w:lang w:val="en-CA" w:eastAsia="en-CA"/>
              </w:rPr>
            </w:pPr>
            <w:r w:rsidRPr="00013AA6">
              <w:rPr>
                <w:b/>
                <w:bCs/>
                <w:sz w:val="20"/>
                <w:szCs w:val="20"/>
                <w:lang w:val="en-CA" w:eastAsia="en-CA"/>
              </w:rPr>
              <w:t>48,714</w:t>
            </w:r>
          </w:p>
        </w:tc>
        <w:tc>
          <w:tcPr>
            <w:tcW w:w="1219" w:type="dxa"/>
            <w:tcBorders>
              <w:top w:val="nil"/>
              <w:left w:val="nil"/>
              <w:bottom w:val="single" w:sz="4" w:space="0" w:color="auto"/>
              <w:right w:val="single" w:sz="4" w:space="0" w:color="auto"/>
            </w:tcBorders>
            <w:shd w:val="clear" w:color="auto" w:fill="auto"/>
            <w:noWrap/>
            <w:hideMark/>
          </w:tcPr>
          <w:p w:rsidR="00B611CB" w:rsidRPr="00013AA6" w:rsidRDefault="000312E8" w:rsidP="00015809">
            <w:pPr>
              <w:jc w:val="right"/>
              <w:rPr>
                <w:b/>
                <w:bCs/>
                <w:sz w:val="20"/>
                <w:szCs w:val="20"/>
                <w:lang w:val="en-CA" w:eastAsia="en-CA"/>
              </w:rPr>
            </w:pPr>
            <w:r w:rsidRPr="00013AA6">
              <w:rPr>
                <w:b/>
                <w:bCs/>
                <w:sz w:val="20"/>
                <w:szCs w:val="20"/>
                <w:lang w:val="en-CA" w:eastAsia="en-CA"/>
              </w:rPr>
              <w:t>235,081</w:t>
            </w:r>
          </w:p>
        </w:tc>
        <w:tc>
          <w:tcPr>
            <w:tcW w:w="1220" w:type="dxa"/>
            <w:tcBorders>
              <w:top w:val="nil"/>
              <w:left w:val="nil"/>
              <w:bottom w:val="single" w:sz="4" w:space="0" w:color="auto"/>
              <w:right w:val="single" w:sz="4" w:space="0" w:color="auto"/>
            </w:tcBorders>
            <w:shd w:val="clear" w:color="auto" w:fill="auto"/>
            <w:noWrap/>
            <w:hideMark/>
          </w:tcPr>
          <w:p w:rsidR="00B611CB" w:rsidRPr="00013AA6" w:rsidRDefault="00B611CB" w:rsidP="00015809">
            <w:pPr>
              <w:jc w:val="right"/>
              <w:rPr>
                <w:b/>
                <w:bCs/>
                <w:sz w:val="20"/>
                <w:szCs w:val="20"/>
                <w:lang w:val="en-CA" w:eastAsia="en-CA"/>
              </w:rPr>
            </w:pPr>
            <w:r w:rsidRPr="00013AA6">
              <w:rPr>
                <w:b/>
                <w:bCs/>
                <w:sz w:val="20"/>
                <w:szCs w:val="20"/>
                <w:lang w:val="en-CA" w:eastAsia="en-CA"/>
              </w:rPr>
              <w:t>186,874</w:t>
            </w:r>
          </w:p>
        </w:tc>
      </w:tr>
    </w:tbl>
    <w:p w:rsidR="00E06711" w:rsidRPr="00013AA6" w:rsidRDefault="00E06711" w:rsidP="00015809">
      <w:pPr>
        <w:rPr>
          <w:sz w:val="18"/>
          <w:szCs w:val="18"/>
        </w:rPr>
      </w:pPr>
      <w:r w:rsidRPr="00013AA6">
        <w:rPr>
          <w:sz w:val="18"/>
          <w:szCs w:val="18"/>
        </w:rPr>
        <w:t xml:space="preserve">* Including agency support cost where applicable.  </w:t>
      </w:r>
    </w:p>
    <w:p w:rsidR="00E06711" w:rsidRPr="00013AA6" w:rsidRDefault="00E06711" w:rsidP="00015809">
      <w:pPr>
        <w:pStyle w:val="Heading1"/>
        <w:keepNext/>
        <w:numPr>
          <w:ilvl w:val="0"/>
          <w:numId w:val="0"/>
        </w:numPr>
        <w:spacing w:after="0"/>
        <w:rPr>
          <w:b/>
        </w:rPr>
      </w:pPr>
    </w:p>
    <w:p w:rsidR="00E06711" w:rsidRPr="00013AA6" w:rsidRDefault="00EF2EA5" w:rsidP="00015809">
      <w:pPr>
        <w:pStyle w:val="Heading1"/>
      </w:pPr>
      <w:r>
        <w:t xml:space="preserve">Additional information on </w:t>
      </w:r>
      <w:r w:rsidR="001A4713">
        <w:t xml:space="preserve">some of the </w:t>
      </w:r>
      <w:r>
        <w:t xml:space="preserve">proposed activities is provided below. </w:t>
      </w:r>
    </w:p>
    <w:p w:rsidR="00E06711" w:rsidRPr="00013AA6" w:rsidRDefault="00EF2EA5" w:rsidP="00015809">
      <w:pPr>
        <w:pStyle w:val="Heading1"/>
        <w:numPr>
          <w:ilvl w:val="0"/>
          <w:numId w:val="0"/>
        </w:numPr>
        <w:rPr>
          <w:u w:val="single"/>
        </w:rPr>
      </w:pPr>
      <w:r>
        <w:rPr>
          <w:u w:val="single"/>
        </w:rPr>
        <w:t>HCFC production</w:t>
      </w:r>
      <w:r w:rsidRPr="00EF2EA5">
        <w:rPr>
          <w:u w:val="single"/>
        </w:rPr>
        <w:t xml:space="preserve"> </w:t>
      </w:r>
      <w:r>
        <w:rPr>
          <w:u w:val="single"/>
        </w:rPr>
        <w:t>– s</w:t>
      </w:r>
      <w:r w:rsidRPr="00013AA6">
        <w:rPr>
          <w:u w:val="single"/>
        </w:rPr>
        <w:t>tage</w:t>
      </w:r>
      <w:r>
        <w:rPr>
          <w:u w:val="single"/>
        </w:rPr>
        <w:t xml:space="preserve"> </w:t>
      </w:r>
      <w:r w:rsidRPr="00013AA6">
        <w:rPr>
          <w:u w:val="single"/>
        </w:rPr>
        <w:t>II</w:t>
      </w:r>
    </w:p>
    <w:p w:rsidR="00E06711" w:rsidRPr="00013AA6" w:rsidRDefault="00E06711" w:rsidP="00015809">
      <w:pPr>
        <w:pStyle w:val="Heading1"/>
      </w:pPr>
      <w:r w:rsidRPr="00013AA6">
        <w:t>A total of US $2</w:t>
      </w:r>
      <w:r w:rsidR="002A6C7A" w:rsidRPr="00013AA6">
        <w:t>28.9</w:t>
      </w:r>
      <w:r w:rsidRPr="00013AA6">
        <w:t xml:space="preserve"> million is included for the HCFC production phase</w:t>
      </w:r>
      <w:r w:rsidRPr="00013AA6">
        <w:noBreakHyphen/>
        <w:t>out man</w:t>
      </w:r>
      <w:r w:rsidR="00EF2EA5">
        <w:t xml:space="preserve">agement plan (HPPMP) for China, i.e., </w:t>
      </w:r>
      <w:r w:rsidRPr="00013AA6">
        <w:t>US $</w:t>
      </w:r>
      <w:r w:rsidR="00397DF0" w:rsidRPr="00013AA6">
        <w:t xml:space="preserve">132.7 </w:t>
      </w:r>
      <w:r w:rsidRPr="00013AA6">
        <w:t>million for the period 201</w:t>
      </w:r>
      <w:r w:rsidR="00397DF0" w:rsidRPr="00013AA6">
        <w:t>8</w:t>
      </w:r>
      <w:r w:rsidRPr="00013AA6">
        <w:noBreakHyphen/>
        <w:t>2020 and US $</w:t>
      </w:r>
      <w:r w:rsidR="00397DF0" w:rsidRPr="00013AA6">
        <w:t xml:space="preserve">96.2 </w:t>
      </w:r>
      <w:r w:rsidRPr="00013AA6">
        <w:t>million for after 2020.</w:t>
      </w:r>
    </w:p>
    <w:p w:rsidR="00E06711" w:rsidRPr="00013AA6" w:rsidRDefault="00E06711" w:rsidP="00015809">
      <w:pPr>
        <w:pStyle w:val="Heading1"/>
      </w:pPr>
      <w:r w:rsidRPr="00013AA6">
        <w:t>However, the average annual level of funding after stage I of the HPPMP starting in 2017 should be US $21.87 million</w:t>
      </w:r>
      <w:r w:rsidR="00A60F1A">
        <w:t xml:space="preserve"> (or US $65.62 million for the period 2018-2020)</w:t>
      </w:r>
      <w:r w:rsidRPr="00013AA6">
        <w:t xml:space="preserve"> assuming the maximum amount of funding (US $406.56 million)</w:t>
      </w:r>
      <w:r w:rsidRPr="00013AA6">
        <w:rPr>
          <w:rStyle w:val="FootnoteReference"/>
        </w:rPr>
        <w:footnoteReference w:id="2"/>
      </w:r>
      <w:r w:rsidRPr="00013AA6">
        <w:t xml:space="preserve"> including agency support costs per decision 69/28(e). Therefore, the proposed level of funding for the period 20</w:t>
      </w:r>
      <w:r w:rsidR="00BF77F7" w:rsidRPr="00013AA6">
        <w:t>18</w:t>
      </w:r>
      <w:r w:rsidRPr="00013AA6">
        <w:t xml:space="preserve"> to 2020 would exceed the average annual amount by </w:t>
      </w:r>
      <w:r w:rsidR="00A60F1A">
        <w:t>approximately 1</w:t>
      </w:r>
      <w:r w:rsidR="00BF77F7" w:rsidRPr="00013AA6">
        <w:t>00</w:t>
      </w:r>
      <w:r w:rsidRPr="00013AA6">
        <w:t xml:space="preserve"> per cent. </w:t>
      </w:r>
    </w:p>
    <w:p w:rsidR="00E06711" w:rsidRPr="00013AA6" w:rsidRDefault="005A609B" w:rsidP="00015809">
      <w:pPr>
        <w:pStyle w:val="Heading1"/>
      </w:pPr>
      <w:r>
        <w:t>The</w:t>
      </w:r>
      <w:r w:rsidR="00126407">
        <w:t xml:space="preserve"> </w:t>
      </w:r>
      <w:r w:rsidR="00E06711" w:rsidRPr="00013AA6">
        <w:t xml:space="preserve">request </w:t>
      </w:r>
      <w:r>
        <w:t xml:space="preserve">for </w:t>
      </w:r>
      <w:r w:rsidR="00E06711" w:rsidRPr="00013AA6">
        <w:t xml:space="preserve">funding </w:t>
      </w:r>
      <w:r w:rsidR="00F45688">
        <w:t xml:space="preserve">for </w:t>
      </w:r>
      <w:r w:rsidR="00E06711" w:rsidRPr="00013AA6">
        <w:t xml:space="preserve">stage II </w:t>
      </w:r>
      <w:r>
        <w:t xml:space="preserve">of the HPPMP for China has been </w:t>
      </w:r>
      <w:r w:rsidR="00C23FE6">
        <w:t>re</w:t>
      </w:r>
      <w:r>
        <w:t>submitted to</w:t>
      </w:r>
      <w:r w:rsidR="00AA38BF" w:rsidRPr="00013AA6">
        <w:t xml:space="preserve"> the 80</w:t>
      </w:r>
      <w:r w:rsidR="00AA38BF" w:rsidRPr="00013AA6">
        <w:rPr>
          <w:vertAlign w:val="superscript"/>
        </w:rPr>
        <w:t>th</w:t>
      </w:r>
      <w:r w:rsidR="00126407">
        <w:t> </w:t>
      </w:r>
      <w:r w:rsidR="00AA38BF" w:rsidRPr="00013AA6">
        <w:t>meeting</w:t>
      </w:r>
      <w:r>
        <w:t xml:space="preserve"> in accordance with decision 79/48</w:t>
      </w:r>
      <w:r w:rsidR="00AA38BF" w:rsidRPr="00013AA6">
        <w:t>.</w:t>
      </w:r>
      <w:r w:rsidR="00E06711" w:rsidRPr="00013AA6">
        <w:t xml:space="preserve"> </w:t>
      </w:r>
    </w:p>
    <w:p w:rsidR="00E06711" w:rsidRPr="00013AA6" w:rsidRDefault="005A609B" w:rsidP="00015809">
      <w:pPr>
        <w:rPr>
          <w:u w:val="single"/>
        </w:rPr>
      </w:pPr>
      <w:r>
        <w:rPr>
          <w:u w:val="single"/>
        </w:rPr>
        <w:t>HPMP stage II</w:t>
      </w:r>
    </w:p>
    <w:p w:rsidR="00E06711" w:rsidRPr="00013AA6" w:rsidRDefault="00E06711" w:rsidP="00015809"/>
    <w:p w:rsidR="00E06711" w:rsidRPr="00013AA6" w:rsidRDefault="00F45688" w:rsidP="00015809">
      <w:pPr>
        <w:pStyle w:val="Heading1"/>
      </w:pPr>
      <w:r>
        <w:t>The f</w:t>
      </w:r>
      <w:r w:rsidR="00E06711" w:rsidRPr="00013AA6">
        <w:t xml:space="preserve">unding </w:t>
      </w:r>
      <w:r w:rsidR="005A609B">
        <w:t>distribution of</w:t>
      </w:r>
      <w:r w:rsidR="00E06711" w:rsidRPr="00013AA6">
        <w:t xml:space="preserve"> stage II of HPMPs </w:t>
      </w:r>
      <w:r w:rsidR="005A609B">
        <w:t>by sector</w:t>
      </w:r>
      <w:r w:rsidR="00E06711" w:rsidRPr="00013AA6">
        <w:t xml:space="preserve"> is provided in Table 2.</w:t>
      </w:r>
    </w:p>
    <w:p w:rsidR="00E06711" w:rsidRPr="00013AA6" w:rsidRDefault="00E06711" w:rsidP="00015809">
      <w:pPr>
        <w:keepNext/>
        <w:jc w:val="left"/>
        <w:rPr>
          <w:b/>
        </w:rPr>
      </w:pPr>
      <w:r w:rsidRPr="00013AA6">
        <w:rPr>
          <w:b/>
        </w:rPr>
        <w:t>Table 2: Funding distribution of stage II of HPMPs by sector (US $000)</w:t>
      </w:r>
    </w:p>
    <w:tbl>
      <w:tblPr>
        <w:tblW w:w="9498" w:type="dxa"/>
        <w:tblInd w:w="-5" w:type="dxa"/>
        <w:tblLayout w:type="fixed"/>
        <w:tblLook w:val="04A0" w:firstRow="1" w:lastRow="0" w:firstColumn="1" w:lastColumn="0" w:noHBand="0" w:noVBand="1"/>
      </w:tblPr>
      <w:tblGrid>
        <w:gridCol w:w="2694"/>
        <w:gridCol w:w="1559"/>
        <w:gridCol w:w="1559"/>
        <w:gridCol w:w="1559"/>
        <w:gridCol w:w="2127"/>
      </w:tblGrid>
      <w:tr w:rsidR="00BB1BBF" w:rsidRPr="00013AA6" w:rsidTr="00F25937">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F" w:rsidRPr="00013AA6" w:rsidRDefault="00BB1BBF" w:rsidP="00015809">
            <w:pPr>
              <w:keepNext/>
              <w:jc w:val="center"/>
              <w:rPr>
                <w:b/>
                <w:bCs/>
                <w:sz w:val="20"/>
                <w:szCs w:val="20"/>
                <w:lang w:val="en-CA" w:eastAsia="en-CA"/>
              </w:rPr>
            </w:pPr>
            <w:r w:rsidRPr="00013AA6">
              <w:rPr>
                <w:b/>
                <w:bCs/>
                <w:sz w:val="20"/>
                <w:szCs w:val="20"/>
                <w:lang w:val="en-US" w:eastAsia="en-CA"/>
              </w:rPr>
              <w:t>Sector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1BBF" w:rsidRPr="00013AA6" w:rsidRDefault="00BB1BBF" w:rsidP="00015809">
            <w:pPr>
              <w:keepNext/>
              <w:jc w:val="center"/>
              <w:rPr>
                <w:b/>
                <w:bCs/>
                <w:sz w:val="20"/>
                <w:szCs w:val="20"/>
                <w:lang w:val="en-CA" w:eastAsia="en-CA"/>
              </w:rPr>
            </w:pPr>
            <w:r w:rsidRPr="00013AA6">
              <w:rPr>
                <w:b/>
                <w:bCs/>
                <w:sz w:val="20"/>
                <w:szCs w:val="20"/>
                <w:lang w:val="en-US" w:eastAsia="en-CA"/>
              </w:rPr>
              <w:t>2018-2020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1BBF" w:rsidRPr="00013AA6" w:rsidRDefault="00BB1BBF" w:rsidP="00015809">
            <w:pPr>
              <w:keepNext/>
              <w:jc w:val="center"/>
              <w:rPr>
                <w:b/>
                <w:bCs/>
                <w:sz w:val="20"/>
                <w:szCs w:val="20"/>
                <w:lang w:val="en-CA" w:eastAsia="en-CA"/>
              </w:rPr>
            </w:pPr>
            <w:r w:rsidRPr="00013AA6">
              <w:rPr>
                <w:b/>
                <w:bCs/>
                <w:sz w:val="20"/>
                <w:szCs w:val="20"/>
                <w:lang w:val="en-US" w:eastAsia="en-CA"/>
              </w:rPr>
              <w:t>After 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B1BBF" w:rsidRPr="00013AA6" w:rsidRDefault="00BB1BBF" w:rsidP="00015809">
            <w:pPr>
              <w:keepNext/>
              <w:jc w:val="center"/>
              <w:rPr>
                <w:b/>
                <w:bCs/>
                <w:sz w:val="20"/>
                <w:szCs w:val="20"/>
                <w:lang w:val="en-CA" w:eastAsia="en-CA"/>
              </w:rPr>
            </w:pPr>
            <w:r w:rsidRPr="00013AA6">
              <w:rPr>
                <w:b/>
                <w:bCs/>
                <w:sz w:val="20"/>
                <w:szCs w:val="20"/>
                <w:lang w:val="en-US" w:eastAsia="en-CA"/>
              </w:rPr>
              <w:t>Total</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B1BBF" w:rsidRPr="00013AA6" w:rsidRDefault="00BB1BBF" w:rsidP="00015809">
            <w:pPr>
              <w:keepNext/>
              <w:jc w:val="center"/>
              <w:rPr>
                <w:b/>
                <w:bCs/>
                <w:sz w:val="20"/>
                <w:szCs w:val="20"/>
                <w:lang w:val="en-CA" w:eastAsia="en-CA"/>
              </w:rPr>
            </w:pPr>
            <w:r w:rsidRPr="00013AA6">
              <w:rPr>
                <w:b/>
                <w:bCs/>
                <w:sz w:val="20"/>
                <w:szCs w:val="20"/>
                <w:lang w:val="en-US" w:eastAsia="en-CA"/>
              </w:rPr>
              <w:t>Per cent of total</w:t>
            </w:r>
            <w:r w:rsidR="00F25937">
              <w:rPr>
                <w:b/>
                <w:bCs/>
                <w:sz w:val="20"/>
                <w:szCs w:val="20"/>
                <w:lang w:val="en-US" w:eastAsia="en-CA"/>
              </w:rPr>
              <w:t xml:space="preserve"> (%)</w:t>
            </w:r>
          </w:p>
        </w:tc>
      </w:tr>
      <w:tr w:rsidR="00BB1BBF" w:rsidRPr="00013AA6" w:rsidTr="00F25937">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BB1BBF" w:rsidRPr="00013AA6" w:rsidRDefault="005A609B" w:rsidP="00015809">
            <w:pPr>
              <w:keepNext/>
              <w:jc w:val="left"/>
              <w:rPr>
                <w:sz w:val="20"/>
                <w:szCs w:val="20"/>
                <w:lang w:val="en-CA" w:eastAsia="en-CA"/>
              </w:rPr>
            </w:pPr>
            <w:r w:rsidRPr="00013AA6">
              <w:rPr>
                <w:sz w:val="20"/>
                <w:szCs w:val="20"/>
                <w:lang w:val="en-US" w:eastAsia="en-CA"/>
              </w:rPr>
              <w:t>Rigid</w:t>
            </w:r>
            <w:r>
              <w:rPr>
                <w:sz w:val="20"/>
                <w:szCs w:val="20"/>
                <w:lang w:val="en-US" w:eastAsia="en-CA"/>
              </w:rPr>
              <w:t xml:space="preserve"> f</w:t>
            </w:r>
            <w:r w:rsidR="00BB1BBF" w:rsidRPr="00013AA6">
              <w:rPr>
                <w:sz w:val="20"/>
                <w:szCs w:val="20"/>
                <w:lang w:val="en-US" w:eastAsia="en-CA"/>
              </w:rPr>
              <w:t xml:space="preserve">oam </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keepNext/>
              <w:jc w:val="right"/>
              <w:rPr>
                <w:sz w:val="20"/>
                <w:szCs w:val="20"/>
                <w:lang w:val="en-CA" w:eastAsia="en-CA"/>
              </w:rPr>
            </w:pPr>
            <w:r w:rsidRPr="00013AA6">
              <w:rPr>
                <w:sz w:val="20"/>
                <w:szCs w:val="20"/>
                <w:lang w:val="en-CA" w:eastAsia="en-CA"/>
              </w:rPr>
              <w:t>2,353</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keepNext/>
              <w:jc w:val="right"/>
              <w:rPr>
                <w:sz w:val="20"/>
                <w:szCs w:val="20"/>
                <w:lang w:val="en-CA" w:eastAsia="en-CA"/>
              </w:rPr>
            </w:pPr>
            <w:r w:rsidRPr="00013AA6">
              <w:rPr>
                <w:sz w:val="20"/>
                <w:szCs w:val="20"/>
                <w:lang w:val="en-CA" w:eastAsia="en-CA"/>
              </w:rPr>
              <w:t>261</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keepNext/>
              <w:jc w:val="right"/>
              <w:rPr>
                <w:sz w:val="20"/>
                <w:szCs w:val="20"/>
                <w:lang w:val="en-CA" w:eastAsia="en-CA"/>
              </w:rPr>
            </w:pPr>
            <w:r w:rsidRPr="00013AA6">
              <w:rPr>
                <w:sz w:val="20"/>
                <w:szCs w:val="20"/>
                <w:lang w:val="en-CA" w:eastAsia="en-CA"/>
              </w:rPr>
              <w:t>2,615</w:t>
            </w:r>
          </w:p>
        </w:tc>
        <w:tc>
          <w:tcPr>
            <w:tcW w:w="2127"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keepNext/>
              <w:jc w:val="right"/>
              <w:rPr>
                <w:sz w:val="20"/>
                <w:szCs w:val="20"/>
                <w:lang w:val="en-CA" w:eastAsia="en-CA"/>
              </w:rPr>
            </w:pPr>
            <w:r w:rsidRPr="00013AA6">
              <w:rPr>
                <w:sz w:val="20"/>
                <w:szCs w:val="20"/>
                <w:lang w:val="en-CA" w:eastAsia="en-CA"/>
              </w:rPr>
              <w:t>13.3</w:t>
            </w:r>
          </w:p>
        </w:tc>
      </w:tr>
      <w:tr w:rsidR="00BB1BBF" w:rsidRPr="00013AA6" w:rsidTr="00F25937">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BB1BBF" w:rsidRPr="00013AA6" w:rsidRDefault="00BB1BBF" w:rsidP="00015809">
            <w:pPr>
              <w:keepNext/>
              <w:jc w:val="left"/>
              <w:rPr>
                <w:sz w:val="20"/>
                <w:szCs w:val="20"/>
                <w:lang w:val="en-CA" w:eastAsia="en-CA"/>
              </w:rPr>
            </w:pPr>
            <w:r w:rsidRPr="00013AA6">
              <w:rPr>
                <w:sz w:val="20"/>
                <w:szCs w:val="20"/>
                <w:lang w:val="en-US" w:eastAsia="en-CA"/>
              </w:rPr>
              <w:t>Refrigeration air-conditioning</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keepNext/>
              <w:jc w:val="right"/>
              <w:rPr>
                <w:sz w:val="20"/>
                <w:szCs w:val="20"/>
                <w:lang w:val="en-CA" w:eastAsia="en-CA"/>
              </w:rPr>
            </w:pPr>
            <w:r w:rsidRPr="00013AA6">
              <w:rPr>
                <w:sz w:val="20"/>
                <w:szCs w:val="20"/>
                <w:lang w:val="en-CA" w:eastAsia="en-CA"/>
              </w:rPr>
              <w:t>2,222</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keepNext/>
              <w:jc w:val="right"/>
              <w:rPr>
                <w:sz w:val="20"/>
                <w:szCs w:val="20"/>
                <w:lang w:val="en-CA" w:eastAsia="en-CA"/>
              </w:rPr>
            </w:pPr>
            <w:r w:rsidRPr="00013AA6">
              <w:rPr>
                <w:sz w:val="20"/>
                <w:szCs w:val="20"/>
                <w:lang w:val="en-CA" w:eastAsia="en-CA"/>
              </w:rPr>
              <w:t> </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keepNext/>
              <w:jc w:val="right"/>
              <w:rPr>
                <w:sz w:val="20"/>
                <w:szCs w:val="20"/>
                <w:lang w:val="en-CA" w:eastAsia="en-CA"/>
              </w:rPr>
            </w:pPr>
            <w:r w:rsidRPr="00013AA6">
              <w:rPr>
                <w:sz w:val="20"/>
                <w:szCs w:val="20"/>
                <w:lang w:val="en-CA" w:eastAsia="en-CA"/>
              </w:rPr>
              <w:t>2,222</w:t>
            </w:r>
          </w:p>
        </w:tc>
        <w:tc>
          <w:tcPr>
            <w:tcW w:w="2127"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keepNext/>
              <w:jc w:val="right"/>
              <w:rPr>
                <w:sz w:val="20"/>
                <w:szCs w:val="20"/>
                <w:lang w:val="en-CA" w:eastAsia="en-CA"/>
              </w:rPr>
            </w:pPr>
            <w:r w:rsidRPr="00013AA6">
              <w:rPr>
                <w:sz w:val="20"/>
                <w:szCs w:val="20"/>
                <w:lang w:val="en-CA" w:eastAsia="en-CA"/>
              </w:rPr>
              <w:t>11.3</w:t>
            </w:r>
          </w:p>
        </w:tc>
      </w:tr>
      <w:tr w:rsidR="00BB1BBF" w:rsidRPr="00013AA6" w:rsidTr="00F25937">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BB1BBF" w:rsidRPr="00013AA6" w:rsidRDefault="00BB1BBF" w:rsidP="00015809">
            <w:pPr>
              <w:jc w:val="left"/>
              <w:rPr>
                <w:sz w:val="20"/>
                <w:szCs w:val="20"/>
                <w:lang w:val="en-CA" w:eastAsia="en-CA"/>
              </w:rPr>
            </w:pPr>
            <w:r w:rsidRPr="00013AA6">
              <w:rPr>
                <w:sz w:val="20"/>
                <w:szCs w:val="20"/>
                <w:lang w:val="en-US" w:eastAsia="en-CA"/>
              </w:rPr>
              <w:t>Refrigeration commercial</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sz w:val="20"/>
                <w:szCs w:val="20"/>
                <w:lang w:val="en-CA" w:eastAsia="en-CA"/>
              </w:rPr>
            </w:pPr>
            <w:r w:rsidRPr="00013AA6">
              <w:rPr>
                <w:sz w:val="20"/>
                <w:szCs w:val="20"/>
                <w:lang w:val="en-CA" w:eastAsia="en-CA"/>
              </w:rPr>
              <w:t>2,427</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sz w:val="20"/>
                <w:szCs w:val="20"/>
                <w:lang w:val="en-CA" w:eastAsia="en-CA"/>
              </w:rPr>
            </w:pPr>
            <w:r w:rsidRPr="00013AA6">
              <w:rPr>
                <w:sz w:val="20"/>
                <w:szCs w:val="20"/>
                <w:lang w:val="en-CA" w:eastAsia="en-CA"/>
              </w:rPr>
              <w:t>270</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sz w:val="20"/>
                <w:szCs w:val="20"/>
                <w:lang w:val="en-CA" w:eastAsia="en-CA"/>
              </w:rPr>
            </w:pPr>
            <w:r w:rsidRPr="00013AA6">
              <w:rPr>
                <w:sz w:val="20"/>
                <w:szCs w:val="20"/>
                <w:lang w:val="en-CA" w:eastAsia="en-CA"/>
              </w:rPr>
              <w:t>2,696</w:t>
            </w:r>
          </w:p>
        </w:tc>
        <w:tc>
          <w:tcPr>
            <w:tcW w:w="2127"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sz w:val="20"/>
                <w:szCs w:val="20"/>
                <w:lang w:val="en-CA" w:eastAsia="en-CA"/>
              </w:rPr>
            </w:pPr>
            <w:r w:rsidRPr="00013AA6">
              <w:rPr>
                <w:sz w:val="20"/>
                <w:szCs w:val="20"/>
                <w:lang w:val="en-CA" w:eastAsia="en-CA"/>
              </w:rPr>
              <w:t>13.7</w:t>
            </w:r>
          </w:p>
        </w:tc>
      </w:tr>
      <w:tr w:rsidR="00BB1BBF" w:rsidRPr="00013AA6" w:rsidTr="00F25937">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BB1BBF" w:rsidRPr="00013AA6" w:rsidRDefault="00BB1BBF" w:rsidP="00015809">
            <w:pPr>
              <w:jc w:val="left"/>
              <w:rPr>
                <w:sz w:val="20"/>
                <w:szCs w:val="20"/>
                <w:lang w:val="en-CA" w:eastAsia="en-CA"/>
              </w:rPr>
            </w:pPr>
            <w:r w:rsidRPr="00013AA6">
              <w:rPr>
                <w:sz w:val="20"/>
                <w:szCs w:val="20"/>
                <w:lang w:val="en-US" w:eastAsia="en-CA"/>
              </w:rPr>
              <w:t>Refrigeration servicing</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sz w:val="20"/>
                <w:szCs w:val="20"/>
                <w:lang w:val="en-CA" w:eastAsia="en-CA"/>
              </w:rPr>
            </w:pPr>
            <w:r w:rsidRPr="00013AA6">
              <w:rPr>
                <w:sz w:val="20"/>
                <w:szCs w:val="20"/>
                <w:lang w:val="en-CA" w:eastAsia="en-CA"/>
              </w:rPr>
              <w:t>9,480</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sz w:val="20"/>
                <w:szCs w:val="20"/>
                <w:lang w:val="en-CA" w:eastAsia="en-CA"/>
              </w:rPr>
            </w:pPr>
            <w:r w:rsidRPr="00013AA6">
              <w:rPr>
                <w:sz w:val="20"/>
                <w:szCs w:val="20"/>
                <w:lang w:val="en-CA" w:eastAsia="en-CA"/>
              </w:rPr>
              <w:t>1,053</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sz w:val="20"/>
                <w:szCs w:val="20"/>
                <w:lang w:val="en-CA" w:eastAsia="en-CA"/>
              </w:rPr>
            </w:pPr>
            <w:r w:rsidRPr="00013AA6">
              <w:rPr>
                <w:sz w:val="20"/>
                <w:szCs w:val="20"/>
                <w:lang w:val="en-CA" w:eastAsia="en-CA"/>
              </w:rPr>
              <w:t>10,533</w:t>
            </w:r>
          </w:p>
        </w:tc>
        <w:tc>
          <w:tcPr>
            <w:tcW w:w="2127"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sz w:val="20"/>
                <w:szCs w:val="20"/>
                <w:lang w:val="en-CA" w:eastAsia="en-CA"/>
              </w:rPr>
            </w:pPr>
            <w:r w:rsidRPr="00013AA6">
              <w:rPr>
                <w:sz w:val="20"/>
                <w:szCs w:val="20"/>
                <w:lang w:val="en-CA" w:eastAsia="en-CA"/>
              </w:rPr>
              <w:t>53.6</w:t>
            </w:r>
          </w:p>
        </w:tc>
      </w:tr>
      <w:tr w:rsidR="00BB1BBF" w:rsidRPr="00013AA6" w:rsidTr="00F25937">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BB1BBF" w:rsidRPr="00013AA6" w:rsidRDefault="00BB1BBF" w:rsidP="00015809">
            <w:pPr>
              <w:jc w:val="left"/>
              <w:rPr>
                <w:sz w:val="20"/>
                <w:szCs w:val="20"/>
                <w:lang w:val="en-CA" w:eastAsia="en-CA"/>
              </w:rPr>
            </w:pPr>
            <w:r w:rsidRPr="00013AA6">
              <w:rPr>
                <w:sz w:val="20"/>
                <w:szCs w:val="20"/>
                <w:lang w:val="en-US" w:eastAsia="en-CA"/>
              </w:rPr>
              <w:t>Solvent</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sz w:val="20"/>
                <w:szCs w:val="20"/>
                <w:lang w:val="en-CA" w:eastAsia="en-CA"/>
              </w:rPr>
            </w:pPr>
            <w:r w:rsidRPr="00013AA6">
              <w:rPr>
                <w:sz w:val="20"/>
                <w:szCs w:val="20"/>
                <w:lang w:val="en-CA" w:eastAsia="en-CA"/>
              </w:rPr>
              <w:t>1,418</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sz w:val="20"/>
                <w:szCs w:val="20"/>
                <w:lang w:val="en-CA" w:eastAsia="en-CA"/>
              </w:rPr>
            </w:pPr>
            <w:r w:rsidRPr="00013AA6">
              <w:rPr>
                <w:sz w:val="20"/>
                <w:szCs w:val="20"/>
                <w:lang w:val="en-CA" w:eastAsia="en-CA"/>
              </w:rPr>
              <w:t>158</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sz w:val="20"/>
                <w:szCs w:val="20"/>
                <w:lang w:val="en-CA" w:eastAsia="en-CA"/>
              </w:rPr>
            </w:pPr>
            <w:r w:rsidRPr="00013AA6">
              <w:rPr>
                <w:sz w:val="20"/>
                <w:szCs w:val="20"/>
                <w:lang w:val="en-CA" w:eastAsia="en-CA"/>
              </w:rPr>
              <w:t>1,576</w:t>
            </w:r>
          </w:p>
        </w:tc>
        <w:tc>
          <w:tcPr>
            <w:tcW w:w="2127"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sz w:val="20"/>
                <w:szCs w:val="20"/>
                <w:lang w:val="en-CA" w:eastAsia="en-CA"/>
              </w:rPr>
            </w:pPr>
            <w:r w:rsidRPr="00013AA6">
              <w:rPr>
                <w:sz w:val="20"/>
                <w:szCs w:val="20"/>
                <w:lang w:val="en-CA" w:eastAsia="en-CA"/>
              </w:rPr>
              <w:t>8.0</w:t>
            </w:r>
          </w:p>
        </w:tc>
      </w:tr>
      <w:tr w:rsidR="00BB1BBF" w:rsidRPr="00013AA6" w:rsidTr="00F25937">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BB1BBF" w:rsidRPr="00013AA6" w:rsidRDefault="00BB1BBF" w:rsidP="00015809">
            <w:pPr>
              <w:jc w:val="left"/>
              <w:rPr>
                <w:b/>
                <w:bCs/>
                <w:sz w:val="20"/>
                <w:szCs w:val="20"/>
                <w:lang w:val="en-CA" w:eastAsia="en-CA"/>
              </w:rPr>
            </w:pPr>
            <w:r w:rsidRPr="00013AA6">
              <w:rPr>
                <w:b/>
                <w:bCs/>
                <w:sz w:val="20"/>
                <w:szCs w:val="20"/>
                <w:lang w:val="en-US" w:eastAsia="en-CA"/>
              </w:rPr>
              <w:t>Total</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b/>
                <w:bCs/>
                <w:sz w:val="20"/>
                <w:szCs w:val="20"/>
                <w:lang w:val="en-CA" w:eastAsia="en-CA"/>
              </w:rPr>
            </w:pPr>
            <w:r w:rsidRPr="00013AA6">
              <w:rPr>
                <w:b/>
                <w:bCs/>
                <w:sz w:val="20"/>
                <w:szCs w:val="20"/>
                <w:lang w:val="en-CA" w:eastAsia="en-CA"/>
              </w:rPr>
              <w:t>17,900</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b/>
                <w:bCs/>
                <w:sz w:val="20"/>
                <w:szCs w:val="20"/>
                <w:lang w:val="en-CA" w:eastAsia="en-CA"/>
              </w:rPr>
            </w:pPr>
            <w:r w:rsidRPr="00013AA6">
              <w:rPr>
                <w:b/>
                <w:bCs/>
                <w:sz w:val="20"/>
                <w:szCs w:val="20"/>
                <w:lang w:val="en-CA" w:eastAsia="en-CA"/>
              </w:rPr>
              <w:t>1,742</w:t>
            </w:r>
          </w:p>
        </w:tc>
        <w:tc>
          <w:tcPr>
            <w:tcW w:w="1559"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b/>
                <w:bCs/>
                <w:sz w:val="20"/>
                <w:szCs w:val="20"/>
                <w:lang w:val="en-CA" w:eastAsia="en-CA"/>
              </w:rPr>
            </w:pPr>
            <w:r w:rsidRPr="00013AA6">
              <w:rPr>
                <w:b/>
                <w:bCs/>
                <w:sz w:val="20"/>
                <w:szCs w:val="20"/>
                <w:lang w:val="en-CA" w:eastAsia="en-CA"/>
              </w:rPr>
              <w:t>19,642</w:t>
            </w:r>
          </w:p>
        </w:tc>
        <w:tc>
          <w:tcPr>
            <w:tcW w:w="2127" w:type="dxa"/>
            <w:tcBorders>
              <w:top w:val="nil"/>
              <w:left w:val="nil"/>
              <w:bottom w:val="single" w:sz="4" w:space="0" w:color="auto"/>
              <w:right w:val="single" w:sz="4" w:space="0" w:color="auto"/>
            </w:tcBorders>
            <w:shd w:val="clear" w:color="auto" w:fill="auto"/>
            <w:noWrap/>
            <w:vAlign w:val="center"/>
            <w:hideMark/>
          </w:tcPr>
          <w:p w:rsidR="00BB1BBF" w:rsidRPr="00013AA6" w:rsidRDefault="00BB1BBF" w:rsidP="00015809">
            <w:pPr>
              <w:jc w:val="right"/>
              <w:rPr>
                <w:b/>
                <w:bCs/>
                <w:sz w:val="20"/>
                <w:szCs w:val="20"/>
                <w:lang w:val="en-CA" w:eastAsia="en-CA"/>
              </w:rPr>
            </w:pPr>
            <w:r w:rsidRPr="00013AA6">
              <w:rPr>
                <w:b/>
                <w:bCs/>
                <w:sz w:val="20"/>
                <w:szCs w:val="20"/>
                <w:lang w:val="en-CA" w:eastAsia="en-CA"/>
              </w:rPr>
              <w:t>100.0</w:t>
            </w:r>
          </w:p>
        </w:tc>
      </w:tr>
    </w:tbl>
    <w:p w:rsidR="00BB1BBF" w:rsidRPr="00013AA6" w:rsidRDefault="00BB1BBF" w:rsidP="00015809">
      <w:pPr>
        <w:keepNext/>
        <w:jc w:val="left"/>
        <w:rPr>
          <w:b/>
        </w:rPr>
      </w:pPr>
    </w:p>
    <w:p w:rsidR="00BB1BBF" w:rsidRPr="005A609B" w:rsidRDefault="005A609B" w:rsidP="00015809">
      <w:pPr>
        <w:rPr>
          <w:u w:val="single"/>
        </w:rPr>
      </w:pPr>
      <w:r w:rsidRPr="005A609B">
        <w:rPr>
          <w:u w:val="single"/>
        </w:rPr>
        <w:t>HFC-related activities</w:t>
      </w:r>
    </w:p>
    <w:p w:rsidR="008D522C" w:rsidRPr="00013AA6" w:rsidRDefault="008D522C" w:rsidP="00015809">
      <w:pPr>
        <w:rPr>
          <w:b/>
        </w:rPr>
      </w:pPr>
    </w:p>
    <w:p w:rsidR="005A609B" w:rsidRPr="00013AA6" w:rsidRDefault="006F0713" w:rsidP="00015809">
      <w:pPr>
        <w:pStyle w:val="Heading1"/>
      </w:pPr>
      <w:r w:rsidRPr="00013AA6">
        <w:t>HFC activities include enabling</w:t>
      </w:r>
      <w:r w:rsidR="005A609B">
        <w:t xml:space="preserve"> activities</w:t>
      </w:r>
      <w:r w:rsidR="005A609B" w:rsidRPr="005A609B">
        <w:t xml:space="preserve"> </w:t>
      </w:r>
      <w:r w:rsidR="005A609B">
        <w:t>(</w:t>
      </w:r>
      <w:r w:rsidR="005A609B" w:rsidRPr="00013AA6">
        <w:t xml:space="preserve">US $250,000 in 2018 for </w:t>
      </w:r>
      <w:r w:rsidR="005A609B">
        <w:t>Indonesia);</w:t>
      </w:r>
      <w:r w:rsidRPr="00013AA6">
        <w:t xml:space="preserve"> </w:t>
      </w:r>
      <w:r w:rsidR="005A609B" w:rsidRPr="00013AA6">
        <w:t>technology demonstration of HFC</w:t>
      </w:r>
      <w:r w:rsidR="005A609B">
        <w:t>-23 by-product conversion (US </w:t>
      </w:r>
      <w:r w:rsidR="005A609B" w:rsidRPr="00013AA6">
        <w:t xml:space="preserve">$5.9 million in 2018 for </w:t>
      </w:r>
      <w:r w:rsidR="005A609B">
        <w:t xml:space="preserve">China); and </w:t>
      </w:r>
      <w:r w:rsidR="005A609B" w:rsidRPr="00013AA6">
        <w:t xml:space="preserve">HFC investment activities </w:t>
      </w:r>
      <w:r w:rsidR="005A609B">
        <w:t>(US </w:t>
      </w:r>
      <w:r w:rsidR="005A609B" w:rsidRPr="00013AA6">
        <w:t xml:space="preserve">$856,000 in 2018 for </w:t>
      </w:r>
      <w:r w:rsidR="005A609B">
        <w:t>Thailand)</w:t>
      </w:r>
      <w:r w:rsidR="005A609B" w:rsidRPr="00013AA6">
        <w:t>.</w:t>
      </w:r>
    </w:p>
    <w:p w:rsidR="008D522C" w:rsidRPr="00013AA6" w:rsidRDefault="006F0713" w:rsidP="00015809">
      <w:pPr>
        <w:pStyle w:val="Heading1"/>
      </w:pPr>
      <w:r w:rsidRPr="00013AA6">
        <w:t xml:space="preserve">One of the pre-requisites for including </w:t>
      </w:r>
      <w:r w:rsidR="005A609B">
        <w:t xml:space="preserve">an </w:t>
      </w:r>
      <w:r w:rsidRPr="00013AA6">
        <w:t xml:space="preserve">HFC activity in </w:t>
      </w:r>
      <w:r w:rsidR="005A609B">
        <w:t>a</w:t>
      </w:r>
      <w:r w:rsidRPr="00013AA6">
        <w:t xml:space="preserve"> business plan is </w:t>
      </w:r>
      <w:r w:rsidR="00126407">
        <w:t xml:space="preserve">a </w:t>
      </w:r>
      <w:r w:rsidRPr="00013AA6">
        <w:t xml:space="preserve">letter of intention/endorsement from </w:t>
      </w:r>
      <w:r w:rsidR="005A609B">
        <w:t>the government concerned</w:t>
      </w:r>
      <w:r w:rsidRPr="00013AA6">
        <w:t>. The World Bank has submitted all the required letters for these activities.</w:t>
      </w:r>
    </w:p>
    <w:p w:rsidR="00E06711" w:rsidRPr="00013AA6" w:rsidRDefault="00E06711" w:rsidP="00015809">
      <w:pPr>
        <w:keepNext/>
        <w:keepLines/>
        <w:rPr>
          <w:u w:val="single"/>
        </w:rPr>
      </w:pPr>
      <w:r w:rsidRPr="00013AA6">
        <w:rPr>
          <w:u w:val="single"/>
        </w:rPr>
        <w:t>Core unit costs</w:t>
      </w:r>
    </w:p>
    <w:p w:rsidR="00E06711" w:rsidRPr="00013AA6" w:rsidRDefault="00E06711" w:rsidP="00015809">
      <w:pPr>
        <w:keepNext/>
        <w:keepLines/>
      </w:pPr>
    </w:p>
    <w:p w:rsidR="00E06711" w:rsidRPr="00013AA6" w:rsidRDefault="00615BBA" w:rsidP="00015809">
      <w:pPr>
        <w:pStyle w:val="Heading1"/>
        <w:keepNext/>
        <w:keepLines/>
      </w:pPr>
      <w:r w:rsidRPr="00013AA6">
        <w:t>The World Bank has</w:t>
      </w:r>
      <w:r w:rsidR="00E06711" w:rsidRPr="00013AA6">
        <w:t xml:space="preserve"> increased the core unit budget for 201</w:t>
      </w:r>
      <w:r w:rsidRPr="00013AA6">
        <w:t>8</w:t>
      </w:r>
      <w:r w:rsidR="00E06711" w:rsidRPr="00013AA6">
        <w:rPr>
          <w:rStyle w:val="FootnoteReference"/>
        </w:rPr>
        <w:footnoteReference w:id="3"/>
      </w:r>
      <w:r w:rsidRPr="00013AA6">
        <w:t xml:space="preserve"> to US $1.</w:t>
      </w:r>
      <w:r w:rsidR="00215C26" w:rsidRPr="00013AA6">
        <w:t>735 million</w:t>
      </w:r>
      <w:r w:rsidR="00284177">
        <w:t xml:space="preserve"> from US $1.725 million,</w:t>
      </w:r>
      <w:r w:rsidR="005A609B">
        <w:t xml:space="preserve"> </w:t>
      </w:r>
      <w:r w:rsidR="005F2FC1">
        <w:t xml:space="preserve">at a </w:t>
      </w:r>
      <w:r w:rsidR="00DE5002">
        <w:t xml:space="preserve">lower </w:t>
      </w:r>
      <w:r w:rsidR="008216E9">
        <w:t xml:space="preserve">rate </w:t>
      </w:r>
      <w:r w:rsidR="00DE5002">
        <w:t xml:space="preserve">than the </w:t>
      </w:r>
      <w:r w:rsidR="00DE5002" w:rsidRPr="003936C7">
        <w:t>annual rate of 0.7 per cent that has been agreed to</w:t>
      </w:r>
      <w:r w:rsidR="00DE5002" w:rsidRPr="003936C7">
        <w:noBreakHyphen/>
        <w:t>date</w:t>
      </w:r>
      <w:r w:rsidR="00284177">
        <w:t>.</w:t>
      </w:r>
    </w:p>
    <w:p w:rsidR="00E06711" w:rsidRPr="00013AA6" w:rsidRDefault="005A609B" w:rsidP="00015809">
      <w:pPr>
        <w:spacing w:after="240"/>
        <w:rPr>
          <w:b/>
          <w:lang w:val="en-CA"/>
        </w:rPr>
      </w:pPr>
      <w:r>
        <w:rPr>
          <w:b/>
          <w:bCs/>
          <w:lang w:val="en-CA"/>
        </w:rPr>
        <w:t>Proposed a</w:t>
      </w:r>
      <w:r w:rsidR="00E06711" w:rsidRPr="00013AA6">
        <w:rPr>
          <w:b/>
          <w:bCs/>
          <w:lang w:val="en-CA"/>
        </w:rPr>
        <w:t xml:space="preserve">djustments </w:t>
      </w:r>
      <w:r>
        <w:rPr>
          <w:b/>
          <w:bCs/>
          <w:lang w:val="en-CA"/>
        </w:rPr>
        <w:t>by the Secretariat</w:t>
      </w:r>
    </w:p>
    <w:p w:rsidR="00E06711" w:rsidRPr="00013AA6" w:rsidRDefault="00E06711" w:rsidP="00015809">
      <w:pPr>
        <w:pStyle w:val="Heading1"/>
        <w:rPr>
          <w:lang w:val="en-CA"/>
        </w:rPr>
      </w:pPr>
      <w:r w:rsidRPr="00013AA6">
        <w:rPr>
          <w:lang w:val="en-CA"/>
        </w:rPr>
        <w:t>During the IACM, adjustments to the business plans of bilateral and implementing agencies were agreed based on relevant decisions of the Executive Committee. In reviewing the revised World Bank business plan for 201</w:t>
      </w:r>
      <w:r w:rsidR="00AB6BBD" w:rsidRPr="00013AA6">
        <w:rPr>
          <w:lang w:val="en-CA"/>
        </w:rPr>
        <w:t>8</w:t>
      </w:r>
      <w:r w:rsidRPr="00013AA6">
        <w:rPr>
          <w:lang w:val="en-CA"/>
        </w:rPr>
        <w:t>-20</w:t>
      </w:r>
      <w:r w:rsidR="00AB6BBD" w:rsidRPr="00013AA6">
        <w:rPr>
          <w:lang w:val="en-CA"/>
        </w:rPr>
        <w:t>20</w:t>
      </w:r>
      <w:r w:rsidRPr="00013AA6">
        <w:rPr>
          <w:lang w:val="en-CA"/>
        </w:rPr>
        <w:t xml:space="preserve">, the Secretariat noted that the following adjustments were not included: </w:t>
      </w:r>
    </w:p>
    <w:p w:rsidR="00E06711" w:rsidRPr="00013AA6" w:rsidRDefault="00E06711" w:rsidP="00015809">
      <w:pPr>
        <w:keepNext/>
        <w:rPr>
          <w:b/>
          <w:bCs/>
          <w:lang w:val="en-CA"/>
        </w:rPr>
      </w:pPr>
      <w:r w:rsidRPr="00013AA6">
        <w:rPr>
          <w:b/>
          <w:lang w:val="en-CA"/>
        </w:rPr>
        <w:t xml:space="preserve">Table 3: </w:t>
      </w:r>
      <w:r w:rsidRPr="00013AA6">
        <w:rPr>
          <w:b/>
          <w:bCs/>
          <w:lang w:val="en-CA"/>
        </w:rPr>
        <w:t>Adjustments to the World Bank business plan for 201</w:t>
      </w:r>
      <w:r w:rsidR="00AB6BBD" w:rsidRPr="00013AA6">
        <w:rPr>
          <w:b/>
          <w:bCs/>
          <w:lang w:val="en-CA"/>
        </w:rPr>
        <w:t>8</w:t>
      </w:r>
      <w:r w:rsidRPr="00013AA6">
        <w:rPr>
          <w:b/>
          <w:bCs/>
          <w:lang w:val="en-CA"/>
        </w:rPr>
        <w:t>-20</w:t>
      </w:r>
      <w:r w:rsidR="00AB6BBD" w:rsidRPr="00013AA6">
        <w:rPr>
          <w:b/>
          <w:bCs/>
          <w:lang w:val="en-CA"/>
        </w:rPr>
        <w:t>20</w:t>
      </w:r>
      <w:r w:rsidR="00851EFF">
        <w:rPr>
          <w:b/>
          <w:bCs/>
          <w:lang w:val="en-CA"/>
        </w:rPr>
        <w:t xml:space="preserve"> </w:t>
      </w:r>
      <w:r w:rsidR="00851EFF" w:rsidRPr="00851EFF">
        <w:rPr>
          <w:b/>
          <w:bCs/>
          <w:lang w:val="en-CA"/>
        </w:rPr>
        <w:t>(US $000)</w:t>
      </w:r>
    </w:p>
    <w:tbl>
      <w:tblPr>
        <w:tblStyle w:val="TableGrid"/>
        <w:tblW w:w="0" w:type="auto"/>
        <w:tblLook w:val="04A0" w:firstRow="1" w:lastRow="0" w:firstColumn="1" w:lastColumn="0" w:noHBand="0" w:noVBand="1"/>
      </w:tblPr>
      <w:tblGrid>
        <w:gridCol w:w="6722"/>
        <w:gridCol w:w="1314"/>
        <w:gridCol w:w="1314"/>
      </w:tblGrid>
      <w:tr w:rsidR="00E06711" w:rsidRPr="00013AA6" w:rsidTr="00785A5C">
        <w:trPr>
          <w:tblHeader/>
        </w:trPr>
        <w:tc>
          <w:tcPr>
            <w:tcW w:w="6722" w:type="dxa"/>
          </w:tcPr>
          <w:p w:rsidR="00E06711" w:rsidRPr="00013AA6" w:rsidRDefault="00E06711" w:rsidP="00015809">
            <w:pPr>
              <w:rPr>
                <w:b/>
                <w:lang w:val="en-CA"/>
              </w:rPr>
            </w:pPr>
            <w:r w:rsidRPr="00013AA6">
              <w:rPr>
                <w:b/>
                <w:lang w:val="en-CA"/>
              </w:rPr>
              <w:t>Adjustment</w:t>
            </w:r>
          </w:p>
        </w:tc>
        <w:tc>
          <w:tcPr>
            <w:tcW w:w="1314" w:type="dxa"/>
          </w:tcPr>
          <w:p w:rsidR="00E06711" w:rsidRPr="00013AA6" w:rsidRDefault="00E06711" w:rsidP="00015809">
            <w:pPr>
              <w:jc w:val="center"/>
              <w:rPr>
                <w:b/>
                <w:lang w:val="en-CA"/>
              </w:rPr>
            </w:pPr>
            <w:r w:rsidRPr="00013AA6">
              <w:rPr>
                <w:b/>
                <w:lang w:val="en-CA"/>
              </w:rPr>
              <w:t>201</w:t>
            </w:r>
            <w:r w:rsidR="005D360B" w:rsidRPr="00013AA6">
              <w:rPr>
                <w:b/>
                <w:lang w:val="en-CA"/>
              </w:rPr>
              <w:t>8</w:t>
            </w:r>
            <w:r w:rsidRPr="00013AA6">
              <w:rPr>
                <w:b/>
                <w:lang w:val="en-CA"/>
              </w:rPr>
              <w:t>-20</w:t>
            </w:r>
            <w:r w:rsidR="005D360B" w:rsidRPr="00013AA6">
              <w:rPr>
                <w:b/>
                <w:lang w:val="en-CA"/>
              </w:rPr>
              <w:t>20</w:t>
            </w:r>
            <w:r w:rsidRPr="00013AA6">
              <w:rPr>
                <w:b/>
                <w:lang w:val="en-CA"/>
              </w:rPr>
              <w:t xml:space="preserve"> </w:t>
            </w:r>
          </w:p>
        </w:tc>
        <w:tc>
          <w:tcPr>
            <w:tcW w:w="1314" w:type="dxa"/>
          </w:tcPr>
          <w:p w:rsidR="00E06711" w:rsidRPr="00013AA6" w:rsidRDefault="005D360B" w:rsidP="00015809">
            <w:pPr>
              <w:jc w:val="center"/>
              <w:rPr>
                <w:b/>
                <w:lang w:val="en-CA"/>
              </w:rPr>
            </w:pPr>
            <w:r w:rsidRPr="00013AA6">
              <w:rPr>
                <w:b/>
                <w:lang w:val="en-CA"/>
              </w:rPr>
              <w:t>A</w:t>
            </w:r>
            <w:r w:rsidR="00E06711" w:rsidRPr="00013AA6">
              <w:rPr>
                <w:b/>
                <w:lang w:val="en-CA"/>
              </w:rPr>
              <w:t xml:space="preserve">fter 2020 </w:t>
            </w:r>
          </w:p>
        </w:tc>
      </w:tr>
      <w:tr w:rsidR="005D360B" w:rsidRPr="00013AA6" w:rsidTr="00785A5C">
        <w:tc>
          <w:tcPr>
            <w:tcW w:w="6722" w:type="dxa"/>
          </w:tcPr>
          <w:p w:rsidR="005D360B" w:rsidRPr="00013AA6" w:rsidRDefault="005D360B" w:rsidP="00015809">
            <w:pPr>
              <w:rPr>
                <w:lang w:val="en-CA"/>
              </w:rPr>
            </w:pPr>
            <w:r w:rsidRPr="00013AA6">
              <w:rPr>
                <w:lang w:val="en-CA"/>
              </w:rPr>
              <w:t>HPMP values to reflect the actual amounts approved under the agreements</w:t>
            </w:r>
          </w:p>
        </w:tc>
        <w:tc>
          <w:tcPr>
            <w:tcW w:w="1314" w:type="dxa"/>
          </w:tcPr>
          <w:p w:rsidR="005D360B" w:rsidRPr="00013AA6" w:rsidRDefault="00080D4E" w:rsidP="00015809">
            <w:pPr>
              <w:jc w:val="right"/>
              <w:rPr>
                <w:lang w:val="en-CA"/>
              </w:rPr>
            </w:pPr>
            <w:r w:rsidRPr="00013AA6">
              <w:rPr>
                <w:lang w:val="en-CA"/>
              </w:rPr>
              <w:t>1,070</w:t>
            </w:r>
          </w:p>
        </w:tc>
        <w:tc>
          <w:tcPr>
            <w:tcW w:w="1314" w:type="dxa"/>
          </w:tcPr>
          <w:p w:rsidR="005D360B" w:rsidRPr="00013AA6" w:rsidRDefault="00080D4E" w:rsidP="00015809">
            <w:pPr>
              <w:jc w:val="right"/>
              <w:rPr>
                <w:lang w:val="en-CA"/>
              </w:rPr>
            </w:pPr>
            <w:r w:rsidRPr="00013AA6">
              <w:rPr>
                <w:lang w:val="en-CA"/>
              </w:rPr>
              <w:t>11,289</w:t>
            </w:r>
          </w:p>
        </w:tc>
      </w:tr>
      <w:tr w:rsidR="00E06711" w:rsidRPr="00013AA6" w:rsidTr="00785A5C">
        <w:tc>
          <w:tcPr>
            <w:tcW w:w="6722" w:type="dxa"/>
          </w:tcPr>
          <w:p w:rsidR="00E06711" w:rsidRPr="00013AA6" w:rsidRDefault="00E06711" w:rsidP="00015809">
            <w:pPr>
              <w:rPr>
                <w:lang w:val="en-CA"/>
              </w:rPr>
            </w:pPr>
            <w:r w:rsidRPr="00013AA6">
              <w:rPr>
                <w:lang w:val="en-CA"/>
              </w:rPr>
              <w:t>Stage II of HPPMP starting in 2017 as per decision 71/23(c)</w:t>
            </w:r>
          </w:p>
        </w:tc>
        <w:tc>
          <w:tcPr>
            <w:tcW w:w="1314" w:type="dxa"/>
          </w:tcPr>
          <w:p w:rsidR="00E06711" w:rsidRPr="00013AA6" w:rsidRDefault="00080D4E" w:rsidP="00015809">
            <w:pPr>
              <w:jc w:val="right"/>
              <w:rPr>
                <w:lang w:val="en-CA"/>
              </w:rPr>
            </w:pPr>
            <w:r w:rsidRPr="00013AA6">
              <w:rPr>
                <w:lang w:val="en-CA"/>
              </w:rPr>
              <w:t>-67,115</w:t>
            </w:r>
          </w:p>
        </w:tc>
        <w:tc>
          <w:tcPr>
            <w:tcW w:w="1314" w:type="dxa"/>
          </w:tcPr>
          <w:p w:rsidR="00E06711" w:rsidRPr="00013AA6" w:rsidRDefault="00080D4E" w:rsidP="00015809">
            <w:pPr>
              <w:jc w:val="right"/>
              <w:rPr>
                <w:lang w:val="en-CA"/>
              </w:rPr>
            </w:pPr>
            <w:r w:rsidRPr="00013AA6">
              <w:rPr>
                <w:lang w:val="en-CA"/>
              </w:rPr>
              <w:t>122,559</w:t>
            </w:r>
          </w:p>
        </w:tc>
      </w:tr>
      <w:tr w:rsidR="00E06711" w:rsidRPr="00013AA6" w:rsidTr="00785A5C">
        <w:tc>
          <w:tcPr>
            <w:tcW w:w="6722" w:type="dxa"/>
          </w:tcPr>
          <w:p w:rsidR="00E06711" w:rsidRPr="00013AA6" w:rsidRDefault="00E06711" w:rsidP="00015809">
            <w:pPr>
              <w:rPr>
                <w:lang w:val="en-CA"/>
              </w:rPr>
            </w:pPr>
            <w:r w:rsidRPr="00013AA6">
              <w:rPr>
                <w:lang w:val="en-CA"/>
              </w:rPr>
              <w:t>New HPMP activities (stag</w:t>
            </w:r>
            <w:r w:rsidR="00080D4E" w:rsidRPr="00013AA6">
              <w:rPr>
                <w:lang w:val="en-CA"/>
              </w:rPr>
              <w:t>e II) with submissions to the 80</w:t>
            </w:r>
            <w:r w:rsidRPr="00013AA6">
              <w:rPr>
                <w:vertAlign w:val="superscript"/>
                <w:lang w:val="en-CA"/>
              </w:rPr>
              <w:t>th</w:t>
            </w:r>
            <w:r w:rsidRPr="00013AA6">
              <w:rPr>
                <w:lang w:val="en-CA"/>
              </w:rPr>
              <w:t xml:space="preserve"> meeting to match the proposed funding level as originally submitted</w:t>
            </w:r>
          </w:p>
        </w:tc>
        <w:tc>
          <w:tcPr>
            <w:tcW w:w="1314" w:type="dxa"/>
          </w:tcPr>
          <w:p w:rsidR="00E06711" w:rsidRPr="00013AA6" w:rsidRDefault="00080D4E" w:rsidP="00015809">
            <w:pPr>
              <w:jc w:val="right"/>
              <w:rPr>
                <w:lang w:val="en-CA"/>
              </w:rPr>
            </w:pPr>
            <w:r w:rsidRPr="00013AA6">
              <w:rPr>
                <w:lang w:val="en-CA"/>
              </w:rPr>
              <w:t>-655</w:t>
            </w:r>
          </w:p>
        </w:tc>
        <w:tc>
          <w:tcPr>
            <w:tcW w:w="1314" w:type="dxa"/>
          </w:tcPr>
          <w:p w:rsidR="00E06711" w:rsidRPr="00013AA6" w:rsidRDefault="00080D4E" w:rsidP="00015809">
            <w:pPr>
              <w:jc w:val="right"/>
              <w:rPr>
                <w:lang w:val="en-CA"/>
              </w:rPr>
            </w:pPr>
            <w:r w:rsidRPr="00013AA6">
              <w:rPr>
                <w:lang w:val="en-CA"/>
              </w:rPr>
              <w:t>314</w:t>
            </w:r>
          </w:p>
        </w:tc>
      </w:tr>
      <w:tr w:rsidR="00080D4E" w:rsidRPr="00013AA6" w:rsidTr="00785A5C">
        <w:tc>
          <w:tcPr>
            <w:tcW w:w="6722" w:type="dxa"/>
          </w:tcPr>
          <w:p w:rsidR="00080D4E" w:rsidRPr="00013AA6" w:rsidRDefault="00080D4E" w:rsidP="00015809">
            <w:pPr>
              <w:rPr>
                <w:lang w:val="en-CA"/>
              </w:rPr>
            </w:pPr>
            <w:r w:rsidRPr="00013AA6">
              <w:rPr>
                <w:lang w:val="en-CA"/>
              </w:rPr>
              <w:t>HFC enabling activities as per decision</w:t>
            </w:r>
            <w:r w:rsidR="00AE7FA9" w:rsidRPr="00013AA6">
              <w:rPr>
                <w:lang w:val="en-CA"/>
              </w:rPr>
              <w:t xml:space="preserve"> 79/46(c) </w:t>
            </w:r>
          </w:p>
        </w:tc>
        <w:tc>
          <w:tcPr>
            <w:tcW w:w="1314" w:type="dxa"/>
          </w:tcPr>
          <w:p w:rsidR="00080D4E" w:rsidRPr="00013AA6" w:rsidRDefault="00AE7FA9" w:rsidP="00015809">
            <w:pPr>
              <w:jc w:val="right"/>
              <w:rPr>
                <w:lang w:val="en-CA"/>
              </w:rPr>
            </w:pPr>
            <w:r w:rsidRPr="00013AA6">
              <w:rPr>
                <w:lang w:val="en-CA"/>
              </w:rPr>
              <w:t>-114</w:t>
            </w:r>
          </w:p>
        </w:tc>
        <w:tc>
          <w:tcPr>
            <w:tcW w:w="1314" w:type="dxa"/>
          </w:tcPr>
          <w:p w:rsidR="00080D4E" w:rsidRPr="00013AA6" w:rsidRDefault="00AE7FA9" w:rsidP="00015809">
            <w:pPr>
              <w:jc w:val="right"/>
              <w:rPr>
                <w:lang w:val="en-CA"/>
              </w:rPr>
            </w:pPr>
            <w:r w:rsidRPr="00013AA6">
              <w:rPr>
                <w:lang w:val="en-CA"/>
              </w:rPr>
              <w:t>0</w:t>
            </w:r>
          </w:p>
        </w:tc>
      </w:tr>
    </w:tbl>
    <w:p w:rsidR="00E06711" w:rsidRPr="00013AA6" w:rsidRDefault="00E06711" w:rsidP="00015809">
      <w:pPr>
        <w:pStyle w:val="Heading1"/>
        <w:numPr>
          <w:ilvl w:val="0"/>
          <w:numId w:val="0"/>
        </w:numPr>
        <w:spacing w:after="0"/>
      </w:pPr>
    </w:p>
    <w:p w:rsidR="00E06711" w:rsidRPr="00013AA6" w:rsidRDefault="00E06711" w:rsidP="00015809">
      <w:pPr>
        <w:pStyle w:val="Heading1"/>
        <w:rPr>
          <w:lang w:val="en-CA"/>
        </w:rPr>
      </w:pPr>
      <w:r w:rsidRPr="00013AA6">
        <w:t>Table 4 presents the results of the Secretariat’s proposed adjustments to the World Bank business plan for 201</w:t>
      </w:r>
      <w:r w:rsidR="00E0753F" w:rsidRPr="00013AA6">
        <w:t>8</w:t>
      </w:r>
      <w:r w:rsidRPr="00013AA6">
        <w:t>-20</w:t>
      </w:r>
      <w:r w:rsidR="00E0753F" w:rsidRPr="00013AA6">
        <w:t>20</w:t>
      </w:r>
      <w:r w:rsidRPr="00013AA6">
        <w:t xml:space="preserve">, which are also addressed in the context of the </w:t>
      </w:r>
      <w:r w:rsidRPr="00013AA6">
        <w:rPr>
          <w:lang w:val="en-CA"/>
        </w:rPr>
        <w:t>Consolidated business plan of the Multilateral Fund for 201</w:t>
      </w:r>
      <w:r w:rsidR="00E0753F" w:rsidRPr="00013AA6">
        <w:rPr>
          <w:lang w:val="en-CA"/>
        </w:rPr>
        <w:t>8</w:t>
      </w:r>
      <w:r w:rsidRPr="00013AA6">
        <w:rPr>
          <w:lang w:val="en-CA"/>
        </w:rPr>
        <w:t>-20</w:t>
      </w:r>
      <w:r w:rsidR="00E0753F" w:rsidRPr="00013AA6">
        <w:rPr>
          <w:lang w:val="en-CA"/>
        </w:rPr>
        <w:t>20</w:t>
      </w:r>
      <w:r w:rsidRPr="00013AA6">
        <w:rPr>
          <w:rStyle w:val="FootnoteReference"/>
        </w:rPr>
        <w:footnoteReference w:id="4"/>
      </w:r>
      <w:r w:rsidRPr="00013AA6">
        <w:t>.</w:t>
      </w:r>
    </w:p>
    <w:p w:rsidR="00E06711" w:rsidRPr="00013AA6" w:rsidRDefault="00E06711" w:rsidP="00015809">
      <w:pPr>
        <w:pStyle w:val="Heading1"/>
        <w:numPr>
          <w:ilvl w:val="0"/>
          <w:numId w:val="0"/>
        </w:numPr>
        <w:spacing w:after="0"/>
        <w:rPr>
          <w:b/>
          <w:lang w:val="en-CA"/>
        </w:rPr>
      </w:pPr>
      <w:r w:rsidRPr="00013AA6">
        <w:rPr>
          <w:b/>
        </w:rPr>
        <w:t xml:space="preserve">Table 4: </w:t>
      </w:r>
      <w:r w:rsidRPr="00013AA6">
        <w:rPr>
          <w:b/>
          <w:lang w:val="en-CA"/>
        </w:rPr>
        <w:t>Resource allocation in the World Bank’s adjusted business plan for 201</w:t>
      </w:r>
      <w:r w:rsidR="000270DA" w:rsidRPr="00013AA6">
        <w:rPr>
          <w:b/>
          <w:lang w:val="en-CA"/>
        </w:rPr>
        <w:t>8</w:t>
      </w:r>
      <w:r w:rsidRPr="00013AA6">
        <w:rPr>
          <w:b/>
          <w:lang w:val="en-CA"/>
        </w:rPr>
        <w:t>-20</w:t>
      </w:r>
      <w:r w:rsidR="000270DA" w:rsidRPr="00013AA6">
        <w:rPr>
          <w:b/>
          <w:lang w:val="en-CA"/>
        </w:rPr>
        <w:t>20</w:t>
      </w:r>
      <w:r w:rsidRPr="00013AA6">
        <w:rPr>
          <w:b/>
          <w:lang w:val="en-CA"/>
        </w:rPr>
        <w:t xml:space="preserve"> (US $000s)</w:t>
      </w:r>
      <w:r w:rsidR="00EE1F8C">
        <w:rPr>
          <w:b/>
          <w:lang w:val="en-CA"/>
        </w:rPr>
        <w:t>*</w:t>
      </w:r>
    </w:p>
    <w:tbl>
      <w:tblPr>
        <w:tblW w:w="9498" w:type="dxa"/>
        <w:tblInd w:w="-5" w:type="dxa"/>
        <w:tblLayout w:type="fixed"/>
        <w:tblLook w:val="04A0" w:firstRow="1" w:lastRow="0" w:firstColumn="1" w:lastColumn="0" w:noHBand="0" w:noVBand="1"/>
      </w:tblPr>
      <w:tblGrid>
        <w:gridCol w:w="3402"/>
        <w:gridCol w:w="1181"/>
        <w:gridCol w:w="1181"/>
        <w:gridCol w:w="1182"/>
        <w:gridCol w:w="1276"/>
        <w:gridCol w:w="1276"/>
      </w:tblGrid>
      <w:tr w:rsidR="00647D2A" w:rsidRPr="00013AA6" w:rsidTr="00785A5C">
        <w:trPr>
          <w:trHeight w:val="300"/>
          <w:tblHead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647D2A" w:rsidRPr="00013AA6" w:rsidRDefault="00647D2A" w:rsidP="00015809">
            <w:pPr>
              <w:jc w:val="left"/>
              <w:rPr>
                <w:b/>
                <w:bCs/>
                <w:sz w:val="20"/>
                <w:szCs w:val="20"/>
                <w:lang w:val="en-CA" w:eastAsia="en-CA"/>
              </w:rPr>
            </w:pPr>
            <w:r w:rsidRPr="00013AA6">
              <w:rPr>
                <w:b/>
                <w:bCs/>
                <w:sz w:val="20"/>
                <w:szCs w:val="20"/>
                <w:lang w:val="en-CA" w:eastAsia="en-CA"/>
              </w:rPr>
              <w:t> </w:t>
            </w:r>
          </w:p>
        </w:tc>
        <w:tc>
          <w:tcPr>
            <w:tcW w:w="1181" w:type="dxa"/>
            <w:tcBorders>
              <w:top w:val="single" w:sz="4" w:space="0" w:color="auto"/>
              <w:left w:val="nil"/>
              <w:bottom w:val="single" w:sz="4" w:space="0" w:color="auto"/>
              <w:right w:val="single" w:sz="4" w:space="0" w:color="auto"/>
            </w:tcBorders>
            <w:shd w:val="clear" w:color="auto" w:fill="auto"/>
            <w:hideMark/>
          </w:tcPr>
          <w:p w:rsidR="00647D2A" w:rsidRPr="00013AA6" w:rsidRDefault="00647D2A" w:rsidP="00015809">
            <w:pPr>
              <w:jc w:val="center"/>
              <w:rPr>
                <w:b/>
                <w:bCs/>
                <w:sz w:val="20"/>
                <w:szCs w:val="20"/>
                <w:lang w:val="en-CA" w:eastAsia="en-CA"/>
              </w:rPr>
            </w:pPr>
            <w:r w:rsidRPr="00013AA6">
              <w:rPr>
                <w:b/>
                <w:bCs/>
                <w:sz w:val="20"/>
                <w:szCs w:val="20"/>
                <w:lang w:val="en-CA" w:eastAsia="en-CA"/>
              </w:rPr>
              <w:t>2018</w:t>
            </w:r>
          </w:p>
        </w:tc>
        <w:tc>
          <w:tcPr>
            <w:tcW w:w="1181" w:type="dxa"/>
            <w:tcBorders>
              <w:top w:val="single" w:sz="4" w:space="0" w:color="auto"/>
              <w:left w:val="nil"/>
              <w:bottom w:val="single" w:sz="4" w:space="0" w:color="auto"/>
              <w:right w:val="single" w:sz="4" w:space="0" w:color="auto"/>
            </w:tcBorders>
            <w:shd w:val="clear" w:color="auto" w:fill="auto"/>
            <w:hideMark/>
          </w:tcPr>
          <w:p w:rsidR="00647D2A" w:rsidRPr="00013AA6" w:rsidRDefault="00647D2A" w:rsidP="00015809">
            <w:pPr>
              <w:jc w:val="center"/>
              <w:rPr>
                <w:b/>
                <w:bCs/>
                <w:sz w:val="20"/>
                <w:szCs w:val="20"/>
                <w:lang w:val="en-CA" w:eastAsia="en-CA"/>
              </w:rPr>
            </w:pPr>
            <w:r w:rsidRPr="00013AA6">
              <w:rPr>
                <w:b/>
                <w:bCs/>
                <w:sz w:val="20"/>
                <w:szCs w:val="20"/>
                <w:lang w:val="en-CA" w:eastAsia="en-CA"/>
              </w:rPr>
              <w:t>2019</w:t>
            </w:r>
          </w:p>
        </w:tc>
        <w:tc>
          <w:tcPr>
            <w:tcW w:w="1182" w:type="dxa"/>
            <w:tcBorders>
              <w:top w:val="single" w:sz="4" w:space="0" w:color="auto"/>
              <w:left w:val="nil"/>
              <w:bottom w:val="single" w:sz="4" w:space="0" w:color="auto"/>
              <w:right w:val="single" w:sz="4" w:space="0" w:color="auto"/>
            </w:tcBorders>
            <w:shd w:val="clear" w:color="auto" w:fill="auto"/>
            <w:hideMark/>
          </w:tcPr>
          <w:p w:rsidR="00647D2A" w:rsidRPr="00013AA6" w:rsidRDefault="00647D2A" w:rsidP="00015809">
            <w:pPr>
              <w:jc w:val="center"/>
              <w:rPr>
                <w:b/>
                <w:bCs/>
                <w:sz w:val="20"/>
                <w:szCs w:val="20"/>
                <w:lang w:val="en-CA" w:eastAsia="en-CA"/>
              </w:rPr>
            </w:pPr>
            <w:r w:rsidRPr="00013AA6">
              <w:rPr>
                <w:b/>
                <w:bCs/>
                <w:sz w:val="20"/>
                <w:szCs w:val="20"/>
                <w:lang w:val="en-CA" w:eastAsia="en-CA"/>
              </w:rPr>
              <w:t>2020</w:t>
            </w:r>
          </w:p>
        </w:tc>
        <w:tc>
          <w:tcPr>
            <w:tcW w:w="1276" w:type="dxa"/>
            <w:tcBorders>
              <w:top w:val="single" w:sz="4" w:space="0" w:color="auto"/>
              <w:left w:val="nil"/>
              <w:bottom w:val="single" w:sz="4" w:space="0" w:color="auto"/>
              <w:right w:val="single" w:sz="4" w:space="0" w:color="auto"/>
            </w:tcBorders>
            <w:shd w:val="clear" w:color="auto" w:fill="auto"/>
            <w:hideMark/>
          </w:tcPr>
          <w:p w:rsidR="00647D2A" w:rsidRPr="00013AA6" w:rsidRDefault="00647D2A" w:rsidP="00015809">
            <w:pPr>
              <w:jc w:val="center"/>
              <w:rPr>
                <w:b/>
                <w:bCs/>
                <w:sz w:val="20"/>
                <w:szCs w:val="20"/>
                <w:lang w:val="en-CA" w:eastAsia="en-CA"/>
              </w:rPr>
            </w:pPr>
            <w:r w:rsidRPr="00013AA6">
              <w:rPr>
                <w:b/>
                <w:bCs/>
                <w:sz w:val="20"/>
                <w:szCs w:val="20"/>
                <w:lang w:val="en-CA" w:eastAsia="en-CA"/>
              </w:rPr>
              <w:t xml:space="preserve">Total </w:t>
            </w:r>
          </w:p>
          <w:p w:rsidR="00647D2A" w:rsidRPr="00013AA6" w:rsidRDefault="00647D2A" w:rsidP="00015809">
            <w:pPr>
              <w:jc w:val="center"/>
              <w:rPr>
                <w:b/>
                <w:bCs/>
                <w:sz w:val="20"/>
                <w:szCs w:val="20"/>
                <w:lang w:val="en-CA" w:eastAsia="en-CA"/>
              </w:rPr>
            </w:pPr>
            <w:r w:rsidRPr="00013AA6">
              <w:rPr>
                <w:b/>
                <w:bCs/>
                <w:sz w:val="20"/>
                <w:szCs w:val="20"/>
                <w:lang w:val="en-CA" w:eastAsia="en-CA"/>
              </w:rPr>
              <w:t>(2018-2020)</w:t>
            </w:r>
          </w:p>
        </w:tc>
        <w:tc>
          <w:tcPr>
            <w:tcW w:w="1276" w:type="dxa"/>
            <w:tcBorders>
              <w:top w:val="single" w:sz="4" w:space="0" w:color="auto"/>
              <w:left w:val="nil"/>
              <w:bottom w:val="single" w:sz="4" w:space="0" w:color="auto"/>
              <w:right w:val="single" w:sz="4" w:space="0" w:color="auto"/>
            </w:tcBorders>
            <w:shd w:val="clear" w:color="auto" w:fill="auto"/>
            <w:hideMark/>
          </w:tcPr>
          <w:p w:rsidR="00647D2A" w:rsidRPr="00013AA6" w:rsidRDefault="00647D2A" w:rsidP="00015809">
            <w:pPr>
              <w:jc w:val="center"/>
              <w:rPr>
                <w:b/>
                <w:bCs/>
                <w:sz w:val="20"/>
                <w:szCs w:val="20"/>
                <w:lang w:val="en-CA" w:eastAsia="en-CA"/>
              </w:rPr>
            </w:pPr>
            <w:r w:rsidRPr="00013AA6">
              <w:rPr>
                <w:b/>
                <w:bCs/>
                <w:sz w:val="20"/>
                <w:szCs w:val="20"/>
                <w:lang w:val="en-CA" w:eastAsia="en-CA"/>
              </w:rPr>
              <w:t>Total after 2020</w:t>
            </w:r>
          </w:p>
        </w:tc>
      </w:tr>
      <w:tr w:rsidR="00126407" w:rsidRPr="00013AA6" w:rsidTr="00785A5C">
        <w:trPr>
          <w:trHeight w:val="255"/>
        </w:trPr>
        <w:tc>
          <w:tcPr>
            <w:tcW w:w="9498" w:type="dxa"/>
            <w:gridSpan w:val="6"/>
            <w:tcBorders>
              <w:top w:val="nil"/>
              <w:left w:val="single" w:sz="4" w:space="0" w:color="auto"/>
              <w:bottom w:val="single" w:sz="4" w:space="0" w:color="auto"/>
              <w:right w:val="single" w:sz="4" w:space="0" w:color="auto"/>
            </w:tcBorders>
            <w:shd w:val="clear" w:color="auto" w:fill="auto"/>
            <w:noWrap/>
            <w:vAlign w:val="center"/>
            <w:hideMark/>
          </w:tcPr>
          <w:p w:rsidR="00126407" w:rsidRPr="00013AA6" w:rsidRDefault="00126407" w:rsidP="00015809">
            <w:pPr>
              <w:jc w:val="left"/>
              <w:rPr>
                <w:b/>
                <w:bCs/>
                <w:sz w:val="20"/>
                <w:szCs w:val="20"/>
                <w:lang w:val="en-CA" w:eastAsia="en-CA"/>
              </w:rPr>
            </w:pPr>
            <w:r w:rsidRPr="00013AA6">
              <w:rPr>
                <w:b/>
                <w:bCs/>
                <w:sz w:val="20"/>
                <w:szCs w:val="20"/>
                <w:lang w:val="en-CA" w:eastAsia="en-CA"/>
              </w:rPr>
              <w:t>Required for compliance </w:t>
            </w:r>
          </w:p>
        </w:tc>
      </w:tr>
      <w:tr w:rsidR="00647D2A" w:rsidRPr="00013AA6" w:rsidTr="00785A5C">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647D2A" w:rsidRPr="00013AA6" w:rsidRDefault="00647D2A" w:rsidP="00015809">
            <w:pPr>
              <w:jc w:val="left"/>
              <w:rPr>
                <w:sz w:val="20"/>
                <w:szCs w:val="20"/>
                <w:lang w:val="en-CA" w:eastAsia="en-CA"/>
              </w:rPr>
            </w:pPr>
            <w:r w:rsidRPr="00013AA6">
              <w:rPr>
                <w:sz w:val="20"/>
                <w:szCs w:val="20"/>
                <w:lang w:val="en-CA" w:eastAsia="en-CA"/>
              </w:rPr>
              <w:t>Approved HPMPs</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27,259</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28,046</w:t>
            </w:r>
          </w:p>
        </w:tc>
        <w:tc>
          <w:tcPr>
            <w:tcW w:w="1182"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16,659</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71,964</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100,237</w:t>
            </w:r>
          </w:p>
        </w:tc>
      </w:tr>
      <w:tr w:rsidR="00647D2A" w:rsidRPr="00013AA6" w:rsidTr="00785A5C">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647D2A" w:rsidRPr="00013AA6" w:rsidRDefault="00647D2A" w:rsidP="00015809">
            <w:pPr>
              <w:jc w:val="left"/>
              <w:rPr>
                <w:sz w:val="20"/>
                <w:szCs w:val="20"/>
                <w:lang w:val="en-CA" w:eastAsia="en-CA"/>
              </w:rPr>
            </w:pPr>
            <w:r w:rsidRPr="00013AA6">
              <w:rPr>
                <w:sz w:val="20"/>
                <w:szCs w:val="20"/>
                <w:lang w:val="en-CA" w:eastAsia="en-CA"/>
              </w:rPr>
              <w:t>HCFC production - stage II</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21,874</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21,874</w:t>
            </w:r>
          </w:p>
        </w:tc>
        <w:tc>
          <w:tcPr>
            <w:tcW w:w="1182"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21,874</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65,623</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218,743</w:t>
            </w:r>
          </w:p>
        </w:tc>
      </w:tr>
      <w:tr w:rsidR="00647D2A" w:rsidRPr="00013AA6" w:rsidTr="00785A5C">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647D2A" w:rsidRPr="00013AA6" w:rsidRDefault="00647D2A" w:rsidP="00015809">
            <w:pPr>
              <w:jc w:val="left"/>
              <w:rPr>
                <w:sz w:val="20"/>
                <w:szCs w:val="20"/>
                <w:lang w:val="en-CA" w:eastAsia="en-CA"/>
              </w:rPr>
            </w:pPr>
            <w:r w:rsidRPr="00013AA6">
              <w:rPr>
                <w:sz w:val="20"/>
                <w:szCs w:val="20"/>
                <w:lang w:val="en-CA" w:eastAsia="en-CA"/>
              </w:rPr>
              <w:t>HPMP stage II</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5,226</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6,794</w:t>
            </w:r>
          </w:p>
        </w:tc>
        <w:tc>
          <w:tcPr>
            <w:tcW w:w="1182"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5,226</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17,246</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2,055</w:t>
            </w:r>
          </w:p>
        </w:tc>
      </w:tr>
      <w:tr w:rsidR="00647D2A" w:rsidRPr="00013AA6" w:rsidTr="00785A5C">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647D2A" w:rsidRPr="00013AA6" w:rsidRDefault="00647D2A" w:rsidP="00015809">
            <w:pPr>
              <w:jc w:val="left"/>
              <w:rPr>
                <w:b/>
                <w:bCs/>
                <w:sz w:val="20"/>
                <w:szCs w:val="20"/>
                <w:lang w:val="en-CA" w:eastAsia="en-CA"/>
              </w:rPr>
            </w:pPr>
            <w:r w:rsidRPr="00013AA6">
              <w:rPr>
                <w:b/>
                <w:bCs/>
                <w:sz w:val="20"/>
                <w:szCs w:val="20"/>
                <w:lang w:val="en-CA" w:eastAsia="en-CA"/>
              </w:rPr>
              <w:t xml:space="preserve">   </w:t>
            </w:r>
            <w:r w:rsidR="00A16D98" w:rsidRPr="00013AA6">
              <w:rPr>
                <w:b/>
                <w:bCs/>
                <w:sz w:val="20"/>
                <w:szCs w:val="20"/>
                <w:lang w:val="en-CA" w:eastAsia="en-CA"/>
              </w:rPr>
              <w:t>Required for compliance subtotal</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b/>
                <w:bCs/>
                <w:sz w:val="20"/>
                <w:szCs w:val="20"/>
                <w:lang w:val="en-CA" w:eastAsia="en-CA"/>
              </w:rPr>
            </w:pPr>
            <w:r w:rsidRPr="00013AA6">
              <w:rPr>
                <w:b/>
                <w:bCs/>
                <w:sz w:val="20"/>
                <w:szCs w:val="20"/>
                <w:lang w:val="en-CA" w:eastAsia="en-CA"/>
              </w:rPr>
              <w:t>54,359</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b/>
                <w:bCs/>
                <w:sz w:val="20"/>
                <w:szCs w:val="20"/>
                <w:lang w:val="en-CA" w:eastAsia="en-CA"/>
              </w:rPr>
            </w:pPr>
            <w:r w:rsidRPr="00013AA6">
              <w:rPr>
                <w:b/>
                <w:bCs/>
                <w:sz w:val="20"/>
                <w:szCs w:val="20"/>
                <w:lang w:val="en-CA" w:eastAsia="en-CA"/>
              </w:rPr>
              <w:t>56,714</w:t>
            </w:r>
          </w:p>
        </w:tc>
        <w:tc>
          <w:tcPr>
            <w:tcW w:w="1182"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b/>
                <w:bCs/>
                <w:sz w:val="20"/>
                <w:szCs w:val="20"/>
                <w:lang w:val="en-CA" w:eastAsia="en-CA"/>
              </w:rPr>
            </w:pPr>
            <w:r w:rsidRPr="00013AA6">
              <w:rPr>
                <w:b/>
                <w:bCs/>
                <w:sz w:val="20"/>
                <w:szCs w:val="20"/>
                <w:lang w:val="en-CA" w:eastAsia="en-CA"/>
              </w:rPr>
              <w:t>43,760</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b/>
                <w:bCs/>
                <w:sz w:val="20"/>
                <w:szCs w:val="20"/>
                <w:lang w:val="en-CA" w:eastAsia="en-CA"/>
              </w:rPr>
            </w:pPr>
            <w:r w:rsidRPr="00013AA6">
              <w:rPr>
                <w:b/>
                <w:bCs/>
                <w:sz w:val="20"/>
                <w:szCs w:val="20"/>
                <w:lang w:val="en-CA" w:eastAsia="en-CA"/>
              </w:rPr>
              <w:t>154,833</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b/>
                <w:bCs/>
                <w:sz w:val="20"/>
                <w:szCs w:val="20"/>
                <w:lang w:val="en-CA" w:eastAsia="en-CA"/>
              </w:rPr>
            </w:pPr>
            <w:r w:rsidRPr="00013AA6">
              <w:rPr>
                <w:b/>
                <w:bCs/>
                <w:sz w:val="20"/>
                <w:szCs w:val="20"/>
                <w:lang w:val="en-CA" w:eastAsia="en-CA"/>
              </w:rPr>
              <w:t>321,035</w:t>
            </w:r>
          </w:p>
        </w:tc>
      </w:tr>
      <w:tr w:rsidR="00126407" w:rsidRPr="00013AA6" w:rsidTr="00785A5C">
        <w:trPr>
          <w:trHeight w:val="255"/>
        </w:trPr>
        <w:tc>
          <w:tcPr>
            <w:tcW w:w="9498" w:type="dxa"/>
            <w:gridSpan w:val="6"/>
            <w:tcBorders>
              <w:top w:val="nil"/>
              <w:left w:val="single" w:sz="4" w:space="0" w:color="auto"/>
              <w:bottom w:val="single" w:sz="4" w:space="0" w:color="auto"/>
              <w:right w:val="single" w:sz="4" w:space="0" w:color="auto"/>
            </w:tcBorders>
            <w:shd w:val="clear" w:color="auto" w:fill="auto"/>
            <w:noWrap/>
            <w:vAlign w:val="center"/>
            <w:hideMark/>
          </w:tcPr>
          <w:p w:rsidR="00126407" w:rsidRPr="00013AA6" w:rsidRDefault="00126407" w:rsidP="00015809">
            <w:pPr>
              <w:jc w:val="left"/>
              <w:rPr>
                <w:sz w:val="20"/>
                <w:szCs w:val="20"/>
                <w:lang w:val="en-CA" w:eastAsia="en-CA"/>
              </w:rPr>
            </w:pPr>
            <w:r w:rsidRPr="00013AA6">
              <w:rPr>
                <w:b/>
                <w:bCs/>
                <w:sz w:val="20"/>
                <w:szCs w:val="20"/>
                <w:lang w:val="en-CA" w:eastAsia="en-CA"/>
              </w:rPr>
              <w:t>HFC activities</w:t>
            </w:r>
          </w:p>
        </w:tc>
      </w:tr>
      <w:tr w:rsidR="00255A94" w:rsidRPr="00013AA6" w:rsidTr="00785A5C">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255A94" w:rsidRPr="00013AA6" w:rsidRDefault="00255A94" w:rsidP="00015809">
            <w:pPr>
              <w:jc w:val="left"/>
              <w:rPr>
                <w:sz w:val="20"/>
                <w:szCs w:val="20"/>
                <w:lang w:val="en-CA" w:eastAsia="en-CA"/>
              </w:rPr>
            </w:pPr>
            <w:r w:rsidRPr="00013AA6">
              <w:rPr>
                <w:sz w:val="20"/>
                <w:szCs w:val="20"/>
                <w:lang w:val="en-CA" w:eastAsia="en-CA"/>
              </w:rPr>
              <w:t>HFC - demonstration</w:t>
            </w:r>
          </w:p>
        </w:tc>
        <w:tc>
          <w:tcPr>
            <w:tcW w:w="1181"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lang w:val="en-CA" w:eastAsia="en-CA"/>
              </w:rPr>
            </w:pPr>
            <w:r w:rsidRPr="00013AA6">
              <w:rPr>
                <w:sz w:val="20"/>
                <w:szCs w:val="20"/>
                <w:lang w:val="en-CA" w:eastAsia="en-CA"/>
              </w:rPr>
              <w:t>5,885</w:t>
            </w:r>
          </w:p>
        </w:tc>
        <w:tc>
          <w:tcPr>
            <w:tcW w:w="1181"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lang w:val="en-CA" w:eastAsia="en-CA"/>
              </w:rPr>
            </w:pPr>
            <w:r w:rsidRPr="00013AA6">
              <w:rPr>
                <w:sz w:val="20"/>
                <w:szCs w:val="20"/>
                <w:lang w:val="en-CA" w:eastAsia="en-CA"/>
              </w:rPr>
              <w:t> </w:t>
            </w:r>
            <w:r w:rsidR="00126407">
              <w:rPr>
                <w:sz w:val="20"/>
                <w:szCs w:val="20"/>
                <w:lang w:val="en-CA" w:eastAsia="en-CA"/>
              </w:rPr>
              <w:t>0</w:t>
            </w:r>
          </w:p>
        </w:tc>
        <w:tc>
          <w:tcPr>
            <w:tcW w:w="1182" w:type="dxa"/>
            <w:tcBorders>
              <w:top w:val="nil"/>
              <w:left w:val="nil"/>
              <w:bottom w:val="single" w:sz="4" w:space="0" w:color="auto"/>
              <w:right w:val="single" w:sz="4" w:space="0" w:color="auto"/>
            </w:tcBorders>
            <w:shd w:val="clear" w:color="auto" w:fill="auto"/>
            <w:noWrap/>
            <w:vAlign w:val="center"/>
            <w:hideMark/>
          </w:tcPr>
          <w:p w:rsidR="00255A94" w:rsidRPr="00013AA6" w:rsidRDefault="00126407" w:rsidP="00015809">
            <w:pPr>
              <w:jc w:val="right"/>
              <w:rPr>
                <w:sz w:val="20"/>
                <w:szCs w:val="20"/>
                <w:lang w:val="en-CA" w:eastAsia="en-CA"/>
              </w:rPr>
            </w:pPr>
            <w:r>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lang w:val="en-CA"/>
              </w:rPr>
            </w:pPr>
            <w:r w:rsidRPr="00013AA6">
              <w:rPr>
                <w:sz w:val="20"/>
                <w:szCs w:val="20"/>
              </w:rPr>
              <w:t>5,885</w:t>
            </w:r>
          </w:p>
        </w:tc>
        <w:tc>
          <w:tcPr>
            <w:tcW w:w="1276"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lang w:val="en-CA" w:eastAsia="en-CA"/>
              </w:rPr>
            </w:pPr>
            <w:r w:rsidRPr="00013AA6">
              <w:rPr>
                <w:sz w:val="20"/>
                <w:szCs w:val="20"/>
                <w:lang w:val="en-CA" w:eastAsia="en-CA"/>
              </w:rPr>
              <w:t> </w:t>
            </w:r>
            <w:r w:rsidR="00126407">
              <w:rPr>
                <w:sz w:val="20"/>
                <w:szCs w:val="20"/>
                <w:lang w:val="en-CA" w:eastAsia="en-CA"/>
              </w:rPr>
              <w:t>0</w:t>
            </w:r>
          </w:p>
        </w:tc>
      </w:tr>
      <w:tr w:rsidR="00255A94" w:rsidRPr="00013AA6" w:rsidTr="00785A5C">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255A94" w:rsidRPr="00013AA6" w:rsidRDefault="00255A94" w:rsidP="00015809">
            <w:pPr>
              <w:jc w:val="left"/>
              <w:rPr>
                <w:sz w:val="20"/>
                <w:szCs w:val="20"/>
                <w:lang w:val="en-CA" w:eastAsia="en-CA"/>
              </w:rPr>
            </w:pPr>
            <w:r w:rsidRPr="00013AA6">
              <w:rPr>
                <w:sz w:val="20"/>
                <w:szCs w:val="20"/>
                <w:lang w:val="en-CA" w:eastAsia="en-CA"/>
              </w:rPr>
              <w:t>HFC - enabling activities</w:t>
            </w:r>
          </w:p>
        </w:tc>
        <w:tc>
          <w:tcPr>
            <w:tcW w:w="1181"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lang w:val="en-CA" w:eastAsia="en-CA"/>
              </w:rPr>
            </w:pPr>
            <w:r w:rsidRPr="00013AA6">
              <w:rPr>
                <w:sz w:val="20"/>
                <w:szCs w:val="20"/>
                <w:lang w:val="en-CA" w:eastAsia="en-CA"/>
              </w:rPr>
              <w:t>136</w:t>
            </w:r>
          </w:p>
        </w:tc>
        <w:tc>
          <w:tcPr>
            <w:tcW w:w="1181"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lang w:val="en-CA" w:eastAsia="en-CA"/>
              </w:rPr>
            </w:pPr>
            <w:r w:rsidRPr="00013AA6">
              <w:rPr>
                <w:sz w:val="20"/>
                <w:szCs w:val="20"/>
                <w:lang w:val="en-CA" w:eastAsia="en-CA"/>
              </w:rPr>
              <w:t> </w:t>
            </w:r>
            <w:r w:rsidR="00126407">
              <w:rPr>
                <w:sz w:val="20"/>
                <w:szCs w:val="20"/>
                <w:lang w:val="en-CA" w:eastAsia="en-CA"/>
              </w:rPr>
              <w:t>0</w:t>
            </w:r>
          </w:p>
        </w:tc>
        <w:tc>
          <w:tcPr>
            <w:tcW w:w="1182"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lang w:val="en-CA" w:eastAsia="en-CA"/>
              </w:rPr>
            </w:pPr>
            <w:r w:rsidRPr="00013AA6">
              <w:rPr>
                <w:sz w:val="20"/>
                <w:szCs w:val="20"/>
                <w:lang w:val="en-CA" w:eastAsia="en-CA"/>
              </w:rPr>
              <w:t> </w:t>
            </w:r>
            <w:r w:rsidR="00126407">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rPr>
            </w:pPr>
            <w:r w:rsidRPr="00013AA6">
              <w:rPr>
                <w:sz w:val="20"/>
                <w:szCs w:val="20"/>
              </w:rPr>
              <w:t>136</w:t>
            </w:r>
          </w:p>
        </w:tc>
        <w:tc>
          <w:tcPr>
            <w:tcW w:w="1276"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lang w:val="en-CA" w:eastAsia="en-CA"/>
              </w:rPr>
            </w:pPr>
            <w:r w:rsidRPr="00013AA6">
              <w:rPr>
                <w:sz w:val="20"/>
                <w:szCs w:val="20"/>
                <w:lang w:val="en-CA" w:eastAsia="en-CA"/>
              </w:rPr>
              <w:t> </w:t>
            </w:r>
            <w:r w:rsidR="00126407">
              <w:rPr>
                <w:sz w:val="20"/>
                <w:szCs w:val="20"/>
                <w:lang w:val="en-CA" w:eastAsia="en-CA"/>
              </w:rPr>
              <w:t>0</w:t>
            </w:r>
          </w:p>
        </w:tc>
      </w:tr>
      <w:tr w:rsidR="00255A94" w:rsidRPr="00013AA6" w:rsidTr="00785A5C">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255A94" w:rsidRPr="00013AA6" w:rsidRDefault="00255A94" w:rsidP="00015809">
            <w:pPr>
              <w:jc w:val="left"/>
              <w:rPr>
                <w:sz w:val="20"/>
                <w:szCs w:val="20"/>
                <w:lang w:val="en-CA" w:eastAsia="en-CA"/>
              </w:rPr>
            </w:pPr>
            <w:r w:rsidRPr="00013AA6">
              <w:rPr>
                <w:sz w:val="20"/>
                <w:szCs w:val="20"/>
                <w:lang w:val="en-CA" w:eastAsia="en-CA"/>
              </w:rPr>
              <w:t>HFC - investment</w:t>
            </w:r>
          </w:p>
        </w:tc>
        <w:tc>
          <w:tcPr>
            <w:tcW w:w="1181"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lang w:val="en-CA" w:eastAsia="en-CA"/>
              </w:rPr>
            </w:pPr>
            <w:r w:rsidRPr="00013AA6">
              <w:rPr>
                <w:sz w:val="20"/>
                <w:szCs w:val="20"/>
                <w:lang w:val="en-CA" w:eastAsia="en-CA"/>
              </w:rPr>
              <w:t>856</w:t>
            </w:r>
          </w:p>
        </w:tc>
        <w:tc>
          <w:tcPr>
            <w:tcW w:w="1181"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lang w:val="en-CA" w:eastAsia="en-CA"/>
              </w:rPr>
            </w:pPr>
            <w:r w:rsidRPr="00013AA6">
              <w:rPr>
                <w:sz w:val="20"/>
                <w:szCs w:val="20"/>
                <w:lang w:val="en-CA" w:eastAsia="en-CA"/>
              </w:rPr>
              <w:t> </w:t>
            </w:r>
            <w:r w:rsidR="00126407">
              <w:rPr>
                <w:sz w:val="20"/>
                <w:szCs w:val="20"/>
                <w:lang w:val="en-CA" w:eastAsia="en-CA"/>
              </w:rPr>
              <w:t>0</w:t>
            </w:r>
          </w:p>
        </w:tc>
        <w:tc>
          <w:tcPr>
            <w:tcW w:w="1182"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lang w:val="en-CA" w:eastAsia="en-CA"/>
              </w:rPr>
            </w:pPr>
            <w:r w:rsidRPr="00013AA6">
              <w:rPr>
                <w:sz w:val="20"/>
                <w:szCs w:val="20"/>
                <w:lang w:val="en-CA" w:eastAsia="en-CA"/>
              </w:rPr>
              <w:t> </w:t>
            </w:r>
            <w:r w:rsidR="00126407">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rPr>
            </w:pPr>
            <w:r w:rsidRPr="00013AA6">
              <w:rPr>
                <w:sz w:val="20"/>
                <w:szCs w:val="20"/>
              </w:rPr>
              <w:t>856</w:t>
            </w:r>
          </w:p>
        </w:tc>
        <w:tc>
          <w:tcPr>
            <w:tcW w:w="1276"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sz w:val="20"/>
                <w:szCs w:val="20"/>
                <w:lang w:val="en-CA" w:eastAsia="en-CA"/>
              </w:rPr>
            </w:pPr>
            <w:r w:rsidRPr="00013AA6">
              <w:rPr>
                <w:sz w:val="20"/>
                <w:szCs w:val="20"/>
                <w:lang w:val="en-CA" w:eastAsia="en-CA"/>
              </w:rPr>
              <w:t> </w:t>
            </w:r>
            <w:r w:rsidR="00126407">
              <w:rPr>
                <w:sz w:val="20"/>
                <w:szCs w:val="20"/>
                <w:lang w:val="en-CA" w:eastAsia="en-CA"/>
              </w:rPr>
              <w:t>0</w:t>
            </w:r>
          </w:p>
        </w:tc>
      </w:tr>
      <w:tr w:rsidR="00255A94" w:rsidRPr="00013AA6" w:rsidTr="00785A5C">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255A94" w:rsidRPr="00013AA6" w:rsidRDefault="00255A94" w:rsidP="00015809">
            <w:pPr>
              <w:jc w:val="left"/>
              <w:rPr>
                <w:b/>
                <w:bCs/>
                <w:sz w:val="20"/>
                <w:szCs w:val="20"/>
                <w:lang w:val="en-CA" w:eastAsia="en-CA"/>
              </w:rPr>
            </w:pPr>
            <w:r w:rsidRPr="00013AA6">
              <w:rPr>
                <w:b/>
                <w:bCs/>
                <w:sz w:val="20"/>
                <w:szCs w:val="20"/>
                <w:lang w:val="en-CA" w:eastAsia="en-CA"/>
              </w:rPr>
              <w:t xml:space="preserve">   HFC activities subtotal</w:t>
            </w:r>
          </w:p>
        </w:tc>
        <w:tc>
          <w:tcPr>
            <w:tcW w:w="1181"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b/>
                <w:bCs/>
                <w:sz w:val="20"/>
                <w:szCs w:val="20"/>
                <w:lang w:val="en-CA" w:eastAsia="en-CA"/>
              </w:rPr>
            </w:pPr>
            <w:r w:rsidRPr="00013AA6">
              <w:rPr>
                <w:b/>
                <w:bCs/>
                <w:sz w:val="20"/>
                <w:szCs w:val="20"/>
                <w:lang w:val="en-CA" w:eastAsia="en-CA"/>
              </w:rPr>
              <w:t>6,877</w:t>
            </w:r>
          </w:p>
        </w:tc>
        <w:tc>
          <w:tcPr>
            <w:tcW w:w="1181"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b/>
                <w:bCs/>
                <w:sz w:val="20"/>
                <w:szCs w:val="20"/>
                <w:lang w:val="en-CA" w:eastAsia="en-CA"/>
              </w:rPr>
            </w:pPr>
            <w:r w:rsidRPr="00013AA6">
              <w:rPr>
                <w:b/>
                <w:bCs/>
                <w:sz w:val="20"/>
                <w:szCs w:val="20"/>
                <w:lang w:val="en-CA" w:eastAsia="en-CA"/>
              </w:rPr>
              <w:t> </w:t>
            </w:r>
            <w:r w:rsidR="00126407">
              <w:rPr>
                <w:b/>
                <w:bCs/>
                <w:sz w:val="20"/>
                <w:szCs w:val="20"/>
                <w:lang w:val="en-CA" w:eastAsia="en-CA"/>
              </w:rPr>
              <w:t>0</w:t>
            </w:r>
          </w:p>
        </w:tc>
        <w:tc>
          <w:tcPr>
            <w:tcW w:w="1182"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b/>
                <w:bCs/>
                <w:sz w:val="20"/>
                <w:szCs w:val="20"/>
                <w:lang w:val="en-CA" w:eastAsia="en-CA"/>
              </w:rPr>
            </w:pPr>
            <w:r w:rsidRPr="00013AA6">
              <w:rPr>
                <w:b/>
                <w:bCs/>
                <w:sz w:val="20"/>
                <w:szCs w:val="20"/>
                <w:lang w:val="en-CA" w:eastAsia="en-CA"/>
              </w:rPr>
              <w:t> </w:t>
            </w:r>
            <w:r w:rsidR="00126407">
              <w:rPr>
                <w:b/>
                <w:bCs/>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b/>
                <w:bCs/>
                <w:sz w:val="20"/>
                <w:szCs w:val="20"/>
              </w:rPr>
            </w:pPr>
            <w:r w:rsidRPr="00013AA6">
              <w:rPr>
                <w:b/>
                <w:bCs/>
                <w:sz w:val="20"/>
                <w:szCs w:val="20"/>
              </w:rPr>
              <w:t>6,877</w:t>
            </w:r>
          </w:p>
        </w:tc>
        <w:tc>
          <w:tcPr>
            <w:tcW w:w="1276" w:type="dxa"/>
            <w:tcBorders>
              <w:top w:val="nil"/>
              <w:left w:val="nil"/>
              <w:bottom w:val="single" w:sz="4" w:space="0" w:color="auto"/>
              <w:right w:val="single" w:sz="4" w:space="0" w:color="auto"/>
            </w:tcBorders>
            <w:shd w:val="clear" w:color="auto" w:fill="auto"/>
            <w:noWrap/>
            <w:vAlign w:val="center"/>
            <w:hideMark/>
          </w:tcPr>
          <w:p w:rsidR="00255A94" w:rsidRPr="00013AA6" w:rsidRDefault="00255A94" w:rsidP="00015809">
            <w:pPr>
              <w:jc w:val="right"/>
              <w:rPr>
                <w:b/>
                <w:bCs/>
                <w:sz w:val="20"/>
                <w:szCs w:val="20"/>
                <w:lang w:val="en-CA" w:eastAsia="en-CA"/>
              </w:rPr>
            </w:pPr>
            <w:r w:rsidRPr="00013AA6">
              <w:rPr>
                <w:b/>
                <w:bCs/>
                <w:sz w:val="20"/>
                <w:szCs w:val="20"/>
                <w:lang w:val="en-CA" w:eastAsia="en-CA"/>
              </w:rPr>
              <w:t> </w:t>
            </w:r>
            <w:r w:rsidR="00126407">
              <w:rPr>
                <w:b/>
                <w:bCs/>
                <w:sz w:val="20"/>
                <w:szCs w:val="20"/>
                <w:lang w:val="en-CA" w:eastAsia="en-CA"/>
              </w:rPr>
              <w:t>0</w:t>
            </w:r>
          </w:p>
        </w:tc>
      </w:tr>
      <w:tr w:rsidR="00126407" w:rsidRPr="00013AA6" w:rsidTr="00785A5C">
        <w:trPr>
          <w:trHeight w:val="255"/>
        </w:trPr>
        <w:tc>
          <w:tcPr>
            <w:tcW w:w="9498" w:type="dxa"/>
            <w:gridSpan w:val="6"/>
            <w:tcBorders>
              <w:top w:val="nil"/>
              <w:left w:val="single" w:sz="4" w:space="0" w:color="auto"/>
              <w:bottom w:val="single" w:sz="4" w:space="0" w:color="auto"/>
              <w:right w:val="single" w:sz="4" w:space="0" w:color="auto"/>
            </w:tcBorders>
            <w:shd w:val="clear" w:color="auto" w:fill="auto"/>
            <w:noWrap/>
            <w:vAlign w:val="center"/>
            <w:hideMark/>
          </w:tcPr>
          <w:p w:rsidR="00126407" w:rsidRPr="00013AA6" w:rsidRDefault="00126407" w:rsidP="00015809">
            <w:pPr>
              <w:jc w:val="left"/>
              <w:rPr>
                <w:b/>
                <w:bCs/>
                <w:sz w:val="20"/>
                <w:szCs w:val="20"/>
                <w:lang w:val="en-CA" w:eastAsia="en-CA"/>
              </w:rPr>
            </w:pPr>
            <w:r w:rsidRPr="00013AA6">
              <w:rPr>
                <w:b/>
                <w:bCs/>
                <w:sz w:val="20"/>
                <w:szCs w:val="20"/>
                <w:lang w:val="en-CA" w:eastAsia="en-CA"/>
              </w:rPr>
              <w:t>Standard activities</w:t>
            </w:r>
          </w:p>
        </w:tc>
      </w:tr>
      <w:tr w:rsidR="00647D2A" w:rsidRPr="00013AA6" w:rsidTr="00785A5C">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647D2A" w:rsidRPr="00013AA6" w:rsidRDefault="00647D2A" w:rsidP="00015809">
            <w:pPr>
              <w:jc w:val="left"/>
              <w:rPr>
                <w:sz w:val="20"/>
                <w:szCs w:val="20"/>
                <w:lang w:val="en-CA" w:eastAsia="en-CA"/>
              </w:rPr>
            </w:pPr>
            <w:r w:rsidRPr="00013AA6">
              <w:rPr>
                <w:sz w:val="20"/>
                <w:szCs w:val="20"/>
                <w:lang w:val="en-CA" w:eastAsia="en-CA"/>
              </w:rPr>
              <w:t>Core unit</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1,735</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1,735</w:t>
            </w:r>
          </w:p>
        </w:tc>
        <w:tc>
          <w:tcPr>
            <w:tcW w:w="1182"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1,735</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5,205</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 </w:t>
            </w:r>
            <w:r w:rsidR="00126407">
              <w:rPr>
                <w:sz w:val="20"/>
                <w:szCs w:val="20"/>
                <w:lang w:val="en-CA" w:eastAsia="en-CA"/>
              </w:rPr>
              <w:t>0</w:t>
            </w:r>
          </w:p>
        </w:tc>
      </w:tr>
      <w:tr w:rsidR="00647D2A" w:rsidRPr="00013AA6" w:rsidTr="00785A5C">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647D2A" w:rsidRPr="00013AA6" w:rsidRDefault="00126407" w:rsidP="00015809">
            <w:pPr>
              <w:jc w:val="left"/>
              <w:rPr>
                <w:sz w:val="20"/>
                <w:szCs w:val="20"/>
                <w:lang w:val="en-CA" w:eastAsia="en-CA"/>
              </w:rPr>
            </w:pPr>
            <w:r>
              <w:rPr>
                <w:sz w:val="20"/>
                <w:szCs w:val="20"/>
                <w:lang w:val="en-CA" w:eastAsia="en-CA"/>
              </w:rPr>
              <w:t>IS</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5A609B" w:rsidP="00015809">
            <w:pPr>
              <w:jc w:val="right"/>
              <w:rPr>
                <w:sz w:val="20"/>
                <w:szCs w:val="20"/>
                <w:lang w:val="en-CA" w:eastAsia="en-CA"/>
              </w:rPr>
            </w:pPr>
            <w:r>
              <w:rPr>
                <w:sz w:val="20"/>
                <w:szCs w:val="20"/>
                <w:lang w:val="en-CA" w:eastAsia="en-CA"/>
              </w:rPr>
              <w:t>677</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left"/>
              <w:rPr>
                <w:sz w:val="20"/>
                <w:szCs w:val="20"/>
                <w:lang w:val="en-CA" w:eastAsia="en-CA"/>
              </w:rPr>
            </w:pPr>
            <w:r w:rsidRPr="00013AA6">
              <w:rPr>
                <w:sz w:val="20"/>
                <w:szCs w:val="20"/>
                <w:lang w:val="en-CA" w:eastAsia="en-CA"/>
              </w:rPr>
              <w:t> </w:t>
            </w:r>
          </w:p>
        </w:tc>
        <w:tc>
          <w:tcPr>
            <w:tcW w:w="1182" w:type="dxa"/>
            <w:tcBorders>
              <w:top w:val="nil"/>
              <w:left w:val="nil"/>
              <w:bottom w:val="single" w:sz="4" w:space="0" w:color="auto"/>
              <w:right w:val="single" w:sz="4" w:space="0" w:color="auto"/>
            </w:tcBorders>
            <w:shd w:val="clear" w:color="auto" w:fill="auto"/>
            <w:noWrap/>
            <w:vAlign w:val="center"/>
            <w:hideMark/>
          </w:tcPr>
          <w:p w:rsidR="00647D2A" w:rsidRPr="00013AA6" w:rsidRDefault="005A609B" w:rsidP="00015809">
            <w:pPr>
              <w:jc w:val="right"/>
              <w:rPr>
                <w:sz w:val="20"/>
                <w:szCs w:val="20"/>
                <w:lang w:val="en-CA" w:eastAsia="en-CA"/>
              </w:rPr>
            </w:pPr>
            <w:r>
              <w:rPr>
                <w:sz w:val="20"/>
                <w:szCs w:val="20"/>
                <w:lang w:val="en-CA" w:eastAsia="en-CA"/>
              </w:rPr>
              <w:t>677</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1,353</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sz w:val="20"/>
                <w:szCs w:val="20"/>
                <w:lang w:val="en-CA" w:eastAsia="en-CA"/>
              </w:rPr>
            </w:pPr>
            <w:r w:rsidRPr="00013AA6">
              <w:rPr>
                <w:sz w:val="20"/>
                <w:szCs w:val="20"/>
                <w:lang w:val="en-CA" w:eastAsia="en-CA"/>
              </w:rPr>
              <w:t> </w:t>
            </w:r>
            <w:r w:rsidR="00126407">
              <w:rPr>
                <w:sz w:val="20"/>
                <w:szCs w:val="20"/>
                <w:lang w:val="en-CA" w:eastAsia="en-CA"/>
              </w:rPr>
              <w:t>0</w:t>
            </w:r>
          </w:p>
        </w:tc>
      </w:tr>
      <w:tr w:rsidR="00647D2A" w:rsidRPr="00013AA6" w:rsidTr="00785A5C">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647D2A" w:rsidRPr="00013AA6" w:rsidRDefault="00647D2A" w:rsidP="00015809">
            <w:pPr>
              <w:jc w:val="left"/>
              <w:rPr>
                <w:b/>
                <w:bCs/>
                <w:sz w:val="20"/>
                <w:szCs w:val="20"/>
                <w:lang w:val="en-CA" w:eastAsia="en-CA"/>
              </w:rPr>
            </w:pPr>
            <w:r w:rsidRPr="00013AA6">
              <w:rPr>
                <w:b/>
                <w:bCs/>
                <w:sz w:val="20"/>
                <w:szCs w:val="20"/>
                <w:lang w:val="en-CA" w:eastAsia="en-CA"/>
              </w:rPr>
              <w:t xml:space="preserve">   </w:t>
            </w:r>
            <w:r w:rsidR="00A16D98" w:rsidRPr="00013AA6">
              <w:rPr>
                <w:b/>
                <w:bCs/>
                <w:sz w:val="20"/>
                <w:szCs w:val="20"/>
                <w:lang w:val="en-CA" w:eastAsia="en-CA"/>
              </w:rPr>
              <w:t>Standard activities subtotal</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b/>
                <w:bCs/>
                <w:sz w:val="20"/>
                <w:szCs w:val="20"/>
                <w:lang w:val="en-CA" w:eastAsia="en-CA"/>
              </w:rPr>
            </w:pPr>
            <w:r w:rsidRPr="00013AA6">
              <w:rPr>
                <w:b/>
                <w:bCs/>
                <w:sz w:val="20"/>
                <w:szCs w:val="20"/>
                <w:lang w:val="en-CA" w:eastAsia="en-CA"/>
              </w:rPr>
              <w:t>2,412</w:t>
            </w:r>
          </w:p>
        </w:tc>
        <w:tc>
          <w:tcPr>
            <w:tcW w:w="1181"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b/>
                <w:bCs/>
                <w:sz w:val="20"/>
                <w:szCs w:val="20"/>
                <w:lang w:val="en-CA" w:eastAsia="en-CA"/>
              </w:rPr>
            </w:pPr>
            <w:r w:rsidRPr="00013AA6">
              <w:rPr>
                <w:b/>
                <w:bCs/>
                <w:sz w:val="20"/>
                <w:szCs w:val="20"/>
                <w:lang w:val="en-CA" w:eastAsia="en-CA"/>
              </w:rPr>
              <w:t>1,735</w:t>
            </w:r>
          </w:p>
        </w:tc>
        <w:tc>
          <w:tcPr>
            <w:tcW w:w="1182"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b/>
                <w:bCs/>
                <w:sz w:val="20"/>
                <w:szCs w:val="20"/>
                <w:lang w:val="en-CA" w:eastAsia="en-CA"/>
              </w:rPr>
            </w:pPr>
            <w:r w:rsidRPr="00013AA6">
              <w:rPr>
                <w:b/>
                <w:bCs/>
                <w:sz w:val="20"/>
                <w:szCs w:val="20"/>
                <w:lang w:val="en-CA" w:eastAsia="en-CA"/>
              </w:rPr>
              <w:t>2,412</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647D2A" w:rsidP="00015809">
            <w:pPr>
              <w:jc w:val="right"/>
              <w:rPr>
                <w:b/>
                <w:bCs/>
                <w:sz w:val="20"/>
                <w:szCs w:val="20"/>
                <w:lang w:val="en-CA" w:eastAsia="en-CA"/>
              </w:rPr>
            </w:pPr>
            <w:r w:rsidRPr="00013AA6">
              <w:rPr>
                <w:b/>
                <w:bCs/>
                <w:sz w:val="20"/>
                <w:szCs w:val="20"/>
                <w:lang w:val="en-CA" w:eastAsia="en-CA"/>
              </w:rPr>
              <w:t>6,558</w:t>
            </w:r>
          </w:p>
        </w:tc>
        <w:tc>
          <w:tcPr>
            <w:tcW w:w="1276" w:type="dxa"/>
            <w:tcBorders>
              <w:top w:val="nil"/>
              <w:left w:val="nil"/>
              <w:bottom w:val="single" w:sz="4" w:space="0" w:color="auto"/>
              <w:right w:val="single" w:sz="4" w:space="0" w:color="auto"/>
            </w:tcBorders>
            <w:shd w:val="clear" w:color="auto" w:fill="auto"/>
            <w:noWrap/>
            <w:vAlign w:val="center"/>
            <w:hideMark/>
          </w:tcPr>
          <w:p w:rsidR="00647D2A" w:rsidRPr="00013AA6" w:rsidRDefault="00126407" w:rsidP="00015809">
            <w:pPr>
              <w:jc w:val="right"/>
              <w:rPr>
                <w:b/>
                <w:bCs/>
                <w:sz w:val="20"/>
                <w:szCs w:val="20"/>
                <w:lang w:val="en-CA" w:eastAsia="en-CA"/>
              </w:rPr>
            </w:pPr>
            <w:r>
              <w:rPr>
                <w:b/>
                <w:bCs/>
                <w:sz w:val="20"/>
                <w:szCs w:val="20"/>
                <w:lang w:val="en-CA" w:eastAsia="en-CA"/>
              </w:rPr>
              <w:t>0</w:t>
            </w:r>
          </w:p>
        </w:tc>
      </w:tr>
      <w:tr w:rsidR="000312E8" w:rsidRPr="00013AA6" w:rsidTr="00785A5C">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0312E8" w:rsidRPr="00013AA6" w:rsidRDefault="000312E8" w:rsidP="00015809">
            <w:pPr>
              <w:jc w:val="left"/>
              <w:rPr>
                <w:b/>
                <w:bCs/>
                <w:sz w:val="20"/>
                <w:szCs w:val="20"/>
                <w:lang w:val="en-CA" w:eastAsia="en-CA"/>
              </w:rPr>
            </w:pPr>
            <w:r w:rsidRPr="00013AA6">
              <w:rPr>
                <w:b/>
                <w:bCs/>
                <w:sz w:val="20"/>
                <w:szCs w:val="20"/>
                <w:lang w:val="en-CA" w:eastAsia="en-CA"/>
              </w:rPr>
              <w:t>Grand total</w:t>
            </w:r>
          </w:p>
        </w:tc>
        <w:tc>
          <w:tcPr>
            <w:tcW w:w="1181" w:type="dxa"/>
            <w:tcBorders>
              <w:top w:val="nil"/>
              <w:left w:val="nil"/>
              <w:bottom w:val="single" w:sz="4" w:space="0" w:color="auto"/>
              <w:right w:val="single" w:sz="4" w:space="0" w:color="auto"/>
            </w:tcBorders>
            <w:shd w:val="clear" w:color="auto" w:fill="auto"/>
            <w:noWrap/>
            <w:vAlign w:val="center"/>
            <w:hideMark/>
          </w:tcPr>
          <w:p w:rsidR="000312E8" w:rsidRPr="00013AA6" w:rsidRDefault="000312E8" w:rsidP="00015809">
            <w:pPr>
              <w:jc w:val="right"/>
              <w:rPr>
                <w:b/>
                <w:bCs/>
                <w:sz w:val="20"/>
                <w:szCs w:val="20"/>
                <w:lang w:val="en-CA" w:eastAsia="en-CA"/>
              </w:rPr>
            </w:pPr>
            <w:r w:rsidRPr="00013AA6">
              <w:rPr>
                <w:b/>
                <w:bCs/>
                <w:sz w:val="20"/>
                <w:szCs w:val="20"/>
                <w:lang w:val="en-CA" w:eastAsia="en-CA"/>
              </w:rPr>
              <w:t>63,648</w:t>
            </w:r>
          </w:p>
        </w:tc>
        <w:tc>
          <w:tcPr>
            <w:tcW w:w="1181" w:type="dxa"/>
            <w:tcBorders>
              <w:top w:val="nil"/>
              <w:left w:val="nil"/>
              <w:bottom w:val="single" w:sz="4" w:space="0" w:color="auto"/>
              <w:right w:val="single" w:sz="4" w:space="0" w:color="auto"/>
            </w:tcBorders>
            <w:shd w:val="clear" w:color="auto" w:fill="auto"/>
            <w:noWrap/>
            <w:vAlign w:val="center"/>
            <w:hideMark/>
          </w:tcPr>
          <w:p w:rsidR="000312E8" w:rsidRPr="00013AA6" w:rsidRDefault="000312E8" w:rsidP="00015809">
            <w:pPr>
              <w:jc w:val="right"/>
              <w:rPr>
                <w:b/>
                <w:bCs/>
                <w:sz w:val="20"/>
                <w:szCs w:val="20"/>
                <w:lang w:val="en-CA" w:eastAsia="en-CA"/>
              </w:rPr>
            </w:pPr>
            <w:r w:rsidRPr="00013AA6">
              <w:rPr>
                <w:b/>
                <w:bCs/>
                <w:sz w:val="20"/>
                <w:szCs w:val="20"/>
                <w:lang w:val="en-CA" w:eastAsia="en-CA"/>
              </w:rPr>
              <w:t>58,449</w:t>
            </w:r>
          </w:p>
        </w:tc>
        <w:tc>
          <w:tcPr>
            <w:tcW w:w="1182" w:type="dxa"/>
            <w:tcBorders>
              <w:top w:val="nil"/>
              <w:left w:val="nil"/>
              <w:bottom w:val="single" w:sz="4" w:space="0" w:color="auto"/>
              <w:right w:val="single" w:sz="4" w:space="0" w:color="auto"/>
            </w:tcBorders>
            <w:shd w:val="clear" w:color="auto" w:fill="auto"/>
            <w:noWrap/>
            <w:vAlign w:val="center"/>
            <w:hideMark/>
          </w:tcPr>
          <w:p w:rsidR="000312E8" w:rsidRPr="00013AA6" w:rsidRDefault="000312E8" w:rsidP="00015809">
            <w:pPr>
              <w:jc w:val="right"/>
              <w:rPr>
                <w:b/>
                <w:bCs/>
                <w:sz w:val="20"/>
                <w:szCs w:val="20"/>
                <w:lang w:val="en-CA" w:eastAsia="en-CA"/>
              </w:rPr>
            </w:pPr>
            <w:r w:rsidRPr="00013AA6">
              <w:rPr>
                <w:b/>
                <w:bCs/>
                <w:sz w:val="20"/>
                <w:szCs w:val="20"/>
                <w:lang w:val="en-CA" w:eastAsia="en-CA"/>
              </w:rPr>
              <w:t>46,171</w:t>
            </w:r>
          </w:p>
        </w:tc>
        <w:tc>
          <w:tcPr>
            <w:tcW w:w="1276" w:type="dxa"/>
            <w:tcBorders>
              <w:top w:val="nil"/>
              <w:left w:val="nil"/>
              <w:bottom w:val="single" w:sz="4" w:space="0" w:color="auto"/>
              <w:right w:val="single" w:sz="4" w:space="0" w:color="auto"/>
            </w:tcBorders>
            <w:shd w:val="clear" w:color="auto" w:fill="auto"/>
            <w:noWrap/>
            <w:vAlign w:val="center"/>
            <w:hideMark/>
          </w:tcPr>
          <w:p w:rsidR="000312E8" w:rsidRPr="00013AA6" w:rsidRDefault="000312E8" w:rsidP="00015809">
            <w:pPr>
              <w:jc w:val="right"/>
              <w:rPr>
                <w:b/>
                <w:bCs/>
                <w:sz w:val="20"/>
                <w:szCs w:val="20"/>
              </w:rPr>
            </w:pPr>
            <w:r w:rsidRPr="00013AA6">
              <w:rPr>
                <w:b/>
                <w:bCs/>
                <w:sz w:val="20"/>
                <w:szCs w:val="20"/>
              </w:rPr>
              <w:t>168,268</w:t>
            </w:r>
          </w:p>
        </w:tc>
        <w:tc>
          <w:tcPr>
            <w:tcW w:w="1276" w:type="dxa"/>
            <w:tcBorders>
              <w:top w:val="nil"/>
              <w:left w:val="nil"/>
              <w:bottom w:val="single" w:sz="4" w:space="0" w:color="auto"/>
              <w:right w:val="single" w:sz="4" w:space="0" w:color="auto"/>
            </w:tcBorders>
            <w:shd w:val="clear" w:color="auto" w:fill="auto"/>
            <w:noWrap/>
            <w:vAlign w:val="center"/>
            <w:hideMark/>
          </w:tcPr>
          <w:p w:rsidR="000312E8" w:rsidRPr="00013AA6" w:rsidRDefault="000312E8" w:rsidP="00015809">
            <w:pPr>
              <w:jc w:val="right"/>
              <w:rPr>
                <w:b/>
                <w:bCs/>
                <w:sz w:val="20"/>
                <w:szCs w:val="20"/>
                <w:lang w:val="en-CA" w:eastAsia="en-CA"/>
              </w:rPr>
            </w:pPr>
            <w:r w:rsidRPr="00013AA6">
              <w:rPr>
                <w:b/>
                <w:bCs/>
                <w:sz w:val="20"/>
                <w:szCs w:val="20"/>
                <w:lang w:val="en-CA" w:eastAsia="en-CA"/>
              </w:rPr>
              <w:t>321,035</w:t>
            </w:r>
          </w:p>
        </w:tc>
      </w:tr>
    </w:tbl>
    <w:p w:rsidR="00EE1F8C" w:rsidRPr="00013AA6" w:rsidRDefault="00EE1F8C" w:rsidP="00015809">
      <w:pPr>
        <w:rPr>
          <w:sz w:val="18"/>
          <w:szCs w:val="18"/>
        </w:rPr>
      </w:pPr>
      <w:r w:rsidRPr="00013AA6">
        <w:rPr>
          <w:sz w:val="18"/>
          <w:szCs w:val="18"/>
        </w:rPr>
        <w:t xml:space="preserve">* Including agency support cost where applicable.  </w:t>
      </w:r>
    </w:p>
    <w:p w:rsidR="00E06711" w:rsidRPr="00013AA6" w:rsidRDefault="00E06711" w:rsidP="00015809"/>
    <w:p w:rsidR="00E06711" w:rsidRPr="00013AA6" w:rsidRDefault="00E06711" w:rsidP="00015809">
      <w:pPr>
        <w:keepNext/>
        <w:jc w:val="left"/>
        <w:rPr>
          <w:b/>
        </w:rPr>
      </w:pPr>
      <w:r w:rsidRPr="00013AA6">
        <w:rPr>
          <w:b/>
        </w:rPr>
        <w:t>Performance indicators</w:t>
      </w:r>
    </w:p>
    <w:p w:rsidR="00E06711" w:rsidRPr="00013AA6" w:rsidRDefault="00E06711" w:rsidP="00015809">
      <w:pPr>
        <w:keepNext/>
        <w:jc w:val="left"/>
      </w:pPr>
    </w:p>
    <w:p w:rsidR="00E06711" w:rsidRPr="00013AA6" w:rsidRDefault="00E06711" w:rsidP="00015809">
      <w:pPr>
        <w:pStyle w:val="Heading1"/>
      </w:pPr>
      <w:r w:rsidRPr="00013AA6">
        <w:t>The World Bank submitted performance indicators pursuant to decision 71/28 in its business plan narrative. After several discussions, the World Bank and the Secretariat agreed on the targets as shown in Table 5.</w:t>
      </w:r>
    </w:p>
    <w:p w:rsidR="00E06711" w:rsidRPr="00013AA6" w:rsidRDefault="00E06711" w:rsidP="00015809">
      <w:pPr>
        <w:pStyle w:val="subhead"/>
        <w:keepNext/>
        <w:jc w:val="left"/>
        <w:rPr>
          <w:b/>
          <w:sz w:val="22"/>
          <w:szCs w:val="22"/>
        </w:rPr>
      </w:pPr>
      <w:r w:rsidRPr="00013AA6">
        <w:rPr>
          <w:b/>
          <w:sz w:val="22"/>
          <w:szCs w:val="22"/>
        </w:rPr>
        <w:t>Table 5: Performance indicators for the World Bank</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2034"/>
        <w:gridCol w:w="4351"/>
        <w:gridCol w:w="1522"/>
      </w:tblGrid>
      <w:tr w:rsidR="00E06711" w:rsidRPr="00013AA6" w:rsidTr="00785A5C">
        <w:trPr>
          <w:tblHeader/>
          <w:jc w:val="center"/>
        </w:trPr>
        <w:tc>
          <w:tcPr>
            <w:tcW w:w="1731" w:type="dxa"/>
            <w:shd w:val="clear" w:color="auto" w:fill="auto"/>
            <w:hideMark/>
          </w:tcPr>
          <w:p w:rsidR="00E06711" w:rsidRPr="00013AA6" w:rsidRDefault="00E06711" w:rsidP="00015809">
            <w:pPr>
              <w:keepNext/>
              <w:jc w:val="left"/>
              <w:rPr>
                <w:b/>
                <w:bCs/>
                <w:sz w:val="20"/>
                <w:szCs w:val="20"/>
                <w:lang w:val="en-CA" w:eastAsia="en-CA"/>
              </w:rPr>
            </w:pPr>
            <w:r w:rsidRPr="00013AA6">
              <w:rPr>
                <w:b/>
                <w:bCs/>
                <w:sz w:val="20"/>
                <w:szCs w:val="20"/>
                <w:lang w:val="en-CA" w:eastAsia="en-CA"/>
              </w:rPr>
              <w:t xml:space="preserve">Type of indicator </w:t>
            </w:r>
          </w:p>
        </w:tc>
        <w:tc>
          <w:tcPr>
            <w:tcW w:w="2040" w:type="dxa"/>
            <w:shd w:val="clear" w:color="auto" w:fill="auto"/>
            <w:hideMark/>
          </w:tcPr>
          <w:p w:rsidR="00E06711" w:rsidRPr="00013AA6" w:rsidRDefault="00E06711" w:rsidP="00015809">
            <w:pPr>
              <w:keepNext/>
              <w:jc w:val="center"/>
              <w:rPr>
                <w:b/>
                <w:bCs/>
                <w:sz w:val="20"/>
                <w:szCs w:val="20"/>
                <w:lang w:val="en-CA" w:eastAsia="en-CA"/>
              </w:rPr>
            </w:pPr>
            <w:r w:rsidRPr="00013AA6">
              <w:rPr>
                <w:b/>
                <w:bCs/>
                <w:sz w:val="20"/>
                <w:szCs w:val="20"/>
                <w:lang w:val="en-CA" w:eastAsia="en-CA"/>
              </w:rPr>
              <w:t>Short title</w:t>
            </w:r>
          </w:p>
        </w:tc>
        <w:tc>
          <w:tcPr>
            <w:tcW w:w="4394" w:type="dxa"/>
            <w:shd w:val="clear" w:color="auto" w:fill="auto"/>
            <w:hideMark/>
          </w:tcPr>
          <w:p w:rsidR="00E06711" w:rsidRPr="00013AA6" w:rsidRDefault="00E06711" w:rsidP="00015809">
            <w:pPr>
              <w:keepNext/>
              <w:jc w:val="center"/>
              <w:rPr>
                <w:b/>
                <w:bCs/>
                <w:sz w:val="20"/>
                <w:szCs w:val="20"/>
                <w:lang w:val="en-CA" w:eastAsia="en-CA"/>
              </w:rPr>
            </w:pPr>
            <w:r w:rsidRPr="00013AA6">
              <w:rPr>
                <w:b/>
                <w:bCs/>
                <w:sz w:val="20"/>
                <w:szCs w:val="20"/>
                <w:lang w:val="en-CA" w:eastAsia="en-CA"/>
              </w:rPr>
              <w:t>Calculation</w:t>
            </w:r>
          </w:p>
        </w:tc>
        <w:tc>
          <w:tcPr>
            <w:tcW w:w="1469" w:type="dxa"/>
          </w:tcPr>
          <w:p w:rsidR="00E06711" w:rsidRPr="00013AA6" w:rsidRDefault="00E06711" w:rsidP="00015809">
            <w:pPr>
              <w:keepNext/>
              <w:jc w:val="center"/>
              <w:rPr>
                <w:b/>
                <w:bCs/>
                <w:sz w:val="20"/>
                <w:szCs w:val="20"/>
                <w:lang w:val="en-CA" w:eastAsia="en-CA"/>
              </w:rPr>
            </w:pPr>
            <w:r w:rsidRPr="00013AA6">
              <w:rPr>
                <w:b/>
                <w:bCs/>
                <w:sz w:val="20"/>
                <w:szCs w:val="20"/>
                <w:lang w:val="en-CA" w:eastAsia="en-CA"/>
              </w:rPr>
              <w:t>201</w:t>
            </w:r>
            <w:r w:rsidR="00E60F6C" w:rsidRPr="00013AA6">
              <w:rPr>
                <w:b/>
                <w:bCs/>
                <w:sz w:val="20"/>
                <w:szCs w:val="20"/>
                <w:lang w:val="en-CA" w:eastAsia="en-CA"/>
              </w:rPr>
              <w:t>8</w:t>
            </w:r>
            <w:r w:rsidRPr="00013AA6">
              <w:rPr>
                <w:b/>
                <w:bCs/>
                <w:sz w:val="20"/>
                <w:szCs w:val="20"/>
                <w:lang w:val="en-CA" w:eastAsia="en-CA"/>
              </w:rPr>
              <w:t xml:space="preserve"> target</w:t>
            </w:r>
          </w:p>
        </w:tc>
      </w:tr>
      <w:tr w:rsidR="00E06711" w:rsidRPr="00013AA6" w:rsidTr="00785A5C">
        <w:trPr>
          <w:jc w:val="center"/>
        </w:trPr>
        <w:tc>
          <w:tcPr>
            <w:tcW w:w="1731" w:type="dxa"/>
            <w:shd w:val="clear" w:color="auto" w:fill="auto"/>
          </w:tcPr>
          <w:p w:rsidR="00E06711" w:rsidRPr="00013AA6" w:rsidRDefault="00E06711" w:rsidP="00015809">
            <w:pPr>
              <w:keepNext/>
              <w:jc w:val="left"/>
              <w:rPr>
                <w:sz w:val="20"/>
                <w:szCs w:val="20"/>
                <w:lang w:val="en-CA" w:eastAsia="en-CA"/>
              </w:rPr>
            </w:pPr>
            <w:r w:rsidRPr="00013AA6">
              <w:rPr>
                <w:sz w:val="20"/>
                <w:szCs w:val="20"/>
                <w:lang w:val="en-US"/>
              </w:rPr>
              <w:t>Planning—Approval</w:t>
            </w:r>
          </w:p>
        </w:tc>
        <w:tc>
          <w:tcPr>
            <w:tcW w:w="2040" w:type="dxa"/>
            <w:shd w:val="clear" w:color="auto" w:fill="auto"/>
          </w:tcPr>
          <w:p w:rsidR="00E06711" w:rsidRPr="00013AA6" w:rsidRDefault="00E06711" w:rsidP="00015809">
            <w:pPr>
              <w:keepNext/>
              <w:jc w:val="left"/>
              <w:rPr>
                <w:sz w:val="20"/>
                <w:szCs w:val="20"/>
                <w:lang w:val="en-CA" w:eastAsia="en-CA"/>
              </w:rPr>
            </w:pPr>
            <w:r w:rsidRPr="00013AA6">
              <w:rPr>
                <w:sz w:val="20"/>
                <w:szCs w:val="20"/>
                <w:lang w:val="en-US"/>
              </w:rPr>
              <w:t>Tranches approved</w:t>
            </w:r>
          </w:p>
        </w:tc>
        <w:tc>
          <w:tcPr>
            <w:tcW w:w="4394" w:type="dxa"/>
            <w:shd w:val="clear" w:color="auto" w:fill="auto"/>
          </w:tcPr>
          <w:p w:rsidR="00E06711" w:rsidRPr="00013AA6" w:rsidRDefault="00E06711" w:rsidP="00015809">
            <w:pPr>
              <w:keepNext/>
              <w:jc w:val="left"/>
              <w:rPr>
                <w:sz w:val="20"/>
                <w:szCs w:val="20"/>
                <w:lang w:val="en-CA" w:eastAsia="en-CA"/>
              </w:rPr>
            </w:pPr>
            <w:r w:rsidRPr="00013AA6">
              <w:rPr>
                <w:sz w:val="20"/>
                <w:szCs w:val="20"/>
                <w:lang w:val="en-US"/>
              </w:rPr>
              <w:t>Number of tranches approved vs. those planned*</w:t>
            </w:r>
          </w:p>
        </w:tc>
        <w:tc>
          <w:tcPr>
            <w:tcW w:w="1469" w:type="dxa"/>
          </w:tcPr>
          <w:p w:rsidR="00E06711" w:rsidRPr="00013AA6" w:rsidRDefault="006F2E5B" w:rsidP="00015809">
            <w:pPr>
              <w:keepNext/>
              <w:jc w:val="right"/>
              <w:rPr>
                <w:iCs/>
                <w:sz w:val="20"/>
                <w:szCs w:val="20"/>
                <w:lang w:eastAsia="zh-CN"/>
              </w:rPr>
            </w:pPr>
            <w:r w:rsidRPr="00013AA6">
              <w:rPr>
                <w:iCs/>
                <w:sz w:val="20"/>
                <w:szCs w:val="20"/>
                <w:lang w:eastAsia="zh-CN"/>
              </w:rPr>
              <w:t>8</w:t>
            </w:r>
          </w:p>
          <w:p w:rsidR="006F2E5B" w:rsidRPr="00013AA6" w:rsidRDefault="006F2E5B" w:rsidP="00015809">
            <w:pPr>
              <w:keepNext/>
              <w:jc w:val="center"/>
              <w:rPr>
                <w:sz w:val="20"/>
                <w:szCs w:val="20"/>
                <w:lang w:val="en-CA" w:eastAsia="en-CA"/>
              </w:rPr>
            </w:pPr>
          </w:p>
        </w:tc>
      </w:tr>
      <w:tr w:rsidR="00E06711" w:rsidRPr="00013AA6" w:rsidTr="00785A5C">
        <w:trPr>
          <w:jc w:val="center"/>
        </w:trPr>
        <w:tc>
          <w:tcPr>
            <w:tcW w:w="1731" w:type="dxa"/>
            <w:shd w:val="clear" w:color="auto" w:fill="auto"/>
          </w:tcPr>
          <w:p w:rsidR="00E06711" w:rsidRPr="00013AA6" w:rsidRDefault="00E06711" w:rsidP="00015809">
            <w:pPr>
              <w:keepNext/>
              <w:jc w:val="left"/>
              <w:rPr>
                <w:sz w:val="20"/>
                <w:szCs w:val="20"/>
                <w:lang w:val="en-CA" w:eastAsia="en-CA"/>
              </w:rPr>
            </w:pPr>
            <w:r w:rsidRPr="00013AA6">
              <w:rPr>
                <w:sz w:val="20"/>
                <w:szCs w:val="20"/>
                <w:lang w:val="en-US"/>
              </w:rPr>
              <w:t>Planning—Approval</w:t>
            </w:r>
          </w:p>
        </w:tc>
        <w:tc>
          <w:tcPr>
            <w:tcW w:w="2040" w:type="dxa"/>
            <w:shd w:val="clear" w:color="auto" w:fill="auto"/>
          </w:tcPr>
          <w:p w:rsidR="00E06711" w:rsidRPr="00013AA6" w:rsidRDefault="00E06711" w:rsidP="00015809">
            <w:pPr>
              <w:autoSpaceDE w:val="0"/>
              <w:autoSpaceDN w:val="0"/>
              <w:adjustRightInd w:val="0"/>
              <w:jc w:val="left"/>
              <w:rPr>
                <w:sz w:val="20"/>
                <w:szCs w:val="20"/>
                <w:lang w:val="en-US"/>
              </w:rPr>
            </w:pPr>
            <w:r w:rsidRPr="00013AA6">
              <w:rPr>
                <w:sz w:val="20"/>
                <w:szCs w:val="20"/>
                <w:lang w:val="en-US"/>
              </w:rPr>
              <w:t>Projects/activities</w:t>
            </w:r>
          </w:p>
          <w:p w:rsidR="00E06711" w:rsidRPr="00013AA6" w:rsidRDefault="00E06711" w:rsidP="00015809">
            <w:pPr>
              <w:keepNext/>
              <w:jc w:val="left"/>
              <w:rPr>
                <w:sz w:val="20"/>
                <w:szCs w:val="20"/>
                <w:lang w:val="en-CA" w:eastAsia="en-CA"/>
              </w:rPr>
            </w:pPr>
            <w:r w:rsidRPr="00013AA6">
              <w:rPr>
                <w:sz w:val="20"/>
                <w:szCs w:val="20"/>
                <w:lang w:val="en-US"/>
              </w:rPr>
              <w:t>approved</w:t>
            </w:r>
          </w:p>
        </w:tc>
        <w:tc>
          <w:tcPr>
            <w:tcW w:w="4394" w:type="dxa"/>
            <w:shd w:val="clear" w:color="auto" w:fill="auto"/>
          </w:tcPr>
          <w:p w:rsidR="00E06711" w:rsidRPr="00013AA6" w:rsidRDefault="00E06711" w:rsidP="00015809">
            <w:pPr>
              <w:autoSpaceDE w:val="0"/>
              <w:autoSpaceDN w:val="0"/>
              <w:adjustRightInd w:val="0"/>
              <w:jc w:val="left"/>
              <w:rPr>
                <w:sz w:val="20"/>
                <w:szCs w:val="20"/>
                <w:lang w:val="en-US"/>
              </w:rPr>
            </w:pPr>
            <w:r w:rsidRPr="00013AA6">
              <w:rPr>
                <w:sz w:val="20"/>
                <w:szCs w:val="20"/>
                <w:lang w:val="en-US"/>
              </w:rPr>
              <w:t>Number of projects/activities approved vs. those</w:t>
            </w:r>
          </w:p>
          <w:p w:rsidR="00E06711" w:rsidRPr="00013AA6" w:rsidRDefault="00E06711" w:rsidP="00015809">
            <w:pPr>
              <w:autoSpaceDE w:val="0"/>
              <w:autoSpaceDN w:val="0"/>
              <w:adjustRightInd w:val="0"/>
              <w:jc w:val="left"/>
              <w:rPr>
                <w:sz w:val="20"/>
                <w:szCs w:val="20"/>
                <w:lang w:val="en-US"/>
              </w:rPr>
            </w:pPr>
            <w:r w:rsidRPr="00013AA6">
              <w:rPr>
                <w:sz w:val="20"/>
                <w:szCs w:val="20"/>
                <w:lang w:val="en-US"/>
              </w:rPr>
              <w:t>planned (including project preparation</w:t>
            </w:r>
          </w:p>
          <w:p w:rsidR="00E06711" w:rsidRPr="00013AA6" w:rsidRDefault="00E06711" w:rsidP="00015809">
            <w:pPr>
              <w:keepNext/>
              <w:jc w:val="left"/>
              <w:rPr>
                <w:sz w:val="20"/>
                <w:szCs w:val="20"/>
                <w:lang w:val="en-CA" w:eastAsia="en-CA"/>
              </w:rPr>
            </w:pPr>
            <w:r w:rsidRPr="00013AA6">
              <w:rPr>
                <w:sz w:val="20"/>
                <w:szCs w:val="20"/>
                <w:lang w:val="en-US"/>
              </w:rPr>
              <w:t>activities)**</w:t>
            </w:r>
          </w:p>
        </w:tc>
        <w:tc>
          <w:tcPr>
            <w:tcW w:w="1469" w:type="dxa"/>
          </w:tcPr>
          <w:p w:rsidR="00E06711" w:rsidRPr="00013AA6" w:rsidRDefault="006F2E5B" w:rsidP="00015809">
            <w:pPr>
              <w:jc w:val="right"/>
              <w:rPr>
                <w:sz w:val="20"/>
                <w:szCs w:val="20"/>
              </w:rPr>
            </w:pPr>
            <w:r w:rsidRPr="00013AA6">
              <w:rPr>
                <w:sz w:val="20"/>
                <w:szCs w:val="20"/>
              </w:rPr>
              <w:t>6</w:t>
            </w:r>
          </w:p>
          <w:p w:rsidR="006F2E5B" w:rsidRPr="00013AA6" w:rsidRDefault="006F2E5B" w:rsidP="00015809">
            <w:pPr>
              <w:jc w:val="right"/>
              <w:rPr>
                <w:sz w:val="20"/>
                <w:szCs w:val="20"/>
              </w:rPr>
            </w:pPr>
          </w:p>
        </w:tc>
      </w:tr>
      <w:tr w:rsidR="00E06711" w:rsidRPr="00013AA6" w:rsidTr="00785A5C">
        <w:trPr>
          <w:jc w:val="center"/>
        </w:trPr>
        <w:tc>
          <w:tcPr>
            <w:tcW w:w="1731" w:type="dxa"/>
            <w:shd w:val="clear" w:color="auto" w:fill="auto"/>
          </w:tcPr>
          <w:p w:rsidR="00E06711" w:rsidRPr="00013AA6" w:rsidRDefault="00E06711" w:rsidP="00015809">
            <w:pPr>
              <w:jc w:val="left"/>
              <w:rPr>
                <w:sz w:val="20"/>
                <w:szCs w:val="20"/>
                <w:lang w:val="en-CA" w:eastAsia="en-CA"/>
              </w:rPr>
            </w:pPr>
            <w:r w:rsidRPr="00013AA6">
              <w:rPr>
                <w:sz w:val="20"/>
                <w:szCs w:val="20"/>
                <w:lang w:val="en-US"/>
              </w:rPr>
              <w:t>Implementation</w:t>
            </w:r>
          </w:p>
        </w:tc>
        <w:tc>
          <w:tcPr>
            <w:tcW w:w="2040" w:type="dxa"/>
            <w:shd w:val="clear" w:color="auto" w:fill="auto"/>
          </w:tcPr>
          <w:p w:rsidR="00E06711" w:rsidRPr="00013AA6" w:rsidRDefault="00E06711" w:rsidP="00015809">
            <w:pPr>
              <w:jc w:val="left"/>
              <w:rPr>
                <w:sz w:val="20"/>
                <w:szCs w:val="20"/>
                <w:lang w:val="en-CA" w:eastAsia="en-CA"/>
              </w:rPr>
            </w:pPr>
            <w:r w:rsidRPr="00013AA6">
              <w:rPr>
                <w:sz w:val="20"/>
                <w:szCs w:val="20"/>
                <w:lang w:val="en-US"/>
              </w:rPr>
              <w:t>Funds disbursed</w:t>
            </w:r>
          </w:p>
        </w:tc>
        <w:tc>
          <w:tcPr>
            <w:tcW w:w="4394" w:type="dxa"/>
            <w:shd w:val="clear" w:color="auto" w:fill="auto"/>
          </w:tcPr>
          <w:p w:rsidR="00E06711" w:rsidRPr="00013AA6" w:rsidRDefault="00E06711" w:rsidP="00015809">
            <w:pPr>
              <w:autoSpaceDE w:val="0"/>
              <w:autoSpaceDN w:val="0"/>
              <w:adjustRightInd w:val="0"/>
              <w:jc w:val="left"/>
              <w:rPr>
                <w:sz w:val="20"/>
                <w:szCs w:val="20"/>
                <w:lang w:val="en-US"/>
              </w:rPr>
            </w:pPr>
            <w:r w:rsidRPr="00013AA6">
              <w:rPr>
                <w:sz w:val="20"/>
                <w:szCs w:val="20"/>
                <w:lang w:val="en-US"/>
              </w:rPr>
              <w:t>Based on estimated disbursement in progress</w:t>
            </w:r>
          </w:p>
          <w:p w:rsidR="00E06711" w:rsidRPr="00013AA6" w:rsidRDefault="00E06711" w:rsidP="00015809">
            <w:pPr>
              <w:jc w:val="left"/>
              <w:rPr>
                <w:sz w:val="20"/>
                <w:szCs w:val="20"/>
                <w:lang w:val="en-CA" w:eastAsia="en-CA"/>
              </w:rPr>
            </w:pPr>
            <w:r w:rsidRPr="00013AA6">
              <w:rPr>
                <w:sz w:val="20"/>
                <w:szCs w:val="20"/>
                <w:lang w:val="en-US"/>
              </w:rPr>
              <w:t>report</w:t>
            </w:r>
          </w:p>
        </w:tc>
        <w:tc>
          <w:tcPr>
            <w:tcW w:w="1469" w:type="dxa"/>
          </w:tcPr>
          <w:p w:rsidR="00E06711" w:rsidRPr="00013AA6" w:rsidRDefault="00E73791" w:rsidP="00015809">
            <w:pPr>
              <w:jc w:val="right"/>
              <w:rPr>
                <w:sz w:val="20"/>
                <w:szCs w:val="20"/>
                <w:lang w:val="en-CA" w:eastAsia="en-CA"/>
              </w:rPr>
            </w:pPr>
            <w:r>
              <w:rPr>
                <w:sz w:val="20"/>
                <w:szCs w:val="20"/>
                <w:lang w:val="en-CA" w:eastAsia="en-CA"/>
              </w:rPr>
              <w:t>US </w:t>
            </w:r>
            <w:r w:rsidR="00B33C3E">
              <w:rPr>
                <w:sz w:val="20"/>
                <w:szCs w:val="20"/>
                <w:lang w:val="en-CA" w:eastAsia="en-CA"/>
              </w:rPr>
              <w:t>$</w:t>
            </w:r>
            <w:r w:rsidR="006F2E5B" w:rsidRPr="00013AA6">
              <w:rPr>
                <w:sz w:val="20"/>
                <w:szCs w:val="20"/>
                <w:lang w:val="en-CA" w:eastAsia="en-CA"/>
              </w:rPr>
              <w:t>30,966,115</w:t>
            </w:r>
          </w:p>
        </w:tc>
      </w:tr>
      <w:tr w:rsidR="00E06711" w:rsidRPr="00013AA6" w:rsidTr="00785A5C">
        <w:trPr>
          <w:jc w:val="center"/>
        </w:trPr>
        <w:tc>
          <w:tcPr>
            <w:tcW w:w="1731" w:type="dxa"/>
            <w:shd w:val="clear" w:color="auto" w:fill="auto"/>
          </w:tcPr>
          <w:p w:rsidR="00E06711" w:rsidRPr="00013AA6" w:rsidRDefault="00E06711" w:rsidP="00015809">
            <w:pPr>
              <w:keepNext/>
              <w:jc w:val="left"/>
              <w:rPr>
                <w:sz w:val="20"/>
                <w:szCs w:val="20"/>
                <w:lang w:val="en-CA" w:eastAsia="en-CA"/>
              </w:rPr>
            </w:pPr>
            <w:r w:rsidRPr="00013AA6">
              <w:rPr>
                <w:sz w:val="20"/>
                <w:szCs w:val="20"/>
                <w:lang w:val="en-US"/>
              </w:rPr>
              <w:t>Implementation</w:t>
            </w:r>
          </w:p>
        </w:tc>
        <w:tc>
          <w:tcPr>
            <w:tcW w:w="2040" w:type="dxa"/>
            <w:shd w:val="clear" w:color="auto" w:fill="auto"/>
          </w:tcPr>
          <w:p w:rsidR="00E06711" w:rsidRPr="00013AA6" w:rsidRDefault="00E06711" w:rsidP="00015809">
            <w:pPr>
              <w:keepNext/>
              <w:jc w:val="left"/>
              <w:rPr>
                <w:sz w:val="20"/>
                <w:szCs w:val="20"/>
                <w:lang w:val="en-CA" w:eastAsia="en-CA"/>
              </w:rPr>
            </w:pPr>
            <w:r w:rsidRPr="00013AA6">
              <w:rPr>
                <w:sz w:val="20"/>
                <w:szCs w:val="20"/>
                <w:lang w:val="en-US"/>
              </w:rPr>
              <w:t>ODS phase-out</w:t>
            </w:r>
          </w:p>
        </w:tc>
        <w:tc>
          <w:tcPr>
            <w:tcW w:w="4394" w:type="dxa"/>
            <w:shd w:val="clear" w:color="auto" w:fill="auto"/>
          </w:tcPr>
          <w:p w:rsidR="00E06711" w:rsidRPr="00013AA6" w:rsidRDefault="00E06711" w:rsidP="00015809">
            <w:pPr>
              <w:keepNext/>
              <w:autoSpaceDE w:val="0"/>
              <w:autoSpaceDN w:val="0"/>
              <w:adjustRightInd w:val="0"/>
              <w:jc w:val="left"/>
              <w:rPr>
                <w:sz w:val="20"/>
                <w:szCs w:val="20"/>
                <w:lang w:val="en-US"/>
              </w:rPr>
            </w:pPr>
            <w:r w:rsidRPr="00013AA6">
              <w:rPr>
                <w:sz w:val="20"/>
                <w:szCs w:val="20"/>
                <w:lang w:val="en-US"/>
              </w:rPr>
              <w:t>ODS phase-out for the tranche when the next</w:t>
            </w:r>
          </w:p>
          <w:p w:rsidR="00E06711" w:rsidRPr="00013AA6" w:rsidRDefault="00E06711" w:rsidP="00015809">
            <w:pPr>
              <w:keepNext/>
              <w:autoSpaceDE w:val="0"/>
              <w:autoSpaceDN w:val="0"/>
              <w:adjustRightInd w:val="0"/>
              <w:jc w:val="left"/>
              <w:rPr>
                <w:sz w:val="20"/>
                <w:szCs w:val="20"/>
                <w:lang w:val="en-US"/>
              </w:rPr>
            </w:pPr>
            <w:r w:rsidRPr="00013AA6">
              <w:rPr>
                <w:sz w:val="20"/>
                <w:szCs w:val="20"/>
                <w:lang w:val="en-US"/>
              </w:rPr>
              <w:t>tranche is approved vs. those planned per</w:t>
            </w:r>
          </w:p>
          <w:p w:rsidR="00E06711" w:rsidRPr="00013AA6" w:rsidRDefault="00E06711" w:rsidP="00015809">
            <w:pPr>
              <w:keepNext/>
              <w:jc w:val="left"/>
              <w:rPr>
                <w:sz w:val="20"/>
                <w:szCs w:val="20"/>
                <w:lang w:val="en-CA" w:eastAsia="en-CA"/>
              </w:rPr>
            </w:pPr>
            <w:r w:rsidRPr="00013AA6">
              <w:rPr>
                <w:sz w:val="20"/>
                <w:szCs w:val="20"/>
                <w:lang w:val="en-US"/>
              </w:rPr>
              <w:t>business plans</w:t>
            </w:r>
          </w:p>
        </w:tc>
        <w:tc>
          <w:tcPr>
            <w:tcW w:w="1469" w:type="dxa"/>
          </w:tcPr>
          <w:p w:rsidR="00E06711" w:rsidRPr="00013AA6" w:rsidRDefault="006F2E5B" w:rsidP="00015809">
            <w:pPr>
              <w:keepNext/>
              <w:jc w:val="right"/>
              <w:rPr>
                <w:sz w:val="20"/>
                <w:szCs w:val="20"/>
              </w:rPr>
            </w:pPr>
            <w:r w:rsidRPr="00013AA6">
              <w:rPr>
                <w:sz w:val="20"/>
                <w:szCs w:val="20"/>
                <w:lang w:val="en-CA" w:eastAsia="en-CA"/>
              </w:rPr>
              <w:t>1,657.2</w:t>
            </w:r>
            <w:r w:rsidR="00E06711" w:rsidRPr="00013AA6">
              <w:rPr>
                <w:sz w:val="20"/>
                <w:szCs w:val="20"/>
                <w:lang w:val="en-CA" w:eastAsia="en-CA"/>
              </w:rPr>
              <w:t xml:space="preserve"> ODP tonnes </w:t>
            </w:r>
          </w:p>
        </w:tc>
      </w:tr>
      <w:tr w:rsidR="00E06711" w:rsidRPr="00013AA6" w:rsidTr="00785A5C">
        <w:trPr>
          <w:jc w:val="center"/>
        </w:trPr>
        <w:tc>
          <w:tcPr>
            <w:tcW w:w="1731" w:type="dxa"/>
            <w:shd w:val="clear" w:color="auto" w:fill="auto"/>
          </w:tcPr>
          <w:p w:rsidR="00E06711" w:rsidRPr="00013AA6" w:rsidRDefault="00E06711" w:rsidP="00015809">
            <w:pPr>
              <w:jc w:val="left"/>
              <w:rPr>
                <w:sz w:val="20"/>
                <w:szCs w:val="20"/>
                <w:lang w:val="en-CA" w:eastAsia="en-CA"/>
              </w:rPr>
            </w:pPr>
            <w:r w:rsidRPr="00013AA6">
              <w:rPr>
                <w:sz w:val="20"/>
                <w:szCs w:val="20"/>
                <w:lang w:val="en-US"/>
              </w:rPr>
              <w:t>Implementation</w:t>
            </w:r>
          </w:p>
        </w:tc>
        <w:tc>
          <w:tcPr>
            <w:tcW w:w="2040" w:type="dxa"/>
            <w:shd w:val="clear" w:color="auto" w:fill="auto"/>
          </w:tcPr>
          <w:p w:rsidR="00E06711" w:rsidRPr="00013AA6" w:rsidRDefault="00E06711" w:rsidP="00015809">
            <w:pPr>
              <w:autoSpaceDE w:val="0"/>
              <w:autoSpaceDN w:val="0"/>
              <w:adjustRightInd w:val="0"/>
              <w:jc w:val="left"/>
              <w:rPr>
                <w:sz w:val="20"/>
                <w:szCs w:val="20"/>
                <w:lang w:val="en-US"/>
              </w:rPr>
            </w:pPr>
            <w:r w:rsidRPr="00013AA6">
              <w:rPr>
                <w:sz w:val="20"/>
                <w:szCs w:val="20"/>
                <w:lang w:val="en-US"/>
              </w:rPr>
              <w:t>Project completion for</w:t>
            </w:r>
          </w:p>
          <w:p w:rsidR="00E06711" w:rsidRPr="00013AA6" w:rsidRDefault="00E06711" w:rsidP="00015809">
            <w:pPr>
              <w:jc w:val="left"/>
              <w:rPr>
                <w:sz w:val="20"/>
                <w:szCs w:val="20"/>
                <w:lang w:val="en-CA" w:eastAsia="en-CA"/>
              </w:rPr>
            </w:pPr>
            <w:r w:rsidRPr="00013AA6">
              <w:rPr>
                <w:sz w:val="20"/>
                <w:szCs w:val="20"/>
                <w:lang w:val="en-US"/>
              </w:rPr>
              <w:t>activities</w:t>
            </w:r>
          </w:p>
        </w:tc>
        <w:tc>
          <w:tcPr>
            <w:tcW w:w="4394" w:type="dxa"/>
            <w:shd w:val="clear" w:color="auto" w:fill="auto"/>
          </w:tcPr>
          <w:p w:rsidR="00E06711" w:rsidRPr="00013AA6" w:rsidRDefault="00E06711" w:rsidP="00015809">
            <w:pPr>
              <w:autoSpaceDE w:val="0"/>
              <w:autoSpaceDN w:val="0"/>
              <w:adjustRightInd w:val="0"/>
              <w:jc w:val="left"/>
              <w:rPr>
                <w:sz w:val="20"/>
                <w:szCs w:val="20"/>
                <w:lang w:val="en-US"/>
              </w:rPr>
            </w:pPr>
            <w:r w:rsidRPr="00013AA6">
              <w:rPr>
                <w:sz w:val="20"/>
                <w:szCs w:val="20"/>
                <w:lang w:val="en-US"/>
              </w:rPr>
              <w:t>Project completion vs. planned in progress reports for all activities (excluding project preparation)</w:t>
            </w:r>
          </w:p>
        </w:tc>
        <w:tc>
          <w:tcPr>
            <w:tcW w:w="1469" w:type="dxa"/>
          </w:tcPr>
          <w:p w:rsidR="00E06711" w:rsidRPr="00013AA6" w:rsidRDefault="006F2E5B" w:rsidP="00015809">
            <w:pPr>
              <w:jc w:val="right"/>
              <w:rPr>
                <w:sz w:val="20"/>
                <w:szCs w:val="20"/>
                <w:lang w:val="en-CA" w:eastAsia="en-CA"/>
              </w:rPr>
            </w:pPr>
            <w:r w:rsidRPr="00013AA6">
              <w:rPr>
                <w:sz w:val="20"/>
                <w:szCs w:val="20"/>
                <w:lang w:val="en-CA" w:eastAsia="en-CA"/>
              </w:rPr>
              <w:t>17</w:t>
            </w:r>
          </w:p>
          <w:p w:rsidR="006F2E5B" w:rsidRPr="00013AA6" w:rsidRDefault="006F2E5B" w:rsidP="00015809">
            <w:pPr>
              <w:jc w:val="right"/>
              <w:rPr>
                <w:sz w:val="20"/>
                <w:szCs w:val="20"/>
              </w:rPr>
            </w:pPr>
          </w:p>
        </w:tc>
      </w:tr>
      <w:tr w:rsidR="00E06711" w:rsidRPr="00013AA6" w:rsidTr="00785A5C">
        <w:trPr>
          <w:jc w:val="center"/>
        </w:trPr>
        <w:tc>
          <w:tcPr>
            <w:tcW w:w="1731" w:type="dxa"/>
            <w:shd w:val="clear" w:color="auto" w:fill="auto"/>
          </w:tcPr>
          <w:p w:rsidR="00E06711" w:rsidRPr="00013AA6" w:rsidRDefault="00E06711" w:rsidP="00015809">
            <w:pPr>
              <w:jc w:val="left"/>
              <w:rPr>
                <w:sz w:val="20"/>
                <w:szCs w:val="20"/>
                <w:lang w:val="en-CA" w:eastAsia="en-CA"/>
              </w:rPr>
            </w:pPr>
            <w:r w:rsidRPr="00013AA6">
              <w:rPr>
                <w:sz w:val="20"/>
                <w:szCs w:val="20"/>
                <w:lang w:val="en-US"/>
              </w:rPr>
              <w:t>Administrative</w:t>
            </w:r>
          </w:p>
        </w:tc>
        <w:tc>
          <w:tcPr>
            <w:tcW w:w="2040" w:type="dxa"/>
            <w:shd w:val="clear" w:color="auto" w:fill="auto"/>
          </w:tcPr>
          <w:p w:rsidR="00E06711" w:rsidRPr="00013AA6" w:rsidRDefault="00E06711" w:rsidP="00015809">
            <w:pPr>
              <w:autoSpaceDE w:val="0"/>
              <w:autoSpaceDN w:val="0"/>
              <w:adjustRightInd w:val="0"/>
              <w:jc w:val="left"/>
              <w:rPr>
                <w:sz w:val="20"/>
                <w:szCs w:val="20"/>
                <w:lang w:val="en-US"/>
              </w:rPr>
            </w:pPr>
            <w:r w:rsidRPr="00013AA6">
              <w:rPr>
                <w:sz w:val="20"/>
                <w:szCs w:val="20"/>
                <w:lang w:val="en-US"/>
              </w:rPr>
              <w:t>Speed of financial</w:t>
            </w:r>
          </w:p>
          <w:p w:rsidR="00E06711" w:rsidRPr="00013AA6" w:rsidRDefault="00E06711" w:rsidP="00015809">
            <w:pPr>
              <w:jc w:val="left"/>
              <w:rPr>
                <w:sz w:val="20"/>
                <w:szCs w:val="20"/>
                <w:lang w:val="en-CA" w:eastAsia="en-CA"/>
              </w:rPr>
            </w:pPr>
            <w:r w:rsidRPr="00013AA6">
              <w:rPr>
                <w:sz w:val="20"/>
                <w:szCs w:val="20"/>
                <w:lang w:val="en-US"/>
              </w:rPr>
              <w:t>completion</w:t>
            </w:r>
          </w:p>
        </w:tc>
        <w:tc>
          <w:tcPr>
            <w:tcW w:w="4394" w:type="dxa"/>
            <w:shd w:val="clear" w:color="auto" w:fill="auto"/>
          </w:tcPr>
          <w:p w:rsidR="00E06711" w:rsidRPr="00013AA6" w:rsidRDefault="00E06711" w:rsidP="00015809">
            <w:pPr>
              <w:autoSpaceDE w:val="0"/>
              <w:autoSpaceDN w:val="0"/>
              <w:adjustRightInd w:val="0"/>
              <w:jc w:val="left"/>
              <w:rPr>
                <w:sz w:val="20"/>
                <w:szCs w:val="20"/>
                <w:lang w:val="en-US"/>
              </w:rPr>
            </w:pPr>
            <w:r w:rsidRPr="00013AA6">
              <w:rPr>
                <w:sz w:val="20"/>
                <w:szCs w:val="20"/>
                <w:lang w:val="en-US"/>
              </w:rPr>
              <w:t>The extent to which projects are financially completed 12 months after project completion</w:t>
            </w:r>
          </w:p>
        </w:tc>
        <w:tc>
          <w:tcPr>
            <w:tcW w:w="1469" w:type="dxa"/>
          </w:tcPr>
          <w:p w:rsidR="00E06711" w:rsidRPr="00013AA6" w:rsidRDefault="00E06711" w:rsidP="00015809">
            <w:pPr>
              <w:jc w:val="right"/>
              <w:rPr>
                <w:sz w:val="20"/>
                <w:szCs w:val="20"/>
                <w:lang w:val="en-CA" w:eastAsia="en-CA"/>
              </w:rPr>
            </w:pPr>
            <w:r w:rsidRPr="00013AA6">
              <w:rPr>
                <w:sz w:val="20"/>
                <w:szCs w:val="20"/>
                <w:lang w:val="en-CA" w:eastAsia="en-CA"/>
              </w:rPr>
              <w:t>90%</w:t>
            </w:r>
          </w:p>
        </w:tc>
      </w:tr>
      <w:tr w:rsidR="00E06711" w:rsidRPr="00013AA6" w:rsidTr="00785A5C">
        <w:trPr>
          <w:jc w:val="center"/>
        </w:trPr>
        <w:tc>
          <w:tcPr>
            <w:tcW w:w="1731" w:type="dxa"/>
            <w:shd w:val="clear" w:color="auto" w:fill="auto"/>
          </w:tcPr>
          <w:p w:rsidR="00E06711" w:rsidRPr="00013AA6" w:rsidRDefault="00E06711" w:rsidP="00015809">
            <w:pPr>
              <w:jc w:val="left"/>
              <w:rPr>
                <w:sz w:val="20"/>
                <w:szCs w:val="20"/>
                <w:lang w:val="en-CA" w:eastAsia="en-CA"/>
              </w:rPr>
            </w:pPr>
            <w:r w:rsidRPr="00013AA6">
              <w:rPr>
                <w:sz w:val="20"/>
                <w:szCs w:val="20"/>
                <w:lang w:val="en-US"/>
              </w:rPr>
              <w:t>Administrative</w:t>
            </w:r>
          </w:p>
        </w:tc>
        <w:tc>
          <w:tcPr>
            <w:tcW w:w="2040" w:type="dxa"/>
            <w:shd w:val="clear" w:color="auto" w:fill="auto"/>
          </w:tcPr>
          <w:p w:rsidR="00E06711" w:rsidRPr="00013AA6" w:rsidRDefault="00E06711" w:rsidP="00015809">
            <w:pPr>
              <w:autoSpaceDE w:val="0"/>
              <w:autoSpaceDN w:val="0"/>
              <w:adjustRightInd w:val="0"/>
              <w:jc w:val="left"/>
              <w:rPr>
                <w:sz w:val="20"/>
                <w:szCs w:val="20"/>
                <w:lang w:val="en-US"/>
              </w:rPr>
            </w:pPr>
            <w:r w:rsidRPr="00013AA6">
              <w:rPr>
                <w:sz w:val="20"/>
                <w:szCs w:val="20"/>
                <w:lang w:val="en-US"/>
              </w:rPr>
              <w:t>Timely submission of</w:t>
            </w:r>
          </w:p>
          <w:p w:rsidR="00E06711" w:rsidRPr="00013AA6" w:rsidRDefault="00E06711" w:rsidP="00015809">
            <w:pPr>
              <w:jc w:val="left"/>
              <w:rPr>
                <w:sz w:val="20"/>
                <w:szCs w:val="20"/>
                <w:lang w:val="en-CA" w:eastAsia="en-CA"/>
              </w:rPr>
            </w:pPr>
            <w:r w:rsidRPr="00013AA6">
              <w:rPr>
                <w:sz w:val="20"/>
                <w:szCs w:val="20"/>
                <w:lang w:val="en-US"/>
              </w:rPr>
              <w:t>project completion reports</w:t>
            </w:r>
          </w:p>
        </w:tc>
        <w:tc>
          <w:tcPr>
            <w:tcW w:w="4394" w:type="dxa"/>
            <w:shd w:val="clear" w:color="auto" w:fill="auto"/>
          </w:tcPr>
          <w:p w:rsidR="00E06711" w:rsidRPr="00013AA6" w:rsidRDefault="00E06711" w:rsidP="00015809">
            <w:pPr>
              <w:autoSpaceDE w:val="0"/>
              <w:autoSpaceDN w:val="0"/>
              <w:adjustRightInd w:val="0"/>
              <w:jc w:val="left"/>
              <w:rPr>
                <w:sz w:val="20"/>
                <w:szCs w:val="20"/>
                <w:lang w:val="en-US"/>
              </w:rPr>
            </w:pPr>
            <w:r w:rsidRPr="00013AA6">
              <w:rPr>
                <w:sz w:val="20"/>
                <w:szCs w:val="20"/>
                <w:lang w:val="en-US"/>
              </w:rPr>
              <w:t>Timely submission of project completion reports</w:t>
            </w:r>
          </w:p>
          <w:p w:rsidR="00E06711" w:rsidRPr="00013AA6" w:rsidRDefault="00E06711" w:rsidP="00015809">
            <w:pPr>
              <w:jc w:val="left"/>
              <w:rPr>
                <w:sz w:val="20"/>
                <w:szCs w:val="20"/>
                <w:lang w:val="en-CA" w:eastAsia="en-CA"/>
              </w:rPr>
            </w:pPr>
            <w:r w:rsidRPr="00013AA6">
              <w:rPr>
                <w:sz w:val="20"/>
                <w:szCs w:val="20"/>
                <w:lang w:val="en-US"/>
              </w:rPr>
              <w:t>vs. those agreed</w:t>
            </w:r>
          </w:p>
        </w:tc>
        <w:tc>
          <w:tcPr>
            <w:tcW w:w="1469" w:type="dxa"/>
          </w:tcPr>
          <w:p w:rsidR="00E06711" w:rsidRPr="00013AA6" w:rsidRDefault="00E06711" w:rsidP="00015809">
            <w:pPr>
              <w:jc w:val="right"/>
              <w:rPr>
                <w:sz w:val="20"/>
                <w:szCs w:val="20"/>
                <w:lang w:val="en-CA" w:eastAsia="en-CA"/>
              </w:rPr>
            </w:pPr>
            <w:r w:rsidRPr="00013AA6">
              <w:rPr>
                <w:sz w:val="20"/>
                <w:szCs w:val="20"/>
                <w:lang w:val="en-CA" w:eastAsia="en-CA"/>
              </w:rPr>
              <w:t>On time</w:t>
            </w:r>
          </w:p>
        </w:tc>
      </w:tr>
      <w:tr w:rsidR="00E06711" w:rsidRPr="00013AA6" w:rsidTr="00785A5C">
        <w:trPr>
          <w:jc w:val="center"/>
        </w:trPr>
        <w:tc>
          <w:tcPr>
            <w:tcW w:w="1731" w:type="dxa"/>
            <w:shd w:val="clear" w:color="auto" w:fill="auto"/>
          </w:tcPr>
          <w:p w:rsidR="00E06711" w:rsidRPr="00013AA6" w:rsidRDefault="00E06711" w:rsidP="00015809">
            <w:pPr>
              <w:jc w:val="left"/>
              <w:rPr>
                <w:sz w:val="20"/>
                <w:szCs w:val="20"/>
                <w:lang w:val="en-CA" w:eastAsia="en-CA"/>
              </w:rPr>
            </w:pPr>
            <w:r w:rsidRPr="00013AA6">
              <w:rPr>
                <w:sz w:val="20"/>
                <w:szCs w:val="20"/>
                <w:lang w:val="en-US"/>
              </w:rPr>
              <w:t>Administrative</w:t>
            </w:r>
          </w:p>
        </w:tc>
        <w:tc>
          <w:tcPr>
            <w:tcW w:w="2040" w:type="dxa"/>
            <w:shd w:val="clear" w:color="auto" w:fill="auto"/>
          </w:tcPr>
          <w:p w:rsidR="00E06711" w:rsidRPr="00013AA6" w:rsidRDefault="00E06711" w:rsidP="00015809">
            <w:pPr>
              <w:autoSpaceDE w:val="0"/>
              <w:autoSpaceDN w:val="0"/>
              <w:adjustRightInd w:val="0"/>
              <w:jc w:val="left"/>
              <w:rPr>
                <w:sz w:val="20"/>
                <w:szCs w:val="20"/>
                <w:lang w:val="en-US"/>
              </w:rPr>
            </w:pPr>
            <w:r w:rsidRPr="00013AA6">
              <w:rPr>
                <w:sz w:val="20"/>
                <w:szCs w:val="20"/>
                <w:lang w:val="en-US"/>
              </w:rPr>
              <w:t>Timely submission of</w:t>
            </w:r>
          </w:p>
          <w:p w:rsidR="00E06711" w:rsidRPr="00013AA6" w:rsidRDefault="00E06711" w:rsidP="00015809">
            <w:pPr>
              <w:jc w:val="left"/>
              <w:rPr>
                <w:sz w:val="20"/>
                <w:szCs w:val="20"/>
                <w:lang w:val="en-CA" w:eastAsia="en-CA"/>
              </w:rPr>
            </w:pPr>
            <w:r w:rsidRPr="00013AA6">
              <w:rPr>
                <w:sz w:val="20"/>
                <w:szCs w:val="20"/>
                <w:lang w:val="en-US"/>
              </w:rPr>
              <w:t>progress reports</w:t>
            </w:r>
          </w:p>
        </w:tc>
        <w:tc>
          <w:tcPr>
            <w:tcW w:w="4394" w:type="dxa"/>
            <w:shd w:val="clear" w:color="auto" w:fill="auto"/>
          </w:tcPr>
          <w:p w:rsidR="00E06711" w:rsidRPr="00013AA6" w:rsidRDefault="00E06711" w:rsidP="00015809">
            <w:pPr>
              <w:autoSpaceDE w:val="0"/>
              <w:autoSpaceDN w:val="0"/>
              <w:adjustRightInd w:val="0"/>
              <w:jc w:val="left"/>
              <w:rPr>
                <w:sz w:val="20"/>
                <w:szCs w:val="20"/>
                <w:lang w:val="en-US"/>
              </w:rPr>
            </w:pPr>
            <w:r w:rsidRPr="00013AA6">
              <w:rPr>
                <w:sz w:val="20"/>
                <w:szCs w:val="20"/>
                <w:lang w:val="en-US"/>
              </w:rPr>
              <w:t>Timely submission of progress reports and business plans and responses unless otherwise agreed</w:t>
            </w:r>
          </w:p>
        </w:tc>
        <w:tc>
          <w:tcPr>
            <w:tcW w:w="1469" w:type="dxa"/>
          </w:tcPr>
          <w:p w:rsidR="00E06711" w:rsidRPr="00013AA6" w:rsidRDefault="00E06711" w:rsidP="00015809">
            <w:pPr>
              <w:jc w:val="right"/>
              <w:rPr>
                <w:sz w:val="20"/>
                <w:szCs w:val="20"/>
                <w:lang w:val="en-CA" w:eastAsia="en-CA"/>
              </w:rPr>
            </w:pPr>
            <w:r w:rsidRPr="00013AA6">
              <w:rPr>
                <w:sz w:val="20"/>
                <w:szCs w:val="20"/>
                <w:lang w:val="en-CA" w:eastAsia="en-CA"/>
              </w:rPr>
              <w:t>On time</w:t>
            </w:r>
          </w:p>
        </w:tc>
      </w:tr>
    </w:tbl>
    <w:p w:rsidR="00E06711" w:rsidRPr="00013AA6" w:rsidRDefault="00E06711" w:rsidP="00015809">
      <w:pPr>
        <w:autoSpaceDE w:val="0"/>
        <w:autoSpaceDN w:val="0"/>
        <w:adjustRightInd w:val="0"/>
        <w:rPr>
          <w:sz w:val="20"/>
          <w:szCs w:val="20"/>
          <w:lang w:val="en-US"/>
        </w:rPr>
      </w:pPr>
      <w:r w:rsidRPr="00013AA6">
        <w:rPr>
          <w:sz w:val="20"/>
          <w:szCs w:val="20"/>
          <w:lang w:val="en-US"/>
        </w:rPr>
        <w:t>* The target of an agency would be reduced if it could not submit a tranche owing to another cooperating or lead agency, if agreed by that agency.</w:t>
      </w:r>
    </w:p>
    <w:p w:rsidR="00E06711" w:rsidRPr="00013AA6" w:rsidRDefault="00E06711" w:rsidP="00015809">
      <w:pPr>
        <w:pStyle w:val="Heading1"/>
        <w:numPr>
          <w:ilvl w:val="0"/>
          <w:numId w:val="0"/>
        </w:numPr>
        <w:spacing w:after="0"/>
      </w:pPr>
      <w:r w:rsidRPr="00013AA6">
        <w:rPr>
          <w:sz w:val="20"/>
          <w:szCs w:val="20"/>
          <w:lang w:val="en-US"/>
        </w:rPr>
        <w:t>** Project preparation should not be assessed if the Executive Committee has not taken a decision on its funding.</w:t>
      </w:r>
    </w:p>
    <w:p w:rsidR="00E06711" w:rsidRPr="00013AA6" w:rsidRDefault="00E06711" w:rsidP="00015809"/>
    <w:p w:rsidR="00E06711" w:rsidRPr="00013AA6" w:rsidRDefault="00E06711" w:rsidP="00015809">
      <w:pPr>
        <w:pStyle w:val="sub-title"/>
        <w:keepNext/>
        <w:spacing w:after="240"/>
        <w:rPr>
          <w:noProof w:val="0"/>
          <w:lang w:val="en-GB"/>
        </w:rPr>
      </w:pPr>
      <w:r w:rsidRPr="00013AA6">
        <w:rPr>
          <w:noProof w:val="0"/>
          <w:lang w:val="en-GB"/>
        </w:rPr>
        <w:t>RECOMMENDATIONS</w:t>
      </w:r>
    </w:p>
    <w:p w:rsidR="00E06711" w:rsidRPr="00015809" w:rsidRDefault="00E06711" w:rsidP="00015809">
      <w:pPr>
        <w:pStyle w:val="Heading1"/>
      </w:pPr>
      <w:r w:rsidRPr="00013AA6">
        <w:t xml:space="preserve">The Executive </w:t>
      </w:r>
      <w:r w:rsidRPr="00015809">
        <w:t>Committee may wish:</w:t>
      </w:r>
    </w:p>
    <w:p w:rsidR="00E06711" w:rsidRPr="00015809" w:rsidRDefault="00E06711" w:rsidP="00015809">
      <w:pPr>
        <w:pStyle w:val="Heading2"/>
        <w:numPr>
          <w:ilvl w:val="1"/>
          <w:numId w:val="1"/>
        </w:numPr>
      </w:pPr>
      <w:r w:rsidRPr="00015809">
        <w:t>To note the World Bank business plan for 201</w:t>
      </w:r>
      <w:r w:rsidR="00B8023A" w:rsidRPr="00015809">
        <w:t>8</w:t>
      </w:r>
      <w:r w:rsidRPr="00015809">
        <w:t>-20</w:t>
      </w:r>
      <w:r w:rsidR="00B8023A" w:rsidRPr="00015809">
        <w:t>20</w:t>
      </w:r>
      <w:r w:rsidRPr="00015809">
        <w:t xml:space="preserve"> contained in document UNEP/OzL.Pro/</w:t>
      </w:r>
      <w:proofErr w:type="spellStart"/>
      <w:r w:rsidRPr="00015809">
        <w:t>ExCom</w:t>
      </w:r>
      <w:proofErr w:type="spellEnd"/>
      <w:r w:rsidRPr="00015809">
        <w:t>/</w:t>
      </w:r>
      <w:r w:rsidR="00B8023A" w:rsidRPr="00015809">
        <w:t>80</w:t>
      </w:r>
      <w:r w:rsidRPr="00015809">
        <w:t>/</w:t>
      </w:r>
      <w:r w:rsidR="00015809" w:rsidRPr="00015809">
        <w:t>21</w:t>
      </w:r>
      <w:r w:rsidRPr="00015809">
        <w:t>; and</w:t>
      </w:r>
    </w:p>
    <w:p w:rsidR="00E06711" w:rsidRPr="00015809" w:rsidRDefault="00E06711" w:rsidP="00015809">
      <w:pPr>
        <w:pStyle w:val="Heading2"/>
        <w:numPr>
          <w:ilvl w:val="1"/>
          <w:numId w:val="1"/>
        </w:numPr>
      </w:pPr>
      <w:r w:rsidRPr="00015809">
        <w:t>To approve the performance indicators for the World Bank as set out in Table 5 i</w:t>
      </w:r>
      <w:r w:rsidR="00B8023A" w:rsidRPr="00015809">
        <w:t>n document UNEP/OzL.Pro/</w:t>
      </w:r>
      <w:proofErr w:type="spellStart"/>
      <w:r w:rsidR="00B8023A" w:rsidRPr="00015809">
        <w:t>ExCom</w:t>
      </w:r>
      <w:proofErr w:type="spellEnd"/>
      <w:r w:rsidR="00B8023A" w:rsidRPr="00015809">
        <w:t>/80</w:t>
      </w:r>
      <w:r w:rsidRPr="00015809">
        <w:t>/</w:t>
      </w:r>
      <w:r w:rsidR="00015809" w:rsidRPr="00015809">
        <w:t>21</w:t>
      </w:r>
      <w:r w:rsidRPr="00015809">
        <w:t>.</w:t>
      </w:r>
    </w:p>
    <w:p w:rsidR="004E7F9C" w:rsidRDefault="004E7F9C" w:rsidP="00015809">
      <w:pPr>
        <w:pStyle w:val="Tit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Tr="00E06711">
        <w:tc>
          <w:tcPr>
            <w:tcW w:w="1871" w:type="dxa"/>
          </w:tcPr>
          <w:p w:rsidR="00E85409" w:rsidRDefault="00E85409" w:rsidP="00015809"/>
        </w:tc>
        <w:tc>
          <w:tcPr>
            <w:tcW w:w="1872" w:type="dxa"/>
          </w:tcPr>
          <w:p w:rsidR="00E85409" w:rsidRDefault="00E85409" w:rsidP="00015809"/>
        </w:tc>
        <w:tc>
          <w:tcPr>
            <w:tcW w:w="1872" w:type="dxa"/>
            <w:tcBorders>
              <w:bottom w:val="single" w:sz="4" w:space="0" w:color="auto"/>
            </w:tcBorders>
          </w:tcPr>
          <w:p w:rsidR="00E85409" w:rsidRDefault="00E85409" w:rsidP="00015809"/>
        </w:tc>
        <w:tc>
          <w:tcPr>
            <w:tcW w:w="1872" w:type="dxa"/>
          </w:tcPr>
          <w:p w:rsidR="00E85409" w:rsidRDefault="00E85409" w:rsidP="00015809"/>
        </w:tc>
        <w:tc>
          <w:tcPr>
            <w:tcW w:w="1873" w:type="dxa"/>
          </w:tcPr>
          <w:p w:rsidR="00E85409" w:rsidRDefault="00E85409" w:rsidP="00015809"/>
        </w:tc>
      </w:tr>
    </w:tbl>
    <w:p w:rsidR="00E85409" w:rsidRDefault="00E85409" w:rsidP="00015809">
      <w:pPr>
        <w:rPr>
          <w:lang w:val="en-CA"/>
        </w:rPr>
      </w:pPr>
    </w:p>
    <w:p w:rsidR="00925140" w:rsidRDefault="00925140" w:rsidP="00015809">
      <w:pPr>
        <w:rPr>
          <w:lang w:val="en-CA"/>
        </w:rPr>
      </w:pPr>
    </w:p>
    <w:p w:rsidR="00925140" w:rsidRDefault="00925140" w:rsidP="00015809">
      <w:pPr>
        <w:rPr>
          <w:lang w:val="en-CA"/>
        </w:rPr>
        <w:sectPr w:rsidR="00925140"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925140" w:rsidRDefault="00925140" w:rsidP="003D1E40">
      <w:pPr>
        <w:jc w:val="center"/>
        <w:rPr>
          <w:rFonts w:ascii="Andes" w:hAnsi="Andes"/>
          <w:sz w:val="40"/>
          <w:szCs w:val="40"/>
        </w:rPr>
      </w:pPr>
    </w:p>
    <w:p w:rsidR="00925140" w:rsidRDefault="00925140" w:rsidP="003D1E40">
      <w:pPr>
        <w:jc w:val="center"/>
        <w:rPr>
          <w:rFonts w:ascii="Andes" w:hAnsi="Andes"/>
          <w:sz w:val="40"/>
          <w:szCs w:val="40"/>
        </w:rPr>
      </w:pPr>
    </w:p>
    <w:p w:rsidR="00925140" w:rsidRPr="003D1E40" w:rsidRDefault="00925140" w:rsidP="003D1E40">
      <w:pPr>
        <w:jc w:val="center"/>
        <w:rPr>
          <w:rFonts w:ascii="Andes" w:hAnsi="Andes"/>
          <w:sz w:val="40"/>
          <w:szCs w:val="40"/>
        </w:rPr>
      </w:pPr>
      <w:r>
        <w:rPr>
          <w:rFonts w:ascii="Andes" w:hAnsi="Andes"/>
          <w:sz w:val="40"/>
          <w:szCs w:val="40"/>
        </w:rPr>
        <w:t>2018-2020</w:t>
      </w:r>
      <w:r w:rsidRPr="003D1E40">
        <w:rPr>
          <w:rFonts w:ascii="Andes" w:hAnsi="Andes"/>
          <w:sz w:val="40"/>
          <w:szCs w:val="40"/>
        </w:rPr>
        <w:t xml:space="preserve"> BUSINESS PLAN</w:t>
      </w:r>
    </w:p>
    <w:p w:rsidR="00925140" w:rsidRPr="003D1E40" w:rsidRDefault="00925140" w:rsidP="003D1E40">
      <w:pPr>
        <w:jc w:val="center"/>
        <w:rPr>
          <w:rFonts w:ascii="Andes" w:hAnsi="Andes"/>
          <w:sz w:val="40"/>
          <w:szCs w:val="40"/>
        </w:rPr>
      </w:pPr>
    </w:p>
    <w:p w:rsidR="00925140" w:rsidRDefault="00925140" w:rsidP="006A1409"/>
    <w:p w:rsidR="00925140" w:rsidRPr="006A1409" w:rsidRDefault="00925140" w:rsidP="006A1409"/>
    <w:p w:rsidR="00925140" w:rsidRPr="006A1409" w:rsidRDefault="00925140" w:rsidP="003D1E40">
      <w:pPr>
        <w:jc w:val="center"/>
      </w:pPr>
      <w:r>
        <w:rPr>
          <w:noProof/>
          <w:lang w:val="en-CA" w:eastAsia="zh-CN"/>
        </w:rPr>
        <w:drawing>
          <wp:inline distT="0" distB="0" distL="0" distR="0" wp14:anchorId="1613BBCD" wp14:editId="56B975B5">
            <wp:extent cx="2837688" cy="1286256"/>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G_Vertical-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7688" cy="1286256"/>
                    </a:xfrm>
                    <a:prstGeom prst="rect">
                      <a:avLst/>
                    </a:prstGeom>
                  </pic:spPr>
                </pic:pic>
              </a:graphicData>
            </a:graphic>
          </wp:inline>
        </w:drawing>
      </w:r>
    </w:p>
    <w:p w:rsidR="00925140" w:rsidRDefault="00925140" w:rsidP="003D1E40">
      <w:pPr>
        <w:jc w:val="center"/>
        <w:rPr>
          <w:rFonts w:ascii="Andes" w:hAnsi="Andes"/>
          <w:sz w:val="40"/>
          <w:szCs w:val="40"/>
        </w:rPr>
      </w:pPr>
    </w:p>
    <w:p w:rsidR="00925140" w:rsidRPr="003D1E40" w:rsidRDefault="00925140" w:rsidP="003D1E40">
      <w:pPr>
        <w:jc w:val="center"/>
        <w:rPr>
          <w:rFonts w:ascii="Andes" w:hAnsi="Andes"/>
          <w:b/>
          <w:bCs/>
          <w:sz w:val="40"/>
          <w:szCs w:val="40"/>
        </w:rPr>
      </w:pPr>
      <w:r w:rsidRPr="003D1E40">
        <w:rPr>
          <w:rFonts w:ascii="Andes" w:hAnsi="Andes"/>
          <w:sz w:val="40"/>
          <w:szCs w:val="40"/>
        </w:rPr>
        <w:t>INVESTMENT AND NON-INVESTMENT</w:t>
      </w:r>
    </w:p>
    <w:p w:rsidR="00925140" w:rsidRPr="003D1E40" w:rsidRDefault="00925140" w:rsidP="003D1E40">
      <w:pPr>
        <w:jc w:val="center"/>
        <w:rPr>
          <w:rFonts w:ascii="Andes" w:hAnsi="Andes"/>
          <w:sz w:val="40"/>
          <w:szCs w:val="40"/>
        </w:rPr>
      </w:pPr>
      <w:r w:rsidRPr="003D1E40">
        <w:rPr>
          <w:rFonts w:ascii="Andes" w:hAnsi="Andes"/>
          <w:sz w:val="40"/>
          <w:szCs w:val="40"/>
        </w:rPr>
        <w:t>OPERATIONS FUNDED BY THE</w:t>
      </w:r>
    </w:p>
    <w:p w:rsidR="00925140" w:rsidRPr="003D1E40" w:rsidRDefault="00925140" w:rsidP="003D1E40">
      <w:pPr>
        <w:jc w:val="center"/>
        <w:rPr>
          <w:rFonts w:ascii="Andes" w:hAnsi="Andes"/>
          <w:sz w:val="40"/>
          <w:szCs w:val="40"/>
        </w:rPr>
      </w:pPr>
      <w:r w:rsidRPr="003D1E40">
        <w:rPr>
          <w:rFonts w:ascii="Andes" w:hAnsi="Andes"/>
          <w:sz w:val="40"/>
          <w:szCs w:val="40"/>
        </w:rPr>
        <w:t>MULTILATERAL FUND OF THE</w:t>
      </w:r>
    </w:p>
    <w:p w:rsidR="00925140" w:rsidRPr="003D1E40" w:rsidRDefault="00925140" w:rsidP="003D1E40">
      <w:pPr>
        <w:jc w:val="center"/>
        <w:rPr>
          <w:rFonts w:ascii="Andes" w:hAnsi="Andes"/>
          <w:sz w:val="40"/>
          <w:szCs w:val="40"/>
        </w:rPr>
      </w:pPr>
      <w:r w:rsidRPr="003D1E40">
        <w:rPr>
          <w:rFonts w:ascii="Andes" w:hAnsi="Andes"/>
          <w:sz w:val="40"/>
          <w:szCs w:val="40"/>
        </w:rPr>
        <w:t>MONTREAL PROTOCOL</w:t>
      </w:r>
    </w:p>
    <w:p w:rsidR="00925140" w:rsidRPr="003D1E40" w:rsidRDefault="00925140" w:rsidP="003D1E40">
      <w:pPr>
        <w:jc w:val="center"/>
        <w:rPr>
          <w:rFonts w:ascii="Andes" w:hAnsi="Andes"/>
        </w:rPr>
      </w:pPr>
    </w:p>
    <w:p w:rsidR="00925140" w:rsidRPr="003D1E40" w:rsidRDefault="00925140" w:rsidP="003D1E40">
      <w:pPr>
        <w:jc w:val="center"/>
        <w:rPr>
          <w:rFonts w:ascii="Andes" w:hAnsi="Andes"/>
        </w:rPr>
      </w:pPr>
    </w:p>
    <w:p w:rsidR="00925140" w:rsidRPr="003D1E40" w:rsidRDefault="00925140" w:rsidP="003D1E40">
      <w:pPr>
        <w:jc w:val="center"/>
        <w:rPr>
          <w:rFonts w:ascii="Andes" w:hAnsi="Andes"/>
        </w:rPr>
      </w:pPr>
    </w:p>
    <w:p w:rsidR="00925140" w:rsidRPr="003D1E40" w:rsidRDefault="00925140" w:rsidP="003D1E40">
      <w:pPr>
        <w:jc w:val="center"/>
        <w:rPr>
          <w:rFonts w:ascii="Andes" w:hAnsi="Andes"/>
        </w:rPr>
      </w:pPr>
    </w:p>
    <w:p w:rsidR="00925140" w:rsidRPr="003D1E40" w:rsidRDefault="00925140" w:rsidP="003D1E40">
      <w:pPr>
        <w:jc w:val="center"/>
        <w:rPr>
          <w:rFonts w:ascii="Andes" w:hAnsi="Andes"/>
        </w:rPr>
      </w:pPr>
    </w:p>
    <w:p w:rsidR="00925140" w:rsidRPr="003D1E40" w:rsidRDefault="00925140" w:rsidP="003D1E40">
      <w:pPr>
        <w:jc w:val="center"/>
        <w:rPr>
          <w:rFonts w:ascii="Andes" w:hAnsi="Andes"/>
        </w:rPr>
      </w:pPr>
    </w:p>
    <w:p w:rsidR="00925140" w:rsidRPr="003D1E40" w:rsidRDefault="00925140" w:rsidP="003D1E40">
      <w:pPr>
        <w:jc w:val="center"/>
        <w:rPr>
          <w:rFonts w:ascii="Andes" w:hAnsi="Andes"/>
          <w:sz w:val="36"/>
          <w:szCs w:val="36"/>
        </w:rPr>
      </w:pPr>
    </w:p>
    <w:p w:rsidR="00925140" w:rsidRPr="003D1E40" w:rsidRDefault="00925140" w:rsidP="003D1E40">
      <w:pPr>
        <w:jc w:val="center"/>
        <w:rPr>
          <w:rFonts w:ascii="Andes" w:hAnsi="Andes"/>
          <w:sz w:val="36"/>
          <w:szCs w:val="36"/>
        </w:rPr>
      </w:pPr>
      <w:r w:rsidRPr="003D1E40">
        <w:rPr>
          <w:rFonts w:ascii="Andes" w:hAnsi="Andes"/>
          <w:sz w:val="36"/>
          <w:szCs w:val="36"/>
        </w:rPr>
        <w:t xml:space="preserve">Presented to the </w:t>
      </w:r>
      <w:r w:rsidRPr="003D1E40">
        <w:rPr>
          <w:rFonts w:ascii="Andes" w:hAnsi="Andes"/>
          <w:sz w:val="36"/>
          <w:szCs w:val="36"/>
        </w:rPr>
        <w:br/>
      </w:r>
      <w:r>
        <w:rPr>
          <w:rFonts w:ascii="Andes" w:hAnsi="Andes"/>
          <w:sz w:val="36"/>
          <w:szCs w:val="36"/>
        </w:rPr>
        <w:t>80</w:t>
      </w:r>
      <w:r w:rsidRPr="002608CE">
        <w:rPr>
          <w:rFonts w:ascii="Andes" w:hAnsi="Andes"/>
          <w:sz w:val="36"/>
          <w:szCs w:val="36"/>
          <w:vertAlign w:val="superscript"/>
        </w:rPr>
        <w:t>th</w:t>
      </w:r>
      <w:r>
        <w:rPr>
          <w:rFonts w:ascii="Andes" w:hAnsi="Andes"/>
          <w:sz w:val="36"/>
          <w:szCs w:val="36"/>
        </w:rPr>
        <w:t xml:space="preserve"> </w:t>
      </w:r>
      <w:r w:rsidRPr="003D1E40">
        <w:rPr>
          <w:rFonts w:ascii="Andes" w:hAnsi="Andes"/>
          <w:sz w:val="36"/>
          <w:szCs w:val="36"/>
        </w:rPr>
        <w:t>Meeting of the Executive Committee</w:t>
      </w:r>
    </w:p>
    <w:p w:rsidR="00925140" w:rsidRPr="003D1E40" w:rsidRDefault="00925140" w:rsidP="003D1E40">
      <w:pPr>
        <w:jc w:val="center"/>
        <w:rPr>
          <w:rFonts w:ascii="Andes" w:hAnsi="Andes"/>
          <w:sz w:val="36"/>
          <w:szCs w:val="36"/>
        </w:rPr>
      </w:pPr>
      <w:r w:rsidRPr="003D1E40">
        <w:rPr>
          <w:rFonts w:ascii="Andes" w:hAnsi="Andes"/>
          <w:sz w:val="36"/>
          <w:szCs w:val="36"/>
        </w:rPr>
        <w:t>of the Multilateral Fund</w:t>
      </w:r>
    </w:p>
    <w:p w:rsidR="00925140" w:rsidRPr="003D1E40" w:rsidRDefault="00925140" w:rsidP="003D1E40">
      <w:pPr>
        <w:jc w:val="center"/>
        <w:rPr>
          <w:rFonts w:ascii="Andes" w:hAnsi="Andes"/>
          <w:sz w:val="36"/>
          <w:szCs w:val="36"/>
        </w:rPr>
      </w:pPr>
    </w:p>
    <w:p w:rsidR="00925140" w:rsidRPr="003D1E40" w:rsidRDefault="00925140" w:rsidP="003D1E40">
      <w:pPr>
        <w:jc w:val="center"/>
        <w:rPr>
          <w:rFonts w:ascii="Andes" w:hAnsi="Andes"/>
          <w:sz w:val="36"/>
          <w:szCs w:val="36"/>
        </w:rPr>
      </w:pPr>
    </w:p>
    <w:p w:rsidR="00925140" w:rsidRDefault="00925140" w:rsidP="003D1E40">
      <w:pPr>
        <w:jc w:val="center"/>
        <w:rPr>
          <w:rFonts w:ascii="Andes" w:hAnsi="Andes"/>
          <w:sz w:val="36"/>
          <w:szCs w:val="36"/>
        </w:rPr>
      </w:pPr>
      <w:r>
        <w:rPr>
          <w:rFonts w:ascii="Andes" w:hAnsi="Andes"/>
          <w:sz w:val="36"/>
          <w:szCs w:val="36"/>
        </w:rPr>
        <w:t>18</w:t>
      </w:r>
      <w:r w:rsidRPr="003D1E40">
        <w:rPr>
          <w:rFonts w:ascii="Andes" w:hAnsi="Andes"/>
          <w:sz w:val="36"/>
          <w:szCs w:val="36"/>
        </w:rPr>
        <w:t xml:space="preserve"> </w:t>
      </w:r>
      <w:r>
        <w:rPr>
          <w:rFonts w:ascii="Andes" w:hAnsi="Andes"/>
          <w:sz w:val="36"/>
          <w:szCs w:val="36"/>
        </w:rPr>
        <w:t xml:space="preserve">September </w:t>
      </w:r>
      <w:r w:rsidRPr="003D1E40">
        <w:rPr>
          <w:rFonts w:ascii="Andes" w:hAnsi="Andes"/>
          <w:sz w:val="36"/>
          <w:szCs w:val="36"/>
        </w:rPr>
        <w:t>201</w:t>
      </w:r>
      <w:r>
        <w:rPr>
          <w:rFonts w:ascii="Andes" w:hAnsi="Andes"/>
          <w:sz w:val="36"/>
          <w:szCs w:val="36"/>
        </w:rPr>
        <w:t>7</w:t>
      </w:r>
    </w:p>
    <w:p w:rsidR="00925140" w:rsidRDefault="00925140">
      <w:pPr>
        <w:rPr>
          <w:rFonts w:ascii="Andes" w:hAnsi="Andes"/>
          <w:sz w:val="36"/>
          <w:szCs w:val="36"/>
        </w:rPr>
      </w:pPr>
      <w:r>
        <w:rPr>
          <w:rFonts w:ascii="Andes" w:hAnsi="Andes"/>
          <w:sz w:val="36"/>
          <w:szCs w:val="36"/>
        </w:rPr>
        <w:br w:type="page"/>
      </w:r>
    </w:p>
    <w:p w:rsidR="00925140" w:rsidRPr="003D1E40" w:rsidRDefault="00925140" w:rsidP="003D1E40">
      <w:pPr>
        <w:jc w:val="center"/>
        <w:rPr>
          <w:rFonts w:ascii="Andes" w:hAnsi="Andes"/>
          <w:sz w:val="36"/>
          <w:szCs w:val="36"/>
        </w:rPr>
      </w:pPr>
    </w:p>
    <w:p w:rsidR="00925140" w:rsidRDefault="00925140">
      <w:pPr>
        <w:rPr>
          <w:b/>
          <w:bCs/>
          <w:smallCaps/>
          <w:sz w:val="28"/>
        </w:rPr>
      </w:pPr>
      <w:r>
        <w:rPr>
          <w:smallCaps/>
          <w:sz w:val="28"/>
        </w:rPr>
        <w:br w:type="page"/>
      </w:r>
    </w:p>
    <w:p w:rsidR="00925140" w:rsidRPr="00925140" w:rsidRDefault="00925140" w:rsidP="00F84C58">
      <w:pPr>
        <w:rPr>
          <w:lang w:val="en-CA"/>
        </w:rPr>
        <w:sectPr w:rsidR="00925140" w:rsidRPr="00925140" w:rsidSect="00925140">
          <w:headerReference w:type="even" r:id="rId16"/>
          <w:footerReference w:type="even" r:id="rId17"/>
          <w:footerReference w:type="default" r:id="rId18"/>
          <w:footerReference w:type="first" r:id="rId19"/>
          <w:pgSz w:w="12240" w:h="15840" w:code="1"/>
          <w:pgMar w:top="720" w:right="1440" w:bottom="864" w:left="1440" w:header="720" w:footer="475" w:gutter="0"/>
          <w:pgNumType w:start="1"/>
          <w:cols w:space="720"/>
          <w:titlePg/>
        </w:sectPr>
      </w:pPr>
    </w:p>
    <w:p w:rsidR="00925140" w:rsidRPr="00925140" w:rsidRDefault="00925140" w:rsidP="00925140">
      <w:pPr>
        <w:pStyle w:val="Heading1"/>
        <w:keepNext/>
        <w:numPr>
          <w:ilvl w:val="0"/>
          <w:numId w:val="23"/>
        </w:numPr>
        <w:spacing w:before="240"/>
        <w:jc w:val="left"/>
        <w:rPr>
          <w:b/>
        </w:rPr>
      </w:pPr>
      <w:bookmarkStart w:id="0" w:name="_Toc395519914"/>
      <w:r w:rsidRPr="00925140">
        <w:rPr>
          <w:b/>
        </w:rPr>
        <w:t>MULTILATERAL FUND TARGETS</w:t>
      </w:r>
      <w:bookmarkEnd w:id="0"/>
    </w:p>
    <w:p w:rsidR="00925140" w:rsidRPr="00925140" w:rsidRDefault="00925140" w:rsidP="00925140">
      <w:pPr>
        <w:pStyle w:val="Heading2"/>
        <w:keepNext/>
        <w:keepLines/>
        <w:widowControl/>
        <w:numPr>
          <w:ilvl w:val="1"/>
          <w:numId w:val="23"/>
        </w:numPr>
        <w:spacing w:before="200" w:after="0"/>
        <w:ind w:left="0"/>
        <w:jc w:val="left"/>
        <w:rPr>
          <w:b/>
          <w:bCs/>
          <w:szCs w:val="24"/>
        </w:rPr>
      </w:pPr>
      <w:bookmarkStart w:id="1" w:name="_Toc395519915"/>
      <w:r w:rsidRPr="00925140">
        <w:rPr>
          <w:b/>
          <w:szCs w:val="24"/>
        </w:rPr>
        <w:t>Meeting the Objectives of the Multilateral Fund</w:t>
      </w:r>
    </w:p>
    <w:p w:rsidR="00925140" w:rsidRPr="00925140" w:rsidRDefault="00925140" w:rsidP="00FC0C38">
      <w:pPr>
        <w:rPr>
          <w:b/>
        </w:rPr>
      </w:pPr>
    </w:p>
    <w:p w:rsidR="00925140" w:rsidRPr="003C26A4" w:rsidRDefault="00925140" w:rsidP="00925140">
      <w:pPr>
        <w:pStyle w:val="ListParagraph"/>
        <w:numPr>
          <w:ilvl w:val="0"/>
          <w:numId w:val="24"/>
        </w:numPr>
        <w:spacing w:after="120" w:line="276" w:lineRule="auto"/>
        <w:ind w:left="0" w:firstLine="0"/>
        <w:rPr>
          <w:bCs/>
          <w:sz w:val="22"/>
          <w:szCs w:val="22"/>
        </w:rPr>
      </w:pPr>
      <w:r w:rsidRPr="003C26A4">
        <w:rPr>
          <w:bCs/>
          <w:sz w:val="22"/>
          <w:szCs w:val="22"/>
        </w:rPr>
        <w:t xml:space="preserve">The three-year rolling Business Plan for the World Bank has been prepared on the basis of approved and projected funding needs of client countries covering the years </w:t>
      </w:r>
      <w:r>
        <w:rPr>
          <w:bCs/>
          <w:sz w:val="22"/>
          <w:szCs w:val="22"/>
        </w:rPr>
        <w:t>2018-2020</w:t>
      </w:r>
      <w:r w:rsidRPr="003C26A4">
        <w:rPr>
          <w:bCs/>
          <w:sz w:val="22"/>
          <w:szCs w:val="22"/>
        </w:rPr>
        <w:t xml:space="preserve">. </w:t>
      </w:r>
    </w:p>
    <w:p w:rsidR="00925140" w:rsidRPr="003C26A4" w:rsidRDefault="00925140" w:rsidP="00925140">
      <w:pPr>
        <w:pStyle w:val="ListParagraph"/>
        <w:numPr>
          <w:ilvl w:val="0"/>
          <w:numId w:val="24"/>
        </w:numPr>
        <w:spacing w:after="120" w:line="276" w:lineRule="auto"/>
        <w:ind w:left="0" w:firstLine="0"/>
        <w:rPr>
          <w:bCs/>
          <w:sz w:val="22"/>
          <w:szCs w:val="22"/>
        </w:rPr>
      </w:pPr>
      <w:r w:rsidRPr="003C26A4">
        <w:rPr>
          <w:bCs/>
          <w:sz w:val="22"/>
          <w:szCs w:val="22"/>
        </w:rPr>
        <w:t xml:space="preserve">The objectives of the proposed </w:t>
      </w:r>
      <w:r>
        <w:rPr>
          <w:bCs/>
          <w:sz w:val="22"/>
          <w:szCs w:val="22"/>
        </w:rPr>
        <w:t>2018-2020</w:t>
      </w:r>
      <w:r w:rsidRPr="003C26A4">
        <w:rPr>
          <w:bCs/>
          <w:sz w:val="22"/>
          <w:szCs w:val="22"/>
        </w:rPr>
        <w:t xml:space="preserve"> Business Plan for the World Bank are to: </w:t>
      </w:r>
    </w:p>
    <w:p w:rsidR="00925140" w:rsidRPr="003C26A4" w:rsidRDefault="00925140" w:rsidP="00925140">
      <w:pPr>
        <w:pStyle w:val="ListParagraph"/>
        <w:numPr>
          <w:ilvl w:val="1"/>
          <w:numId w:val="24"/>
        </w:numPr>
        <w:spacing w:after="120" w:line="276" w:lineRule="auto"/>
        <w:rPr>
          <w:sz w:val="22"/>
          <w:szCs w:val="22"/>
        </w:rPr>
      </w:pPr>
      <w:r>
        <w:rPr>
          <w:sz w:val="22"/>
          <w:szCs w:val="22"/>
        </w:rPr>
        <w:t>A</w:t>
      </w:r>
      <w:r w:rsidRPr="003C26A4">
        <w:rPr>
          <w:sz w:val="22"/>
          <w:szCs w:val="22"/>
        </w:rPr>
        <w:t xml:space="preserve">ssist Article 5 countries in </w:t>
      </w:r>
      <w:r>
        <w:rPr>
          <w:sz w:val="22"/>
          <w:szCs w:val="22"/>
        </w:rPr>
        <w:t xml:space="preserve">sustaining and </w:t>
      </w:r>
      <w:r w:rsidRPr="003C26A4">
        <w:rPr>
          <w:sz w:val="22"/>
          <w:szCs w:val="22"/>
        </w:rPr>
        <w:t xml:space="preserve">meeting the </w:t>
      </w:r>
      <w:r>
        <w:rPr>
          <w:sz w:val="22"/>
          <w:szCs w:val="22"/>
        </w:rPr>
        <w:t>obligation</w:t>
      </w:r>
      <w:r w:rsidRPr="003C26A4">
        <w:rPr>
          <w:sz w:val="22"/>
          <w:szCs w:val="22"/>
        </w:rPr>
        <w:t xml:space="preserve"> pertaining to HCFC consumption and production phase-out – the 35% reduction in 2020 and also to meet the extended HCFC phase-out commitment under each country’s Agreement with the Executive Committee. </w:t>
      </w:r>
    </w:p>
    <w:p w:rsidR="00925140" w:rsidRDefault="00925140" w:rsidP="00925140">
      <w:pPr>
        <w:pStyle w:val="ListParagraph"/>
        <w:numPr>
          <w:ilvl w:val="1"/>
          <w:numId w:val="24"/>
        </w:numPr>
        <w:spacing w:after="120" w:line="276" w:lineRule="auto"/>
        <w:rPr>
          <w:sz w:val="22"/>
          <w:szCs w:val="22"/>
        </w:rPr>
      </w:pPr>
      <w:r>
        <w:rPr>
          <w:sz w:val="22"/>
          <w:szCs w:val="22"/>
        </w:rPr>
        <w:t xml:space="preserve">Assist Article 5 countries in implementing </w:t>
      </w:r>
      <w:r w:rsidRPr="00D06499">
        <w:rPr>
          <w:sz w:val="22"/>
          <w:szCs w:val="22"/>
        </w:rPr>
        <w:t>activities for HFC-related projects in response to decisions undertaken at the 79th Meeting of the Executive Committee</w:t>
      </w:r>
      <w:r>
        <w:rPr>
          <w:sz w:val="22"/>
          <w:szCs w:val="22"/>
        </w:rPr>
        <w:t>.</w:t>
      </w:r>
    </w:p>
    <w:p w:rsidR="00925140" w:rsidRPr="003C26A4" w:rsidRDefault="00925140" w:rsidP="00925140">
      <w:pPr>
        <w:pStyle w:val="ListParagraph"/>
        <w:numPr>
          <w:ilvl w:val="1"/>
          <w:numId w:val="24"/>
        </w:numPr>
        <w:spacing w:after="120" w:line="276" w:lineRule="auto"/>
        <w:rPr>
          <w:sz w:val="22"/>
          <w:szCs w:val="22"/>
        </w:rPr>
      </w:pPr>
      <w:r w:rsidRPr="003C26A4">
        <w:rPr>
          <w:sz w:val="22"/>
          <w:szCs w:val="22"/>
        </w:rPr>
        <w:t>Ensure Article 5 partner countries’ implementation of institutional strengthening (IS) activities.</w:t>
      </w:r>
    </w:p>
    <w:p w:rsidR="00925140" w:rsidRPr="003C26A4" w:rsidRDefault="00925140" w:rsidP="00925140">
      <w:pPr>
        <w:pStyle w:val="ListParagraph"/>
        <w:numPr>
          <w:ilvl w:val="0"/>
          <w:numId w:val="24"/>
        </w:numPr>
        <w:spacing w:after="120" w:line="276" w:lineRule="auto"/>
        <w:ind w:left="0" w:firstLine="0"/>
        <w:rPr>
          <w:sz w:val="22"/>
          <w:szCs w:val="22"/>
        </w:rPr>
      </w:pPr>
      <w:r w:rsidRPr="003C26A4">
        <w:rPr>
          <w:sz w:val="22"/>
          <w:szCs w:val="22"/>
        </w:rPr>
        <w:t xml:space="preserve">The proposed </w:t>
      </w:r>
      <w:r>
        <w:rPr>
          <w:sz w:val="22"/>
          <w:szCs w:val="22"/>
        </w:rPr>
        <w:t>2018-2020</w:t>
      </w:r>
      <w:r w:rsidRPr="003C26A4">
        <w:rPr>
          <w:sz w:val="22"/>
          <w:szCs w:val="22"/>
        </w:rPr>
        <w:t xml:space="preserve"> Business Plan of the World Bank includes annual work programs of sector plans and national plans, previously approved, to phase out HCFCs, </w:t>
      </w:r>
      <w:r>
        <w:rPr>
          <w:sz w:val="22"/>
          <w:szCs w:val="22"/>
        </w:rPr>
        <w:t xml:space="preserve">a </w:t>
      </w:r>
      <w:r w:rsidRPr="003C26A4">
        <w:rPr>
          <w:sz w:val="22"/>
          <w:szCs w:val="22"/>
        </w:rPr>
        <w:t>Stage II gradual production phase-out plan</w:t>
      </w:r>
      <w:r>
        <w:rPr>
          <w:sz w:val="22"/>
          <w:szCs w:val="22"/>
        </w:rPr>
        <w:t>, subject to consideration by the 80</w:t>
      </w:r>
      <w:r w:rsidRPr="00F5296F">
        <w:rPr>
          <w:sz w:val="22"/>
          <w:szCs w:val="22"/>
          <w:vertAlign w:val="superscript"/>
        </w:rPr>
        <w:t>th</w:t>
      </w:r>
      <w:r>
        <w:rPr>
          <w:sz w:val="22"/>
          <w:szCs w:val="22"/>
        </w:rPr>
        <w:t xml:space="preserve"> </w:t>
      </w:r>
      <w:proofErr w:type="spellStart"/>
      <w:r>
        <w:rPr>
          <w:sz w:val="22"/>
          <w:szCs w:val="22"/>
        </w:rPr>
        <w:t>ExCom</w:t>
      </w:r>
      <w:proofErr w:type="spellEnd"/>
      <w:r>
        <w:rPr>
          <w:sz w:val="22"/>
          <w:szCs w:val="22"/>
        </w:rPr>
        <w:t xml:space="preserve">, as well as </w:t>
      </w:r>
      <w:r w:rsidRPr="003C26A4">
        <w:rPr>
          <w:sz w:val="22"/>
          <w:szCs w:val="22"/>
        </w:rPr>
        <w:t>the renewal of the institutional strengthening activities</w:t>
      </w:r>
      <w:r>
        <w:rPr>
          <w:sz w:val="22"/>
          <w:szCs w:val="22"/>
        </w:rPr>
        <w:t>. T</w:t>
      </w:r>
      <w:r w:rsidRPr="003C26A4">
        <w:rPr>
          <w:sz w:val="22"/>
          <w:szCs w:val="22"/>
        </w:rPr>
        <w:t xml:space="preserve">he Bank’s Business Plan </w:t>
      </w:r>
      <w:r>
        <w:rPr>
          <w:sz w:val="22"/>
          <w:szCs w:val="22"/>
        </w:rPr>
        <w:t xml:space="preserve">also </w:t>
      </w:r>
      <w:r w:rsidRPr="003C26A4">
        <w:rPr>
          <w:sz w:val="22"/>
          <w:szCs w:val="22"/>
        </w:rPr>
        <w:t xml:space="preserve">includes </w:t>
      </w:r>
      <w:r>
        <w:rPr>
          <w:sz w:val="22"/>
          <w:szCs w:val="22"/>
        </w:rPr>
        <w:t xml:space="preserve">additional </w:t>
      </w:r>
      <w:r w:rsidRPr="003C26A4">
        <w:rPr>
          <w:sz w:val="22"/>
          <w:szCs w:val="22"/>
        </w:rPr>
        <w:t xml:space="preserve">stage II HCFC phase-out sector plans </w:t>
      </w:r>
      <w:r>
        <w:rPr>
          <w:sz w:val="22"/>
          <w:szCs w:val="22"/>
        </w:rPr>
        <w:t xml:space="preserve">for Thailand, </w:t>
      </w:r>
      <w:r w:rsidRPr="003C26A4">
        <w:rPr>
          <w:sz w:val="22"/>
          <w:szCs w:val="22"/>
        </w:rPr>
        <w:t>and</w:t>
      </w:r>
      <w:r>
        <w:rPr>
          <w:sz w:val="22"/>
          <w:szCs w:val="22"/>
        </w:rPr>
        <w:t xml:space="preserve"> in </w:t>
      </w:r>
      <w:r w:rsidRPr="003C26A4">
        <w:rPr>
          <w:sz w:val="22"/>
          <w:szCs w:val="22"/>
        </w:rPr>
        <w:t xml:space="preserve">light of the decisions </w:t>
      </w:r>
      <w:r>
        <w:rPr>
          <w:sz w:val="22"/>
          <w:szCs w:val="22"/>
        </w:rPr>
        <w:t>79/45, 79/46, and 79/47</w:t>
      </w:r>
      <w:r w:rsidRPr="003C26A4">
        <w:rPr>
          <w:sz w:val="22"/>
          <w:szCs w:val="22"/>
        </w:rPr>
        <w:t>, t</w:t>
      </w:r>
      <w:r>
        <w:rPr>
          <w:sz w:val="22"/>
          <w:szCs w:val="22"/>
        </w:rPr>
        <w:t xml:space="preserve">he Bank’s Business Plan also includes a number of HFC investment projects, HFC-enabling activities, and HFC-23 demonstration project. </w:t>
      </w:r>
    </w:p>
    <w:bookmarkEnd w:id="1"/>
    <w:p w:rsidR="00925140" w:rsidRPr="003C26A4" w:rsidRDefault="00925140" w:rsidP="00925140">
      <w:pPr>
        <w:pStyle w:val="ListParagraph"/>
        <w:numPr>
          <w:ilvl w:val="0"/>
          <w:numId w:val="24"/>
        </w:numPr>
        <w:spacing w:after="120" w:line="276" w:lineRule="auto"/>
        <w:ind w:left="0" w:firstLine="0"/>
        <w:rPr>
          <w:sz w:val="22"/>
          <w:szCs w:val="22"/>
        </w:rPr>
      </w:pPr>
      <w:r w:rsidRPr="003C26A4">
        <w:rPr>
          <w:sz w:val="22"/>
          <w:szCs w:val="22"/>
        </w:rPr>
        <w:t xml:space="preserve">The expected impact of proposed new investment activities for the </w:t>
      </w:r>
      <w:r>
        <w:rPr>
          <w:sz w:val="22"/>
          <w:szCs w:val="22"/>
        </w:rPr>
        <w:t>2018-2020</w:t>
      </w:r>
      <w:r w:rsidRPr="003C26A4">
        <w:rPr>
          <w:sz w:val="22"/>
          <w:szCs w:val="22"/>
        </w:rPr>
        <w:t xml:space="preserve"> period </w:t>
      </w:r>
      <w:r>
        <w:rPr>
          <w:sz w:val="22"/>
          <w:szCs w:val="22"/>
        </w:rPr>
        <w:t>are</w:t>
      </w:r>
      <w:r w:rsidRPr="003C26A4">
        <w:rPr>
          <w:sz w:val="22"/>
          <w:szCs w:val="22"/>
        </w:rPr>
        <w:t xml:space="preserve"> summarized in Table I – 1, below.  It should be noted that activities planned for these years are included on an indicative basis, and that they may later be revised as part of individual project submissions or future year World Bank business plan submissions.</w:t>
      </w:r>
    </w:p>
    <w:p w:rsidR="00925140" w:rsidRPr="00547512" w:rsidRDefault="00925140" w:rsidP="00547512">
      <w:pPr>
        <w:pStyle w:val="ListParagraph"/>
        <w:rPr>
          <w:bCs/>
          <w:sz w:val="22"/>
          <w:szCs w:val="22"/>
        </w:rPr>
      </w:pPr>
    </w:p>
    <w:p w:rsidR="00925140" w:rsidRPr="0052591E" w:rsidRDefault="00925140" w:rsidP="0002088C">
      <w:pPr>
        <w:jc w:val="center"/>
        <w:rPr>
          <w:bCs/>
          <w:sz w:val="18"/>
          <w:szCs w:val="18"/>
        </w:rPr>
      </w:pPr>
      <w:r w:rsidRPr="0052591E">
        <w:rPr>
          <w:bCs/>
          <w:sz w:val="18"/>
          <w:szCs w:val="18"/>
        </w:rPr>
        <w:t xml:space="preserve">Table I-1: Expected impact of new investment activities anticipated to be requested </w:t>
      </w:r>
    </w:p>
    <w:p w:rsidR="00925140" w:rsidRDefault="00925140" w:rsidP="0002088C">
      <w:pPr>
        <w:jc w:val="center"/>
        <w:rPr>
          <w:bCs/>
          <w:sz w:val="18"/>
          <w:szCs w:val="18"/>
          <w:lang w:eastAsia="zh-CN"/>
        </w:rPr>
      </w:pPr>
      <w:r w:rsidRPr="0052591E">
        <w:rPr>
          <w:bCs/>
          <w:sz w:val="18"/>
          <w:szCs w:val="18"/>
        </w:rPr>
        <w:t xml:space="preserve">by the World Bank for the years </w:t>
      </w:r>
      <w:r>
        <w:rPr>
          <w:bCs/>
          <w:sz w:val="18"/>
          <w:szCs w:val="18"/>
        </w:rPr>
        <w:t>2018-2020</w:t>
      </w:r>
      <w:r w:rsidRPr="0052591E">
        <w:rPr>
          <w:bCs/>
          <w:sz w:val="18"/>
          <w:szCs w:val="18"/>
        </w:rPr>
        <w:t xml:space="preserve"> (ODP </w:t>
      </w:r>
      <w:proofErr w:type="spellStart"/>
      <w:r w:rsidRPr="0052591E">
        <w:rPr>
          <w:bCs/>
          <w:sz w:val="18"/>
          <w:szCs w:val="18"/>
        </w:rPr>
        <w:t>tonnes</w:t>
      </w:r>
      <w:proofErr w:type="spellEnd"/>
      <w:r w:rsidRPr="0052591E">
        <w:rPr>
          <w:bCs/>
          <w:sz w:val="18"/>
          <w:szCs w:val="18"/>
        </w:rPr>
        <w:t>)</w:t>
      </w:r>
    </w:p>
    <w:p w:rsidR="00925140" w:rsidRDefault="00925140" w:rsidP="0002088C">
      <w:pPr>
        <w:jc w:val="center"/>
        <w:rPr>
          <w:bCs/>
        </w:rPr>
      </w:pPr>
    </w:p>
    <w:tbl>
      <w:tblPr>
        <w:tblStyle w:val="TableGrid"/>
        <w:tblW w:w="5000" w:type="pct"/>
        <w:jc w:val="center"/>
        <w:tblLayout w:type="fixed"/>
        <w:tblLook w:val="04A0" w:firstRow="1" w:lastRow="0" w:firstColumn="1" w:lastColumn="0" w:noHBand="0" w:noVBand="1"/>
      </w:tblPr>
      <w:tblGrid>
        <w:gridCol w:w="4586"/>
        <w:gridCol w:w="1191"/>
        <w:gridCol w:w="1191"/>
        <w:gridCol w:w="1191"/>
        <w:gridCol w:w="1191"/>
      </w:tblGrid>
      <w:tr w:rsidR="00925140" w:rsidTr="0012778C">
        <w:trPr>
          <w:jc w:val="center"/>
        </w:trPr>
        <w:tc>
          <w:tcPr>
            <w:tcW w:w="2452" w:type="pct"/>
          </w:tcPr>
          <w:p w:rsidR="00925140" w:rsidRPr="00096706" w:rsidRDefault="00925140" w:rsidP="00F5296F">
            <w:pPr>
              <w:jc w:val="center"/>
              <w:rPr>
                <w:b/>
                <w:bCs/>
                <w:sz w:val="18"/>
                <w:szCs w:val="18"/>
              </w:rPr>
            </w:pPr>
          </w:p>
        </w:tc>
        <w:tc>
          <w:tcPr>
            <w:tcW w:w="637" w:type="pct"/>
          </w:tcPr>
          <w:p w:rsidR="00925140" w:rsidRPr="00096706" w:rsidRDefault="00925140" w:rsidP="00F5296F">
            <w:pPr>
              <w:jc w:val="center"/>
              <w:rPr>
                <w:b/>
                <w:bCs/>
                <w:sz w:val="18"/>
                <w:szCs w:val="18"/>
                <w:lang w:eastAsia="zh-CN"/>
              </w:rPr>
            </w:pPr>
            <w:r w:rsidRPr="00096706">
              <w:rPr>
                <w:b/>
                <w:bCs/>
                <w:sz w:val="18"/>
                <w:szCs w:val="18"/>
              </w:rPr>
              <w:t>201</w:t>
            </w:r>
            <w:r>
              <w:rPr>
                <w:b/>
                <w:bCs/>
                <w:sz w:val="18"/>
                <w:szCs w:val="18"/>
                <w:lang w:eastAsia="zh-CN"/>
              </w:rPr>
              <w:t>8</w:t>
            </w:r>
          </w:p>
        </w:tc>
        <w:tc>
          <w:tcPr>
            <w:tcW w:w="637" w:type="pct"/>
          </w:tcPr>
          <w:p w:rsidR="00925140" w:rsidRPr="00096706" w:rsidRDefault="00925140" w:rsidP="00F5296F">
            <w:pPr>
              <w:jc w:val="center"/>
              <w:rPr>
                <w:b/>
                <w:bCs/>
                <w:sz w:val="18"/>
                <w:szCs w:val="18"/>
                <w:lang w:eastAsia="zh-CN"/>
              </w:rPr>
            </w:pPr>
            <w:r w:rsidRPr="00096706">
              <w:rPr>
                <w:b/>
                <w:bCs/>
                <w:sz w:val="18"/>
                <w:szCs w:val="18"/>
              </w:rPr>
              <w:t>201</w:t>
            </w:r>
            <w:r>
              <w:rPr>
                <w:b/>
                <w:bCs/>
                <w:sz w:val="18"/>
                <w:szCs w:val="18"/>
                <w:lang w:eastAsia="zh-CN"/>
              </w:rPr>
              <w:t>9</w:t>
            </w:r>
          </w:p>
        </w:tc>
        <w:tc>
          <w:tcPr>
            <w:tcW w:w="637" w:type="pct"/>
          </w:tcPr>
          <w:p w:rsidR="00925140" w:rsidRPr="00096706" w:rsidRDefault="00925140" w:rsidP="00F5296F">
            <w:pPr>
              <w:jc w:val="center"/>
              <w:rPr>
                <w:b/>
                <w:bCs/>
                <w:sz w:val="18"/>
                <w:szCs w:val="18"/>
                <w:lang w:eastAsia="zh-CN"/>
              </w:rPr>
            </w:pPr>
            <w:r w:rsidRPr="00096706">
              <w:rPr>
                <w:b/>
                <w:bCs/>
                <w:sz w:val="18"/>
                <w:szCs w:val="18"/>
              </w:rPr>
              <w:t>20</w:t>
            </w:r>
            <w:r>
              <w:rPr>
                <w:b/>
                <w:bCs/>
                <w:sz w:val="18"/>
                <w:szCs w:val="18"/>
              </w:rPr>
              <w:t>20</w:t>
            </w:r>
          </w:p>
        </w:tc>
        <w:tc>
          <w:tcPr>
            <w:tcW w:w="637" w:type="pct"/>
          </w:tcPr>
          <w:p w:rsidR="00925140" w:rsidRPr="00096706" w:rsidRDefault="00925140" w:rsidP="00F5296F">
            <w:pPr>
              <w:jc w:val="center"/>
              <w:rPr>
                <w:b/>
                <w:bCs/>
                <w:sz w:val="18"/>
                <w:szCs w:val="18"/>
              </w:rPr>
            </w:pPr>
            <w:r w:rsidRPr="00096706">
              <w:rPr>
                <w:b/>
                <w:bCs/>
                <w:sz w:val="18"/>
                <w:szCs w:val="18"/>
              </w:rPr>
              <w:t>Total</w:t>
            </w:r>
          </w:p>
        </w:tc>
      </w:tr>
      <w:tr w:rsidR="00925140" w:rsidTr="0012778C">
        <w:trPr>
          <w:jc w:val="center"/>
        </w:trPr>
        <w:tc>
          <w:tcPr>
            <w:tcW w:w="2452" w:type="pct"/>
          </w:tcPr>
          <w:p w:rsidR="00925140" w:rsidRPr="00096706" w:rsidRDefault="00925140" w:rsidP="00096A2B">
            <w:pPr>
              <w:rPr>
                <w:bCs/>
                <w:sz w:val="18"/>
                <w:szCs w:val="18"/>
              </w:rPr>
            </w:pPr>
            <w:r w:rsidRPr="00096706">
              <w:rPr>
                <w:bCs/>
                <w:sz w:val="18"/>
                <w:szCs w:val="18"/>
              </w:rPr>
              <w:t>HCFC Sector Plans Stage II</w:t>
            </w:r>
            <w:r>
              <w:rPr>
                <w:bCs/>
                <w:sz w:val="18"/>
                <w:szCs w:val="18"/>
              </w:rPr>
              <w:t xml:space="preserve"> (Philippines and Thailand)</w:t>
            </w:r>
          </w:p>
        </w:tc>
        <w:tc>
          <w:tcPr>
            <w:tcW w:w="637" w:type="pct"/>
            <w:shd w:val="clear" w:color="auto" w:fill="auto"/>
          </w:tcPr>
          <w:p w:rsidR="00925140" w:rsidRPr="00096706" w:rsidRDefault="00925140" w:rsidP="00096A2B">
            <w:pPr>
              <w:jc w:val="right"/>
              <w:rPr>
                <w:bCs/>
                <w:sz w:val="18"/>
                <w:szCs w:val="18"/>
              </w:rPr>
            </w:pPr>
            <w:r>
              <w:rPr>
                <w:bCs/>
                <w:sz w:val="18"/>
                <w:szCs w:val="18"/>
              </w:rPr>
              <w:t>61.90</w:t>
            </w:r>
          </w:p>
        </w:tc>
        <w:tc>
          <w:tcPr>
            <w:tcW w:w="637" w:type="pct"/>
            <w:shd w:val="clear" w:color="auto" w:fill="auto"/>
          </w:tcPr>
          <w:p w:rsidR="00925140" w:rsidRPr="00096706" w:rsidRDefault="00925140" w:rsidP="00096A2B">
            <w:pPr>
              <w:jc w:val="right"/>
              <w:rPr>
                <w:bCs/>
                <w:sz w:val="18"/>
                <w:szCs w:val="18"/>
              </w:rPr>
            </w:pPr>
            <w:r>
              <w:rPr>
                <w:bCs/>
                <w:sz w:val="18"/>
                <w:szCs w:val="18"/>
              </w:rPr>
              <w:t>61.90</w:t>
            </w:r>
          </w:p>
        </w:tc>
        <w:tc>
          <w:tcPr>
            <w:tcW w:w="637" w:type="pct"/>
            <w:shd w:val="clear" w:color="auto" w:fill="auto"/>
          </w:tcPr>
          <w:p w:rsidR="00925140" w:rsidRPr="00096706" w:rsidRDefault="00925140" w:rsidP="00096A2B">
            <w:pPr>
              <w:jc w:val="right"/>
              <w:rPr>
                <w:bCs/>
                <w:sz w:val="18"/>
                <w:szCs w:val="18"/>
              </w:rPr>
            </w:pPr>
            <w:r>
              <w:rPr>
                <w:bCs/>
                <w:sz w:val="18"/>
                <w:szCs w:val="18"/>
              </w:rPr>
              <w:t>102.71</w:t>
            </w:r>
          </w:p>
        </w:tc>
        <w:tc>
          <w:tcPr>
            <w:tcW w:w="637" w:type="pct"/>
            <w:shd w:val="clear" w:color="auto" w:fill="auto"/>
          </w:tcPr>
          <w:p w:rsidR="00925140" w:rsidRPr="00096706" w:rsidRDefault="00925140" w:rsidP="00096A2B">
            <w:pPr>
              <w:jc w:val="right"/>
              <w:rPr>
                <w:bCs/>
                <w:sz w:val="18"/>
                <w:szCs w:val="18"/>
              </w:rPr>
            </w:pPr>
            <w:r>
              <w:rPr>
                <w:bCs/>
                <w:sz w:val="18"/>
                <w:szCs w:val="18"/>
              </w:rPr>
              <w:t>226.51</w:t>
            </w:r>
          </w:p>
        </w:tc>
      </w:tr>
      <w:tr w:rsidR="00925140" w:rsidTr="0012778C">
        <w:trPr>
          <w:jc w:val="center"/>
        </w:trPr>
        <w:tc>
          <w:tcPr>
            <w:tcW w:w="2452" w:type="pct"/>
          </w:tcPr>
          <w:p w:rsidR="00925140" w:rsidRPr="00096706" w:rsidRDefault="00925140" w:rsidP="00096A2B">
            <w:pPr>
              <w:rPr>
                <w:bCs/>
                <w:sz w:val="18"/>
                <w:szCs w:val="18"/>
                <w:lang w:eastAsia="zh-CN"/>
              </w:rPr>
            </w:pPr>
            <w:r w:rsidRPr="00096706">
              <w:rPr>
                <w:bCs/>
                <w:sz w:val="18"/>
                <w:szCs w:val="18"/>
              </w:rPr>
              <w:t>HCFC Production Phase-out Plan</w:t>
            </w:r>
            <w:r w:rsidRPr="00096706">
              <w:rPr>
                <w:rFonts w:hint="eastAsia"/>
                <w:bCs/>
                <w:sz w:val="18"/>
                <w:szCs w:val="18"/>
                <w:lang w:eastAsia="zh-CN"/>
              </w:rPr>
              <w:t xml:space="preserve"> Stage II (China)</w:t>
            </w:r>
          </w:p>
        </w:tc>
        <w:tc>
          <w:tcPr>
            <w:tcW w:w="637" w:type="pct"/>
            <w:shd w:val="clear" w:color="auto" w:fill="auto"/>
          </w:tcPr>
          <w:p w:rsidR="00925140" w:rsidRPr="00096706" w:rsidRDefault="00925140" w:rsidP="00096A2B">
            <w:pPr>
              <w:jc w:val="right"/>
              <w:rPr>
                <w:bCs/>
                <w:sz w:val="18"/>
                <w:szCs w:val="18"/>
              </w:rPr>
            </w:pPr>
            <w:r w:rsidRPr="00096A2B">
              <w:rPr>
                <w:bCs/>
                <w:sz w:val="18"/>
                <w:szCs w:val="18"/>
              </w:rPr>
              <w:t>1,</w:t>
            </w:r>
            <w:r>
              <w:rPr>
                <w:bCs/>
                <w:sz w:val="18"/>
                <w:szCs w:val="18"/>
              </w:rPr>
              <w:t>188</w:t>
            </w:r>
            <w:r w:rsidRPr="00096A2B">
              <w:rPr>
                <w:bCs/>
                <w:sz w:val="18"/>
                <w:szCs w:val="18"/>
              </w:rPr>
              <w:t>.</w:t>
            </w:r>
            <w:r>
              <w:rPr>
                <w:bCs/>
                <w:sz w:val="18"/>
                <w:szCs w:val="18"/>
              </w:rPr>
              <w:t>0</w:t>
            </w:r>
            <w:r w:rsidRPr="00096A2B">
              <w:rPr>
                <w:bCs/>
                <w:sz w:val="18"/>
                <w:szCs w:val="18"/>
              </w:rPr>
              <w:t>0</w:t>
            </w:r>
          </w:p>
        </w:tc>
        <w:tc>
          <w:tcPr>
            <w:tcW w:w="637" w:type="pct"/>
            <w:shd w:val="clear" w:color="auto" w:fill="auto"/>
          </w:tcPr>
          <w:p w:rsidR="00925140" w:rsidRPr="00096706" w:rsidRDefault="00925140" w:rsidP="00096A2B">
            <w:pPr>
              <w:jc w:val="right"/>
              <w:rPr>
                <w:bCs/>
                <w:sz w:val="18"/>
                <w:szCs w:val="18"/>
              </w:rPr>
            </w:pPr>
            <w:r>
              <w:rPr>
                <w:bCs/>
                <w:sz w:val="18"/>
                <w:szCs w:val="18"/>
              </w:rPr>
              <w:t>0.00</w:t>
            </w:r>
          </w:p>
        </w:tc>
        <w:tc>
          <w:tcPr>
            <w:tcW w:w="637" w:type="pct"/>
            <w:shd w:val="clear" w:color="auto" w:fill="auto"/>
          </w:tcPr>
          <w:p w:rsidR="00925140" w:rsidRPr="00096706" w:rsidRDefault="00925140" w:rsidP="00096A2B">
            <w:pPr>
              <w:jc w:val="right"/>
              <w:rPr>
                <w:bCs/>
                <w:sz w:val="18"/>
                <w:szCs w:val="18"/>
              </w:rPr>
            </w:pPr>
            <w:r>
              <w:rPr>
                <w:bCs/>
                <w:sz w:val="18"/>
                <w:szCs w:val="18"/>
              </w:rPr>
              <w:t>5,076.00</w:t>
            </w:r>
          </w:p>
        </w:tc>
        <w:tc>
          <w:tcPr>
            <w:tcW w:w="637" w:type="pct"/>
            <w:shd w:val="clear" w:color="auto" w:fill="auto"/>
          </w:tcPr>
          <w:p w:rsidR="00925140" w:rsidRPr="00096706" w:rsidRDefault="00925140" w:rsidP="00096A2B">
            <w:pPr>
              <w:jc w:val="right"/>
              <w:rPr>
                <w:bCs/>
                <w:sz w:val="18"/>
                <w:szCs w:val="18"/>
              </w:rPr>
            </w:pPr>
            <w:r>
              <w:rPr>
                <w:bCs/>
                <w:sz w:val="18"/>
                <w:szCs w:val="18"/>
              </w:rPr>
              <w:t>6</w:t>
            </w:r>
            <w:r w:rsidRPr="00096A2B">
              <w:rPr>
                <w:bCs/>
                <w:sz w:val="18"/>
                <w:szCs w:val="18"/>
              </w:rPr>
              <w:t>,</w:t>
            </w:r>
            <w:r>
              <w:rPr>
                <w:bCs/>
                <w:sz w:val="18"/>
                <w:szCs w:val="18"/>
              </w:rPr>
              <w:t>264</w:t>
            </w:r>
            <w:r w:rsidRPr="00096A2B">
              <w:rPr>
                <w:bCs/>
                <w:sz w:val="18"/>
                <w:szCs w:val="18"/>
              </w:rPr>
              <w:t>.</w:t>
            </w:r>
            <w:r>
              <w:rPr>
                <w:bCs/>
                <w:sz w:val="18"/>
                <w:szCs w:val="18"/>
              </w:rPr>
              <w:t>0</w:t>
            </w:r>
            <w:r w:rsidRPr="00096A2B">
              <w:rPr>
                <w:bCs/>
                <w:sz w:val="18"/>
                <w:szCs w:val="18"/>
              </w:rPr>
              <w:t>0</w:t>
            </w:r>
          </w:p>
        </w:tc>
      </w:tr>
      <w:tr w:rsidR="00925140" w:rsidTr="0012778C">
        <w:trPr>
          <w:jc w:val="center"/>
        </w:trPr>
        <w:tc>
          <w:tcPr>
            <w:tcW w:w="2452" w:type="pct"/>
          </w:tcPr>
          <w:p w:rsidR="00925140" w:rsidRDefault="00925140" w:rsidP="00096A2B">
            <w:pPr>
              <w:rPr>
                <w:bCs/>
                <w:sz w:val="18"/>
                <w:szCs w:val="18"/>
              </w:rPr>
            </w:pPr>
            <w:r>
              <w:rPr>
                <w:bCs/>
                <w:sz w:val="18"/>
                <w:szCs w:val="18"/>
              </w:rPr>
              <w:t>Total (ODP tons)</w:t>
            </w:r>
          </w:p>
        </w:tc>
        <w:tc>
          <w:tcPr>
            <w:tcW w:w="637" w:type="pct"/>
            <w:shd w:val="clear" w:color="auto" w:fill="auto"/>
          </w:tcPr>
          <w:p w:rsidR="00925140" w:rsidRPr="00096A2B" w:rsidRDefault="00925140" w:rsidP="00096A2B">
            <w:pPr>
              <w:jc w:val="right"/>
              <w:rPr>
                <w:bCs/>
                <w:sz w:val="18"/>
                <w:szCs w:val="18"/>
              </w:rPr>
            </w:pPr>
            <w:r>
              <w:rPr>
                <w:bCs/>
                <w:sz w:val="18"/>
                <w:szCs w:val="18"/>
              </w:rPr>
              <w:t>1,249.90</w:t>
            </w:r>
          </w:p>
        </w:tc>
        <w:tc>
          <w:tcPr>
            <w:tcW w:w="637" w:type="pct"/>
            <w:shd w:val="clear" w:color="auto" w:fill="auto"/>
          </w:tcPr>
          <w:p w:rsidR="00925140" w:rsidRDefault="00925140" w:rsidP="00096A2B">
            <w:pPr>
              <w:jc w:val="right"/>
              <w:rPr>
                <w:bCs/>
                <w:sz w:val="18"/>
                <w:szCs w:val="18"/>
              </w:rPr>
            </w:pPr>
            <w:r>
              <w:rPr>
                <w:bCs/>
                <w:sz w:val="18"/>
                <w:szCs w:val="18"/>
              </w:rPr>
              <w:t>61.90</w:t>
            </w:r>
          </w:p>
        </w:tc>
        <w:tc>
          <w:tcPr>
            <w:tcW w:w="637" w:type="pct"/>
            <w:shd w:val="clear" w:color="auto" w:fill="auto"/>
          </w:tcPr>
          <w:p w:rsidR="00925140" w:rsidRDefault="00925140" w:rsidP="00096A2B">
            <w:pPr>
              <w:jc w:val="right"/>
              <w:rPr>
                <w:bCs/>
                <w:sz w:val="18"/>
                <w:szCs w:val="18"/>
              </w:rPr>
            </w:pPr>
            <w:r>
              <w:rPr>
                <w:bCs/>
                <w:sz w:val="18"/>
                <w:szCs w:val="18"/>
              </w:rPr>
              <w:t>5,178.71.60</w:t>
            </w:r>
          </w:p>
        </w:tc>
        <w:tc>
          <w:tcPr>
            <w:tcW w:w="637" w:type="pct"/>
            <w:shd w:val="clear" w:color="auto" w:fill="auto"/>
          </w:tcPr>
          <w:p w:rsidR="00925140" w:rsidRDefault="00925140" w:rsidP="00096A2B">
            <w:pPr>
              <w:jc w:val="right"/>
              <w:rPr>
                <w:bCs/>
                <w:sz w:val="18"/>
                <w:szCs w:val="18"/>
              </w:rPr>
            </w:pPr>
            <w:r>
              <w:rPr>
                <w:bCs/>
                <w:sz w:val="18"/>
                <w:szCs w:val="18"/>
              </w:rPr>
              <w:t>6,490.51</w:t>
            </w:r>
          </w:p>
        </w:tc>
      </w:tr>
      <w:tr w:rsidR="00925140" w:rsidTr="0012778C">
        <w:trPr>
          <w:jc w:val="center"/>
        </w:trPr>
        <w:tc>
          <w:tcPr>
            <w:tcW w:w="2452" w:type="pct"/>
          </w:tcPr>
          <w:p w:rsidR="00925140" w:rsidRPr="00096706" w:rsidRDefault="00925140" w:rsidP="00096A2B">
            <w:pPr>
              <w:rPr>
                <w:bCs/>
                <w:sz w:val="18"/>
                <w:szCs w:val="18"/>
              </w:rPr>
            </w:pPr>
            <w:r>
              <w:rPr>
                <w:bCs/>
                <w:sz w:val="18"/>
                <w:szCs w:val="18"/>
              </w:rPr>
              <w:t>HFC-23 demonstration project (MT)</w:t>
            </w:r>
          </w:p>
        </w:tc>
        <w:tc>
          <w:tcPr>
            <w:tcW w:w="637" w:type="pct"/>
            <w:shd w:val="clear" w:color="auto" w:fill="auto"/>
          </w:tcPr>
          <w:p w:rsidR="00925140" w:rsidRPr="00096A2B" w:rsidRDefault="00925140" w:rsidP="00096A2B">
            <w:pPr>
              <w:jc w:val="right"/>
              <w:rPr>
                <w:bCs/>
                <w:sz w:val="18"/>
                <w:szCs w:val="18"/>
              </w:rPr>
            </w:pPr>
          </w:p>
        </w:tc>
        <w:tc>
          <w:tcPr>
            <w:tcW w:w="637" w:type="pct"/>
            <w:shd w:val="clear" w:color="auto" w:fill="auto"/>
          </w:tcPr>
          <w:p w:rsidR="00925140" w:rsidRDefault="00925140" w:rsidP="00096A2B">
            <w:pPr>
              <w:jc w:val="right"/>
              <w:rPr>
                <w:bCs/>
                <w:sz w:val="18"/>
                <w:szCs w:val="18"/>
              </w:rPr>
            </w:pPr>
          </w:p>
        </w:tc>
        <w:tc>
          <w:tcPr>
            <w:tcW w:w="637" w:type="pct"/>
            <w:shd w:val="clear" w:color="auto" w:fill="auto"/>
          </w:tcPr>
          <w:p w:rsidR="00925140" w:rsidRDefault="00925140" w:rsidP="00096A2B">
            <w:pPr>
              <w:jc w:val="right"/>
              <w:rPr>
                <w:bCs/>
                <w:sz w:val="18"/>
                <w:szCs w:val="18"/>
              </w:rPr>
            </w:pPr>
            <w:r>
              <w:rPr>
                <w:bCs/>
                <w:sz w:val="18"/>
                <w:szCs w:val="18"/>
              </w:rPr>
              <w:t>500.00</w:t>
            </w:r>
          </w:p>
        </w:tc>
        <w:tc>
          <w:tcPr>
            <w:tcW w:w="637" w:type="pct"/>
            <w:shd w:val="clear" w:color="auto" w:fill="auto"/>
          </w:tcPr>
          <w:p w:rsidR="00925140" w:rsidRDefault="00925140" w:rsidP="00096A2B">
            <w:pPr>
              <w:jc w:val="right"/>
              <w:rPr>
                <w:bCs/>
                <w:sz w:val="18"/>
                <w:szCs w:val="18"/>
              </w:rPr>
            </w:pPr>
            <w:r>
              <w:rPr>
                <w:bCs/>
                <w:sz w:val="18"/>
                <w:szCs w:val="18"/>
              </w:rPr>
              <w:t>500.00</w:t>
            </w:r>
          </w:p>
        </w:tc>
      </w:tr>
      <w:tr w:rsidR="00925140" w:rsidTr="0012778C">
        <w:trPr>
          <w:jc w:val="center"/>
        </w:trPr>
        <w:tc>
          <w:tcPr>
            <w:tcW w:w="2452" w:type="pct"/>
          </w:tcPr>
          <w:p w:rsidR="00925140" w:rsidRPr="00096706" w:rsidRDefault="00925140" w:rsidP="00096A2B">
            <w:pPr>
              <w:rPr>
                <w:bCs/>
                <w:sz w:val="18"/>
                <w:szCs w:val="18"/>
              </w:rPr>
            </w:pPr>
            <w:r>
              <w:rPr>
                <w:bCs/>
                <w:sz w:val="18"/>
                <w:szCs w:val="18"/>
              </w:rPr>
              <w:t>HFC Investment Projects (MT)</w:t>
            </w:r>
          </w:p>
        </w:tc>
        <w:tc>
          <w:tcPr>
            <w:tcW w:w="637" w:type="pct"/>
            <w:shd w:val="clear" w:color="auto" w:fill="auto"/>
          </w:tcPr>
          <w:p w:rsidR="00925140" w:rsidRPr="00096A2B" w:rsidRDefault="00925140" w:rsidP="00096A2B">
            <w:pPr>
              <w:jc w:val="right"/>
              <w:rPr>
                <w:bCs/>
                <w:sz w:val="18"/>
                <w:szCs w:val="18"/>
              </w:rPr>
            </w:pPr>
          </w:p>
        </w:tc>
        <w:tc>
          <w:tcPr>
            <w:tcW w:w="637" w:type="pct"/>
            <w:shd w:val="clear" w:color="auto" w:fill="auto"/>
          </w:tcPr>
          <w:p w:rsidR="00925140" w:rsidRDefault="00925140" w:rsidP="00096A2B">
            <w:pPr>
              <w:jc w:val="right"/>
              <w:rPr>
                <w:bCs/>
                <w:sz w:val="18"/>
                <w:szCs w:val="18"/>
              </w:rPr>
            </w:pPr>
            <w:r>
              <w:rPr>
                <w:bCs/>
                <w:sz w:val="18"/>
                <w:szCs w:val="18"/>
              </w:rPr>
              <w:t>40.00</w:t>
            </w:r>
          </w:p>
        </w:tc>
        <w:tc>
          <w:tcPr>
            <w:tcW w:w="637" w:type="pct"/>
            <w:shd w:val="clear" w:color="auto" w:fill="auto"/>
          </w:tcPr>
          <w:p w:rsidR="00925140" w:rsidRDefault="00925140" w:rsidP="00096A2B">
            <w:pPr>
              <w:jc w:val="right"/>
              <w:rPr>
                <w:bCs/>
                <w:sz w:val="18"/>
                <w:szCs w:val="18"/>
              </w:rPr>
            </w:pPr>
          </w:p>
        </w:tc>
        <w:tc>
          <w:tcPr>
            <w:tcW w:w="637" w:type="pct"/>
            <w:shd w:val="clear" w:color="auto" w:fill="auto"/>
          </w:tcPr>
          <w:p w:rsidR="00925140" w:rsidRDefault="00925140" w:rsidP="00096A2B">
            <w:pPr>
              <w:jc w:val="right"/>
              <w:rPr>
                <w:bCs/>
                <w:sz w:val="18"/>
                <w:szCs w:val="18"/>
              </w:rPr>
            </w:pPr>
          </w:p>
        </w:tc>
      </w:tr>
      <w:tr w:rsidR="00925140" w:rsidTr="0012778C">
        <w:trPr>
          <w:jc w:val="center"/>
        </w:trPr>
        <w:tc>
          <w:tcPr>
            <w:tcW w:w="2452" w:type="pct"/>
          </w:tcPr>
          <w:p w:rsidR="00925140" w:rsidRPr="00096706" w:rsidRDefault="00925140" w:rsidP="00096A2B">
            <w:pPr>
              <w:rPr>
                <w:bCs/>
                <w:sz w:val="18"/>
                <w:szCs w:val="18"/>
              </w:rPr>
            </w:pPr>
            <w:r w:rsidRPr="00096706">
              <w:rPr>
                <w:bCs/>
                <w:sz w:val="18"/>
                <w:szCs w:val="18"/>
              </w:rPr>
              <w:t>Total</w:t>
            </w:r>
            <w:r>
              <w:rPr>
                <w:bCs/>
                <w:sz w:val="18"/>
                <w:szCs w:val="18"/>
              </w:rPr>
              <w:t xml:space="preserve"> (MT)</w:t>
            </w:r>
          </w:p>
        </w:tc>
        <w:tc>
          <w:tcPr>
            <w:tcW w:w="637" w:type="pct"/>
            <w:shd w:val="clear" w:color="auto" w:fill="auto"/>
          </w:tcPr>
          <w:p w:rsidR="00925140" w:rsidRPr="00096706" w:rsidRDefault="00925140" w:rsidP="00096A2B">
            <w:pPr>
              <w:jc w:val="right"/>
              <w:rPr>
                <w:bCs/>
                <w:sz w:val="18"/>
                <w:szCs w:val="18"/>
              </w:rPr>
            </w:pPr>
          </w:p>
        </w:tc>
        <w:tc>
          <w:tcPr>
            <w:tcW w:w="637" w:type="pct"/>
            <w:shd w:val="clear" w:color="auto" w:fill="auto"/>
          </w:tcPr>
          <w:p w:rsidR="00925140" w:rsidRPr="00096706" w:rsidRDefault="00925140" w:rsidP="00096A2B">
            <w:pPr>
              <w:jc w:val="right"/>
              <w:rPr>
                <w:bCs/>
                <w:sz w:val="18"/>
                <w:szCs w:val="18"/>
              </w:rPr>
            </w:pPr>
            <w:r>
              <w:rPr>
                <w:bCs/>
                <w:sz w:val="18"/>
                <w:szCs w:val="18"/>
              </w:rPr>
              <w:t>40.00</w:t>
            </w:r>
          </w:p>
        </w:tc>
        <w:tc>
          <w:tcPr>
            <w:tcW w:w="637" w:type="pct"/>
            <w:shd w:val="clear" w:color="auto" w:fill="auto"/>
          </w:tcPr>
          <w:p w:rsidR="00925140" w:rsidRPr="00096706" w:rsidRDefault="00925140" w:rsidP="00096A2B">
            <w:pPr>
              <w:jc w:val="right"/>
              <w:rPr>
                <w:bCs/>
                <w:sz w:val="18"/>
                <w:szCs w:val="18"/>
              </w:rPr>
            </w:pPr>
            <w:r>
              <w:rPr>
                <w:bCs/>
                <w:sz w:val="18"/>
                <w:szCs w:val="18"/>
              </w:rPr>
              <w:t>500.00</w:t>
            </w:r>
          </w:p>
        </w:tc>
        <w:tc>
          <w:tcPr>
            <w:tcW w:w="637" w:type="pct"/>
            <w:shd w:val="clear" w:color="auto" w:fill="auto"/>
          </w:tcPr>
          <w:p w:rsidR="00925140" w:rsidRPr="00096706" w:rsidRDefault="00925140" w:rsidP="00096A2B">
            <w:pPr>
              <w:jc w:val="right"/>
              <w:rPr>
                <w:bCs/>
                <w:sz w:val="18"/>
                <w:szCs w:val="18"/>
              </w:rPr>
            </w:pPr>
            <w:r>
              <w:rPr>
                <w:bCs/>
                <w:sz w:val="18"/>
                <w:szCs w:val="18"/>
              </w:rPr>
              <w:t>540.00</w:t>
            </w:r>
          </w:p>
        </w:tc>
      </w:tr>
    </w:tbl>
    <w:p w:rsidR="00925140" w:rsidRDefault="00925140" w:rsidP="0002088C">
      <w:pPr>
        <w:jc w:val="center"/>
        <w:rPr>
          <w:bCs/>
        </w:rPr>
      </w:pPr>
    </w:p>
    <w:p w:rsidR="00925140" w:rsidRDefault="00925140" w:rsidP="0002088C">
      <w:pPr>
        <w:jc w:val="center"/>
        <w:rPr>
          <w:bCs/>
        </w:rPr>
      </w:pPr>
    </w:p>
    <w:p w:rsidR="00925140" w:rsidRDefault="00925140" w:rsidP="00925140">
      <w:pPr>
        <w:pStyle w:val="ListParagraph"/>
        <w:numPr>
          <w:ilvl w:val="0"/>
          <w:numId w:val="24"/>
        </w:numPr>
        <w:spacing w:after="120" w:line="276" w:lineRule="auto"/>
        <w:ind w:left="0" w:firstLine="0"/>
        <w:rPr>
          <w:bCs/>
          <w:sz w:val="22"/>
          <w:szCs w:val="22"/>
        </w:rPr>
      </w:pPr>
      <w:r w:rsidRPr="00CA223D">
        <w:rPr>
          <w:bCs/>
          <w:sz w:val="22"/>
          <w:szCs w:val="22"/>
        </w:rPr>
        <w:t xml:space="preserve">Other than the ODP to be phased out from new investment activities proposed for the </w:t>
      </w:r>
      <w:r>
        <w:rPr>
          <w:bCs/>
          <w:sz w:val="22"/>
          <w:szCs w:val="22"/>
        </w:rPr>
        <w:t>2018-2020</w:t>
      </w:r>
      <w:r w:rsidRPr="00CA223D">
        <w:rPr>
          <w:bCs/>
          <w:sz w:val="22"/>
          <w:szCs w:val="22"/>
        </w:rPr>
        <w:t xml:space="preserve"> period, additional phase-out of </w:t>
      </w:r>
      <w:r>
        <w:rPr>
          <w:bCs/>
          <w:sz w:val="22"/>
          <w:szCs w:val="22"/>
          <w:lang w:eastAsia="zh-CN"/>
        </w:rPr>
        <w:t xml:space="preserve">1,588.25 </w:t>
      </w:r>
      <w:r w:rsidRPr="00CA223D">
        <w:rPr>
          <w:bCs/>
          <w:sz w:val="22"/>
          <w:szCs w:val="22"/>
        </w:rPr>
        <w:t>ODP ton</w:t>
      </w:r>
      <w:r>
        <w:rPr>
          <w:rFonts w:hint="eastAsia"/>
          <w:bCs/>
          <w:sz w:val="22"/>
          <w:szCs w:val="22"/>
          <w:lang w:eastAsia="zh-CN"/>
        </w:rPr>
        <w:t>s</w:t>
      </w:r>
      <w:r w:rsidRPr="00CA223D">
        <w:rPr>
          <w:bCs/>
          <w:sz w:val="22"/>
          <w:szCs w:val="22"/>
        </w:rPr>
        <w:t xml:space="preserve"> will be achieved </w:t>
      </w:r>
      <w:r>
        <w:rPr>
          <w:bCs/>
          <w:sz w:val="22"/>
          <w:szCs w:val="22"/>
        </w:rPr>
        <w:t>by 2020</w:t>
      </w:r>
      <w:r w:rsidRPr="00CA223D">
        <w:rPr>
          <w:bCs/>
          <w:sz w:val="22"/>
          <w:szCs w:val="22"/>
        </w:rPr>
        <w:t xml:space="preserve"> through the </w:t>
      </w:r>
      <w:r w:rsidRPr="000A3680">
        <w:rPr>
          <w:bCs/>
          <w:sz w:val="22"/>
          <w:szCs w:val="22"/>
        </w:rPr>
        <w:t>ongoing</w:t>
      </w:r>
      <w:r w:rsidRPr="00CA223D">
        <w:rPr>
          <w:bCs/>
          <w:sz w:val="22"/>
          <w:szCs w:val="22"/>
        </w:rPr>
        <w:t xml:space="preserve"> implementation of </w:t>
      </w:r>
      <w:r w:rsidRPr="00363826">
        <w:rPr>
          <w:bCs/>
          <w:sz w:val="22"/>
          <w:szCs w:val="22"/>
        </w:rPr>
        <w:t>previously approved multi-year projects</w:t>
      </w:r>
      <w:r>
        <w:rPr>
          <w:bCs/>
          <w:sz w:val="22"/>
          <w:szCs w:val="22"/>
        </w:rPr>
        <w:t>. This additional phase-out is summarized in Table I-2.</w:t>
      </w:r>
    </w:p>
    <w:p w:rsidR="002676CC" w:rsidRDefault="002676CC" w:rsidP="00330E15">
      <w:pPr>
        <w:keepNext/>
        <w:jc w:val="center"/>
        <w:rPr>
          <w:bCs/>
          <w:sz w:val="18"/>
          <w:szCs w:val="18"/>
        </w:rPr>
      </w:pPr>
    </w:p>
    <w:p w:rsidR="00925140" w:rsidRPr="00812DC7" w:rsidRDefault="00925140" w:rsidP="00330E15">
      <w:pPr>
        <w:keepNext/>
        <w:jc w:val="center"/>
        <w:rPr>
          <w:bCs/>
          <w:sz w:val="18"/>
          <w:szCs w:val="18"/>
        </w:rPr>
      </w:pPr>
      <w:bookmarkStart w:id="2" w:name="_GoBack"/>
      <w:bookmarkEnd w:id="2"/>
      <w:r w:rsidRPr="00812DC7">
        <w:rPr>
          <w:bCs/>
          <w:sz w:val="18"/>
          <w:szCs w:val="18"/>
        </w:rPr>
        <w:t xml:space="preserve">Table I-2: Expected impact of approved investment activities anticipated to be requested </w:t>
      </w:r>
    </w:p>
    <w:p w:rsidR="00925140" w:rsidRDefault="00925140" w:rsidP="00330E15">
      <w:pPr>
        <w:keepNext/>
        <w:jc w:val="center"/>
        <w:rPr>
          <w:bCs/>
          <w:sz w:val="18"/>
          <w:szCs w:val="18"/>
          <w:lang w:eastAsia="zh-CN"/>
        </w:rPr>
      </w:pPr>
      <w:r w:rsidRPr="00812DC7">
        <w:rPr>
          <w:bCs/>
          <w:sz w:val="18"/>
          <w:szCs w:val="18"/>
        </w:rPr>
        <w:t xml:space="preserve">by the World Bank for the years </w:t>
      </w:r>
      <w:r>
        <w:rPr>
          <w:bCs/>
          <w:sz w:val="18"/>
          <w:szCs w:val="18"/>
        </w:rPr>
        <w:t>2018-2020</w:t>
      </w:r>
      <w:r w:rsidRPr="00812DC7">
        <w:rPr>
          <w:bCs/>
          <w:sz w:val="18"/>
          <w:szCs w:val="18"/>
        </w:rPr>
        <w:t xml:space="preserve"> (ODP </w:t>
      </w:r>
      <w:proofErr w:type="spellStart"/>
      <w:r w:rsidRPr="00812DC7">
        <w:rPr>
          <w:bCs/>
          <w:sz w:val="18"/>
          <w:szCs w:val="18"/>
        </w:rPr>
        <w:t>tonnes</w:t>
      </w:r>
      <w:proofErr w:type="spellEnd"/>
      <w:r w:rsidRPr="00812DC7">
        <w:rPr>
          <w:bCs/>
          <w:sz w:val="18"/>
          <w:szCs w:val="18"/>
        </w:rPr>
        <w:t>)</w:t>
      </w:r>
    </w:p>
    <w:p w:rsidR="00925140" w:rsidRDefault="00925140" w:rsidP="00330E15">
      <w:pPr>
        <w:keepNext/>
        <w:jc w:val="center"/>
        <w:rPr>
          <w:bCs/>
        </w:rPr>
      </w:pPr>
    </w:p>
    <w:tbl>
      <w:tblPr>
        <w:tblStyle w:val="TableGrid"/>
        <w:tblW w:w="0" w:type="auto"/>
        <w:jc w:val="center"/>
        <w:tblLook w:val="04A0" w:firstRow="1" w:lastRow="0" w:firstColumn="1" w:lastColumn="0" w:noHBand="0" w:noVBand="1"/>
      </w:tblPr>
      <w:tblGrid>
        <w:gridCol w:w="2583"/>
        <w:gridCol w:w="735"/>
        <w:gridCol w:w="736"/>
        <w:gridCol w:w="735"/>
        <w:gridCol w:w="846"/>
      </w:tblGrid>
      <w:tr w:rsidR="00925140" w:rsidTr="00760525">
        <w:trPr>
          <w:tblHeader/>
          <w:jc w:val="center"/>
        </w:trPr>
        <w:tc>
          <w:tcPr>
            <w:tcW w:w="2583" w:type="dxa"/>
          </w:tcPr>
          <w:p w:rsidR="00925140" w:rsidRPr="007109CB" w:rsidRDefault="00925140" w:rsidP="0012778C">
            <w:pPr>
              <w:rPr>
                <w:bCs/>
                <w:sz w:val="18"/>
                <w:szCs w:val="18"/>
              </w:rPr>
            </w:pPr>
          </w:p>
        </w:tc>
        <w:tc>
          <w:tcPr>
            <w:tcW w:w="735" w:type="dxa"/>
          </w:tcPr>
          <w:p w:rsidR="00925140" w:rsidRPr="007109CB" w:rsidRDefault="00925140" w:rsidP="0012778C">
            <w:pPr>
              <w:rPr>
                <w:bCs/>
                <w:sz w:val="18"/>
                <w:szCs w:val="18"/>
              </w:rPr>
            </w:pPr>
            <w:r w:rsidRPr="00096706">
              <w:rPr>
                <w:b/>
                <w:bCs/>
                <w:sz w:val="18"/>
                <w:szCs w:val="18"/>
              </w:rPr>
              <w:t>201</w:t>
            </w:r>
            <w:r>
              <w:rPr>
                <w:b/>
                <w:bCs/>
                <w:sz w:val="18"/>
                <w:szCs w:val="18"/>
                <w:lang w:eastAsia="zh-CN"/>
              </w:rPr>
              <w:t>8</w:t>
            </w:r>
          </w:p>
        </w:tc>
        <w:tc>
          <w:tcPr>
            <w:tcW w:w="736" w:type="dxa"/>
          </w:tcPr>
          <w:p w:rsidR="00925140" w:rsidRPr="007109CB" w:rsidRDefault="00925140" w:rsidP="0012778C">
            <w:pPr>
              <w:rPr>
                <w:bCs/>
                <w:sz w:val="18"/>
                <w:szCs w:val="18"/>
              </w:rPr>
            </w:pPr>
            <w:r w:rsidRPr="00096706">
              <w:rPr>
                <w:b/>
                <w:bCs/>
                <w:sz w:val="18"/>
                <w:szCs w:val="18"/>
              </w:rPr>
              <w:t>201</w:t>
            </w:r>
            <w:r>
              <w:rPr>
                <w:b/>
                <w:bCs/>
                <w:sz w:val="18"/>
                <w:szCs w:val="18"/>
                <w:lang w:eastAsia="zh-CN"/>
              </w:rPr>
              <w:t>9</w:t>
            </w:r>
          </w:p>
        </w:tc>
        <w:tc>
          <w:tcPr>
            <w:tcW w:w="735" w:type="dxa"/>
          </w:tcPr>
          <w:p w:rsidR="00925140" w:rsidRPr="007109CB" w:rsidRDefault="00925140" w:rsidP="0012778C">
            <w:pPr>
              <w:rPr>
                <w:bCs/>
                <w:sz w:val="18"/>
                <w:szCs w:val="18"/>
              </w:rPr>
            </w:pPr>
            <w:r w:rsidRPr="00096706">
              <w:rPr>
                <w:b/>
                <w:bCs/>
                <w:sz w:val="18"/>
                <w:szCs w:val="18"/>
              </w:rPr>
              <w:t>20</w:t>
            </w:r>
            <w:r>
              <w:rPr>
                <w:b/>
                <w:bCs/>
                <w:sz w:val="18"/>
                <w:szCs w:val="18"/>
              </w:rPr>
              <w:t>20</w:t>
            </w:r>
          </w:p>
        </w:tc>
        <w:tc>
          <w:tcPr>
            <w:tcW w:w="736" w:type="dxa"/>
          </w:tcPr>
          <w:p w:rsidR="00925140" w:rsidRPr="0012778C" w:rsidRDefault="00925140" w:rsidP="0012778C">
            <w:pPr>
              <w:rPr>
                <w:b/>
                <w:sz w:val="18"/>
                <w:szCs w:val="18"/>
              </w:rPr>
            </w:pPr>
            <w:r w:rsidRPr="0012778C">
              <w:rPr>
                <w:b/>
                <w:sz w:val="18"/>
                <w:szCs w:val="18"/>
              </w:rPr>
              <w:t>Total</w:t>
            </w:r>
          </w:p>
        </w:tc>
      </w:tr>
      <w:tr w:rsidR="00925140" w:rsidTr="00760525">
        <w:trPr>
          <w:jc w:val="center"/>
        </w:trPr>
        <w:tc>
          <w:tcPr>
            <w:tcW w:w="2583" w:type="dxa"/>
          </w:tcPr>
          <w:p w:rsidR="00925140" w:rsidRPr="00096706" w:rsidRDefault="00925140" w:rsidP="007109CB">
            <w:pPr>
              <w:rPr>
                <w:bCs/>
                <w:sz w:val="18"/>
                <w:szCs w:val="18"/>
              </w:rPr>
            </w:pPr>
            <w:r w:rsidRPr="007109CB">
              <w:rPr>
                <w:bCs/>
                <w:sz w:val="18"/>
                <w:szCs w:val="18"/>
              </w:rPr>
              <w:t>HCFC Sector Plans Stage I</w:t>
            </w:r>
          </w:p>
        </w:tc>
        <w:tc>
          <w:tcPr>
            <w:tcW w:w="735" w:type="dxa"/>
          </w:tcPr>
          <w:p w:rsidR="00925140" w:rsidRPr="002F6A7F" w:rsidRDefault="00925140" w:rsidP="007109CB">
            <w:pPr>
              <w:jc w:val="right"/>
              <w:rPr>
                <w:bCs/>
                <w:sz w:val="18"/>
                <w:szCs w:val="18"/>
              </w:rPr>
            </w:pPr>
            <w:r>
              <w:rPr>
                <w:bCs/>
                <w:sz w:val="18"/>
                <w:szCs w:val="18"/>
              </w:rPr>
              <w:t>30.51</w:t>
            </w:r>
          </w:p>
        </w:tc>
        <w:tc>
          <w:tcPr>
            <w:tcW w:w="736" w:type="dxa"/>
          </w:tcPr>
          <w:p w:rsidR="00925140" w:rsidRPr="002F6A7F" w:rsidRDefault="00925140" w:rsidP="007109CB">
            <w:pPr>
              <w:jc w:val="right"/>
              <w:rPr>
                <w:bCs/>
                <w:sz w:val="18"/>
                <w:szCs w:val="18"/>
              </w:rPr>
            </w:pPr>
            <w:r>
              <w:rPr>
                <w:bCs/>
                <w:sz w:val="18"/>
                <w:szCs w:val="18"/>
              </w:rPr>
              <w:t>0.00</w:t>
            </w:r>
          </w:p>
        </w:tc>
        <w:tc>
          <w:tcPr>
            <w:tcW w:w="735" w:type="dxa"/>
          </w:tcPr>
          <w:p w:rsidR="00925140" w:rsidRPr="002F6A7F" w:rsidRDefault="00925140" w:rsidP="007109CB">
            <w:pPr>
              <w:jc w:val="right"/>
              <w:rPr>
                <w:bCs/>
                <w:sz w:val="18"/>
                <w:szCs w:val="18"/>
              </w:rPr>
            </w:pPr>
            <w:r>
              <w:rPr>
                <w:bCs/>
                <w:sz w:val="18"/>
                <w:szCs w:val="18"/>
              </w:rPr>
              <w:t>0.00</w:t>
            </w:r>
          </w:p>
        </w:tc>
        <w:tc>
          <w:tcPr>
            <w:tcW w:w="736" w:type="dxa"/>
          </w:tcPr>
          <w:p w:rsidR="00925140" w:rsidRPr="002F6A7F" w:rsidRDefault="00925140" w:rsidP="007109CB">
            <w:pPr>
              <w:jc w:val="right"/>
              <w:rPr>
                <w:bCs/>
                <w:sz w:val="18"/>
                <w:szCs w:val="18"/>
              </w:rPr>
            </w:pPr>
            <w:r>
              <w:rPr>
                <w:bCs/>
                <w:sz w:val="18"/>
                <w:szCs w:val="18"/>
              </w:rPr>
              <w:t>30.51</w:t>
            </w:r>
          </w:p>
        </w:tc>
      </w:tr>
      <w:tr w:rsidR="00925140" w:rsidTr="00760525">
        <w:trPr>
          <w:jc w:val="center"/>
        </w:trPr>
        <w:tc>
          <w:tcPr>
            <w:tcW w:w="2583" w:type="dxa"/>
          </w:tcPr>
          <w:p w:rsidR="00925140" w:rsidRPr="00096706" w:rsidRDefault="00925140" w:rsidP="007109CB">
            <w:pPr>
              <w:rPr>
                <w:bCs/>
                <w:sz w:val="18"/>
                <w:szCs w:val="18"/>
              </w:rPr>
            </w:pPr>
            <w:r w:rsidRPr="007109CB">
              <w:rPr>
                <w:bCs/>
                <w:sz w:val="18"/>
                <w:szCs w:val="18"/>
              </w:rPr>
              <w:t>HCFC Sector Plans Stage II</w:t>
            </w:r>
          </w:p>
        </w:tc>
        <w:tc>
          <w:tcPr>
            <w:tcW w:w="735" w:type="dxa"/>
          </w:tcPr>
          <w:p w:rsidR="00925140" w:rsidRDefault="00925140" w:rsidP="007109CB">
            <w:pPr>
              <w:jc w:val="right"/>
              <w:rPr>
                <w:bCs/>
                <w:sz w:val="18"/>
                <w:szCs w:val="18"/>
              </w:rPr>
            </w:pPr>
            <w:r>
              <w:rPr>
                <w:bCs/>
                <w:sz w:val="18"/>
                <w:szCs w:val="18"/>
              </w:rPr>
              <w:t>696.34</w:t>
            </w:r>
          </w:p>
        </w:tc>
        <w:tc>
          <w:tcPr>
            <w:tcW w:w="736" w:type="dxa"/>
          </w:tcPr>
          <w:p w:rsidR="00925140" w:rsidRDefault="00925140" w:rsidP="007109CB">
            <w:pPr>
              <w:jc w:val="right"/>
              <w:rPr>
                <w:bCs/>
                <w:sz w:val="18"/>
                <w:szCs w:val="18"/>
              </w:rPr>
            </w:pPr>
            <w:r>
              <w:rPr>
                <w:bCs/>
                <w:sz w:val="18"/>
                <w:szCs w:val="18"/>
              </w:rPr>
              <w:t>0.00</w:t>
            </w:r>
          </w:p>
        </w:tc>
        <w:tc>
          <w:tcPr>
            <w:tcW w:w="735" w:type="dxa"/>
          </w:tcPr>
          <w:p w:rsidR="00925140" w:rsidRDefault="00925140" w:rsidP="007109CB">
            <w:pPr>
              <w:jc w:val="right"/>
              <w:rPr>
                <w:bCs/>
                <w:sz w:val="18"/>
                <w:szCs w:val="18"/>
              </w:rPr>
            </w:pPr>
            <w:r>
              <w:rPr>
                <w:bCs/>
                <w:sz w:val="18"/>
                <w:szCs w:val="18"/>
              </w:rPr>
              <w:t>861.40</w:t>
            </w:r>
          </w:p>
        </w:tc>
        <w:tc>
          <w:tcPr>
            <w:tcW w:w="736" w:type="dxa"/>
          </w:tcPr>
          <w:p w:rsidR="00925140" w:rsidRDefault="00925140" w:rsidP="007109CB">
            <w:pPr>
              <w:jc w:val="right"/>
              <w:rPr>
                <w:bCs/>
                <w:sz w:val="18"/>
                <w:szCs w:val="18"/>
              </w:rPr>
            </w:pPr>
            <w:r>
              <w:rPr>
                <w:bCs/>
                <w:sz w:val="18"/>
                <w:szCs w:val="18"/>
              </w:rPr>
              <w:t>1,557.74</w:t>
            </w:r>
          </w:p>
        </w:tc>
      </w:tr>
      <w:tr w:rsidR="00925140" w:rsidTr="00760525">
        <w:trPr>
          <w:jc w:val="center"/>
        </w:trPr>
        <w:tc>
          <w:tcPr>
            <w:tcW w:w="2583" w:type="dxa"/>
          </w:tcPr>
          <w:p w:rsidR="00925140" w:rsidRPr="00096706" w:rsidRDefault="00925140" w:rsidP="007109CB">
            <w:pPr>
              <w:rPr>
                <w:bCs/>
                <w:sz w:val="18"/>
                <w:szCs w:val="18"/>
              </w:rPr>
            </w:pPr>
            <w:r w:rsidRPr="007109CB">
              <w:rPr>
                <w:bCs/>
                <w:sz w:val="18"/>
                <w:szCs w:val="18"/>
              </w:rPr>
              <w:t>Total</w:t>
            </w:r>
          </w:p>
        </w:tc>
        <w:tc>
          <w:tcPr>
            <w:tcW w:w="735" w:type="dxa"/>
          </w:tcPr>
          <w:p w:rsidR="00925140" w:rsidRPr="002F6A7F" w:rsidRDefault="00925140" w:rsidP="007109CB">
            <w:pPr>
              <w:jc w:val="right"/>
              <w:rPr>
                <w:bCs/>
                <w:sz w:val="18"/>
                <w:szCs w:val="18"/>
              </w:rPr>
            </w:pPr>
            <w:r>
              <w:rPr>
                <w:bCs/>
                <w:sz w:val="18"/>
                <w:szCs w:val="18"/>
              </w:rPr>
              <w:t>726.85</w:t>
            </w:r>
          </w:p>
        </w:tc>
        <w:tc>
          <w:tcPr>
            <w:tcW w:w="736" w:type="dxa"/>
          </w:tcPr>
          <w:p w:rsidR="00925140" w:rsidRPr="002F6A7F" w:rsidRDefault="00925140" w:rsidP="007109CB">
            <w:pPr>
              <w:jc w:val="right"/>
              <w:rPr>
                <w:bCs/>
                <w:sz w:val="18"/>
                <w:szCs w:val="18"/>
              </w:rPr>
            </w:pPr>
            <w:r>
              <w:rPr>
                <w:bCs/>
                <w:sz w:val="18"/>
                <w:szCs w:val="18"/>
              </w:rPr>
              <w:t>0.00</w:t>
            </w:r>
          </w:p>
        </w:tc>
        <w:tc>
          <w:tcPr>
            <w:tcW w:w="735" w:type="dxa"/>
          </w:tcPr>
          <w:p w:rsidR="00925140" w:rsidRPr="002F6A7F" w:rsidRDefault="00925140" w:rsidP="007109CB">
            <w:pPr>
              <w:jc w:val="right"/>
              <w:rPr>
                <w:bCs/>
                <w:sz w:val="18"/>
                <w:szCs w:val="18"/>
              </w:rPr>
            </w:pPr>
            <w:r>
              <w:rPr>
                <w:bCs/>
                <w:sz w:val="18"/>
                <w:szCs w:val="18"/>
              </w:rPr>
              <w:t>861.40</w:t>
            </w:r>
          </w:p>
        </w:tc>
        <w:tc>
          <w:tcPr>
            <w:tcW w:w="736" w:type="dxa"/>
          </w:tcPr>
          <w:p w:rsidR="00925140" w:rsidRPr="002F6A7F" w:rsidRDefault="00925140" w:rsidP="007109CB">
            <w:pPr>
              <w:jc w:val="right"/>
              <w:rPr>
                <w:bCs/>
                <w:sz w:val="18"/>
                <w:szCs w:val="18"/>
              </w:rPr>
            </w:pPr>
            <w:r>
              <w:rPr>
                <w:bCs/>
                <w:sz w:val="18"/>
                <w:szCs w:val="18"/>
              </w:rPr>
              <w:t>1,588.25</w:t>
            </w:r>
          </w:p>
        </w:tc>
      </w:tr>
    </w:tbl>
    <w:p w:rsidR="00925140" w:rsidRDefault="00925140" w:rsidP="006A028C">
      <w:pPr>
        <w:rPr>
          <w:bCs/>
          <w:lang w:eastAsia="zh-CN"/>
        </w:rPr>
      </w:pPr>
    </w:p>
    <w:p w:rsidR="00925140" w:rsidRDefault="00925140" w:rsidP="006A028C">
      <w:pPr>
        <w:rPr>
          <w:bCs/>
          <w:lang w:eastAsia="zh-CN"/>
        </w:rPr>
      </w:pPr>
      <w:r>
        <w:rPr>
          <w:b/>
          <w:lang w:eastAsia="zh-CN"/>
        </w:rPr>
        <w:t>Strategic approach to HCFC phase-out and HFC-related activities in the proposed 2018-2020 Business Plan</w:t>
      </w:r>
    </w:p>
    <w:p w:rsidR="00925140" w:rsidRDefault="00925140" w:rsidP="006A028C">
      <w:pPr>
        <w:rPr>
          <w:bCs/>
          <w:lang w:eastAsia="zh-CN"/>
        </w:rPr>
      </w:pPr>
    </w:p>
    <w:p w:rsidR="00925140" w:rsidRDefault="00925140" w:rsidP="00925140">
      <w:pPr>
        <w:pStyle w:val="ListParagraph"/>
        <w:numPr>
          <w:ilvl w:val="0"/>
          <w:numId w:val="24"/>
        </w:numPr>
        <w:spacing w:after="120" w:line="276" w:lineRule="auto"/>
        <w:ind w:left="0" w:firstLine="0"/>
        <w:rPr>
          <w:bCs/>
          <w:sz w:val="22"/>
          <w:szCs w:val="22"/>
        </w:rPr>
      </w:pPr>
      <w:r>
        <w:rPr>
          <w:bCs/>
          <w:sz w:val="22"/>
          <w:szCs w:val="22"/>
          <w:u w:val="single"/>
        </w:rPr>
        <w:t>Balancing supply and demand of HCFC Production and Consumption:</w:t>
      </w:r>
      <w:r w:rsidRPr="00B47886">
        <w:rPr>
          <w:bCs/>
          <w:sz w:val="22"/>
          <w:szCs w:val="22"/>
        </w:rPr>
        <w:t xml:space="preserve"> </w:t>
      </w:r>
      <w:r>
        <w:rPr>
          <w:bCs/>
          <w:sz w:val="22"/>
          <w:szCs w:val="22"/>
        </w:rPr>
        <w:t>China is the world’s largest producer, consumer of HCFCs for ODS use. Based on 2016 information, China consumed 62% of its production for ODS use and export the rest. The closure of 5 HCFC producers at the beginning of 2015 have tightened the supply of HCFCs to both the domestic and export markets. Additional reduction in HCFC production capacity required by China to meet the compliance target in 2020 will further complicate the supply and demand balance.</w:t>
      </w:r>
    </w:p>
    <w:p w:rsidR="00925140" w:rsidRDefault="00925140" w:rsidP="00925140">
      <w:pPr>
        <w:pStyle w:val="ListParagraph"/>
        <w:numPr>
          <w:ilvl w:val="0"/>
          <w:numId w:val="24"/>
        </w:numPr>
        <w:spacing w:after="120" w:line="276" w:lineRule="auto"/>
        <w:ind w:left="0" w:firstLine="0"/>
        <w:rPr>
          <w:bCs/>
          <w:sz w:val="22"/>
          <w:szCs w:val="22"/>
        </w:rPr>
      </w:pPr>
      <w:r>
        <w:rPr>
          <w:bCs/>
          <w:sz w:val="22"/>
          <w:szCs w:val="22"/>
        </w:rPr>
        <w:t xml:space="preserve">To assist China in meeting the production compliance targets in 2020, the World Bank had already submitted stage II of the HCFC production phase-out plan for the </w:t>
      </w:r>
      <w:proofErr w:type="spellStart"/>
      <w:r>
        <w:rPr>
          <w:bCs/>
          <w:sz w:val="22"/>
          <w:szCs w:val="22"/>
        </w:rPr>
        <w:t>ExCom’s</w:t>
      </w:r>
      <w:proofErr w:type="spellEnd"/>
      <w:r>
        <w:rPr>
          <w:bCs/>
          <w:sz w:val="22"/>
          <w:szCs w:val="22"/>
        </w:rPr>
        <w:t xml:space="preserve"> consideration in </w:t>
      </w:r>
      <w:r w:rsidRPr="00330E15">
        <w:rPr>
          <w:bCs/>
          <w:sz w:val="22"/>
          <w:szCs w:val="22"/>
        </w:rPr>
        <w:t>201</w:t>
      </w:r>
      <w:r>
        <w:rPr>
          <w:bCs/>
          <w:sz w:val="22"/>
          <w:szCs w:val="22"/>
        </w:rPr>
        <w:t>7 In preparing these plans, close consultations with other implementing agencies and with other Article 5 countries with high HCFC consumption had been carried out. It is critical that the production of HCFCs are reduced in order to synchronize with the expected demand in China and its exports market to avoid flooding the market with cheap HCFCs that could undermine the efforts to reduce consumptions of all Article 5 countries.</w:t>
      </w:r>
    </w:p>
    <w:p w:rsidR="00925140" w:rsidRDefault="00925140" w:rsidP="00925140">
      <w:pPr>
        <w:pStyle w:val="ListParagraph"/>
        <w:numPr>
          <w:ilvl w:val="0"/>
          <w:numId w:val="24"/>
        </w:numPr>
        <w:spacing w:after="120" w:line="276" w:lineRule="auto"/>
        <w:ind w:left="0" w:firstLine="0"/>
        <w:rPr>
          <w:bCs/>
          <w:sz w:val="22"/>
          <w:szCs w:val="22"/>
        </w:rPr>
      </w:pPr>
      <w:r w:rsidRPr="00F12D93">
        <w:rPr>
          <w:bCs/>
          <w:sz w:val="22"/>
          <w:szCs w:val="22"/>
          <w:u w:val="single"/>
        </w:rPr>
        <w:t>Support for the HFC activities related to the Kigali Amendment</w:t>
      </w:r>
      <w:r w:rsidRPr="00F12D93">
        <w:rPr>
          <w:bCs/>
          <w:sz w:val="22"/>
          <w:szCs w:val="22"/>
        </w:rPr>
        <w:t>: The adoption of the Kigali Amendment to phase-down HFCs presents a number of issues for countries to consider before ratifying the amendment. For countries manufacturing HCFC-22, the first obligation will start in 2020 requiring the destruction of HFC-23. The World Bank is planning to submit a project to demonstrate technical feasibility for HFC-23 by-product mitigation or conversion technologies by undertaking technical assessment as well as financial analyses of various HFC-23 conversion technologies in comparison to HFC-23 destruction and by-product mitigation. The assessment will include review and evaluation of technical feasibility of various HFC-23 conversion technologies, determination of the capital cost of investment and recurrent costs (i.e., operating costs) of each option, and price and market for converted chemicals. Comparison of these costs for various technologies will be made in order to identify the most cost-effective option for the Multilateral Fund.</w:t>
      </w:r>
      <w:r>
        <w:rPr>
          <w:bCs/>
          <w:sz w:val="22"/>
          <w:szCs w:val="22"/>
        </w:rPr>
        <w:t xml:space="preserve"> </w:t>
      </w:r>
    </w:p>
    <w:p w:rsidR="00925140" w:rsidRPr="00F12D93" w:rsidRDefault="00925140" w:rsidP="00925140">
      <w:pPr>
        <w:pStyle w:val="ListParagraph"/>
        <w:numPr>
          <w:ilvl w:val="0"/>
          <w:numId w:val="24"/>
        </w:numPr>
        <w:spacing w:after="120" w:line="276" w:lineRule="auto"/>
        <w:ind w:left="0" w:firstLine="0"/>
        <w:rPr>
          <w:bCs/>
          <w:sz w:val="22"/>
          <w:szCs w:val="22"/>
        </w:rPr>
      </w:pPr>
      <w:r w:rsidRPr="00F12D93">
        <w:rPr>
          <w:bCs/>
          <w:sz w:val="22"/>
          <w:szCs w:val="22"/>
        </w:rPr>
        <w:t xml:space="preserve">For countries with large manufacturing base, they face the dilemma of choosing low or lower-GWP alternatives with tradeoffs between safety, toxicity, cost and climate impact. In the proposed HFC enabling activities for </w:t>
      </w:r>
      <w:r>
        <w:rPr>
          <w:bCs/>
          <w:sz w:val="22"/>
          <w:szCs w:val="22"/>
        </w:rPr>
        <w:t xml:space="preserve">these </w:t>
      </w:r>
      <w:r w:rsidRPr="00F12D93">
        <w:rPr>
          <w:bCs/>
          <w:sz w:val="22"/>
          <w:szCs w:val="22"/>
        </w:rPr>
        <w:t xml:space="preserve">countries, the Bank plans to analyze all alternative technologies that are currently commercially available as well as emerging technologies and expected timeframe for these technologies </w:t>
      </w:r>
      <w:r>
        <w:rPr>
          <w:bCs/>
          <w:sz w:val="22"/>
          <w:szCs w:val="22"/>
        </w:rPr>
        <w:t xml:space="preserve">to </w:t>
      </w:r>
      <w:r w:rsidRPr="00F12D93">
        <w:rPr>
          <w:bCs/>
          <w:sz w:val="22"/>
          <w:szCs w:val="22"/>
        </w:rPr>
        <w:t xml:space="preserve">become commercially available. </w:t>
      </w:r>
      <w:r>
        <w:rPr>
          <w:bCs/>
          <w:sz w:val="22"/>
          <w:szCs w:val="22"/>
        </w:rPr>
        <w:t xml:space="preserve">As part of the country strategy, </w:t>
      </w:r>
      <w:r w:rsidRPr="00F12D93">
        <w:rPr>
          <w:bCs/>
          <w:sz w:val="22"/>
          <w:szCs w:val="22"/>
        </w:rPr>
        <w:t>comprehensive analyses for technology pathway for complying with the Amendment</w:t>
      </w:r>
      <w:r>
        <w:rPr>
          <w:bCs/>
          <w:sz w:val="22"/>
          <w:szCs w:val="22"/>
        </w:rPr>
        <w:t xml:space="preserve"> will be undertaken.</w:t>
      </w:r>
    </w:p>
    <w:p w:rsidR="00925140" w:rsidRPr="00B53E91" w:rsidRDefault="00925140" w:rsidP="00925140">
      <w:pPr>
        <w:pStyle w:val="ListParagraph"/>
        <w:numPr>
          <w:ilvl w:val="0"/>
          <w:numId w:val="24"/>
        </w:numPr>
        <w:spacing w:after="120" w:line="276" w:lineRule="auto"/>
        <w:ind w:left="0" w:firstLine="0"/>
        <w:rPr>
          <w:bCs/>
          <w:sz w:val="22"/>
          <w:szCs w:val="22"/>
        </w:rPr>
      </w:pPr>
      <w:r w:rsidRPr="00B53E91">
        <w:rPr>
          <w:bCs/>
          <w:sz w:val="22"/>
          <w:szCs w:val="22"/>
          <w:u w:val="single"/>
        </w:rPr>
        <w:t>Sustainable approach for servicing sector.</w:t>
      </w:r>
      <w:r w:rsidRPr="00B53E91">
        <w:rPr>
          <w:bCs/>
          <w:sz w:val="22"/>
          <w:szCs w:val="22"/>
        </w:rPr>
        <w:t xml:space="preserve"> In reviewing potential alternatives to replace HCFC and HFC refrigerants being developed, many candidates are classified as A2L - mildly flammable refrigerants or A3 – flammable refrigerants. Safety concern is a significant barrier to overcome before the market could widely adopt A2L refrigerants. For many Article 5 countries, RAC servicing sector is considered informal and most service technicians do not have formal technical training and learn their skills on the job. Attempts to improve technical capacity of service technicians for the refrigeration sector have been done previously during the phase-out of CFCs.  However, due to easy entry into this trade and high turnover rate of service technicians, most technicians trained during the CFC phase-out period have already moved on to other professions.  Given that training is not a mandatory requirement in most countries, very few service technicians active in the market today have undergone any training. </w:t>
      </w:r>
    </w:p>
    <w:p w:rsidR="00925140" w:rsidRPr="00AA73A0" w:rsidRDefault="00925140" w:rsidP="00925140">
      <w:pPr>
        <w:pStyle w:val="ListParagraph"/>
        <w:numPr>
          <w:ilvl w:val="0"/>
          <w:numId w:val="24"/>
        </w:numPr>
        <w:spacing w:after="120" w:line="276" w:lineRule="auto"/>
        <w:ind w:left="0" w:firstLine="0"/>
        <w:rPr>
          <w:bCs/>
          <w:sz w:val="22"/>
          <w:szCs w:val="22"/>
        </w:rPr>
      </w:pPr>
      <w:r w:rsidRPr="00BA4CFA">
        <w:rPr>
          <w:bCs/>
          <w:sz w:val="22"/>
          <w:szCs w:val="22"/>
        </w:rPr>
        <w:t xml:space="preserve">The World Bank proposes a number of activities for </w:t>
      </w:r>
      <w:r>
        <w:rPr>
          <w:bCs/>
          <w:sz w:val="22"/>
          <w:szCs w:val="22"/>
        </w:rPr>
        <w:t xml:space="preserve">Thailand’s </w:t>
      </w:r>
      <w:r w:rsidRPr="00BA4CFA">
        <w:rPr>
          <w:bCs/>
          <w:sz w:val="22"/>
          <w:szCs w:val="22"/>
        </w:rPr>
        <w:t xml:space="preserve">Stage II HCFC Phase-out Management Plans in the </w:t>
      </w:r>
      <w:r>
        <w:rPr>
          <w:bCs/>
          <w:sz w:val="22"/>
          <w:szCs w:val="22"/>
        </w:rPr>
        <w:t>2018-2020</w:t>
      </w:r>
      <w:r w:rsidRPr="00BA4CFA">
        <w:rPr>
          <w:bCs/>
          <w:sz w:val="22"/>
          <w:szCs w:val="22"/>
        </w:rPr>
        <w:t xml:space="preserve"> World Bank Business Plan.  </w:t>
      </w:r>
      <w:r>
        <w:rPr>
          <w:bCs/>
          <w:sz w:val="22"/>
          <w:szCs w:val="22"/>
        </w:rPr>
        <w:t>T</w:t>
      </w:r>
      <w:r w:rsidRPr="00BA4CFA">
        <w:rPr>
          <w:bCs/>
          <w:sz w:val="22"/>
          <w:szCs w:val="22"/>
        </w:rPr>
        <w:t xml:space="preserve">he sectors to be targeted by </w:t>
      </w:r>
      <w:r>
        <w:rPr>
          <w:bCs/>
          <w:sz w:val="22"/>
          <w:szCs w:val="22"/>
        </w:rPr>
        <w:t xml:space="preserve">Thailand’s </w:t>
      </w:r>
      <w:r w:rsidRPr="00BA4CFA">
        <w:rPr>
          <w:bCs/>
          <w:sz w:val="22"/>
          <w:szCs w:val="22"/>
        </w:rPr>
        <w:t xml:space="preserve">Stage II </w:t>
      </w:r>
      <w:r>
        <w:rPr>
          <w:bCs/>
          <w:sz w:val="22"/>
          <w:szCs w:val="22"/>
        </w:rPr>
        <w:t xml:space="preserve">HPMP </w:t>
      </w:r>
      <w:r w:rsidRPr="00BA4CFA">
        <w:rPr>
          <w:bCs/>
          <w:sz w:val="22"/>
          <w:szCs w:val="22"/>
        </w:rPr>
        <w:t xml:space="preserve">will include conversion of </w:t>
      </w:r>
      <w:r>
        <w:rPr>
          <w:bCs/>
          <w:sz w:val="22"/>
          <w:szCs w:val="22"/>
        </w:rPr>
        <w:t xml:space="preserve">commercial </w:t>
      </w:r>
      <w:r w:rsidRPr="00BA4CFA">
        <w:rPr>
          <w:bCs/>
          <w:sz w:val="22"/>
          <w:szCs w:val="22"/>
        </w:rPr>
        <w:t>refrigeration manufactures and HCFC phase-out in the servicing sector.  The Bank will consider activities to set up service technician certification system</w:t>
      </w:r>
      <w:r>
        <w:rPr>
          <w:bCs/>
          <w:sz w:val="22"/>
          <w:szCs w:val="22"/>
        </w:rPr>
        <w:t>, in consultation with relevant stakeholders,</w:t>
      </w:r>
      <w:r w:rsidRPr="00BA4CFA">
        <w:rPr>
          <w:bCs/>
          <w:sz w:val="22"/>
          <w:szCs w:val="22"/>
        </w:rPr>
        <w:t xml:space="preserve"> </w:t>
      </w:r>
      <w:r>
        <w:rPr>
          <w:bCs/>
          <w:sz w:val="22"/>
          <w:szCs w:val="22"/>
        </w:rPr>
        <w:t>that can be self-sufficient</w:t>
      </w:r>
      <w:r w:rsidRPr="00BA4CFA">
        <w:rPr>
          <w:bCs/>
          <w:sz w:val="22"/>
          <w:szCs w:val="22"/>
        </w:rPr>
        <w:t>.</w:t>
      </w:r>
      <w:r>
        <w:rPr>
          <w:bCs/>
          <w:sz w:val="22"/>
          <w:szCs w:val="22"/>
        </w:rPr>
        <w:t xml:space="preserve"> </w:t>
      </w:r>
      <w:r w:rsidRPr="00BA4CFA">
        <w:rPr>
          <w:bCs/>
          <w:sz w:val="22"/>
          <w:szCs w:val="22"/>
        </w:rPr>
        <w:t xml:space="preserve">Service technician certification system will ensure that RAC service technicians can safely perform their service and equipment will be properly installed which minimize the risk of accident during operations. This would help promote the adoption of </w:t>
      </w:r>
      <w:r>
        <w:rPr>
          <w:bCs/>
          <w:sz w:val="22"/>
          <w:szCs w:val="22"/>
        </w:rPr>
        <w:t xml:space="preserve">flammable </w:t>
      </w:r>
      <w:r w:rsidRPr="00BA4CFA">
        <w:rPr>
          <w:bCs/>
          <w:sz w:val="22"/>
          <w:szCs w:val="22"/>
        </w:rPr>
        <w:t>low-GWP alternatives</w:t>
      </w:r>
      <w:r>
        <w:rPr>
          <w:bCs/>
          <w:sz w:val="22"/>
          <w:szCs w:val="22"/>
        </w:rPr>
        <w:t xml:space="preserve"> as allowed under Thailand regulations</w:t>
      </w:r>
      <w:r w:rsidRPr="00BA4CFA">
        <w:rPr>
          <w:bCs/>
          <w:sz w:val="22"/>
          <w:szCs w:val="22"/>
        </w:rPr>
        <w:t xml:space="preserve">.  </w:t>
      </w:r>
    </w:p>
    <w:p w:rsidR="00925140" w:rsidRPr="00925140" w:rsidRDefault="00925140" w:rsidP="00925140">
      <w:pPr>
        <w:pStyle w:val="Heading2"/>
        <w:keepNext/>
        <w:keepLines/>
        <w:widowControl/>
        <w:numPr>
          <w:ilvl w:val="1"/>
          <w:numId w:val="23"/>
        </w:numPr>
        <w:spacing w:before="200" w:after="0"/>
        <w:ind w:left="0"/>
        <w:jc w:val="left"/>
        <w:rPr>
          <w:b/>
          <w:bCs/>
          <w:szCs w:val="24"/>
        </w:rPr>
      </w:pPr>
      <w:bookmarkStart w:id="3" w:name="_Toc395519916"/>
      <w:r w:rsidRPr="00925140">
        <w:rPr>
          <w:b/>
          <w:szCs w:val="24"/>
        </w:rPr>
        <w:t>Resource Allocation in 201</w:t>
      </w:r>
      <w:bookmarkEnd w:id="3"/>
      <w:r w:rsidRPr="00925140">
        <w:rPr>
          <w:b/>
          <w:szCs w:val="24"/>
        </w:rPr>
        <w:t>8</w:t>
      </w:r>
    </w:p>
    <w:p w:rsidR="00925140" w:rsidRDefault="00925140" w:rsidP="00547512">
      <w:pPr>
        <w:pStyle w:val="ListParagraph"/>
        <w:rPr>
          <w:sz w:val="22"/>
          <w:szCs w:val="22"/>
        </w:rPr>
      </w:pPr>
    </w:p>
    <w:p w:rsidR="00925140" w:rsidRPr="00716F22" w:rsidRDefault="00925140" w:rsidP="00925140">
      <w:pPr>
        <w:pStyle w:val="ListParagraph"/>
        <w:numPr>
          <w:ilvl w:val="0"/>
          <w:numId w:val="24"/>
        </w:numPr>
        <w:spacing w:after="120" w:line="276" w:lineRule="auto"/>
        <w:ind w:left="0" w:firstLine="0"/>
        <w:rPr>
          <w:sz w:val="22"/>
          <w:szCs w:val="22"/>
        </w:rPr>
      </w:pPr>
      <w:r w:rsidRPr="00CA223D">
        <w:rPr>
          <w:sz w:val="22"/>
          <w:szCs w:val="22"/>
        </w:rPr>
        <w:t>The proposed 201</w:t>
      </w:r>
      <w:r>
        <w:rPr>
          <w:sz w:val="22"/>
          <w:szCs w:val="22"/>
          <w:lang w:eastAsia="zh-CN"/>
        </w:rPr>
        <w:t>8</w:t>
      </w:r>
      <w:r>
        <w:rPr>
          <w:sz w:val="22"/>
          <w:szCs w:val="22"/>
        </w:rPr>
        <w:t xml:space="preserve"> </w:t>
      </w:r>
      <w:r w:rsidRPr="00CA223D">
        <w:rPr>
          <w:sz w:val="22"/>
          <w:szCs w:val="22"/>
        </w:rPr>
        <w:t xml:space="preserve">Business Plan includes deliverables </w:t>
      </w:r>
      <w:r w:rsidRPr="00D76146">
        <w:rPr>
          <w:sz w:val="22"/>
          <w:szCs w:val="22"/>
        </w:rPr>
        <w:t xml:space="preserve">of </w:t>
      </w:r>
      <w:r>
        <w:rPr>
          <w:sz w:val="22"/>
          <w:szCs w:val="22"/>
          <w:lang w:eastAsia="zh-CN"/>
        </w:rPr>
        <w:t xml:space="preserve">twelve </w:t>
      </w:r>
      <w:r w:rsidRPr="00D76146">
        <w:rPr>
          <w:sz w:val="22"/>
          <w:szCs w:val="22"/>
        </w:rPr>
        <w:t xml:space="preserve">investment </w:t>
      </w:r>
      <w:r w:rsidRPr="00980E45">
        <w:rPr>
          <w:sz w:val="22"/>
          <w:szCs w:val="22"/>
        </w:rPr>
        <w:t xml:space="preserve">activities in the </w:t>
      </w:r>
      <w:r w:rsidRPr="00D76146">
        <w:rPr>
          <w:sz w:val="22"/>
          <w:szCs w:val="22"/>
        </w:rPr>
        <w:t xml:space="preserve">following </w:t>
      </w:r>
      <w:r>
        <w:rPr>
          <w:sz w:val="22"/>
          <w:szCs w:val="22"/>
          <w:lang w:eastAsia="zh-CN"/>
        </w:rPr>
        <w:t xml:space="preserve">six </w:t>
      </w:r>
      <w:r w:rsidRPr="00980E45">
        <w:rPr>
          <w:sz w:val="22"/>
          <w:szCs w:val="22"/>
        </w:rPr>
        <w:t>countries:</w:t>
      </w:r>
      <w:r>
        <w:rPr>
          <w:sz w:val="22"/>
          <w:szCs w:val="22"/>
        </w:rPr>
        <w:t xml:space="preserve"> China,</w:t>
      </w:r>
      <w:r w:rsidRPr="00980E45">
        <w:rPr>
          <w:sz w:val="22"/>
          <w:szCs w:val="22"/>
        </w:rPr>
        <w:t xml:space="preserve"> </w:t>
      </w:r>
      <w:r>
        <w:rPr>
          <w:sz w:val="22"/>
          <w:szCs w:val="22"/>
        </w:rPr>
        <w:t xml:space="preserve">Indonesia, Jordan, </w:t>
      </w:r>
      <w:r>
        <w:rPr>
          <w:rFonts w:hint="eastAsia"/>
          <w:sz w:val="22"/>
          <w:szCs w:val="22"/>
          <w:lang w:eastAsia="zh-CN"/>
        </w:rPr>
        <w:t xml:space="preserve">Thailand </w:t>
      </w:r>
      <w:r w:rsidRPr="00980E45">
        <w:rPr>
          <w:sz w:val="22"/>
          <w:szCs w:val="22"/>
        </w:rPr>
        <w:t>and Vietnam</w:t>
      </w:r>
      <w:r>
        <w:rPr>
          <w:sz w:val="22"/>
          <w:szCs w:val="22"/>
        </w:rPr>
        <w:t>. The total amount of fund</w:t>
      </w:r>
      <w:r>
        <w:rPr>
          <w:rFonts w:hint="eastAsia"/>
          <w:sz w:val="22"/>
          <w:szCs w:val="22"/>
          <w:lang w:eastAsia="zh-CN"/>
        </w:rPr>
        <w:t>ing</w:t>
      </w:r>
      <w:r w:rsidRPr="00980E45">
        <w:rPr>
          <w:sz w:val="22"/>
          <w:szCs w:val="22"/>
        </w:rPr>
        <w:t xml:space="preserve"> requested for ongoing and new </w:t>
      </w:r>
      <w:r w:rsidRPr="00D76146">
        <w:rPr>
          <w:sz w:val="22"/>
          <w:szCs w:val="22"/>
        </w:rPr>
        <w:t>investment</w:t>
      </w:r>
      <w:r w:rsidRPr="00980E45">
        <w:rPr>
          <w:sz w:val="22"/>
          <w:szCs w:val="22"/>
        </w:rPr>
        <w:t xml:space="preserve"> activities in the proposed 201</w:t>
      </w:r>
      <w:r>
        <w:rPr>
          <w:sz w:val="22"/>
          <w:szCs w:val="22"/>
        </w:rPr>
        <w:t>8 Business Plan is US$</w:t>
      </w:r>
      <w:r>
        <w:rPr>
          <w:sz w:val="22"/>
          <w:szCs w:val="22"/>
          <w:lang w:eastAsia="zh-CN"/>
        </w:rPr>
        <w:t>89</w:t>
      </w:r>
      <w:r w:rsidRPr="00D76146">
        <w:rPr>
          <w:sz w:val="22"/>
          <w:szCs w:val="22"/>
          <w:lang w:eastAsia="zh-CN"/>
        </w:rPr>
        <w:t>.</w:t>
      </w:r>
      <w:r>
        <w:rPr>
          <w:sz w:val="22"/>
          <w:szCs w:val="22"/>
          <w:lang w:eastAsia="zh-CN"/>
        </w:rPr>
        <w:t>1</w:t>
      </w:r>
      <w:r w:rsidRPr="00D76146">
        <w:rPr>
          <w:sz w:val="22"/>
          <w:szCs w:val="22"/>
          <w:lang w:eastAsia="zh-CN"/>
        </w:rPr>
        <w:t xml:space="preserve"> </w:t>
      </w:r>
      <w:r w:rsidRPr="00D76146">
        <w:rPr>
          <w:sz w:val="22"/>
          <w:szCs w:val="22"/>
        </w:rPr>
        <w:t>million.</w:t>
      </w:r>
    </w:p>
    <w:p w:rsidR="00925140" w:rsidRDefault="00925140" w:rsidP="00925140">
      <w:pPr>
        <w:pStyle w:val="ListParagraph"/>
        <w:numPr>
          <w:ilvl w:val="0"/>
          <w:numId w:val="24"/>
        </w:numPr>
        <w:spacing w:after="120" w:line="276" w:lineRule="auto"/>
        <w:ind w:left="0" w:firstLine="0"/>
        <w:rPr>
          <w:sz w:val="22"/>
          <w:szCs w:val="22"/>
        </w:rPr>
      </w:pPr>
      <w:r w:rsidRPr="00CA223D">
        <w:rPr>
          <w:sz w:val="22"/>
          <w:szCs w:val="22"/>
        </w:rPr>
        <w:t xml:space="preserve">The funding distribution for </w:t>
      </w:r>
      <w:r w:rsidRPr="00980E45">
        <w:rPr>
          <w:sz w:val="22"/>
          <w:szCs w:val="22"/>
        </w:rPr>
        <w:t xml:space="preserve">ongoing and </w:t>
      </w:r>
      <w:r w:rsidRPr="00D76146">
        <w:rPr>
          <w:sz w:val="22"/>
          <w:szCs w:val="22"/>
        </w:rPr>
        <w:t xml:space="preserve">new investment </w:t>
      </w:r>
      <w:r w:rsidRPr="00980E45">
        <w:rPr>
          <w:sz w:val="22"/>
          <w:szCs w:val="22"/>
        </w:rPr>
        <w:t>activities</w:t>
      </w:r>
      <w:r w:rsidRPr="00CA223D">
        <w:rPr>
          <w:sz w:val="22"/>
          <w:szCs w:val="22"/>
        </w:rPr>
        <w:t xml:space="preserve"> included in the proposed 201</w:t>
      </w:r>
      <w:r>
        <w:rPr>
          <w:sz w:val="22"/>
          <w:szCs w:val="22"/>
          <w:lang w:eastAsia="zh-CN"/>
        </w:rPr>
        <w:t>7</w:t>
      </w:r>
      <w:r w:rsidRPr="00CA223D">
        <w:rPr>
          <w:sz w:val="22"/>
          <w:szCs w:val="22"/>
        </w:rPr>
        <w:t xml:space="preserve"> Business Plan is summarized below.</w:t>
      </w:r>
    </w:p>
    <w:p w:rsidR="00925140" w:rsidRPr="00547512" w:rsidRDefault="00925140" w:rsidP="00836CE7">
      <w:pPr>
        <w:pStyle w:val="ListParagraph"/>
        <w:rPr>
          <w:sz w:val="22"/>
          <w:szCs w:val="22"/>
        </w:rPr>
      </w:pPr>
    </w:p>
    <w:p w:rsidR="00925140" w:rsidRPr="00FB6224" w:rsidRDefault="00925140" w:rsidP="00836CE7">
      <w:pPr>
        <w:jc w:val="center"/>
        <w:rPr>
          <w:sz w:val="18"/>
          <w:szCs w:val="18"/>
        </w:rPr>
      </w:pPr>
      <w:r w:rsidRPr="00FB6224">
        <w:rPr>
          <w:sz w:val="18"/>
          <w:szCs w:val="18"/>
        </w:rPr>
        <w:t>Table I-3: Summary of funding distribution for investment activities in the proposed</w:t>
      </w:r>
    </w:p>
    <w:p w:rsidR="00925140" w:rsidRDefault="00925140" w:rsidP="00836CE7">
      <w:pPr>
        <w:jc w:val="center"/>
        <w:rPr>
          <w:sz w:val="18"/>
          <w:szCs w:val="18"/>
          <w:lang w:eastAsia="zh-CN"/>
        </w:rPr>
      </w:pPr>
      <w:r>
        <w:rPr>
          <w:sz w:val="18"/>
          <w:szCs w:val="18"/>
        </w:rPr>
        <w:t>2017 World Bank</w:t>
      </w:r>
      <w:r w:rsidRPr="00FB6224">
        <w:rPr>
          <w:sz w:val="18"/>
          <w:szCs w:val="18"/>
        </w:rPr>
        <w:t xml:space="preserve"> Business Plan</w:t>
      </w:r>
    </w:p>
    <w:p w:rsidR="00925140" w:rsidRPr="00CA223D" w:rsidRDefault="00925140" w:rsidP="00836CE7">
      <w:pPr>
        <w:jc w:val="center"/>
      </w:pPr>
    </w:p>
    <w:tbl>
      <w:tblPr>
        <w:tblStyle w:val="TableGrid"/>
        <w:tblW w:w="0" w:type="auto"/>
        <w:jc w:val="center"/>
        <w:tblLook w:val="04A0" w:firstRow="1" w:lastRow="0" w:firstColumn="1" w:lastColumn="0" w:noHBand="0" w:noVBand="1"/>
      </w:tblPr>
      <w:tblGrid>
        <w:gridCol w:w="4061"/>
        <w:gridCol w:w="1837"/>
        <w:gridCol w:w="956"/>
        <w:gridCol w:w="1584"/>
        <w:gridCol w:w="912"/>
      </w:tblGrid>
      <w:tr w:rsidR="00925140" w:rsidTr="003926AD">
        <w:trPr>
          <w:jc w:val="center"/>
        </w:trPr>
        <w:tc>
          <w:tcPr>
            <w:tcW w:w="4061" w:type="dxa"/>
          </w:tcPr>
          <w:p w:rsidR="00925140" w:rsidRPr="00222289" w:rsidRDefault="00925140" w:rsidP="0021582A">
            <w:pPr>
              <w:jc w:val="center"/>
              <w:rPr>
                <w:b/>
                <w:sz w:val="18"/>
                <w:szCs w:val="18"/>
              </w:rPr>
            </w:pPr>
          </w:p>
        </w:tc>
        <w:tc>
          <w:tcPr>
            <w:tcW w:w="1837" w:type="dxa"/>
          </w:tcPr>
          <w:p w:rsidR="00925140" w:rsidRPr="00222289" w:rsidRDefault="00925140" w:rsidP="00B47886">
            <w:pPr>
              <w:jc w:val="center"/>
              <w:rPr>
                <w:b/>
                <w:sz w:val="18"/>
                <w:szCs w:val="18"/>
              </w:rPr>
            </w:pPr>
            <w:r w:rsidRPr="00222289">
              <w:rPr>
                <w:b/>
                <w:sz w:val="18"/>
                <w:szCs w:val="18"/>
              </w:rPr>
              <w:t>Total amount of funds requested in 201</w:t>
            </w:r>
            <w:r>
              <w:rPr>
                <w:b/>
                <w:sz w:val="18"/>
                <w:szCs w:val="18"/>
              </w:rPr>
              <w:t>8</w:t>
            </w:r>
            <w:r w:rsidRPr="00222289">
              <w:rPr>
                <w:b/>
                <w:sz w:val="18"/>
                <w:szCs w:val="18"/>
              </w:rPr>
              <w:t xml:space="preserve"> (US$ 000s)</w:t>
            </w:r>
            <w:r>
              <w:rPr>
                <w:b/>
                <w:sz w:val="18"/>
                <w:szCs w:val="18"/>
              </w:rPr>
              <w:t>*</w:t>
            </w:r>
          </w:p>
        </w:tc>
        <w:tc>
          <w:tcPr>
            <w:tcW w:w="956" w:type="dxa"/>
          </w:tcPr>
          <w:p w:rsidR="00925140" w:rsidRPr="00222289" w:rsidRDefault="00925140" w:rsidP="0021582A">
            <w:pPr>
              <w:jc w:val="center"/>
              <w:rPr>
                <w:b/>
                <w:sz w:val="18"/>
                <w:szCs w:val="18"/>
              </w:rPr>
            </w:pPr>
            <w:r w:rsidRPr="00222289">
              <w:rPr>
                <w:b/>
                <w:sz w:val="18"/>
                <w:szCs w:val="18"/>
              </w:rPr>
              <w:t>Percent of total</w:t>
            </w:r>
          </w:p>
        </w:tc>
        <w:tc>
          <w:tcPr>
            <w:tcW w:w="1584" w:type="dxa"/>
          </w:tcPr>
          <w:p w:rsidR="00925140" w:rsidRPr="00222289" w:rsidRDefault="00925140" w:rsidP="00362CA5">
            <w:pPr>
              <w:jc w:val="center"/>
              <w:rPr>
                <w:b/>
                <w:sz w:val="18"/>
                <w:szCs w:val="18"/>
              </w:rPr>
            </w:pPr>
            <w:r w:rsidRPr="00222289">
              <w:rPr>
                <w:b/>
                <w:sz w:val="18"/>
                <w:szCs w:val="18"/>
              </w:rPr>
              <w:t>Estimated impact in 201</w:t>
            </w:r>
            <w:r>
              <w:rPr>
                <w:b/>
                <w:sz w:val="18"/>
                <w:szCs w:val="18"/>
              </w:rPr>
              <w:t>8</w:t>
            </w:r>
            <w:r w:rsidRPr="00222289">
              <w:rPr>
                <w:b/>
                <w:sz w:val="18"/>
                <w:szCs w:val="18"/>
              </w:rPr>
              <w:t xml:space="preserve"> (ODP </w:t>
            </w:r>
            <w:proofErr w:type="spellStart"/>
            <w:r w:rsidRPr="00222289">
              <w:rPr>
                <w:b/>
                <w:sz w:val="18"/>
                <w:szCs w:val="18"/>
              </w:rPr>
              <w:t>tonnes</w:t>
            </w:r>
            <w:proofErr w:type="spellEnd"/>
            <w:r w:rsidRPr="00222289">
              <w:rPr>
                <w:b/>
                <w:sz w:val="18"/>
                <w:szCs w:val="18"/>
              </w:rPr>
              <w:t>)</w:t>
            </w:r>
          </w:p>
        </w:tc>
        <w:tc>
          <w:tcPr>
            <w:tcW w:w="912" w:type="dxa"/>
          </w:tcPr>
          <w:p w:rsidR="00925140" w:rsidRPr="00222289" w:rsidRDefault="00925140" w:rsidP="0021582A">
            <w:pPr>
              <w:jc w:val="center"/>
              <w:rPr>
                <w:b/>
                <w:sz w:val="18"/>
                <w:szCs w:val="18"/>
              </w:rPr>
            </w:pPr>
            <w:r w:rsidRPr="00222289">
              <w:rPr>
                <w:b/>
                <w:sz w:val="18"/>
                <w:szCs w:val="18"/>
              </w:rPr>
              <w:t>Percent of total</w:t>
            </w:r>
          </w:p>
        </w:tc>
      </w:tr>
      <w:tr w:rsidR="00925140" w:rsidTr="003926AD">
        <w:trPr>
          <w:jc w:val="center"/>
        </w:trPr>
        <w:tc>
          <w:tcPr>
            <w:tcW w:w="4061" w:type="dxa"/>
          </w:tcPr>
          <w:p w:rsidR="00925140" w:rsidRPr="00222289" w:rsidRDefault="00925140" w:rsidP="009E6B69">
            <w:pPr>
              <w:rPr>
                <w:sz w:val="18"/>
                <w:szCs w:val="18"/>
                <w:lang w:eastAsia="zh-CN"/>
              </w:rPr>
            </w:pPr>
            <w:r w:rsidRPr="00222289">
              <w:rPr>
                <w:bCs/>
                <w:sz w:val="18"/>
                <w:szCs w:val="18"/>
              </w:rPr>
              <w:t>HCFC Sector Plans</w:t>
            </w:r>
            <w:r w:rsidRPr="00222289">
              <w:rPr>
                <w:rFonts w:hint="eastAsia"/>
                <w:bCs/>
                <w:sz w:val="18"/>
                <w:szCs w:val="18"/>
                <w:lang w:eastAsia="zh-CN"/>
              </w:rPr>
              <w:t xml:space="preserve"> Stage I</w:t>
            </w:r>
          </w:p>
        </w:tc>
        <w:tc>
          <w:tcPr>
            <w:tcW w:w="1837" w:type="dxa"/>
          </w:tcPr>
          <w:p w:rsidR="00925140" w:rsidRPr="00362CA5" w:rsidRDefault="00925140" w:rsidP="009E6B69">
            <w:pPr>
              <w:jc w:val="right"/>
              <w:rPr>
                <w:bCs/>
                <w:sz w:val="18"/>
                <w:szCs w:val="18"/>
                <w:lang w:eastAsia="zh-CN"/>
              </w:rPr>
            </w:pPr>
            <w:r w:rsidRPr="00B53E91">
              <w:rPr>
                <w:bCs/>
                <w:sz w:val="18"/>
                <w:szCs w:val="18"/>
                <w:lang w:eastAsia="zh-CN"/>
              </w:rPr>
              <w:t>3,383.57</w:t>
            </w:r>
          </w:p>
        </w:tc>
        <w:tc>
          <w:tcPr>
            <w:tcW w:w="956" w:type="dxa"/>
          </w:tcPr>
          <w:p w:rsidR="00925140" w:rsidRPr="00362CA5" w:rsidRDefault="00925140" w:rsidP="009E6B69">
            <w:pPr>
              <w:jc w:val="right"/>
              <w:rPr>
                <w:bCs/>
                <w:sz w:val="18"/>
                <w:szCs w:val="18"/>
                <w:lang w:eastAsia="zh-CN"/>
              </w:rPr>
            </w:pPr>
            <w:r w:rsidRPr="009E6B69">
              <w:rPr>
                <w:bCs/>
                <w:sz w:val="18"/>
                <w:szCs w:val="18"/>
                <w:lang w:eastAsia="zh-CN"/>
              </w:rPr>
              <w:t>3.5%</w:t>
            </w:r>
          </w:p>
        </w:tc>
        <w:tc>
          <w:tcPr>
            <w:tcW w:w="1584" w:type="dxa"/>
          </w:tcPr>
          <w:p w:rsidR="00925140" w:rsidRPr="00362CA5" w:rsidRDefault="00925140" w:rsidP="009E6B69">
            <w:pPr>
              <w:jc w:val="right"/>
              <w:rPr>
                <w:bCs/>
                <w:sz w:val="18"/>
                <w:szCs w:val="18"/>
                <w:lang w:eastAsia="zh-CN"/>
              </w:rPr>
            </w:pPr>
            <w:r w:rsidRPr="003926AD">
              <w:rPr>
                <w:bCs/>
                <w:sz w:val="18"/>
                <w:szCs w:val="18"/>
                <w:lang w:eastAsia="zh-CN"/>
              </w:rPr>
              <w:t>30.51</w:t>
            </w:r>
          </w:p>
        </w:tc>
        <w:tc>
          <w:tcPr>
            <w:tcW w:w="912" w:type="dxa"/>
          </w:tcPr>
          <w:p w:rsidR="00925140" w:rsidRPr="00362CA5" w:rsidRDefault="00925140" w:rsidP="009E6B69">
            <w:pPr>
              <w:jc w:val="right"/>
              <w:rPr>
                <w:bCs/>
                <w:sz w:val="18"/>
                <w:szCs w:val="18"/>
                <w:lang w:eastAsia="zh-CN"/>
              </w:rPr>
            </w:pPr>
            <w:r w:rsidRPr="003926AD">
              <w:rPr>
                <w:bCs/>
                <w:sz w:val="18"/>
                <w:szCs w:val="18"/>
                <w:lang w:eastAsia="zh-CN"/>
              </w:rPr>
              <w:t>1.5%</w:t>
            </w:r>
          </w:p>
        </w:tc>
      </w:tr>
      <w:tr w:rsidR="00925140" w:rsidTr="003926AD">
        <w:trPr>
          <w:jc w:val="center"/>
        </w:trPr>
        <w:tc>
          <w:tcPr>
            <w:tcW w:w="4061" w:type="dxa"/>
          </w:tcPr>
          <w:p w:rsidR="00925140" w:rsidRPr="00222289" w:rsidRDefault="00925140" w:rsidP="009E6B69">
            <w:pPr>
              <w:rPr>
                <w:bCs/>
                <w:sz w:val="18"/>
                <w:szCs w:val="18"/>
              </w:rPr>
            </w:pPr>
            <w:r w:rsidRPr="00222289">
              <w:rPr>
                <w:bCs/>
                <w:sz w:val="18"/>
                <w:szCs w:val="18"/>
              </w:rPr>
              <w:t>HCFC Sector Plans</w:t>
            </w:r>
            <w:r w:rsidRPr="00222289">
              <w:rPr>
                <w:rFonts w:hint="eastAsia"/>
                <w:bCs/>
                <w:sz w:val="18"/>
                <w:szCs w:val="18"/>
                <w:lang w:eastAsia="zh-CN"/>
              </w:rPr>
              <w:t xml:space="preserve"> Stage I</w:t>
            </w:r>
            <w:r>
              <w:rPr>
                <w:bCs/>
                <w:sz w:val="18"/>
                <w:szCs w:val="18"/>
                <w:lang w:eastAsia="zh-CN"/>
              </w:rPr>
              <w:t>I</w:t>
            </w:r>
          </w:p>
        </w:tc>
        <w:tc>
          <w:tcPr>
            <w:tcW w:w="1837" w:type="dxa"/>
          </w:tcPr>
          <w:p w:rsidR="00925140" w:rsidRPr="00362CA5" w:rsidRDefault="00925140" w:rsidP="009E6B69">
            <w:pPr>
              <w:jc w:val="right"/>
              <w:rPr>
                <w:bCs/>
                <w:sz w:val="18"/>
                <w:szCs w:val="18"/>
                <w:lang w:eastAsia="zh-CN"/>
              </w:rPr>
            </w:pPr>
            <w:r>
              <w:rPr>
                <w:bCs/>
                <w:sz w:val="18"/>
                <w:szCs w:val="18"/>
                <w:lang w:eastAsia="zh-CN"/>
              </w:rPr>
              <w:t>31,414.75</w:t>
            </w:r>
          </w:p>
        </w:tc>
        <w:tc>
          <w:tcPr>
            <w:tcW w:w="956" w:type="dxa"/>
          </w:tcPr>
          <w:p w:rsidR="00925140" w:rsidRPr="00362CA5" w:rsidRDefault="00925140" w:rsidP="009E6B69">
            <w:pPr>
              <w:jc w:val="right"/>
              <w:rPr>
                <w:bCs/>
                <w:sz w:val="18"/>
                <w:szCs w:val="18"/>
                <w:lang w:eastAsia="zh-CN"/>
              </w:rPr>
            </w:pPr>
            <w:r w:rsidRPr="009E6B69">
              <w:rPr>
                <w:bCs/>
                <w:sz w:val="18"/>
                <w:szCs w:val="18"/>
                <w:lang w:eastAsia="zh-CN"/>
              </w:rPr>
              <w:t>32.8%</w:t>
            </w:r>
          </w:p>
        </w:tc>
        <w:tc>
          <w:tcPr>
            <w:tcW w:w="1584" w:type="dxa"/>
          </w:tcPr>
          <w:p w:rsidR="00925140" w:rsidRPr="00362CA5" w:rsidRDefault="00925140" w:rsidP="009E6B69">
            <w:pPr>
              <w:jc w:val="right"/>
              <w:rPr>
                <w:bCs/>
                <w:sz w:val="18"/>
                <w:szCs w:val="18"/>
                <w:lang w:eastAsia="zh-CN"/>
              </w:rPr>
            </w:pPr>
            <w:r w:rsidRPr="003926AD">
              <w:rPr>
                <w:bCs/>
                <w:sz w:val="18"/>
                <w:szCs w:val="18"/>
                <w:lang w:eastAsia="zh-CN"/>
              </w:rPr>
              <w:t>758.24</w:t>
            </w:r>
          </w:p>
        </w:tc>
        <w:tc>
          <w:tcPr>
            <w:tcW w:w="912" w:type="dxa"/>
          </w:tcPr>
          <w:p w:rsidR="00925140" w:rsidRPr="00362CA5" w:rsidRDefault="00925140" w:rsidP="009E6B69">
            <w:pPr>
              <w:jc w:val="right"/>
              <w:rPr>
                <w:bCs/>
                <w:sz w:val="18"/>
                <w:szCs w:val="18"/>
                <w:lang w:eastAsia="zh-CN"/>
              </w:rPr>
            </w:pPr>
            <w:r w:rsidRPr="003926AD">
              <w:rPr>
                <w:bCs/>
                <w:sz w:val="18"/>
                <w:szCs w:val="18"/>
                <w:lang w:eastAsia="zh-CN"/>
              </w:rPr>
              <w:t>38.4%</w:t>
            </w:r>
          </w:p>
        </w:tc>
      </w:tr>
      <w:tr w:rsidR="00925140" w:rsidTr="003926AD">
        <w:trPr>
          <w:jc w:val="center"/>
        </w:trPr>
        <w:tc>
          <w:tcPr>
            <w:tcW w:w="4061" w:type="dxa"/>
          </w:tcPr>
          <w:p w:rsidR="00925140" w:rsidRPr="00222289" w:rsidRDefault="00925140" w:rsidP="009E6B69">
            <w:pPr>
              <w:rPr>
                <w:sz w:val="18"/>
                <w:szCs w:val="18"/>
              </w:rPr>
            </w:pPr>
            <w:r w:rsidRPr="00222289">
              <w:rPr>
                <w:sz w:val="18"/>
                <w:szCs w:val="18"/>
              </w:rPr>
              <w:t xml:space="preserve">HCFC Production Phase-out Plan </w:t>
            </w:r>
            <w:r w:rsidRPr="00222289">
              <w:rPr>
                <w:rFonts w:hint="eastAsia"/>
                <w:sz w:val="18"/>
                <w:szCs w:val="18"/>
                <w:lang w:eastAsia="zh-CN"/>
              </w:rPr>
              <w:t xml:space="preserve">Stage I </w:t>
            </w:r>
            <w:r w:rsidRPr="00222289">
              <w:rPr>
                <w:sz w:val="18"/>
                <w:szCs w:val="18"/>
              </w:rPr>
              <w:t>(China)</w:t>
            </w:r>
            <w:r w:rsidRPr="00222289">
              <w:rPr>
                <w:rStyle w:val="FootnoteReference"/>
                <w:sz w:val="18"/>
                <w:szCs w:val="18"/>
              </w:rPr>
              <w:t xml:space="preserve"> </w:t>
            </w:r>
          </w:p>
        </w:tc>
        <w:tc>
          <w:tcPr>
            <w:tcW w:w="1837" w:type="dxa"/>
          </w:tcPr>
          <w:p w:rsidR="00925140" w:rsidRPr="00362CA5" w:rsidRDefault="00925140" w:rsidP="009E6B69">
            <w:pPr>
              <w:jc w:val="right"/>
              <w:rPr>
                <w:bCs/>
                <w:sz w:val="18"/>
                <w:szCs w:val="18"/>
                <w:lang w:eastAsia="zh-CN"/>
              </w:rPr>
            </w:pPr>
            <w:r w:rsidRPr="003926AD">
              <w:rPr>
                <w:bCs/>
                <w:sz w:val="18"/>
                <w:szCs w:val="18"/>
                <w:lang w:eastAsia="zh-CN"/>
              </w:rPr>
              <w:t>54,345.84</w:t>
            </w:r>
          </w:p>
        </w:tc>
        <w:tc>
          <w:tcPr>
            <w:tcW w:w="956" w:type="dxa"/>
          </w:tcPr>
          <w:p w:rsidR="00925140" w:rsidRPr="00362CA5" w:rsidRDefault="00925140" w:rsidP="009E6B69">
            <w:pPr>
              <w:jc w:val="right"/>
              <w:rPr>
                <w:bCs/>
                <w:sz w:val="18"/>
                <w:szCs w:val="18"/>
                <w:lang w:eastAsia="zh-CN"/>
              </w:rPr>
            </w:pPr>
            <w:r w:rsidRPr="009E6B69">
              <w:rPr>
                <w:bCs/>
                <w:sz w:val="18"/>
                <w:szCs w:val="18"/>
                <w:lang w:eastAsia="zh-CN"/>
              </w:rPr>
              <w:t>56.7%</w:t>
            </w:r>
          </w:p>
        </w:tc>
        <w:tc>
          <w:tcPr>
            <w:tcW w:w="1584" w:type="dxa"/>
          </w:tcPr>
          <w:p w:rsidR="00925140" w:rsidRPr="00362CA5" w:rsidRDefault="00925140" w:rsidP="009E6B69">
            <w:pPr>
              <w:jc w:val="right"/>
              <w:rPr>
                <w:bCs/>
                <w:sz w:val="18"/>
                <w:szCs w:val="18"/>
                <w:lang w:eastAsia="zh-CN"/>
              </w:rPr>
            </w:pPr>
            <w:r w:rsidRPr="003926AD">
              <w:rPr>
                <w:bCs/>
                <w:sz w:val="18"/>
                <w:szCs w:val="18"/>
                <w:lang w:eastAsia="zh-CN"/>
              </w:rPr>
              <w:t>1,188.00</w:t>
            </w:r>
          </w:p>
        </w:tc>
        <w:tc>
          <w:tcPr>
            <w:tcW w:w="912" w:type="dxa"/>
          </w:tcPr>
          <w:p w:rsidR="00925140" w:rsidRPr="00362CA5" w:rsidRDefault="00925140" w:rsidP="009E6B69">
            <w:pPr>
              <w:jc w:val="right"/>
              <w:rPr>
                <w:bCs/>
                <w:sz w:val="18"/>
                <w:szCs w:val="18"/>
                <w:lang w:eastAsia="zh-CN"/>
              </w:rPr>
            </w:pPr>
            <w:r w:rsidRPr="003926AD">
              <w:rPr>
                <w:bCs/>
                <w:sz w:val="18"/>
                <w:szCs w:val="18"/>
                <w:lang w:eastAsia="zh-CN"/>
              </w:rPr>
              <w:t>60.1%</w:t>
            </w:r>
          </w:p>
        </w:tc>
      </w:tr>
      <w:tr w:rsidR="00925140" w:rsidTr="003926AD">
        <w:trPr>
          <w:jc w:val="center"/>
        </w:trPr>
        <w:tc>
          <w:tcPr>
            <w:tcW w:w="4061" w:type="dxa"/>
          </w:tcPr>
          <w:p w:rsidR="00925140" w:rsidRPr="00222289" w:rsidRDefault="00925140" w:rsidP="009E6B69">
            <w:pPr>
              <w:rPr>
                <w:sz w:val="18"/>
                <w:szCs w:val="18"/>
              </w:rPr>
            </w:pPr>
            <w:r>
              <w:rPr>
                <w:sz w:val="18"/>
                <w:szCs w:val="18"/>
              </w:rPr>
              <w:t>HFC Investment Projects</w:t>
            </w:r>
          </w:p>
        </w:tc>
        <w:tc>
          <w:tcPr>
            <w:tcW w:w="1837" w:type="dxa"/>
          </w:tcPr>
          <w:p w:rsidR="00925140" w:rsidRPr="003926AD" w:rsidRDefault="00925140" w:rsidP="009E6B69">
            <w:pPr>
              <w:jc w:val="right"/>
              <w:rPr>
                <w:bCs/>
                <w:sz w:val="18"/>
                <w:szCs w:val="18"/>
                <w:lang w:eastAsia="zh-CN"/>
              </w:rPr>
            </w:pPr>
            <w:r>
              <w:rPr>
                <w:bCs/>
                <w:sz w:val="18"/>
                <w:szCs w:val="18"/>
                <w:lang w:eastAsia="zh-CN"/>
              </w:rPr>
              <w:t>6,741.00</w:t>
            </w:r>
          </w:p>
        </w:tc>
        <w:tc>
          <w:tcPr>
            <w:tcW w:w="956" w:type="dxa"/>
          </w:tcPr>
          <w:p w:rsidR="00925140" w:rsidRPr="003926AD" w:rsidRDefault="00925140" w:rsidP="009E6B69">
            <w:pPr>
              <w:jc w:val="right"/>
              <w:rPr>
                <w:bCs/>
                <w:sz w:val="18"/>
                <w:szCs w:val="18"/>
                <w:lang w:eastAsia="zh-CN"/>
              </w:rPr>
            </w:pPr>
            <w:r w:rsidRPr="009E6B69">
              <w:rPr>
                <w:bCs/>
                <w:sz w:val="18"/>
                <w:szCs w:val="18"/>
                <w:lang w:eastAsia="zh-CN"/>
              </w:rPr>
              <w:t>7.0%</w:t>
            </w:r>
          </w:p>
        </w:tc>
        <w:tc>
          <w:tcPr>
            <w:tcW w:w="1584" w:type="dxa"/>
          </w:tcPr>
          <w:p w:rsidR="00925140" w:rsidRPr="003926AD" w:rsidRDefault="00925140" w:rsidP="009E6B69">
            <w:pPr>
              <w:jc w:val="right"/>
              <w:rPr>
                <w:bCs/>
                <w:sz w:val="18"/>
                <w:szCs w:val="18"/>
                <w:lang w:eastAsia="zh-CN"/>
              </w:rPr>
            </w:pPr>
            <w:r>
              <w:rPr>
                <w:bCs/>
                <w:sz w:val="18"/>
                <w:szCs w:val="18"/>
                <w:lang w:eastAsia="zh-CN"/>
              </w:rPr>
              <w:t>N/A</w:t>
            </w:r>
          </w:p>
        </w:tc>
        <w:tc>
          <w:tcPr>
            <w:tcW w:w="912" w:type="dxa"/>
          </w:tcPr>
          <w:p w:rsidR="00925140" w:rsidRPr="003926AD" w:rsidRDefault="00925140" w:rsidP="009E6B69">
            <w:pPr>
              <w:jc w:val="right"/>
              <w:rPr>
                <w:bCs/>
                <w:sz w:val="18"/>
                <w:szCs w:val="18"/>
                <w:lang w:eastAsia="zh-CN"/>
              </w:rPr>
            </w:pPr>
            <w:r>
              <w:rPr>
                <w:bCs/>
                <w:sz w:val="18"/>
                <w:szCs w:val="18"/>
                <w:lang w:eastAsia="zh-CN"/>
              </w:rPr>
              <w:t>N/A</w:t>
            </w:r>
          </w:p>
        </w:tc>
      </w:tr>
      <w:tr w:rsidR="00925140" w:rsidTr="003926AD">
        <w:trPr>
          <w:jc w:val="center"/>
        </w:trPr>
        <w:tc>
          <w:tcPr>
            <w:tcW w:w="4061" w:type="dxa"/>
          </w:tcPr>
          <w:p w:rsidR="00925140" w:rsidRPr="00222289" w:rsidRDefault="00925140" w:rsidP="003926AD">
            <w:pPr>
              <w:rPr>
                <w:sz w:val="18"/>
                <w:szCs w:val="18"/>
              </w:rPr>
            </w:pPr>
            <w:r w:rsidRPr="00222289">
              <w:rPr>
                <w:sz w:val="18"/>
                <w:szCs w:val="18"/>
              </w:rPr>
              <w:t>Total</w:t>
            </w:r>
          </w:p>
        </w:tc>
        <w:tc>
          <w:tcPr>
            <w:tcW w:w="1837" w:type="dxa"/>
          </w:tcPr>
          <w:p w:rsidR="00925140" w:rsidRPr="00362CA5" w:rsidRDefault="00925140" w:rsidP="003926AD">
            <w:pPr>
              <w:jc w:val="right"/>
              <w:rPr>
                <w:bCs/>
                <w:sz w:val="18"/>
                <w:szCs w:val="18"/>
                <w:lang w:eastAsia="zh-CN"/>
              </w:rPr>
            </w:pPr>
            <w:r w:rsidRPr="003926AD">
              <w:rPr>
                <w:bCs/>
                <w:sz w:val="18"/>
                <w:szCs w:val="18"/>
                <w:lang w:eastAsia="zh-CN"/>
              </w:rPr>
              <w:t>89,144.15</w:t>
            </w:r>
          </w:p>
        </w:tc>
        <w:tc>
          <w:tcPr>
            <w:tcW w:w="956" w:type="dxa"/>
          </w:tcPr>
          <w:p w:rsidR="00925140" w:rsidRPr="00362CA5" w:rsidRDefault="00925140" w:rsidP="003926AD">
            <w:pPr>
              <w:jc w:val="right"/>
              <w:rPr>
                <w:bCs/>
                <w:sz w:val="18"/>
                <w:szCs w:val="18"/>
                <w:lang w:eastAsia="zh-CN"/>
              </w:rPr>
            </w:pPr>
            <w:r w:rsidRPr="003926AD">
              <w:rPr>
                <w:bCs/>
                <w:sz w:val="18"/>
                <w:szCs w:val="18"/>
                <w:lang w:eastAsia="zh-CN"/>
              </w:rPr>
              <w:t>100.0%</w:t>
            </w:r>
          </w:p>
        </w:tc>
        <w:tc>
          <w:tcPr>
            <w:tcW w:w="1584" w:type="dxa"/>
          </w:tcPr>
          <w:p w:rsidR="00925140" w:rsidRPr="00362CA5" w:rsidRDefault="00925140" w:rsidP="003926AD">
            <w:pPr>
              <w:jc w:val="right"/>
              <w:rPr>
                <w:bCs/>
                <w:sz w:val="18"/>
                <w:szCs w:val="18"/>
                <w:lang w:eastAsia="zh-CN"/>
              </w:rPr>
            </w:pPr>
            <w:r w:rsidRPr="003926AD">
              <w:rPr>
                <w:bCs/>
                <w:sz w:val="18"/>
                <w:szCs w:val="18"/>
                <w:lang w:eastAsia="zh-CN"/>
              </w:rPr>
              <w:t>1,976.75</w:t>
            </w:r>
          </w:p>
        </w:tc>
        <w:tc>
          <w:tcPr>
            <w:tcW w:w="912" w:type="dxa"/>
          </w:tcPr>
          <w:p w:rsidR="00925140" w:rsidRPr="00362CA5" w:rsidRDefault="00925140" w:rsidP="003926AD">
            <w:pPr>
              <w:jc w:val="right"/>
              <w:rPr>
                <w:bCs/>
                <w:sz w:val="18"/>
                <w:szCs w:val="18"/>
                <w:lang w:eastAsia="zh-CN"/>
              </w:rPr>
            </w:pPr>
            <w:r w:rsidRPr="003926AD">
              <w:rPr>
                <w:bCs/>
                <w:sz w:val="18"/>
                <w:szCs w:val="18"/>
                <w:lang w:eastAsia="zh-CN"/>
              </w:rPr>
              <w:t>100.0%</w:t>
            </w:r>
          </w:p>
        </w:tc>
      </w:tr>
    </w:tbl>
    <w:p w:rsidR="00925140" w:rsidRPr="00CA223D" w:rsidRDefault="00925140" w:rsidP="00836CE7">
      <w:pPr>
        <w:jc w:val="center"/>
        <w:rPr>
          <w:iCs/>
        </w:rPr>
      </w:pPr>
    </w:p>
    <w:p w:rsidR="00925140" w:rsidRDefault="00925140" w:rsidP="00836CE7">
      <w:pPr>
        <w:ind w:firstLine="720"/>
        <w:rPr>
          <w:sz w:val="18"/>
          <w:szCs w:val="18"/>
        </w:rPr>
      </w:pPr>
      <w:r w:rsidRPr="00CA223D">
        <w:rPr>
          <w:sz w:val="18"/>
          <w:szCs w:val="18"/>
        </w:rPr>
        <w:t xml:space="preserve">* </w:t>
      </w:r>
      <w:r w:rsidRPr="001911A0">
        <w:rPr>
          <w:sz w:val="18"/>
          <w:szCs w:val="18"/>
        </w:rPr>
        <w:t>Figures include agency support costs</w:t>
      </w:r>
    </w:p>
    <w:p w:rsidR="00925140" w:rsidRPr="00836CE7" w:rsidRDefault="00925140" w:rsidP="00836CE7"/>
    <w:p w:rsidR="00925140" w:rsidRDefault="00925140" w:rsidP="00925140">
      <w:pPr>
        <w:pStyle w:val="ListParagraph"/>
        <w:numPr>
          <w:ilvl w:val="0"/>
          <w:numId w:val="24"/>
        </w:numPr>
        <w:spacing w:after="120" w:line="276" w:lineRule="auto"/>
        <w:ind w:left="0" w:firstLine="0"/>
        <w:rPr>
          <w:sz w:val="22"/>
          <w:szCs w:val="22"/>
        </w:rPr>
      </w:pPr>
      <w:r w:rsidRPr="00CA223D">
        <w:rPr>
          <w:sz w:val="22"/>
          <w:szCs w:val="22"/>
        </w:rPr>
        <w:t xml:space="preserve">The total deliverables contained in the proposed </w:t>
      </w:r>
      <w:r>
        <w:rPr>
          <w:sz w:val="22"/>
          <w:szCs w:val="22"/>
        </w:rPr>
        <w:t>2018 World Bank</w:t>
      </w:r>
      <w:r w:rsidRPr="00CA223D">
        <w:rPr>
          <w:sz w:val="22"/>
          <w:szCs w:val="22"/>
        </w:rPr>
        <w:t xml:space="preserve"> Business Plan, including </w:t>
      </w:r>
      <w:r w:rsidRPr="001B5819">
        <w:rPr>
          <w:sz w:val="22"/>
          <w:szCs w:val="22"/>
        </w:rPr>
        <w:t xml:space="preserve">investment, non-investment and preparatory activities </w:t>
      </w:r>
      <w:r w:rsidRPr="0005394C">
        <w:rPr>
          <w:sz w:val="22"/>
          <w:szCs w:val="22"/>
        </w:rPr>
        <w:t xml:space="preserve">amounts to </w:t>
      </w:r>
      <w:r>
        <w:rPr>
          <w:sz w:val="22"/>
          <w:szCs w:val="22"/>
        </w:rPr>
        <w:t>US$</w:t>
      </w:r>
      <w:r>
        <w:rPr>
          <w:sz w:val="22"/>
          <w:szCs w:val="22"/>
          <w:lang w:eastAsia="zh-CN"/>
        </w:rPr>
        <w:t>58.9</w:t>
      </w:r>
      <w:r w:rsidRPr="0005394C">
        <w:rPr>
          <w:sz w:val="22"/>
          <w:szCs w:val="22"/>
        </w:rPr>
        <w:t xml:space="preserve"> million</w:t>
      </w:r>
      <w:r w:rsidRPr="00CA223D">
        <w:rPr>
          <w:sz w:val="22"/>
          <w:szCs w:val="22"/>
        </w:rPr>
        <w:t xml:space="preserve"> (including agency support costs and core unit costs). The breakdown of the total deliverables is summarized below.</w:t>
      </w:r>
    </w:p>
    <w:p w:rsidR="00925140" w:rsidRPr="00547512" w:rsidRDefault="00925140" w:rsidP="00547512">
      <w:pPr>
        <w:pStyle w:val="ListParagraph"/>
        <w:rPr>
          <w:sz w:val="22"/>
          <w:szCs w:val="22"/>
        </w:rPr>
      </w:pPr>
    </w:p>
    <w:p w:rsidR="00925140" w:rsidRPr="001B5819" w:rsidRDefault="00925140" w:rsidP="0002088C">
      <w:pPr>
        <w:jc w:val="center"/>
        <w:rPr>
          <w:sz w:val="18"/>
          <w:szCs w:val="18"/>
        </w:rPr>
      </w:pPr>
      <w:r w:rsidRPr="001B5819">
        <w:rPr>
          <w:sz w:val="18"/>
          <w:szCs w:val="18"/>
        </w:rPr>
        <w:t xml:space="preserve">Table I-4: Summary of all activities included in the proposed </w:t>
      </w:r>
    </w:p>
    <w:p w:rsidR="00925140" w:rsidRDefault="00925140" w:rsidP="0002088C">
      <w:pPr>
        <w:jc w:val="center"/>
        <w:rPr>
          <w:sz w:val="18"/>
          <w:szCs w:val="18"/>
          <w:lang w:eastAsia="zh-CN"/>
        </w:rPr>
      </w:pPr>
      <w:r>
        <w:rPr>
          <w:sz w:val="18"/>
          <w:szCs w:val="18"/>
        </w:rPr>
        <w:t>2018 World Bank</w:t>
      </w:r>
      <w:r w:rsidRPr="001B5819">
        <w:rPr>
          <w:sz w:val="18"/>
          <w:szCs w:val="18"/>
        </w:rPr>
        <w:t xml:space="preserve"> Business Plan</w:t>
      </w:r>
    </w:p>
    <w:p w:rsidR="00925140" w:rsidRDefault="00925140" w:rsidP="0002088C">
      <w:pPr>
        <w:jc w:val="center"/>
      </w:pPr>
    </w:p>
    <w:tbl>
      <w:tblPr>
        <w:tblStyle w:val="TableGrid"/>
        <w:tblW w:w="0" w:type="auto"/>
        <w:jc w:val="center"/>
        <w:tblLook w:val="04A0" w:firstRow="1" w:lastRow="0" w:firstColumn="1" w:lastColumn="0" w:noHBand="0" w:noVBand="1"/>
      </w:tblPr>
      <w:tblGrid>
        <w:gridCol w:w="4920"/>
        <w:gridCol w:w="1718"/>
        <w:gridCol w:w="1942"/>
      </w:tblGrid>
      <w:tr w:rsidR="00925140" w:rsidTr="009350E9">
        <w:trPr>
          <w:jc w:val="center"/>
        </w:trPr>
        <w:tc>
          <w:tcPr>
            <w:tcW w:w="4920" w:type="dxa"/>
          </w:tcPr>
          <w:p w:rsidR="00925140" w:rsidRPr="00222289" w:rsidRDefault="00925140" w:rsidP="00427EA7">
            <w:pPr>
              <w:jc w:val="center"/>
              <w:rPr>
                <w:b/>
                <w:sz w:val="18"/>
                <w:szCs w:val="18"/>
              </w:rPr>
            </w:pPr>
            <w:r w:rsidRPr="00222289">
              <w:rPr>
                <w:b/>
                <w:sz w:val="18"/>
                <w:szCs w:val="18"/>
              </w:rPr>
              <w:t>Type of activity included in the proposed 201</w:t>
            </w:r>
            <w:r>
              <w:rPr>
                <w:b/>
                <w:sz w:val="18"/>
                <w:szCs w:val="18"/>
              </w:rPr>
              <w:t>6</w:t>
            </w:r>
            <w:r w:rsidRPr="00222289">
              <w:rPr>
                <w:b/>
                <w:sz w:val="18"/>
                <w:szCs w:val="18"/>
              </w:rPr>
              <w:t xml:space="preserve"> Business Plan</w:t>
            </w:r>
          </w:p>
        </w:tc>
        <w:tc>
          <w:tcPr>
            <w:tcW w:w="1718" w:type="dxa"/>
          </w:tcPr>
          <w:p w:rsidR="00925140" w:rsidRPr="00222289" w:rsidRDefault="00925140" w:rsidP="0021582A">
            <w:pPr>
              <w:jc w:val="center"/>
              <w:rPr>
                <w:b/>
                <w:sz w:val="18"/>
                <w:szCs w:val="18"/>
              </w:rPr>
            </w:pPr>
            <w:r w:rsidRPr="00222289">
              <w:rPr>
                <w:b/>
                <w:sz w:val="18"/>
                <w:szCs w:val="18"/>
              </w:rPr>
              <w:t>Number of activities</w:t>
            </w:r>
          </w:p>
        </w:tc>
        <w:tc>
          <w:tcPr>
            <w:tcW w:w="1942" w:type="dxa"/>
          </w:tcPr>
          <w:p w:rsidR="00925140" w:rsidRPr="00222289" w:rsidRDefault="00925140" w:rsidP="0021582A">
            <w:pPr>
              <w:jc w:val="center"/>
              <w:rPr>
                <w:b/>
                <w:sz w:val="18"/>
                <w:szCs w:val="18"/>
              </w:rPr>
            </w:pPr>
            <w:r w:rsidRPr="00222289">
              <w:rPr>
                <w:b/>
                <w:sz w:val="18"/>
                <w:szCs w:val="18"/>
              </w:rPr>
              <w:t>Amount requested (US$ 000s)</w:t>
            </w:r>
            <w:r>
              <w:rPr>
                <w:b/>
                <w:sz w:val="18"/>
                <w:szCs w:val="18"/>
              </w:rPr>
              <w:t>*</w:t>
            </w:r>
          </w:p>
        </w:tc>
      </w:tr>
      <w:tr w:rsidR="00925140" w:rsidTr="00820842">
        <w:trPr>
          <w:jc w:val="center"/>
        </w:trPr>
        <w:tc>
          <w:tcPr>
            <w:tcW w:w="4920" w:type="dxa"/>
          </w:tcPr>
          <w:p w:rsidR="00925140" w:rsidRPr="006C6EDC" w:rsidRDefault="00925140" w:rsidP="00096A2B">
            <w:pPr>
              <w:rPr>
                <w:sz w:val="18"/>
                <w:szCs w:val="18"/>
              </w:rPr>
            </w:pPr>
            <w:r w:rsidRPr="006C6EDC">
              <w:rPr>
                <w:sz w:val="18"/>
                <w:szCs w:val="18"/>
              </w:rPr>
              <w:t>HCFC Sector Plans Stage I</w:t>
            </w:r>
          </w:p>
        </w:tc>
        <w:tc>
          <w:tcPr>
            <w:tcW w:w="1718" w:type="dxa"/>
          </w:tcPr>
          <w:p w:rsidR="00925140" w:rsidRPr="00B34F0D" w:rsidRDefault="00925140" w:rsidP="00096A2B">
            <w:pPr>
              <w:jc w:val="right"/>
              <w:rPr>
                <w:bCs/>
                <w:sz w:val="18"/>
                <w:szCs w:val="18"/>
                <w:lang w:eastAsia="zh-CN"/>
              </w:rPr>
            </w:pPr>
            <w:r w:rsidRPr="00B34F0D">
              <w:rPr>
                <w:bCs/>
                <w:sz w:val="18"/>
                <w:szCs w:val="18"/>
                <w:lang w:eastAsia="zh-CN"/>
              </w:rPr>
              <w:t>1</w:t>
            </w:r>
          </w:p>
        </w:tc>
        <w:tc>
          <w:tcPr>
            <w:tcW w:w="1942" w:type="dxa"/>
          </w:tcPr>
          <w:p w:rsidR="00925140" w:rsidRPr="00B34F0D" w:rsidRDefault="00925140" w:rsidP="00096A2B">
            <w:pPr>
              <w:jc w:val="right"/>
              <w:rPr>
                <w:bCs/>
                <w:sz w:val="18"/>
                <w:szCs w:val="18"/>
                <w:lang w:eastAsia="zh-CN"/>
              </w:rPr>
            </w:pPr>
            <w:r w:rsidRPr="00B53E91">
              <w:rPr>
                <w:bCs/>
                <w:sz w:val="18"/>
                <w:szCs w:val="18"/>
                <w:lang w:eastAsia="zh-CN"/>
              </w:rPr>
              <w:t>3,383.57</w:t>
            </w:r>
          </w:p>
        </w:tc>
      </w:tr>
      <w:tr w:rsidR="00925140" w:rsidTr="00820842">
        <w:trPr>
          <w:jc w:val="center"/>
        </w:trPr>
        <w:tc>
          <w:tcPr>
            <w:tcW w:w="4920" w:type="dxa"/>
          </w:tcPr>
          <w:p w:rsidR="00925140" w:rsidRPr="006C6EDC" w:rsidRDefault="00925140" w:rsidP="00151CF2">
            <w:pPr>
              <w:rPr>
                <w:sz w:val="18"/>
                <w:szCs w:val="18"/>
              </w:rPr>
            </w:pPr>
            <w:r w:rsidRPr="006C6EDC">
              <w:rPr>
                <w:sz w:val="18"/>
                <w:szCs w:val="18"/>
              </w:rPr>
              <w:t>HCFC Sector Plans Stage II</w:t>
            </w:r>
          </w:p>
        </w:tc>
        <w:tc>
          <w:tcPr>
            <w:tcW w:w="1718" w:type="dxa"/>
          </w:tcPr>
          <w:p w:rsidR="00925140" w:rsidRPr="00B34F0D" w:rsidRDefault="00925140" w:rsidP="00151CF2">
            <w:pPr>
              <w:jc w:val="right"/>
              <w:rPr>
                <w:bCs/>
                <w:sz w:val="18"/>
                <w:szCs w:val="18"/>
                <w:lang w:eastAsia="zh-CN"/>
              </w:rPr>
            </w:pPr>
            <w:r>
              <w:rPr>
                <w:bCs/>
                <w:sz w:val="18"/>
                <w:szCs w:val="18"/>
                <w:lang w:eastAsia="zh-CN"/>
              </w:rPr>
              <w:t>8</w:t>
            </w:r>
          </w:p>
        </w:tc>
        <w:tc>
          <w:tcPr>
            <w:tcW w:w="1942" w:type="dxa"/>
          </w:tcPr>
          <w:p w:rsidR="00925140" w:rsidRPr="00B34F0D" w:rsidRDefault="00925140" w:rsidP="00151CF2">
            <w:pPr>
              <w:jc w:val="right"/>
              <w:rPr>
                <w:bCs/>
                <w:sz w:val="18"/>
                <w:szCs w:val="18"/>
                <w:lang w:eastAsia="zh-CN"/>
              </w:rPr>
            </w:pPr>
            <w:r>
              <w:rPr>
                <w:bCs/>
                <w:sz w:val="18"/>
                <w:szCs w:val="18"/>
                <w:lang w:eastAsia="zh-CN"/>
              </w:rPr>
              <w:t>31,414.75</w:t>
            </w:r>
          </w:p>
        </w:tc>
      </w:tr>
      <w:tr w:rsidR="00925140" w:rsidRPr="00791254" w:rsidTr="00820842">
        <w:trPr>
          <w:jc w:val="center"/>
        </w:trPr>
        <w:tc>
          <w:tcPr>
            <w:tcW w:w="4920" w:type="dxa"/>
          </w:tcPr>
          <w:p w:rsidR="00925140" w:rsidRPr="006C6EDC" w:rsidRDefault="00925140" w:rsidP="00151CF2">
            <w:pPr>
              <w:rPr>
                <w:sz w:val="18"/>
                <w:szCs w:val="18"/>
              </w:rPr>
            </w:pPr>
            <w:r w:rsidRPr="006C6EDC">
              <w:rPr>
                <w:sz w:val="18"/>
                <w:szCs w:val="18"/>
              </w:rPr>
              <w:t xml:space="preserve">HCFC </w:t>
            </w:r>
            <w:r>
              <w:rPr>
                <w:sz w:val="18"/>
                <w:szCs w:val="18"/>
              </w:rPr>
              <w:t xml:space="preserve">Gradual </w:t>
            </w:r>
            <w:r w:rsidRPr="006C6EDC">
              <w:rPr>
                <w:sz w:val="18"/>
                <w:szCs w:val="18"/>
              </w:rPr>
              <w:t>Production Phase-out Plan Stage I</w:t>
            </w:r>
            <w:r>
              <w:rPr>
                <w:sz w:val="18"/>
                <w:szCs w:val="18"/>
              </w:rPr>
              <w:t>I</w:t>
            </w:r>
            <w:r w:rsidRPr="006C6EDC">
              <w:rPr>
                <w:sz w:val="18"/>
                <w:szCs w:val="18"/>
              </w:rPr>
              <w:t xml:space="preserve"> (China)</w:t>
            </w:r>
          </w:p>
        </w:tc>
        <w:tc>
          <w:tcPr>
            <w:tcW w:w="1718" w:type="dxa"/>
          </w:tcPr>
          <w:p w:rsidR="00925140" w:rsidRPr="00B34F0D" w:rsidRDefault="00925140" w:rsidP="00151CF2">
            <w:pPr>
              <w:jc w:val="right"/>
              <w:rPr>
                <w:bCs/>
                <w:sz w:val="18"/>
                <w:szCs w:val="18"/>
                <w:lang w:eastAsia="zh-CN"/>
              </w:rPr>
            </w:pPr>
            <w:r w:rsidRPr="00B34F0D">
              <w:rPr>
                <w:bCs/>
                <w:sz w:val="18"/>
                <w:szCs w:val="18"/>
                <w:lang w:eastAsia="zh-CN"/>
              </w:rPr>
              <w:t>1</w:t>
            </w:r>
          </w:p>
        </w:tc>
        <w:tc>
          <w:tcPr>
            <w:tcW w:w="1942" w:type="dxa"/>
          </w:tcPr>
          <w:p w:rsidR="00925140" w:rsidRPr="00B34F0D" w:rsidRDefault="00925140" w:rsidP="00151CF2">
            <w:pPr>
              <w:jc w:val="right"/>
              <w:rPr>
                <w:bCs/>
                <w:sz w:val="18"/>
                <w:szCs w:val="18"/>
                <w:lang w:eastAsia="zh-CN"/>
              </w:rPr>
            </w:pPr>
            <w:r w:rsidRPr="003926AD">
              <w:rPr>
                <w:bCs/>
                <w:sz w:val="18"/>
                <w:szCs w:val="18"/>
                <w:lang w:eastAsia="zh-CN"/>
              </w:rPr>
              <w:t>54,345.84</w:t>
            </w:r>
          </w:p>
        </w:tc>
      </w:tr>
      <w:tr w:rsidR="00925140" w:rsidRPr="00791254" w:rsidTr="00820842">
        <w:trPr>
          <w:jc w:val="center"/>
        </w:trPr>
        <w:tc>
          <w:tcPr>
            <w:tcW w:w="4920" w:type="dxa"/>
          </w:tcPr>
          <w:p w:rsidR="00925140" w:rsidRPr="006C6EDC" w:rsidRDefault="00925140" w:rsidP="00151CF2">
            <w:pPr>
              <w:rPr>
                <w:sz w:val="18"/>
                <w:szCs w:val="18"/>
              </w:rPr>
            </w:pPr>
            <w:r>
              <w:rPr>
                <w:sz w:val="18"/>
                <w:szCs w:val="18"/>
              </w:rPr>
              <w:t>HFC Investment Projects</w:t>
            </w:r>
          </w:p>
        </w:tc>
        <w:tc>
          <w:tcPr>
            <w:tcW w:w="1718" w:type="dxa"/>
          </w:tcPr>
          <w:p w:rsidR="00925140" w:rsidRPr="00B34F0D" w:rsidRDefault="00925140" w:rsidP="00151CF2">
            <w:pPr>
              <w:jc w:val="right"/>
              <w:rPr>
                <w:bCs/>
                <w:sz w:val="18"/>
                <w:szCs w:val="18"/>
                <w:lang w:eastAsia="zh-CN"/>
              </w:rPr>
            </w:pPr>
            <w:r>
              <w:rPr>
                <w:bCs/>
                <w:sz w:val="18"/>
                <w:szCs w:val="18"/>
                <w:lang w:eastAsia="zh-CN"/>
              </w:rPr>
              <w:t>2</w:t>
            </w:r>
          </w:p>
        </w:tc>
        <w:tc>
          <w:tcPr>
            <w:tcW w:w="1942" w:type="dxa"/>
          </w:tcPr>
          <w:p w:rsidR="00925140" w:rsidRPr="003926AD" w:rsidRDefault="00925140" w:rsidP="00151CF2">
            <w:pPr>
              <w:jc w:val="right"/>
              <w:rPr>
                <w:bCs/>
                <w:sz w:val="18"/>
                <w:szCs w:val="18"/>
                <w:lang w:eastAsia="zh-CN"/>
              </w:rPr>
            </w:pPr>
            <w:r>
              <w:rPr>
                <w:bCs/>
                <w:sz w:val="18"/>
                <w:szCs w:val="18"/>
                <w:lang w:eastAsia="zh-CN"/>
              </w:rPr>
              <w:t>6,741.00</w:t>
            </w:r>
          </w:p>
        </w:tc>
      </w:tr>
      <w:tr w:rsidR="00925140" w:rsidRPr="00791254" w:rsidTr="00820842">
        <w:trPr>
          <w:jc w:val="center"/>
        </w:trPr>
        <w:tc>
          <w:tcPr>
            <w:tcW w:w="4920" w:type="dxa"/>
          </w:tcPr>
          <w:p w:rsidR="00925140" w:rsidRDefault="00925140" w:rsidP="00151CF2">
            <w:pPr>
              <w:rPr>
                <w:sz w:val="18"/>
                <w:szCs w:val="18"/>
              </w:rPr>
            </w:pPr>
            <w:r>
              <w:rPr>
                <w:sz w:val="18"/>
                <w:szCs w:val="18"/>
              </w:rPr>
              <w:t>HFC Enabling Activities (Indonesia)</w:t>
            </w:r>
          </w:p>
        </w:tc>
        <w:tc>
          <w:tcPr>
            <w:tcW w:w="1718" w:type="dxa"/>
          </w:tcPr>
          <w:p w:rsidR="00925140" w:rsidRDefault="00925140" w:rsidP="00151CF2">
            <w:pPr>
              <w:jc w:val="right"/>
              <w:rPr>
                <w:bCs/>
                <w:sz w:val="18"/>
                <w:szCs w:val="18"/>
                <w:lang w:eastAsia="zh-CN"/>
              </w:rPr>
            </w:pPr>
            <w:r>
              <w:rPr>
                <w:bCs/>
                <w:sz w:val="18"/>
                <w:szCs w:val="18"/>
                <w:lang w:eastAsia="zh-CN"/>
              </w:rPr>
              <w:t>1</w:t>
            </w:r>
          </w:p>
        </w:tc>
        <w:tc>
          <w:tcPr>
            <w:tcW w:w="1942" w:type="dxa"/>
          </w:tcPr>
          <w:p w:rsidR="00925140" w:rsidRDefault="00925140" w:rsidP="00151CF2">
            <w:pPr>
              <w:jc w:val="right"/>
              <w:rPr>
                <w:bCs/>
                <w:sz w:val="18"/>
                <w:szCs w:val="18"/>
                <w:lang w:eastAsia="zh-CN"/>
              </w:rPr>
            </w:pPr>
            <w:r>
              <w:rPr>
                <w:bCs/>
                <w:sz w:val="18"/>
                <w:szCs w:val="18"/>
                <w:lang w:eastAsia="zh-CN"/>
              </w:rPr>
              <w:t>250.00</w:t>
            </w:r>
          </w:p>
        </w:tc>
      </w:tr>
      <w:tr w:rsidR="00925140" w:rsidTr="00820842">
        <w:trPr>
          <w:jc w:val="center"/>
        </w:trPr>
        <w:tc>
          <w:tcPr>
            <w:tcW w:w="4920" w:type="dxa"/>
          </w:tcPr>
          <w:p w:rsidR="00925140" w:rsidRPr="006C6EDC" w:rsidRDefault="00925140" w:rsidP="00151CF2">
            <w:pPr>
              <w:rPr>
                <w:sz w:val="18"/>
                <w:szCs w:val="18"/>
              </w:rPr>
            </w:pPr>
            <w:r w:rsidRPr="006C6EDC">
              <w:rPr>
                <w:sz w:val="18"/>
                <w:szCs w:val="18"/>
              </w:rPr>
              <w:t>Institutional Strengthening</w:t>
            </w:r>
          </w:p>
        </w:tc>
        <w:tc>
          <w:tcPr>
            <w:tcW w:w="1718" w:type="dxa"/>
          </w:tcPr>
          <w:p w:rsidR="00925140" w:rsidRPr="00B34F0D" w:rsidRDefault="00925140" w:rsidP="00151CF2">
            <w:pPr>
              <w:jc w:val="right"/>
              <w:rPr>
                <w:bCs/>
                <w:sz w:val="18"/>
                <w:szCs w:val="18"/>
                <w:lang w:eastAsia="zh-CN"/>
              </w:rPr>
            </w:pPr>
            <w:r>
              <w:rPr>
                <w:bCs/>
                <w:sz w:val="18"/>
                <w:szCs w:val="18"/>
                <w:lang w:eastAsia="zh-CN"/>
              </w:rPr>
              <w:t>2</w:t>
            </w:r>
          </w:p>
        </w:tc>
        <w:tc>
          <w:tcPr>
            <w:tcW w:w="1942" w:type="dxa"/>
          </w:tcPr>
          <w:p w:rsidR="00925140" w:rsidRPr="00B34F0D" w:rsidRDefault="00925140" w:rsidP="00151CF2">
            <w:pPr>
              <w:jc w:val="right"/>
              <w:rPr>
                <w:bCs/>
                <w:sz w:val="18"/>
                <w:szCs w:val="18"/>
                <w:lang w:eastAsia="zh-CN"/>
              </w:rPr>
            </w:pPr>
            <w:r>
              <w:rPr>
                <w:bCs/>
                <w:sz w:val="18"/>
                <w:szCs w:val="18"/>
                <w:lang w:eastAsia="zh-CN"/>
              </w:rPr>
              <w:t>676</w:t>
            </w:r>
            <w:r w:rsidRPr="00151CF2">
              <w:rPr>
                <w:bCs/>
                <w:sz w:val="18"/>
                <w:szCs w:val="18"/>
                <w:lang w:eastAsia="zh-CN"/>
              </w:rPr>
              <w:t>.</w:t>
            </w:r>
            <w:r>
              <w:rPr>
                <w:bCs/>
                <w:sz w:val="18"/>
                <w:szCs w:val="18"/>
                <w:lang w:eastAsia="zh-CN"/>
              </w:rPr>
              <w:t>58</w:t>
            </w:r>
          </w:p>
        </w:tc>
      </w:tr>
      <w:tr w:rsidR="00925140" w:rsidTr="00820842">
        <w:trPr>
          <w:jc w:val="center"/>
        </w:trPr>
        <w:tc>
          <w:tcPr>
            <w:tcW w:w="4920" w:type="dxa"/>
          </w:tcPr>
          <w:p w:rsidR="00925140" w:rsidRPr="006C6EDC" w:rsidRDefault="00925140" w:rsidP="00151CF2">
            <w:pPr>
              <w:rPr>
                <w:sz w:val="18"/>
                <w:szCs w:val="18"/>
              </w:rPr>
            </w:pPr>
            <w:r w:rsidRPr="006C6EDC">
              <w:rPr>
                <w:sz w:val="18"/>
                <w:szCs w:val="18"/>
              </w:rPr>
              <w:t>Core Unit Cost</w:t>
            </w:r>
          </w:p>
        </w:tc>
        <w:tc>
          <w:tcPr>
            <w:tcW w:w="1718" w:type="dxa"/>
          </w:tcPr>
          <w:p w:rsidR="00925140" w:rsidRPr="00B34F0D" w:rsidRDefault="00925140" w:rsidP="00151CF2">
            <w:pPr>
              <w:jc w:val="right"/>
              <w:rPr>
                <w:bCs/>
                <w:sz w:val="18"/>
                <w:szCs w:val="18"/>
                <w:lang w:eastAsia="zh-CN"/>
              </w:rPr>
            </w:pPr>
            <w:r w:rsidRPr="00B34F0D">
              <w:rPr>
                <w:bCs/>
                <w:sz w:val="18"/>
                <w:szCs w:val="18"/>
                <w:lang w:eastAsia="zh-CN"/>
              </w:rPr>
              <w:t>1</w:t>
            </w:r>
          </w:p>
        </w:tc>
        <w:tc>
          <w:tcPr>
            <w:tcW w:w="1942" w:type="dxa"/>
          </w:tcPr>
          <w:p w:rsidR="00925140" w:rsidRPr="00B34F0D" w:rsidRDefault="00925140" w:rsidP="00151CF2">
            <w:pPr>
              <w:jc w:val="right"/>
              <w:rPr>
                <w:bCs/>
                <w:sz w:val="18"/>
                <w:szCs w:val="18"/>
                <w:lang w:eastAsia="zh-CN"/>
              </w:rPr>
            </w:pPr>
            <w:r w:rsidRPr="00151CF2">
              <w:rPr>
                <w:bCs/>
                <w:sz w:val="18"/>
                <w:szCs w:val="18"/>
                <w:lang w:eastAsia="zh-CN"/>
              </w:rPr>
              <w:t>1,7</w:t>
            </w:r>
            <w:r>
              <w:rPr>
                <w:bCs/>
                <w:sz w:val="18"/>
                <w:szCs w:val="18"/>
                <w:lang w:eastAsia="zh-CN"/>
              </w:rPr>
              <w:t>3</w:t>
            </w:r>
            <w:r w:rsidRPr="00151CF2">
              <w:rPr>
                <w:bCs/>
                <w:sz w:val="18"/>
                <w:szCs w:val="18"/>
                <w:lang w:eastAsia="zh-CN"/>
              </w:rPr>
              <w:t>5.00</w:t>
            </w:r>
          </w:p>
        </w:tc>
      </w:tr>
      <w:tr w:rsidR="00925140" w:rsidTr="00820842">
        <w:trPr>
          <w:jc w:val="center"/>
        </w:trPr>
        <w:tc>
          <w:tcPr>
            <w:tcW w:w="4920" w:type="dxa"/>
          </w:tcPr>
          <w:p w:rsidR="00925140" w:rsidRPr="006C6EDC" w:rsidRDefault="00925140" w:rsidP="00151CF2">
            <w:pPr>
              <w:rPr>
                <w:sz w:val="18"/>
                <w:szCs w:val="18"/>
              </w:rPr>
            </w:pPr>
            <w:r w:rsidRPr="006C6EDC">
              <w:rPr>
                <w:sz w:val="18"/>
                <w:szCs w:val="18"/>
              </w:rPr>
              <w:t>Total</w:t>
            </w:r>
          </w:p>
        </w:tc>
        <w:tc>
          <w:tcPr>
            <w:tcW w:w="1718" w:type="dxa"/>
          </w:tcPr>
          <w:p w:rsidR="00925140" w:rsidRPr="00B34F0D" w:rsidRDefault="00925140" w:rsidP="00151CF2">
            <w:pPr>
              <w:jc w:val="right"/>
              <w:rPr>
                <w:bCs/>
                <w:sz w:val="18"/>
                <w:szCs w:val="18"/>
                <w:lang w:eastAsia="zh-CN"/>
              </w:rPr>
            </w:pPr>
            <w:r w:rsidRPr="00B34F0D">
              <w:rPr>
                <w:bCs/>
                <w:sz w:val="18"/>
                <w:szCs w:val="18"/>
                <w:lang w:eastAsia="zh-CN"/>
              </w:rPr>
              <w:t>1</w:t>
            </w:r>
            <w:r>
              <w:rPr>
                <w:bCs/>
                <w:sz w:val="18"/>
                <w:szCs w:val="18"/>
                <w:lang w:eastAsia="zh-CN"/>
              </w:rPr>
              <w:t>6</w:t>
            </w:r>
          </w:p>
        </w:tc>
        <w:tc>
          <w:tcPr>
            <w:tcW w:w="1942" w:type="dxa"/>
          </w:tcPr>
          <w:p w:rsidR="00925140" w:rsidRPr="00B34F0D" w:rsidRDefault="00925140" w:rsidP="00151CF2">
            <w:pPr>
              <w:jc w:val="right"/>
              <w:rPr>
                <w:bCs/>
                <w:sz w:val="18"/>
                <w:szCs w:val="18"/>
                <w:lang w:eastAsia="zh-CN"/>
              </w:rPr>
            </w:pPr>
            <w:r w:rsidRPr="00336E3A">
              <w:rPr>
                <w:bCs/>
                <w:sz w:val="18"/>
                <w:szCs w:val="18"/>
                <w:lang w:eastAsia="zh-CN"/>
              </w:rPr>
              <w:t>98,546.74</w:t>
            </w:r>
          </w:p>
        </w:tc>
      </w:tr>
    </w:tbl>
    <w:p w:rsidR="00925140" w:rsidRDefault="00925140" w:rsidP="0002088C">
      <w:pPr>
        <w:jc w:val="center"/>
      </w:pPr>
    </w:p>
    <w:p w:rsidR="00925140" w:rsidRPr="00547512" w:rsidRDefault="00925140" w:rsidP="00547512">
      <w:pPr>
        <w:ind w:firstLine="720"/>
        <w:rPr>
          <w:sz w:val="18"/>
          <w:szCs w:val="18"/>
        </w:rPr>
      </w:pPr>
      <w:r w:rsidRPr="00CA223D">
        <w:rPr>
          <w:sz w:val="18"/>
          <w:szCs w:val="18"/>
        </w:rPr>
        <w:t>* Figures include agency support costs</w:t>
      </w:r>
    </w:p>
    <w:p w:rsidR="00925140" w:rsidRDefault="00925140" w:rsidP="005B533A">
      <w:pPr>
        <w:pStyle w:val="ListParagraph"/>
        <w:rPr>
          <w:sz w:val="22"/>
          <w:szCs w:val="22"/>
        </w:rPr>
      </w:pPr>
    </w:p>
    <w:p w:rsidR="00925140" w:rsidRPr="00925140" w:rsidRDefault="00925140" w:rsidP="00925140">
      <w:pPr>
        <w:pStyle w:val="Heading2"/>
        <w:keepNext/>
        <w:keepLines/>
        <w:widowControl/>
        <w:numPr>
          <w:ilvl w:val="1"/>
          <w:numId w:val="23"/>
        </w:numPr>
        <w:spacing w:before="200" w:after="0"/>
        <w:ind w:left="0"/>
        <w:jc w:val="left"/>
        <w:rPr>
          <w:b/>
          <w:bCs/>
          <w:szCs w:val="24"/>
        </w:rPr>
      </w:pPr>
      <w:bookmarkStart w:id="4" w:name="_Toc395519917"/>
      <w:r w:rsidRPr="00925140">
        <w:rPr>
          <w:b/>
          <w:szCs w:val="24"/>
        </w:rPr>
        <w:t>Resource Allocation Beyond 201</w:t>
      </w:r>
      <w:bookmarkEnd w:id="4"/>
      <w:r w:rsidRPr="00925140">
        <w:rPr>
          <w:b/>
          <w:szCs w:val="24"/>
        </w:rPr>
        <w:t>8</w:t>
      </w:r>
    </w:p>
    <w:p w:rsidR="00925140" w:rsidRPr="002C46BC" w:rsidRDefault="00925140" w:rsidP="002C46BC">
      <w:pPr>
        <w:ind w:left="360"/>
        <w:rPr>
          <w:iCs/>
        </w:rPr>
      </w:pPr>
    </w:p>
    <w:p w:rsidR="00925140" w:rsidRPr="002F0155" w:rsidRDefault="00925140" w:rsidP="00925140">
      <w:pPr>
        <w:pStyle w:val="ListParagraph"/>
        <w:numPr>
          <w:ilvl w:val="0"/>
          <w:numId w:val="24"/>
        </w:numPr>
        <w:spacing w:after="120" w:line="276" w:lineRule="auto"/>
        <w:ind w:left="0" w:firstLine="0"/>
        <w:rPr>
          <w:sz w:val="22"/>
          <w:szCs w:val="22"/>
        </w:rPr>
      </w:pPr>
      <w:r>
        <w:rPr>
          <w:sz w:val="22"/>
          <w:szCs w:val="22"/>
        </w:rPr>
        <w:t>The breakdown of the resource allocation beyond 2018 in the 2018-2020 Business Planning is summarized below.</w:t>
      </w:r>
    </w:p>
    <w:p w:rsidR="00925140" w:rsidRDefault="00925140" w:rsidP="00FC5698">
      <w:pPr>
        <w:jc w:val="center"/>
        <w:rPr>
          <w:iCs/>
          <w:sz w:val="18"/>
          <w:szCs w:val="18"/>
          <w:lang w:eastAsia="zh-CN"/>
        </w:rPr>
      </w:pPr>
      <w:r w:rsidRPr="00FC5698">
        <w:rPr>
          <w:iCs/>
        </w:rPr>
        <w:br/>
      </w:r>
      <w:r w:rsidRPr="00B03EB6">
        <w:rPr>
          <w:iCs/>
          <w:sz w:val="18"/>
          <w:szCs w:val="18"/>
        </w:rPr>
        <w:t>Table I-5: World Bank’s proposed resource allocation plan for 201</w:t>
      </w:r>
      <w:r>
        <w:rPr>
          <w:iCs/>
          <w:sz w:val="18"/>
          <w:szCs w:val="18"/>
        </w:rPr>
        <w:t>9</w:t>
      </w:r>
      <w:r w:rsidRPr="00B03EB6">
        <w:rPr>
          <w:iCs/>
          <w:sz w:val="18"/>
          <w:szCs w:val="18"/>
        </w:rPr>
        <w:t>-20</w:t>
      </w:r>
      <w:r>
        <w:rPr>
          <w:iCs/>
          <w:sz w:val="18"/>
          <w:szCs w:val="18"/>
        </w:rPr>
        <w:t>20</w:t>
      </w:r>
      <w:r w:rsidRPr="00B03EB6">
        <w:rPr>
          <w:iCs/>
          <w:sz w:val="18"/>
          <w:szCs w:val="18"/>
        </w:rPr>
        <w:t xml:space="preserve"> (in US$ 000s)</w:t>
      </w:r>
    </w:p>
    <w:p w:rsidR="00925140" w:rsidRPr="00C7219E" w:rsidRDefault="00925140" w:rsidP="00267568">
      <w:pPr>
        <w:jc w:val="center"/>
        <w:rPr>
          <w:bCs/>
        </w:rPr>
      </w:pPr>
    </w:p>
    <w:tbl>
      <w:tblPr>
        <w:tblStyle w:val="TableGrid"/>
        <w:tblW w:w="0" w:type="auto"/>
        <w:jc w:val="center"/>
        <w:tblLook w:val="04A0" w:firstRow="1" w:lastRow="0" w:firstColumn="1" w:lastColumn="0" w:noHBand="0" w:noVBand="1"/>
      </w:tblPr>
      <w:tblGrid>
        <w:gridCol w:w="3410"/>
        <w:gridCol w:w="1484"/>
        <w:gridCol w:w="1486"/>
        <w:gridCol w:w="1484"/>
        <w:gridCol w:w="1486"/>
      </w:tblGrid>
      <w:tr w:rsidR="00925140" w:rsidTr="00B6615F">
        <w:trPr>
          <w:jc w:val="center"/>
        </w:trPr>
        <w:tc>
          <w:tcPr>
            <w:tcW w:w="3410" w:type="dxa"/>
          </w:tcPr>
          <w:p w:rsidR="00925140" w:rsidRPr="00E76FCD" w:rsidRDefault="00925140" w:rsidP="0021582A">
            <w:pPr>
              <w:jc w:val="center"/>
              <w:rPr>
                <w:b/>
                <w:iCs/>
                <w:sz w:val="18"/>
                <w:szCs w:val="18"/>
              </w:rPr>
            </w:pPr>
            <w:bookmarkStart w:id="5" w:name="OLE_LINK1"/>
            <w:r w:rsidRPr="00E76FCD">
              <w:rPr>
                <w:b/>
                <w:iCs/>
                <w:sz w:val="18"/>
                <w:szCs w:val="18"/>
              </w:rPr>
              <w:t>Type of activity</w:t>
            </w:r>
          </w:p>
        </w:tc>
        <w:tc>
          <w:tcPr>
            <w:tcW w:w="1484" w:type="dxa"/>
          </w:tcPr>
          <w:p w:rsidR="00925140" w:rsidRPr="00E76FCD" w:rsidRDefault="00925140" w:rsidP="006255FD">
            <w:pPr>
              <w:jc w:val="center"/>
              <w:rPr>
                <w:b/>
                <w:iCs/>
                <w:sz w:val="18"/>
                <w:szCs w:val="18"/>
              </w:rPr>
            </w:pPr>
            <w:r w:rsidRPr="00E76FCD">
              <w:rPr>
                <w:b/>
                <w:sz w:val="18"/>
                <w:szCs w:val="18"/>
              </w:rPr>
              <w:t>Total amount of funds requested in 201</w:t>
            </w:r>
            <w:r>
              <w:rPr>
                <w:b/>
                <w:sz w:val="18"/>
                <w:szCs w:val="18"/>
              </w:rPr>
              <w:t>9</w:t>
            </w:r>
            <w:r w:rsidRPr="00E76FCD">
              <w:rPr>
                <w:b/>
                <w:sz w:val="18"/>
                <w:szCs w:val="18"/>
              </w:rPr>
              <w:t xml:space="preserve"> (US$ 000s)</w:t>
            </w:r>
          </w:p>
        </w:tc>
        <w:tc>
          <w:tcPr>
            <w:tcW w:w="1486" w:type="dxa"/>
          </w:tcPr>
          <w:p w:rsidR="00925140" w:rsidRPr="00E76FCD" w:rsidRDefault="00925140" w:rsidP="00090B52">
            <w:pPr>
              <w:jc w:val="center"/>
              <w:rPr>
                <w:b/>
                <w:iCs/>
                <w:sz w:val="18"/>
                <w:szCs w:val="18"/>
              </w:rPr>
            </w:pPr>
            <w:r w:rsidRPr="00E76FCD">
              <w:rPr>
                <w:b/>
                <w:sz w:val="18"/>
                <w:szCs w:val="18"/>
              </w:rPr>
              <w:t>Estimated impact in 201</w:t>
            </w:r>
            <w:r>
              <w:rPr>
                <w:b/>
                <w:sz w:val="18"/>
                <w:szCs w:val="18"/>
              </w:rPr>
              <w:t>9</w:t>
            </w:r>
            <w:r w:rsidRPr="00E76FCD">
              <w:rPr>
                <w:b/>
                <w:sz w:val="18"/>
                <w:szCs w:val="18"/>
              </w:rPr>
              <w:t xml:space="preserve"> (ODP </w:t>
            </w:r>
            <w:proofErr w:type="spellStart"/>
            <w:r w:rsidRPr="00E76FCD">
              <w:rPr>
                <w:b/>
                <w:sz w:val="18"/>
                <w:szCs w:val="18"/>
              </w:rPr>
              <w:t>tonnes</w:t>
            </w:r>
            <w:proofErr w:type="spellEnd"/>
            <w:r w:rsidRPr="00E76FCD">
              <w:rPr>
                <w:b/>
                <w:sz w:val="18"/>
                <w:szCs w:val="18"/>
              </w:rPr>
              <w:t>)</w:t>
            </w:r>
          </w:p>
        </w:tc>
        <w:tc>
          <w:tcPr>
            <w:tcW w:w="1484" w:type="dxa"/>
          </w:tcPr>
          <w:p w:rsidR="00925140" w:rsidRPr="00E76FCD" w:rsidRDefault="00925140" w:rsidP="006255FD">
            <w:pPr>
              <w:jc w:val="center"/>
              <w:rPr>
                <w:b/>
                <w:iCs/>
                <w:sz w:val="18"/>
                <w:szCs w:val="18"/>
              </w:rPr>
            </w:pPr>
            <w:r w:rsidRPr="00E76FCD">
              <w:rPr>
                <w:b/>
                <w:sz w:val="18"/>
                <w:szCs w:val="18"/>
              </w:rPr>
              <w:t>Total amount of funds requested in 20</w:t>
            </w:r>
            <w:r>
              <w:rPr>
                <w:b/>
                <w:sz w:val="18"/>
                <w:szCs w:val="18"/>
              </w:rPr>
              <w:t>20</w:t>
            </w:r>
            <w:r w:rsidRPr="00E76FCD">
              <w:rPr>
                <w:b/>
                <w:sz w:val="18"/>
                <w:szCs w:val="18"/>
              </w:rPr>
              <w:t xml:space="preserve"> (US$ 000s)</w:t>
            </w:r>
          </w:p>
        </w:tc>
        <w:tc>
          <w:tcPr>
            <w:tcW w:w="1486" w:type="dxa"/>
          </w:tcPr>
          <w:p w:rsidR="00925140" w:rsidRDefault="00925140" w:rsidP="00E76FCD">
            <w:pPr>
              <w:jc w:val="center"/>
              <w:rPr>
                <w:b/>
                <w:sz w:val="18"/>
                <w:szCs w:val="18"/>
              </w:rPr>
            </w:pPr>
            <w:r w:rsidRPr="00E76FCD">
              <w:rPr>
                <w:b/>
                <w:sz w:val="18"/>
                <w:szCs w:val="18"/>
              </w:rPr>
              <w:t>Estimated impact in 20</w:t>
            </w:r>
            <w:r>
              <w:rPr>
                <w:b/>
                <w:sz w:val="18"/>
                <w:szCs w:val="18"/>
              </w:rPr>
              <w:t>20</w:t>
            </w:r>
            <w:r w:rsidRPr="00E76FCD">
              <w:rPr>
                <w:b/>
                <w:sz w:val="18"/>
                <w:szCs w:val="18"/>
              </w:rPr>
              <w:t xml:space="preserve"> </w:t>
            </w:r>
          </w:p>
          <w:p w:rsidR="00925140" w:rsidRPr="00E76FCD" w:rsidRDefault="00925140" w:rsidP="00E76FCD">
            <w:pPr>
              <w:jc w:val="center"/>
              <w:rPr>
                <w:b/>
                <w:iCs/>
                <w:sz w:val="18"/>
                <w:szCs w:val="18"/>
              </w:rPr>
            </w:pPr>
            <w:r w:rsidRPr="00E76FCD">
              <w:rPr>
                <w:b/>
                <w:sz w:val="18"/>
                <w:szCs w:val="18"/>
              </w:rPr>
              <w:t xml:space="preserve">(ODP </w:t>
            </w:r>
            <w:proofErr w:type="spellStart"/>
            <w:r w:rsidRPr="00E76FCD">
              <w:rPr>
                <w:b/>
                <w:sz w:val="18"/>
                <w:szCs w:val="18"/>
              </w:rPr>
              <w:t>tonnes</w:t>
            </w:r>
            <w:proofErr w:type="spellEnd"/>
            <w:r w:rsidRPr="00E76FCD">
              <w:rPr>
                <w:b/>
                <w:sz w:val="18"/>
                <w:szCs w:val="18"/>
              </w:rPr>
              <w:t>)</w:t>
            </w:r>
          </w:p>
        </w:tc>
      </w:tr>
      <w:tr w:rsidR="00925140" w:rsidTr="00B6615F">
        <w:trPr>
          <w:jc w:val="center"/>
        </w:trPr>
        <w:tc>
          <w:tcPr>
            <w:tcW w:w="3410" w:type="dxa"/>
            <w:vAlign w:val="bottom"/>
          </w:tcPr>
          <w:p w:rsidR="00925140" w:rsidRPr="00BE4A7D" w:rsidRDefault="00925140" w:rsidP="00FC332B">
            <w:pPr>
              <w:rPr>
                <w:sz w:val="18"/>
                <w:szCs w:val="18"/>
              </w:rPr>
            </w:pPr>
            <w:r w:rsidRPr="00BE4A7D">
              <w:rPr>
                <w:color w:val="000000"/>
                <w:sz w:val="18"/>
                <w:szCs w:val="18"/>
                <w:lang w:eastAsia="zh-CN"/>
              </w:rPr>
              <w:t xml:space="preserve">HCFC </w:t>
            </w:r>
            <w:r>
              <w:rPr>
                <w:color w:val="000000"/>
                <w:sz w:val="18"/>
                <w:szCs w:val="18"/>
                <w:lang w:eastAsia="zh-CN"/>
              </w:rPr>
              <w:t xml:space="preserve">Sector Plan </w:t>
            </w:r>
            <w:r w:rsidRPr="00BE4A7D">
              <w:rPr>
                <w:color w:val="000000"/>
                <w:sz w:val="18"/>
                <w:szCs w:val="18"/>
                <w:lang w:eastAsia="zh-CN"/>
              </w:rPr>
              <w:t xml:space="preserve">Stage </w:t>
            </w:r>
            <w:r>
              <w:rPr>
                <w:color w:val="000000"/>
                <w:sz w:val="18"/>
                <w:szCs w:val="18"/>
                <w:lang w:eastAsia="zh-CN"/>
              </w:rPr>
              <w:t>I</w:t>
            </w:r>
            <w:r w:rsidRPr="00BE4A7D">
              <w:rPr>
                <w:color w:val="000000"/>
                <w:sz w:val="18"/>
                <w:szCs w:val="18"/>
                <w:lang w:eastAsia="zh-CN"/>
              </w:rPr>
              <w:t>I</w:t>
            </w:r>
          </w:p>
        </w:tc>
        <w:tc>
          <w:tcPr>
            <w:tcW w:w="1484" w:type="dxa"/>
          </w:tcPr>
          <w:p w:rsidR="00925140" w:rsidRPr="00B6615F" w:rsidRDefault="00925140" w:rsidP="00FC332B">
            <w:pPr>
              <w:jc w:val="right"/>
              <w:rPr>
                <w:bCs/>
                <w:sz w:val="18"/>
                <w:szCs w:val="18"/>
                <w:lang w:eastAsia="zh-CN"/>
              </w:rPr>
            </w:pPr>
            <w:r w:rsidRPr="00FC332B">
              <w:rPr>
                <w:bCs/>
                <w:sz w:val="18"/>
                <w:szCs w:val="18"/>
                <w:lang w:eastAsia="zh-CN"/>
              </w:rPr>
              <w:t>31,740.23</w:t>
            </w:r>
          </w:p>
        </w:tc>
        <w:tc>
          <w:tcPr>
            <w:tcW w:w="1486" w:type="dxa"/>
          </w:tcPr>
          <w:p w:rsidR="00925140" w:rsidRPr="00B6615F" w:rsidRDefault="00925140" w:rsidP="00FC332B">
            <w:pPr>
              <w:jc w:val="right"/>
              <w:rPr>
                <w:bCs/>
                <w:sz w:val="18"/>
                <w:szCs w:val="18"/>
                <w:lang w:eastAsia="zh-CN"/>
              </w:rPr>
            </w:pPr>
            <w:r w:rsidRPr="00FC332B">
              <w:rPr>
                <w:bCs/>
                <w:sz w:val="18"/>
                <w:szCs w:val="18"/>
                <w:lang w:eastAsia="zh-CN"/>
              </w:rPr>
              <w:t>61.90</w:t>
            </w:r>
          </w:p>
        </w:tc>
        <w:tc>
          <w:tcPr>
            <w:tcW w:w="1484" w:type="dxa"/>
          </w:tcPr>
          <w:p w:rsidR="00925140" w:rsidRPr="00B6615F" w:rsidRDefault="00925140" w:rsidP="00FC332B">
            <w:pPr>
              <w:jc w:val="right"/>
              <w:rPr>
                <w:bCs/>
                <w:sz w:val="18"/>
                <w:szCs w:val="18"/>
                <w:lang w:eastAsia="zh-CN"/>
              </w:rPr>
            </w:pPr>
            <w:r w:rsidRPr="00FC332B">
              <w:rPr>
                <w:bCs/>
                <w:sz w:val="18"/>
                <w:szCs w:val="18"/>
                <w:lang w:eastAsia="zh-CN"/>
              </w:rPr>
              <w:t>22,255.95</w:t>
            </w:r>
          </w:p>
        </w:tc>
        <w:tc>
          <w:tcPr>
            <w:tcW w:w="1486" w:type="dxa"/>
          </w:tcPr>
          <w:p w:rsidR="00925140" w:rsidRPr="00B6615F" w:rsidRDefault="00925140" w:rsidP="00FC332B">
            <w:pPr>
              <w:jc w:val="right"/>
              <w:rPr>
                <w:bCs/>
                <w:sz w:val="18"/>
                <w:szCs w:val="18"/>
                <w:lang w:eastAsia="zh-CN"/>
              </w:rPr>
            </w:pPr>
            <w:r w:rsidRPr="00FC332B">
              <w:rPr>
                <w:bCs/>
                <w:sz w:val="18"/>
                <w:szCs w:val="18"/>
                <w:lang w:eastAsia="zh-CN"/>
              </w:rPr>
              <w:t>964.11</w:t>
            </w:r>
          </w:p>
        </w:tc>
      </w:tr>
      <w:tr w:rsidR="00925140" w:rsidTr="00B6615F">
        <w:trPr>
          <w:jc w:val="center"/>
        </w:trPr>
        <w:tc>
          <w:tcPr>
            <w:tcW w:w="3410" w:type="dxa"/>
            <w:vAlign w:val="bottom"/>
          </w:tcPr>
          <w:p w:rsidR="00925140" w:rsidRPr="00BE4A7D" w:rsidRDefault="00925140" w:rsidP="00FC332B">
            <w:pPr>
              <w:rPr>
                <w:sz w:val="18"/>
                <w:szCs w:val="18"/>
                <w:lang w:eastAsia="zh-CN"/>
              </w:rPr>
            </w:pPr>
            <w:r w:rsidRPr="00BE4A7D">
              <w:rPr>
                <w:color w:val="000000"/>
                <w:sz w:val="18"/>
                <w:szCs w:val="18"/>
                <w:lang w:eastAsia="zh-CN"/>
              </w:rPr>
              <w:t xml:space="preserve">HCFC </w:t>
            </w:r>
            <w:r>
              <w:rPr>
                <w:color w:val="000000"/>
                <w:sz w:val="18"/>
                <w:szCs w:val="18"/>
                <w:lang w:eastAsia="zh-CN"/>
              </w:rPr>
              <w:t xml:space="preserve">Gradual </w:t>
            </w:r>
            <w:r w:rsidRPr="00BE4A7D">
              <w:rPr>
                <w:color w:val="000000"/>
                <w:sz w:val="18"/>
                <w:szCs w:val="18"/>
                <w:lang w:eastAsia="zh-CN"/>
              </w:rPr>
              <w:t>Production Phase-out Plan Stage II (China)</w:t>
            </w:r>
          </w:p>
        </w:tc>
        <w:tc>
          <w:tcPr>
            <w:tcW w:w="1484" w:type="dxa"/>
          </w:tcPr>
          <w:p w:rsidR="00925140" w:rsidRPr="00B6615F" w:rsidRDefault="00925140" w:rsidP="00FC332B">
            <w:pPr>
              <w:jc w:val="right"/>
              <w:rPr>
                <w:bCs/>
                <w:sz w:val="18"/>
                <w:szCs w:val="18"/>
                <w:lang w:eastAsia="zh-CN"/>
              </w:rPr>
            </w:pPr>
            <w:r w:rsidRPr="00FC332B">
              <w:rPr>
                <w:bCs/>
                <w:sz w:val="18"/>
                <w:szCs w:val="18"/>
                <w:lang w:eastAsia="zh-CN"/>
              </w:rPr>
              <w:t>54,345.84</w:t>
            </w:r>
          </w:p>
        </w:tc>
        <w:tc>
          <w:tcPr>
            <w:tcW w:w="1486" w:type="dxa"/>
          </w:tcPr>
          <w:p w:rsidR="00925140" w:rsidRPr="00B6615F" w:rsidRDefault="00925140" w:rsidP="00FC332B">
            <w:pPr>
              <w:jc w:val="right"/>
              <w:rPr>
                <w:bCs/>
                <w:sz w:val="18"/>
                <w:szCs w:val="18"/>
                <w:lang w:eastAsia="zh-CN"/>
              </w:rPr>
            </w:pPr>
            <w:r w:rsidRPr="00FC332B">
              <w:rPr>
                <w:bCs/>
                <w:sz w:val="18"/>
                <w:szCs w:val="18"/>
                <w:lang w:eastAsia="zh-CN"/>
              </w:rPr>
              <w:t>0.00</w:t>
            </w:r>
          </w:p>
        </w:tc>
        <w:tc>
          <w:tcPr>
            <w:tcW w:w="1484" w:type="dxa"/>
          </w:tcPr>
          <w:p w:rsidR="00925140" w:rsidRPr="00B6615F" w:rsidRDefault="00925140" w:rsidP="00FC332B">
            <w:pPr>
              <w:jc w:val="right"/>
              <w:rPr>
                <w:bCs/>
                <w:sz w:val="18"/>
                <w:szCs w:val="18"/>
                <w:lang w:eastAsia="zh-CN"/>
              </w:rPr>
            </w:pPr>
            <w:r w:rsidRPr="00FC332B">
              <w:rPr>
                <w:bCs/>
                <w:sz w:val="18"/>
                <w:szCs w:val="18"/>
                <w:lang w:eastAsia="zh-CN"/>
              </w:rPr>
              <w:t>24,046.00</w:t>
            </w:r>
          </w:p>
        </w:tc>
        <w:tc>
          <w:tcPr>
            <w:tcW w:w="1486" w:type="dxa"/>
          </w:tcPr>
          <w:p w:rsidR="00925140" w:rsidRPr="00B6615F" w:rsidRDefault="00925140" w:rsidP="00FC332B">
            <w:pPr>
              <w:jc w:val="right"/>
              <w:rPr>
                <w:bCs/>
                <w:sz w:val="18"/>
                <w:szCs w:val="18"/>
                <w:lang w:eastAsia="zh-CN"/>
              </w:rPr>
            </w:pPr>
            <w:r w:rsidRPr="00FC332B">
              <w:rPr>
                <w:bCs/>
                <w:sz w:val="18"/>
                <w:szCs w:val="18"/>
                <w:lang w:eastAsia="zh-CN"/>
              </w:rPr>
              <w:t>5,076.00</w:t>
            </w:r>
          </w:p>
        </w:tc>
      </w:tr>
      <w:tr w:rsidR="00925140" w:rsidTr="00B6615F">
        <w:trPr>
          <w:jc w:val="center"/>
        </w:trPr>
        <w:tc>
          <w:tcPr>
            <w:tcW w:w="3410" w:type="dxa"/>
            <w:vAlign w:val="bottom"/>
          </w:tcPr>
          <w:p w:rsidR="00925140" w:rsidRPr="00BE4A7D" w:rsidRDefault="00925140" w:rsidP="00151CF2">
            <w:pPr>
              <w:rPr>
                <w:bCs/>
                <w:sz w:val="18"/>
                <w:szCs w:val="18"/>
              </w:rPr>
            </w:pPr>
            <w:r w:rsidRPr="00BE4A7D">
              <w:rPr>
                <w:color w:val="000000"/>
                <w:sz w:val="18"/>
                <w:szCs w:val="18"/>
              </w:rPr>
              <w:t>Institutional Strengthening</w:t>
            </w:r>
          </w:p>
        </w:tc>
        <w:tc>
          <w:tcPr>
            <w:tcW w:w="1484" w:type="dxa"/>
          </w:tcPr>
          <w:p w:rsidR="00925140" w:rsidRPr="00B6615F" w:rsidRDefault="00925140" w:rsidP="00151CF2">
            <w:pPr>
              <w:jc w:val="right"/>
              <w:rPr>
                <w:bCs/>
                <w:sz w:val="18"/>
                <w:szCs w:val="18"/>
                <w:lang w:eastAsia="zh-CN"/>
              </w:rPr>
            </w:pPr>
            <w:r>
              <w:rPr>
                <w:bCs/>
                <w:sz w:val="18"/>
                <w:szCs w:val="18"/>
                <w:lang w:eastAsia="zh-CN"/>
              </w:rPr>
              <w:t>0.00</w:t>
            </w:r>
          </w:p>
        </w:tc>
        <w:tc>
          <w:tcPr>
            <w:tcW w:w="1486" w:type="dxa"/>
          </w:tcPr>
          <w:p w:rsidR="00925140" w:rsidRPr="00B6615F" w:rsidRDefault="00925140" w:rsidP="00151CF2">
            <w:pPr>
              <w:jc w:val="center"/>
              <w:rPr>
                <w:bCs/>
                <w:sz w:val="18"/>
                <w:szCs w:val="18"/>
                <w:lang w:eastAsia="zh-CN"/>
              </w:rPr>
            </w:pPr>
            <w:r w:rsidRPr="00B6615F">
              <w:rPr>
                <w:bCs/>
                <w:sz w:val="18"/>
                <w:szCs w:val="18"/>
                <w:lang w:eastAsia="zh-CN"/>
              </w:rPr>
              <w:t>N/A</w:t>
            </w:r>
          </w:p>
        </w:tc>
        <w:tc>
          <w:tcPr>
            <w:tcW w:w="1484" w:type="dxa"/>
          </w:tcPr>
          <w:p w:rsidR="00925140" w:rsidRPr="00B6615F" w:rsidRDefault="00925140" w:rsidP="00151CF2">
            <w:pPr>
              <w:jc w:val="right"/>
              <w:rPr>
                <w:bCs/>
                <w:sz w:val="18"/>
                <w:szCs w:val="18"/>
                <w:lang w:eastAsia="zh-CN"/>
              </w:rPr>
            </w:pPr>
            <w:r w:rsidRPr="00151CF2">
              <w:rPr>
                <w:bCs/>
                <w:sz w:val="18"/>
                <w:szCs w:val="18"/>
                <w:lang w:eastAsia="zh-CN"/>
              </w:rPr>
              <w:t>676.58</w:t>
            </w:r>
          </w:p>
        </w:tc>
        <w:tc>
          <w:tcPr>
            <w:tcW w:w="1486" w:type="dxa"/>
          </w:tcPr>
          <w:p w:rsidR="00925140" w:rsidRPr="00B6615F" w:rsidRDefault="00925140" w:rsidP="00151CF2">
            <w:pPr>
              <w:jc w:val="center"/>
              <w:rPr>
                <w:bCs/>
                <w:sz w:val="18"/>
                <w:szCs w:val="18"/>
                <w:lang w:eastAsia="zh-CN"/>
              </w:rPr>
            </w:pPr>
            <w:r w:rsidRPr="00B6615F">
              <w:rPr>
                <w:bCs/>
                <w:sz w:val="18"/>
                <w:szCs w:val="18"/>
                <w:lang w:eastAsia="zh-CN"/>
              </w:rPr>
              <w:t>N/A</w:t>
            </w:r>
          </w:p>
        </w:tc>
      </w:tr>
      <w:tr w:rsidR="00925140" w:rsidTr="00B6615F">
        <w:trPr>
          <w:jc w:val="center"/>
        </w:trPr>
        <w:tc>
          <w:tcPr>
            <w:tcW w:w="3410" w:type="dxa"/>
            <w:vAlign w:val="bottom"/>
          </w:tcPr>
          <w:p w:rsidR="00925140" w:rsidRPr="00BE4A7D" w:rsidRDefault="00925140" w:rsidP="00151CF2">
            <w:pPr>
              <w:rPr>
                <w:sz w:val="18"/>
                <w:szCs w:val="18"/>
              </w:rPr>
            </w:pPr>
            <w:r w:rsidRPr="00BE4A7D">
              <w:rPr>
                <w:color w:val="000000"/>
                <w:sz w:val="18"/>
                <w:szCs w:val="18"/>
              </w:rPr>
              <w:t>Core Unit Cost</w:t>
            </w:r>
          </w:p>
        </w:tc>
        <w:tc>
          <w:tcPr>
            <w:tcW w:w="1484" w:type="dxa"/>
          </w:tcPr>
          <w:p w:rsidR="00925140" w:rsidRPr="00B6615F" w:rsidRDefault="00925140" w:rsidP="00151CF2">
            <w:pPr>
              <w:jc w:val="right"/>
              <w:rPr>
                <w:bCs/>
                <w:sz w:val="18"/>
                <w:szCs w:val="18"/>
                <w:lang w:eastAsia="zh-CN"/>
              </w:rPr>
            </w:pPr>
            <w:r w:rsidRPr="00151CF2">
              <w:rPr>
                <w:bCs/>
                <w:sz w:val="18"/>
                <w:szCs w:val="18"/>
                <w:lang w:eastAsia="zh-CN"/>
              </w:rPr>
              <w:t>1,</w:t>
            </w:r>
            <w:r>
              <w:rPr>
                <w:bCs/>
                <w:sz w:val="18"/>
                <w:szCs w:val="18"/>
                <w:lang w:eastAsia="zh-CN"/>
              </w:rPr>
              <w:t>735.00</w:t>
            </w:r>
          </w:p>
        </w:tc>
        <w:tc>
          <w:tcPr>
            <w:tcW w:w="1486" w:type="dxa"/>
          </w:tcPr>
          <w:p w:rsidR="00925140" w:rsidRPr="00B6615F" w:rsidRDefault="00925140" w:rsidP="00151CF2">
            <w:pPr>
              <w:jc w:val="center"/>
              <w:rPr>
                <w:bCs/>
                <w:sz w:val="18"/>
                <w:szCs w:val="18"/>
                <w:lang w:eastAsia="zh-CN"/>
              </w:rPr>
            </w:pPr>
            <w:r w:rsidRPr="00B6615F">
              <w:rPr>
                <w:bCs/>
                <w:sz w:val="18"/>
                <w:szCs w:val="18"/>
                <w:lang w:eastAsia="zh-CN"/>
              </w:rPr>
              <w:t>N/A</w:t>
            </w:r>
          </w:p>
        </w:tc>
        <w:tc>
          <w:tcPr>
            <w:tcW w:w="1484" w:type="dxa"/>
          </w:tcPr>
          <w:p w:rsidR="00925140" w:rsidRPr="00B6615F" w:rsidRDefault="00925140" w:rsidP="00151CF2">
            <w:pPr>
              <w:jc w:val="right"/>
              <w:rPr>
                <w:bCs/>
                <w:sz w:val="18"/>
                <w:szCs w:val="18"/>
                <w:lang w:eastAsia="zh-CN"/>
              </w:rPr>
            </w:pPr>
            <w:r w:rsidRPr="00151CF2">
              <w:rPr>
                <w:bCs/>
                <w:sz w:val="18"/>
                <w:szCs w:val="18"/>
                <w:lang w:eastAsia="zh-CN"/>
              </w:rPr>
              <w:t>1,</w:t>
            </w:r>
            <w:r>
              <w:rPr>
                <w:bCs/>
                <w:sz w:val="18"/>
                <w:szCs w:val="18"/>
                <w:lang w:eastAsia="zh-CN"/>
              </w:rPr>
              <w:t>735.00</w:t>
            </w:r>
          </w:p>
        </w:tc>
        <w:tc>
          <w:tcPr>
            <w:tcW w:w="1486" w:type="dxa"/>
          </w:tcPr>
          <w:p w:rsidR="00925140" w:rsidRPr="00B6615F" w:rsidRDefault="00925140" w:rsidP="00151CF2">
            <w:pPr>
              <w:jc w:val="center"/>
              <w:rPr>
                <w:bCs/>
                <w:sz w:val="18"/>
                <w:szCs w:val="18"/>
                <w:lang w:eastAsia="zh-CN"/>
              </w:rPr>
            </w:pPr>
            <w:r w:rsidRPr="00B6615F">
              <w:rPr>
                <w:bCs/>
                <w:sz w:val="18"/>
                <w:szCs w:val="18"/>
                <w:lang w:eastAsia="zh-CN"/>
              </w:rPr>
              <w:t>N/A</w:t>
            </w:r>
          </w:p>
        </w:tc>
      </w:tr>
      <w:tr w:rsidR="00925140" w:rsidTr="00B6615F">
        <w:trPr>
          <w:jc w:val="center"/>
        </w:trPr>
        <w:tc>
          <w:tcPr>
            <w:tcW w:w="3410" w:type="dxa"/>
            <w:vAlign w:val="bottom"/>
          </w:tcPr>
          <w:p w:rsidR="00925140" w:rsidRPr="00BE4A7D" w:rsidRDefault="00925140" w:rsidP="00FC332B">
            <w:pPr>
              <w:rPr>
                <w:sz w:val="18"/>
                <w:szCs w:val="18"/>
              </w:rPr>
            </w:pPr>
            <w:r w:rsidRPr="00BE4A7D">
              <w:rPr>
                <w:color w:val="000000"/>
                <w:sz w:val="18"/>
                <w:szCs w:val="18"/>
              </w:rPr>
              <w:t>Total</w:t>
            </w:r>
          </w:p>
        </w:tc>
        <w:tc>
          <w:tcPr>
            <w:tcW w:w="1484" w:type="dxa"/>
          </w:tcPr>
          <w:p w:rsidR="00925140" w:rsidRPr="00B6615F" w:rsidRDefault="00925140" w:rsidP="00FC332B">
            <w:pPr>
              <w:jc w:val="right"/>
              <w:rPr>
                <w:bCs/>
                <w:sz w:val="18"/>
                <w:szCs w:val="18"/>
                <w:lang w:eastAsia="zh-CN"/>
              </w:rPr>
            </w:pPr>
            <w:r w:rsidRPr="00FC332B">
              <w:rPr>
                <w:bCs/>
                <w:sz w:val="18"/>
                <w:szCs w:val="18"/>
                <w:lang w:eastAsia="zh-CN"/>
              </w:rPr>
              <w:t>87,821.07</w:t>
            </w:r>
          </w:p>
        </w:tc>
        <w:tc>
          <w:tcPr>
            <w:tcW w:w="1486" w:type="dxa"/>
          </w:tcPr>
          <w:p w:rsidR="00925140" w:rsidRPr="00B6615F" w:rsidRDefault="00925140" w:rsidP="00FC332B">
            <w:pPr>
              <w:jc w:val="right"/>
              <w:rPr>
                <w:bCs/>
                <w:sz w:val="18"/>
                <w:szCs w:val="18"/>
                <w:lang w:eastAsia="zh-CN"/>
              </w:rPr>
            </w:pPr>
            <w:r w:rsidRPr="00FC332B">
              <w:rPr>
                <w:bCs/>
                <w:sz w:val="18"/>
                <w:szCs w:val="18"/>
                <w:lang w:eastAsia="zh-CN"/>
              </w:rPr>
              <w:t>61.90</w:t>
            </w:r>
          </w:p>
        </w:tc>
        <w:tc>
          <w:tcPr>
            <w:tcW w:w="1484" w:type="dxa"/>
          </w:tcPr>
          <w:p w:rsidR="00925140" w:rsidRPr="00B6615F" w:rsidRDefault="00925140" w:rsidP="00FC332B">
            <w:pPr>
              <w:jc w:val="right"/>
              <w:rPr>
                <w:bCs/>
                <w:sz w:val="18"/>
                <w:szCs w:val="18"/>
                <w:lang w:eastAsia="zh-CN"/>
              </w:rPr>
            </w:pPr>
            <w:r w:rsidRPr="00FC332B">
              <w:rPr>
                <w:bCs/>
                <w:sz w:val="18"/>
                <w:szCs w:val="18"/>
                <w:lang w:eastAsia="zh-CN"/>
              </w:rPr>
              <w:t>48,713.53</w:t>
            </w:r>
          </w:p>
        </w:tc>
        <w:tc>
          <w:tcPr>
            <w:tcW w:w="1486" w:type="dxa"/>
          </w:tcPr>
          <w:p w:rsidR="00925140" w:rsidRPr="00B6615F" w:rsidRDefault="00925140" w:rsidP="00FC332B">
            <w:pPr>
              <w:jc w:val="right"/>
              <w:rPr>
                <w:bCs/>
                <w:sz w:val="18"/>
                <w:szCs w:val="18"/>
                <w:lang w:eastAsia="zh-CN"/>
              </w:rPr>
            </w:pPr>
            <w:r w:rsidRPr="00FC332B">
              <w:rPr>
                <w:bCs/>
                <w:sz w:val="18"/>
                <w:szCs w:val="18"/>
                <w:lang w:eastAsia="zh-CN"/>
              </w:rPr>
              <w:t>6,040.11</w:t>
            </w:r>
          </w:p>
        </w:tc>
      </w:tr>
      <w:bookmarkEnd w:id="5"/>
    </w:tbl>
    <w:p w:rsidR="00925140" w:rsidRPr="00CA223D" w:rsidRDefault="00925140" w:rsidP="0002088C">
      <w:pPr>
        <w:jc w:val="center"/>
        <w:rPr>
          <w:iCs/>
        </w:rPr>
      </w:pPr>
    </w:p>
    <w:p w:rsidR="00925140" w:rsidRPr="00467C00" w:rsidRDefault="00925140" w:rsidP="00547512">
      <w:pPr>
        <w:rPr>
          <w:b/>
          <w:caps/>
        </w:rPr>
      </w:pPr>
    </w:p>
    <w:p w:rsidR="00925140" w:rsidRPr="00925140" w:rsidRDefault="00925140" w:rsidP="00925140">
      <w:pPr>
        <w:pStyle w:val="Heading1"/>
        <w:keepNext/>
        <w:numPr>
          <w:ilvl w:val="0"/>
          <w:numId w:val="23"/>
        </w:numPr>
        <w:spacing w:before="240" w:after="0"/>
        <w:jc w:val="left"/>
        <w:rPr>
          <w:b/>
        </w:rPr>
      </w:pPr>
      <w:bookmarkStart w:id="6" w:name="_Toc395519918"/>
      <w:r w:rsidRPr="00925140">
        <w:rPr>
          <w:b/>
        </w:rPr>
        <w:t>PLANNED BUSINESS ACTIVITIES</w:t>
      </w:r>
      <w:bookmarkEnd w:id="6"/>
    </w:p>
    <w:p w:rsidR="00925140" w:rsidRPr="00925140" w:rsidRDefault="00925140" w:rsidP="0002088C">
      <w:pPr>
        <w:rPr>
          <w:b/>
        </w:rPr>
      </w:pPr>
    </w:p>
    <w:p w:rsidR="00925140" w:rsidRPr="00925140" w:rsidRDefault="00925140" w:rsidP="00925140">
      <w:pPr>
        <w:pStyle w:val="Heading2"/>
        <w:keepNext/>
        <w:keepLines/>
        <w:widowControl/>
        <w:numPr>
          <w:ilvl w:val="1"/>
          <w:numId w:val="23"/>
        </w:numPr>
        <w:spacing w:before="200" w:after="0"/>
        <w:ind w:left="0"/>
        <w:jc w:val="left"/>
        <w:rPr>
          <w:b/>
          <w:bCs/>
          <w:szCs w:val="24"/>
        </w:rPr>
      </w:pPr>
      <w:bookmarkStart w:id="7" w:name="_Toc395519919"/>
      <w:r w:rsidRPr="00925140">
        <w:rPr>
          <w:b/>
          <w:szCs w:val="24"/>
        </w:rPr>
        <w:t>Ongoing Approved Activities</w:t>
      </w:r>
      <w:bookmarkEnd w:id="7"/>
    </w:p>
    <w:p w:rsidR="00925140" w:rsidRPr="00CA223D" w:rsidRDefault="00925140" w:rsidP="0002088C"/>
    <w:p w:rsidR="00925140" w:rsidRPr="00716F22" w:rsidRDefault="00925140" w:rsidP="00925140">
      <w:pPr>
        <w:pStyle w:val="ListParagraph"/>
        <w:numPr>
          <w:ilvl w:val="0"/>
          <w:numId w:val="24"/>
        </w:numPr>
        <w:spacing w:after="120" w:line="276" w:lineRule="auto"/>
        <w:ind w:left="0" w:firstLine="0"/>
        <w:rPr>
          <w:sz w:val="22"/>
          <w:szCs w:val="22"/>
        </w:rPr>
      </w:pPr>
      <w:r w:rsidRPr="007F7E8E">
        <w:rPr>
          <w:sz w:val="22"/>
          <w:szCs w:val="22"/>
        </w:rPr>
        <w:t xml:space="preserve">Investment projects for which funding is requested in the </w:t>
      </w:r>
      <w:r>
        <w:rPr>
          <w:sz w:val="22"/>
          <w:szCs w:val="22"/>
        </w:rPr>
        <w:t>2018-2020</w:t>
      </w:r>
      <w:r w:rsidRPr="007F7E8E">
        <w:rPr>
          <w:sz w:val="22"/>
          <w:szCs w:val="22"/>
        </w:rPr>
        <w:t xml:space="preserve"> BP: As of </w:t>
      </w:r>
      <w:r>
        <w:rPr>
          <w:sz w:val="22"/>
          <w:szCs w:val="22"/>
        </w:rPr>
        <w:t xml:space="preserve">September </w:t>
      </w:r>
      <w:r w:rsidRPr="007F7E8E">
        <w:rPr>
          <w:sz w:val="22"/>
          <w:szCs w:val="22"/>
        </w:rPr>
        <w:t>201</w:t>
      </w:r>
      <w:r>
        <w:rPr>
          <w:sz w:val="22"/>
          <w:szCs w:val="22"/>
        </w:rPr>
        <w:t>7</w:t>
      </w:r>
      <w:r w:rsidRPr="007F7E8E">
        <w:rPr>
          <w:sz w:val="22"/>
          <w:szCs w:val="22"/>
        </w:rPr>
        <w:t>, the World Bank’s Montreal Protocol portfolio consists of</w:t>
      </w:r>
      <w:r>
        <w:rPr>
          <w:sz w:val="22"/>
          <w:szCs w:val="22"/>
        </w:rPr>
        <w:t xml:space="preserve"> six </w:t>
      </w:r>
      <w:r w:rsidRPr="007F7E8E">
        <w:rPr>
          <w:sz w:val="22"/>
          <w:szCs w:val="22"/>
        </w:rPr>
        <w:t xml:space="preserve">ongoing multi-year projects for which funding will be solicited in </w:t>
      </w:r>
      <w:r>
        <w:rPr>
          <w:sz w:val="22"/>
          <w:szCs w:val="22"/>
        </w:rPr>
        <w:t>2018-2020</w:t>
      </w:r>
      <w:r w:rsidRPr="00B03EB6">
        <w:rPr>
          <w:sz w:val="22"/>
          <w:szCs w:val="22"/>
        </w:rPr>
        <w:t>: HCFC phase</w:t>
      </w:r>
      <w:r>
        <w:rPr>
          <w:sz w:val="22"/>
          <w:szCs w:val="22"/>
        </w:rPr>
        <w:t>-</w:t>
      </w:r>
      <w:r w:rsidRPr="00B03EB6">
        <w:rPr>
          <w:sz w:val="22"/>
          <w:szCs w:val="22"/>
        </w:rPr>
        <w:t xml:space="preserve">out management and sector plans in </w:t>
      </w:r>
      <w:r>
        <w:rPr>
          <w:sz w:val="22"/>
          <w:szCs w:val="22"/>
        </w:rPr>
        <w:t xml:space="preserve">Argentina, China, Indonesia, Jordan, </w:t>
      </w:r>
      <w:r w:rsidRPr="00B03EB6">
        <w:rPr>
          <w:sz w:val="22"/>
          <w:szCs w:val="22"/>
        </w:rPr>
        <w:t>Thailand</w:t>
      </w:r>
      <w:r>
        <w:rPr>
          <w:rStyle w:val="FootnoteReference"/>
          <w:sz w:val="22"/>
          <w:szCs w:val="22"/>
        </w:rPr>
        <w:footnoteReference w:id="5"/>
      </w:r>
      <w:r>
        <w:rPr>
          <w:sz w:val="22"/>
          <w:szCs w:val="22"/>
        </w:rPr>
        <w:t>, and Vietnam</w:t>
      </w:r>
      <w:r w:rsidRPr="00B03EB6">
        <w:rPr>
          <w:sz w:val="22"/>
          <w:szCs w:val="22"/>
        </w:rPr>
        <w:t xml:space="preserve">. </w:t>
      </w:r>
    </w:p>
    <w:p w:rsidR="00925140" w:rsidRPr="004E424E" w:rsidRDefault="00925140" w:rsidP="00925140">
      <w:pPr>
        <w:pStyle w:val="ListParagraph"/>
        <w:numPr>
          <w:ilvl w:val="0"/>
          <w:numId w:val="24"/>
        </w:numPr>
        <w:spacing w:after="120" w:line="276" w:lineRule="auto"/>
        <w:ind w:left="0" w:firstLine="0"/>
        <w:rPr>
          <w:sz w:val="22"/>
          <w:szCs w:val="22"/>
        </w:rPr>
      </w:pPr>
      <w:r w:rsidRPr="00DC26BC">
        <w:rPr>
          <w:sz w:val="22"/>
          <w:szCs w:val="22"/>
        </w:rPr>
        <w:t xml:space="preserve">Non-investment projects and activities: As of </w:t>
      </w:r>
      <w:r>
        <w:rPr>
          <w:sz w:val="22"/>
          <w:szCs w:val="22"/>
        </w:rPr>
        <w:t>September 2017</w:t>
      </w:r>
      <w:r w:rsidRPr="00DC26BC">
        <w:rPr>
          <w:sz w:val="22"/>
          <w:szCs w:val="22"/>
        </w:rPr>
        <w:t>, the World Bank’s portfolio includes 2 ongoing institutional strengthening projects</w:t>
      </w:r>
      <w:r>
        <w:rPr>
          <w:sz w:val="22"/>
          <w:szCs w:val="22"/>
        </w:rPr>
        <w:t xml:space="preserve"> (Thailand and Jordan) that will be completed by the end of 2017. </w:t>
      </w:r>
    </w:p>
    <w:p w:rsidR="00925140" w:rsidRDefault="00925140" w:rsidP="0002088C"/>
    <w:p w:rsidR="00925140" w:rsidRPr="00925140" w:rsidRDefault="00925140" w:rsidP="00925140">
      <w:pPr>
        <w:pStyle w:val="Heading2"/>
        <w:keepNext/>
        <w:keepLines/>
        <w:widowControl/>
        <w:numPr>
          <w:ilvl w:val="1"/>
          <w:numId w:val="23"/>
        </w:numPr>
        <w:spacing w:before="200" w:after="0"/>
        <w:ind w:left="0"/>
        <w:jc w:val="left"/>
        <w:rPr>
          <w:b/>
          <w:bCs/>
          <w:szCs w:val="24"/>
        </w:rPr>
      </w:pPr>
      <w:bookmarkStart w:id="8" w:name="_Toc395519920"/>
      <w:r w:rsidRPr="00925140">
        <w:rPr>
          <w:b/>
          <w:szCs w:val="24"/>
        </w:rPr>
        <w:t>Program Expansion in 2017 and Beyond</w:t>
      </w:r>
      <w:bookmarkEnd w:id="8"/>
    </w:p>
    <w:p w:rsidR="00925140" w:rsidRPr="00CA223D" w:rsidRDefault="00925140" w:rsidP="00984AD1">
      <w:pPr>
        <w:pStyle w:val="ListParagraph"/>
        <w:ind w:left="1080"/>
        <w:jc w:val="both"/>
        <w:rPr>
          <w:b/>
          <w:sz w:val="22"/>
          <w:szCs w:val="22"/>
        </w:rPr>
      </w:pPr>
    </w:p>
    <w:p w:rsidR="00925140" w:rsidRDefault="00925140" w:rsidP="00925140">
      <w:pPr>
        <w:pStyle w:val="ListParagraph"/>
        <w:numPr>
          <w:ilvl w:val="0"/>
          <w:numId w:val="24"/>
        </w:numPr>
        <w:spacing w:after="120" w:line="276" w:lineRule="auto"/>
        <w:ind w:left="0" w:firstLine="0"/>
        <w:rPr>
          <w:sz w:val="22"/>
          <w:szCs w:val="22"/>
        </w:rPr>
      </w:pPr>
      <w:r>
        <w:rPr>
          <w:sz w:val="22"/>
          <w:szCs w:val="22"/>
        </w:rPr>
        <w:t xml:space="preserve">A list of detailed new and approved activities to be implemented during 2018-2020, their associated levels of funding, projected ODP impact </w:t>
      </w:r>
      <w:r>
        <w:rPr>
          <w:rFonts w:hint="eastAsia"/>
          <w:sz w:val="22"/>
          <w:szCs w:val="22"/>
          <w:lang w:eastAsia="zh-CN"/>
        </w:rPr>
        <w:t xml:space="preserve">and country specific remarks </w:t>
      </w:r>
      <w:r>
        <w:rPr>
          <w:sz w:val="22"/>
          <w:szCs w:val="22"/>
        </w:rPr>
        <w:t>is submitted as a separate table.</w:t>
      </w:r>
    </w:p>
    <w:p w:rsidR="00925140" w:rsidRDefault="00925140" w:rsidP="00547512">
      <w:pPr>
        <w:ind w:firstLine="360"/>
        <w:rPr>
          <w:u w:val="single"/>
        </w:rPr>
      </w:pPr>
    </w:p>
    <w:p w:rsidR="00925140" w:rsidRPr="0094540B" w:rsidRDefault="00925140" w:rsidP="00547512">
      <w:pPr>
        <w:ind w:firstLine="360"/>
        <w:rPr>
          <w:color w:val="FF0000"/>
          <w:u w:val="single"/>
          <w:lang w:eastAsia="zh-CN"/>
        </w:rPr>
      </w:pPr>
      <w:r w:rsidRPr="00A42D01">
        <w:rPr>
          <w:u w:val="single"/>
        </w:rPr>
        <w:t>New submissions</w:t>
      </w:r>
    </w:p>
    <w:p w:rsidR="00925140" w:rsidRPr="00CA223D" w:rsidRDefault="00925140" w:rsidP="0002088C"/>
    <w:p w:rsidR="00925140" w:rsidRDefault="00925140" w:rsidP="00925140">
      <w:pPr>
        <w:pStyle w:val="ListParagraph"/>
        <w:numPr>
          <w:ilvl w:val="0"/>
          <w:numId w:val="24"/>
        </w:numPr>
        <w:spacing w:after="120" w:line="276" w:lineRule="auto"/>
        <w:ind w:left="0" w:firstLine="0"/>
        <w:rPr>
          <w:sz w:val="22"/>
          <w:szCs w:val="22"/>
          <w:lang w:eastAsia="zh-CN"/>
        </w:rPr>
      </w:pPr>
      <w:r w:rsidRPr="00B53ACA">
        <w:t>HCFC</w:t>
      </w:r>
      <w:r>
        <w:rPr>
          <w:sz w:val="22"/>
          <w:szCs w:val="22"/>
        </w:rPr>
        <w:t xml:space="preserve"> consumption p</w:t>
      </w:r>
      <w:r w:rsidRPr="00A27ADD">
        <w:rPr>
          <w:sz w:val="22"/>
          <w:szCs w:val="22"/>
        </w:rPr>
        <w:t>hase-out Stage II</w:t>
      </w:r>
      <w:r>
        <w:rPr>
          <w:sz w:val="22"/>
          <w:szCs w:val="22"/>
        </w:rPr>
        <w:t xml:space="preserve">: As part of the World Bank 2018-2020 Business Plan, the World Bank plans to submit stage II HPMP </w:t>
      </w:r>
      <w:r w:rsidRPr="00B03EB6">
        <w:rPr>
          <w:sz w:val="22"/>
          <w:szCs w:val="22"/>
        </w:rPr>
        <w:t>proposals</w:t>
      </w:r>
      <w:r w:rsidRPr="00B03EB6">
        <w:rPr>
          <w:rFonts w:hint="eastAsia"/>
          <w:sz w:val="22"/>
          <w:szCs w:val="22"/>
          <w:lang w:eastAsia="zh-CN"/>
        </w:rPr>
        <w:t xml:space="preserve"> </w:t>
      </w:r>
      <w:r>
        <w:rPr>
          <w:sz w:val="22"/>
          <w:szCs w:val="22"/>
          <w:lang w:eastAsia="zh-CN"/>
        </w:rPr>
        <w:t xml:space="preserve">and HCFC sector plans </w:t>
      </w:r>
      <w:r w:rsidRPr="00B03EB6">
        <w:rPr>
          <w:sz w:val="22"/>
          <w:szCs w:val="22"/>
        </w:rPr>
        <w:t xml:space="preserve">for </w:t>
      </w:r>
      <w:r w:rsidRPr="00B03EB6">
        <w:rPr>
          <w:rFonts w:hint="eastAsia"/>
          <w:sz w:val="22"/>
          <w:szCs w:val="22"/>
          <w:lang w:eastAsia="zh-CN"/>
        </w:rPr>
        <w:t>Thailand</w:t>
      </w:r>
      <w:r w:rsidRPr="00B03EB6">
        <w:rPr>
          <w:sz w:val="22"/>
          <w:szCs w:val="22"/>
        </w:rPr>
        <w:t>.</w:t>
      </w:r>
      <w:r>
        <w:rPr>
          <w:sz w:val="22"/>
          <w:szCs w:val="22"/>
        </w:rPr>
        <w:t xml:space="preserve"> </w:t>
      </w:r>
    </w:p>
    <w:p w:rsidR="00925140" w:rsidRPr="00716F22" w:rsidRDefault="00925140" w:rsidP="00925140">
      <w:pPr>
        <w:pStyle w:val="ListParagraph"/>
        <w:numPr>
          <w:ilvl w:val="0"/>
          <w:numId w:val="24"/>
        </w:numPr>
        <w:spacing w:after="120" w:line="276" w:lineRule="auto"/>
        <w:ind w:left="0" w:firstLine="0"/>
        <w:rPr>
          <w:sz w:val="22"/>
          <w:szCs w:val="22"/>
          <w:lang w:eastAsia="zh-CN"/>
        </w:rPr>
      </w:pPr>
      <w:r>
        <w:rPr>
          <w:sz w:val="22"/>
          <w:szCs w:val="22"/>
        </w:rPr>
        <w:t>The stage II HPMP proposals for Philippines and stage II HPPMP for China have been submitted for consideration by the 80</w:t>
      </w:r>
      <w:r w:rsidRPr="00FC332B">
        <w:rPr>
          <w:sz w:val="22"/>
          <w:szCs w:val="22"/>
          <w:vertAlign w:val="superscript"/>
        </w:rPr>
        <w:t>th</w:t>
      </w:r>
      <w:r>
        <w:rPr>
          <w:sz w:val="22"/>
          <w:szCs w:val="22"/>
        </w:rPr>
        <w:t xml:space="preserve"> </w:t>
      </w:r>
      <w:proofErr w:type="spellStart"/>
      <w:r>
        <w:rPr>
          <w:sz w:val="22"/>
          <w:szCs w:val="22"/>
        </w:rPr>
        <w:t>ExCom</w:t>
      </w:r>
      <w:proofErr w:type="spellEnd"/>
      <w:r>
        <w:rPr>
          <w:sz w:val="22"/>
          <w:szCs w:val="22"/>
        </w:rPr>
        <w:t>. S</w:t>
      </w:r>
      <w:r w:rsidRPr="00803F13">
        <w:rPr>
          <w:sz w:val="22"/>
          <w:szCs w:val="22"/>
          <w:lang w:eastAsia="zh-CN"/>
        </w:rPr>
        <w:t xml:space="preserve">tage </w:t>
      </w:r>
      <w:r>
        <w:rPr>
          <w:sz w:val="22"/>
          <w:szCs w:val="22"/>
          <w:lang w:eastAsia="zh-CN"/>
        </w:rPr>
        <w:t xml:space="preserve">II </w:t>
      </w:r>
      <w:r w:rsidRPr="00803F13">
        <w:rPr>
          <w:sz w:val="22"/>
          <w:szCs w:val="22"/>
          <w:lang w:eastAsia="zh-CN"/>
        </w:rPr>
        <w:t xml:space="preserve">will involve </w:t>
      </w:r>
      <w:r>
        <w:rPr>
          <w:sz w:val="22"/>
          <w:szCs w:val="22"/>
          <w:lang w:eastAsia="zh-CN"/>
        </w:rPr>
        <w:t xml:space="preserve">additional </w:t>
      </w:r>
      <w:r w:rsidRPr="00803F13">
        <w:rPr>
          <w:sz w:val="22"/>
          <w:szCs w:val="22"/>
          <w:lang w:eastAsia="zh-CN"/>
        </w:rPr>
        <w:t xml:space="preserve">closure and </w:t>
      </w:r>
      <w:r>
        <w:rPr>
          <w:sz w:val="22"/>
          <w:szCs w:val="22"/>
          <w:lang w:eastAsia="zh-CN"/>
        </w:rPr>
        <w:t xml:space="preserve">require careful planning </w:t>
      </w:r>
      <w:r w:rsidRPr="00803F13">
        <w:rPr>
          <w:sz w:val="22"/>
          <w:szCs w:val="22"/>
          <w:lang w:eastAsia="zh-CN"/>
        </w:rPr>
        <w:t>to ensure that phase-out by chemical matches the situati</w:t>
      </w:r>
      <w:r>
        <w:rPr>
          <w:sz w:val="22"/>
          <w:szCs w:val="22"/>
          <w:lang w:eastAsia="zh-CN"/>
        </w:rPr>
        <w:t xml:space="preserve">on in the consumption sectors for both domestic and global markets. </w:t>
      </w:r>
      <w:r w:rsidRPr="00803F13">
        <w:rPr>
          <w:sz w:val="22"/>
          <w:szCs w:val="22"/>
          <w:lang w:eastAsia="zh-CN"/>
        </w:rPr>
        <w:t>To ensure achievement of the total capacity to be dismantled as per the agreement, examination at the plant level is needed to come up with options on how to meet the target.</w:t>
      </w:r>
      <w:r>
        <w:rPr>
          <w:rFonts w:hint="eastAsia"/>
          <w:sz w:val="22"/>
          <w:szCs w:val="22"/>
          <w:lang w:eastAsia="zh-CN"/>
        </w:rPr>
        <w:t xml:space="preserve"> </w:t>
      </w:r>
    </w:p>
    <w:p w:rsidR="00925140" w:rsidRPr="00803F13" w:rsidRDefault="00925140" w:rsidP="00925140">
      <w:pPr>
        <w:pStyle w:val="ListParagraph"/>
        <w:numPr>
          <w:ilvl w:val="0"/>
          <w:numId w:val="24"/>
        </w:numPr>
        <w:spacing w:after="120" w:line="276" w:lineRule="auto"/>
        <w:ind w:left="0" w:firstLine="0"/>
        <w:rPr>
          <w:sz w:val="22"/>
          <w:szCs w:val="22"/>
          <w:lang w:eastAsia="zh-CN"/>
        </w:rPr>
      </w:pPr>
      <w:r>
        <w:rPr>
          <w:sz w:val="22"/>
          <w:szCs w:val="22"/>
          <w:lang w:eastAsia="zh-CN"/>
        </w:rPr>
        <w:t xml:space="preserve">If </w:t>
      </w:r>
      <w:r>
        <w:rPr>
          <w:rFonts w:hint="eastAsia"/>
          <w:sz w:val="22"/>
          <w:szCs w:val="22"/>
          <w:lang w:eastAsia="zh-CN"/>
        </w:rPr>
        <w:t>C</w:t>
      </w:r>
      <w:r>
        <w:rPr>
          <w:sz w:val="22"/>
          <w:szCs w:val="22"/>
          <w:lang w:eastAsia="zh-CN"/>
        </w:rPr>
        <w:t>h</w:t>
      </w:r>
      <w:r>
        <w:rPr>
          <w:rFonts w:hint="eastAsia"/>
          <w:sz w:val="22"/>
          <w:szCs w:val="22"/>
          <w:lang w:eastAsia="zh-CN"/>
        </w:rPr>
        <w:t xml:space="preserve">ina </w:t>
      </w:r>
      <w:r>
        <w:rPr>
          <w:sz w:val="22"/>
          <w:szCs w:val="22"/>
          <w:lang w:eastAsia="zh-CN"/>
        </w:rPr>
        <w:t xml:space="preserve">Gradual </w:t>
      </w:r>
      <w:r>
        <w:rPr>
          <w:rFonts w:hint="eastAsia"/>
          <w:sz w:val="22"/>
          <w:szCs w:val="22"/>
          <w:lang w:eastAsia="zh-CN"/>
        </w:rPr>
        <w:t xml:space="preserve">Production Sector Stage II </w:t>
      </w:r>
      <w:r>
        <w:rPr>
          <w:sz w:val="22"/>
          <w:szCs w:val="22"/>
          <w:lang w:eastAsia="zh-CN"/>
        </w:rPr>
        <w:t>is approved by the 80</w:t>
      </w:r>
      <w:r w:rsidRPr="00820842">
        <w:rPr>
          <w:sz w:val="22"/>
          <w:szCs w:val="22"/>
          <w:vertAlign w:val="superscript"/>
          <w:lang w:eastAsia="zh-CN"/>
        </w:rPr>
        <w:t>th</w:t>
      </w:r>
      <w:r>
        <w:rPr>
          <w:sz w:val="22"/>
          <w:szCs w:val="22"/>
          <w:lang w:eastAsia="zh-CN"/>
        </w:rPr>
        <w:t xml:space="preserve"> </w:t>
      </w:r>
      <w:proofErr w:type="spellStart"/>
      <w:r>
        <w:rPr>
          <w:sz w:val="22"/>
          <w:szCs w:val="22"/>
          <w:lang w:eastAsia="zh-CN"/>
        </w:rPr>
        <w:t>ExCom</w:t>
      </w:r>
      <w:proofErr w:type="spellEnd"/>
      <w:r>
        <w:rPr>
          <w:sz w:val="22"/>
          <w:szCs w:val="22"/>
          <w:lang w:eastAsia="zh-CN"/>
        </w:rPr>
        <w:t xml:space="preserve">, it </w:t>
      </w:r>
      <w:r>
        <w:rPr>
          <w:rFonts w:hint="eastAsia"/>
          <w:sz w:val="22"/>
          <w:szCs w:val="22"/>
          <w:lang w:eastAsia="zh-CN"/>
        </w:rPr>
        <w:t xml:space="preserve">will start </w:t>
      </w:r>
      <w:r>
        <w:rPr>
          <w:sz w:val="22"/>
          <w:szCs w:val="22"/>
          <w:lang w:eastAsia="zh-CN"/>
        </w:rPr>
        <w:t>implementation</w:t>
      </w:r>
      <w:r>
        <w:rPr>
          <w:rFonts w:hint="eastAsia"/>
          <w:sz w:val="22"/>
          <w:szCs w:val="22"/>
          <w:lang w:eastAsia="zh-CN"/>
        </w:rPr>
        <w:t xml:space="preserve"> in 201</w:t>
      </w:r>
      <w:r>
        <w:rPr>
          <w:sz w:val="22"/>
          <w:szCs w:val="22"/>
          <w:lang w:eastAsia="zh-CN"/>
        </w:rPr>
        <w:t>8</w:t>
      </w:r>
      <w:r>
        <w:rPr>
          <w:rFonts w:hint="eastAsia"/>
          <w:sz w:val="22"/>
          <w:szCs w:val="22"/>
          <w:lang w:eastAsia="zh-CN"/>
        </w:rPr>
        <w:t xml:space="preserve">, all the </w:t>
      </w:r>
      <w:r>
        <w:rPr>
          <w:sz w:val="22"/>
          <w:szCs w:val="22"/>
          <w:lang w:eastAsia="zh-CN"/>
        </w:rPr>
        <w:t>figure</w:t>
      </w:r>
      <w:r>
        <w:rPr>
          <w:rFonts w:hint="eastAsia"/>
          <w:sz w:val="22"/>
          <w:szCs w:val="22"/>
          <w:lang w:eastAsia="zh-CN"/>
        </w:rPr>
        <w:t xml:space="preserve">s </w:t>
      </w:r>
      <w:r>
        <w:rPr>
          <w:sz w:val="22"/>
          <w:szCs w:val="22"/>
          <w:lang w:eastAsia="zh-CN"/>
        </w:rPr>
        <w:t>include</w:t>
      </w:r>
      <w:r>
        <w:rPr>
          <w:rFonts w:hint="eastAsia"/>
          <w:sz w:val="22"/>
          <w:szCs w:val="22"/>
          <w:lang w:eastAsia="zh-CN"/>
        </w:rPr>
        <w:t xml:space="preserve">d in the </w:t>
      </w:r>
      <w:r>
        <w:rPr>
          <w:sz w:val="22"/>
          <w:szCs w:val="22"/>
          <w:lang w:eastAsia="zh-CN"/>
        </w:rPr>
        <w:t>business</w:t>
      </w:r>
      <w:r>
        <w:rPr>
          <w:rFonts w:hint="eastAsia"/>
          <w:sz w:val="22"/>
          <w:szCs w:val="22"/>
          <w:lang w:eastAsia="zh-CN"/>
        </w:rPr>
        <w:t xml:space="preserve"> plan are </w:t>
      </w:r>
      <w:r>
        <w:rPr>
          <w:sz w:val="22"/>
          <w:szCs w:val="22"/>
          <w:lang w:eastAsia="zh-CN"/>
        </w:rPr>
        <w:t>based on the proposed plan as submitted</w:t>
      </w:r>
      <w:r>
        <w:rPr>
          <w:rFonts w:hint="eastAsia"/>
          <w:sz w:val="22"/>
          <w:szCs w:val="22"/>
          <w:lang w:eastAsia="zh-CN"/>
        </w:rPr>
        <w:t>.</w:t>
      </w:r>
    </w:p>
    <w:p w:rsidR="00925140" w:rsidRPr="00CA223D" w:rsidRDefault="00925140" w:rsidP="0002088C"/>
    <w:p w:rsidR="00925140" w:rsidRPr="00925140" w:rsidRDefault="00925140" w:rsidP="00925140">
      <w:pPr>
        <w:pStyle w:val="Heading2"/>
        <w:keepNext/>
        <w:keepLines/>
        <w:widowControl/>
        <w:numPr>
          <w:ilvl w:val="1"/>
          <w:numId w:val="23"/>
        </w:numPr>
        <w:spacing w:before="200" w:after="0"/>
        <w:ind w:left="0"/>
        <w:jc w:val="left"/>
        <w:rPr>
          <w:b/>
          <w:bCs/>
          <w:szCs w:val="24"/>
        </w:rPr>
      </w:pPr>
      <w:bookmarkStart w:id="9" w:name="_Toc395519921"/>
      <w:r w:rsidRPr="00925140">
        <w:rPr>
          <w:b/>
          <w:szCs w:val="24"/>
        </w:rPr>
        <w:t>Measures to Expedite Implementation of Approved Projects and Those Critical to Compliance</w:t>
      </w:r>
      <w:bookmarkEnd w:id="9"/>
      <w:r w:rsidRPr="00925140">
        <w:rPr>
          <w:rFonts w:hint="eastAsia"/>
          <w:b/>
          <w:szCs w:val="24"/>
          <w:lang w:eastAsia="zh-CN"/>
        </w:rPr>
        <w:t xml:space="preserve"> </w:t>
      </w:r>
    </w:p>
    <w:p w:rsidR="00925140" w:rsidRPr="004C1A5B" w:rsidRDefault="00925140" w:rsidP="00A42D01">
      <w:pPr>
        <w:pStyle w:val="ListParagraph"/>
        <w:ind w:left="1080"/>
        <w:jc w:val="both"/>
        <w:rPr>
          <w:sz w:val="22"/>
          <w:szCs w:val="22"/>
        </w:rPr>
      </w:pPr>
    </w:p>
    <w:p w:rsidR="00925140" w:rsidRPr="00716F22" w:rsidRDefault="00925140" w:rsidP="00925140">
      <w:pPr>
        <w:pStyle w:val="ListParagraph"/>
        <w:numPr>
          <w:ilvl w:val="0"/>
          <w:numId w:val="24"/>
        </w:numPr>
        <w:spacing w:after="120" w:line="276" w:lineRule="auto"/>
        <w:ind w:left="0" w:firstLine="0"/>
        <w:rPr>
          <w:sz w:val="22"/>
          <w:szCs w:val="22"/>
        </w:rPr>
      </w:pPr>
      <w:r w:rsidRPr="00B53ACA">
        <w:t>201</w:t>
      </w:r>
      <w:r>
        <w:t>8</w:t>
      </w:r>
      <w:r w:rsidRPr="004C1A5B">
        <w:rPr>
          <w:sz w:val="22"/>
          <w:szCs w:val="22"/>
        </w:rPr>
        <w:t xml:space="preserve"> will be </w:t>
      </w:r>
      <w:r>
        <w:rPr>
          <w:sz w:val="22"/>
          <w:szCs w:val="22"/>
        </w:rPr>
        <w:t xml:space="preserve">first </w:t>
      </w:r>
      <w:r w:rsidRPr="004C1A5B">
        <w:rPr>
          <w:sz w:val="22"/>
          <w:szCs w:val="22"/>
        </w:rPr>
        <w:t xml:space="preserve">year that Stage </w:t>
      </w:r>
      <w:r>
        <w:rPr>
          <w:sz w:val="22"/>
          <w:szCs w:val="22"/>
        </w:rPr>
        <w:t>I</w:t>
      </w:r>
      <w:r w:rsidRPr="004C1A5B">
        <w:rPr>
          <w:sz w:val="22"/>
          <w:szCs w:val="22"/>
        </w:rPr>
        <w:t xml:space="preserve">I HPMPs </w:t>
      </w:r>
      <w:r>
        <w:rPr>
          <w:sz w:val="22"/>
          <w:szCs w:val="22"/>
        </w:rPr>
        <w:t xml:space="preserve">for Philippines and Thailand </w:t>
      </w:r>
      <w:r w:rsidRPr="004C1A5B">
        <w:rPr>
          <w:sz w:val="22"/>
          <w:szCs w:val="22"/>
        </w:rPr>
        <w:t xml:space="preserve">and HCFC sector plans, including </w:t>
      </w:r>
      <w:r>
        <w:rPr>
          <w:sz w:val="22"/>
          <w:szCs w:val="22"/>
        </w:rPr>
        <w:t xml:space="preserve">Argentina that was </w:t>
      </w:r>
      <w:r w:rsidRPr="004C1A5B">
        <w:rPr>
          <w:sz w:val="22"/>
          <w:szCs w:val="22"/>
        </w:rPr>
        <w:t xml:space="preserve">approved in </w:t>
      </w:r>
      <w:r>
        <w:rPr>
          <w:sz w:val="22"/>
          <w:szCs w:val="22"/>
        </w:rPr>
        <w:t>July 2017,</w:t>
      </w:r>
      <w:r w:rsidRPr="004C1A5B">
        <w:rPr>
          <w:sz w:val="22"/>
          <w:szCs w:val="22"/>
        </w:rPr>
        <w:t xml:space="preserve"> will be under implementation by the </w:t>
      </w:r>
      <w:r>
        <w:rPr>
          <w:sz w:val="22"/>
          <w:szCs w:val="22"/>
        </w:rPr>
        <w:t>World Bank’s partner countries.</w:t>
      </w:r>
      <w:r w:rsidRPr="004C1A5B">
        <w:rPr>
          <w:sz w:val="22"/>
          <w:szCs w:val="22"/>
        </w:rPr>
        <w:t xml:space="preserve"> Consequently, the Bank will utilize all resources at its disposal to support countries in overseeing conversions in manufacturing and HCFC production phase-down while revising and introducing new policy and legislation at the sector and national levels.  This support will include at minimum two supervision missions per project, greater use of video and teleconferencing, and provision of targeted technical and policy expertise as required.  Alongside implementation, the Bank will ensure that is partners maintain a longer term vision of their national HCFC phase</w:t>
      </w:r>
      <w:r>
        <w:rPr>
          <w:sz w:val="22"/>
          <w:szCs w:val="22"/>
        </w:rPr>
        <w:t>-</w:t>
      </w:r>
      <w:r w:rsidRPr="004C1A5B">
        <w:rPr>
          <w:sz w:val="22"/>
          <w:szCs w:val="22"/>
        </w:rPr>
        <w:t>out programs vis-à-vi</w:t>
      </w:r>
      <w:r>
        <w:rPr>
          <w:sz w:val="22"/>
          <w:szCs w:val="22"/>
        </w:rPr>
        <w:t xml:space="preserve">s MP obligations beyond 2015.  </w:t>
      </w:r>
      <w:r w:rsidRPr="004C1A5B">
        <w:rPr>
          <w:sz w:val="22"/>
          <w:szCs w:val="22"/>
        </w:rPr>
        <w:t>It will for example, act to bridge project technical assistance activities at the country level with international technological developments so that countries may be better prepared when initiating Stage II work.</w:t>
      </w:r>
    </w:p>
    <w:p w:rsidR="00925140" w:rsidRPr="00820842" w:rsidRDefault="00925140" w:rsidP="00925140">
      <w:pPr>
        <w:pStyle w:val="ListParagraph"/>
        <w:numPr>
          <w:ilvl w:val="0"/>
          <w:numId w:val="24"/>
        </w:numPr>
        <w:spacing w:after="120" w:line="276" w:lineRule="auto"/>
        <w:ind w:left="0" w:firstLine="0"/>
        <w:rPr>
          <w:sz w:val="22"/>
          <w:szCs w:val="22"/>
        </w:rPr>
      </w:pPr>
      <w:r>
        <w:rPr>
          <w:color w:val="000000"/>
          <w:sz w:val="22"/>
          <w:szCs w:val="22"/>
        </w:rPr>
        <w:t xml:space="preserve">The Bank is planning to continue the organization of East Asia </w:t>
      </w:r>
      <w:r w:rsidRPr="004C1A5B">
        <w:rPr>
          <w:color w:val="000000"/>
          <w:sz w:val="22"/>
          <w:szCs w:val="22"/>
        </w:rPr>
        <w:t>regional workshop</w:t>
      </w:r>
      <w:r>
        <w:rPr>
          <w:color w:val="000000"/>
          <w:sz w:val="22"/>
          <w:szCs w:val="22"/>
        </w:rPr>
        <w:t>s</w:t>
      </w:r>
      <w:r w:rsidRPr="004C1A5B">
        <w:rPr>
          <w:color w:val="000000"/>
          <w:sz w:val="22"/>
          <w:szCs w:val="22"/>
        </w:rPr>
        <w:t xml:space="preserve"> again in 201</w:t>
      </w:r>
      <w:r>
        <w:rPr>
          <w:color w:val="000000"/>
          <w:sz w:val="22"/>
          <w:szCs w:val="22"/>
        </w:rPr>
        <w:t>8</w:t>
      </w:r>
      <w:r w:rsidRPr="004C1A5B">
        <w:rPr>
          <w:color w:val="000000"/>
          <w:sz w:val="22"/>
          <w:szCs w:val="22"/>
        </w:rPr>
        <w:t xml:space="preserve"> for technical and procedural guidance to partner countries from the World Bank and external experts, exchange of views, and cross-fertilization on efficient and effective</w:t>
      </w:r>
      <w:r>
        <w:rPr>
          <w:color w:val="000000"/>
          <w:sz w:val="22"/>
          <w:szCs w:val="22"/>
        </w:rPr>
        <w:t xml:space="preserve"> HCFC phase-out implementation. Another workshop will also be organized in 2018 to promote synergy between climate, energy efficiency and ozone activities. This workshop will be the fourth of its kind that was first successfully organized in 2015. T</w:t>
      </w:r>
      <w:r w:rsidRPr="004C1A5B">
        <w:rPr>
          <w:color w:val="000000"/>
          <w:sz w:val="22"/>
          <w:szCs w:val="22"/>
        </w:rPr>
        <w:t>he workshop will be complemented by sector-specific technical reviews of new and emerging low-GWP alternatives by the Bank’s Ozone Operations Resource Group directed towards the specific needs of partner countries.</w:t>
      </w:r>
    </w:p>
    <w:p w:rsidR="00925140" w:rsidRPr="00820842" w:rsidRDefault="00925140" w:rsidP="00925140">
      <w:pPr>
        <w:pStyle w:val="ListParagraph"/>
        <w:numPr>
          <w:ilvl w:val="0"/>
          <w:numId w:val="24"/>
        </w:numPr>
        <w:spacing w:after="120" w:line="276" w:lineRule="auto"/>
        <w:ind w:left="0" w:firstLine="0"/>
        <w:rPr>
          <w:sz w:val="22"/>
          <w:szCs w:val="22"/>
        </w:rPr>
      </w:pPr>
      <w:r w:rsidRPr="00820842">
        <w:rPr>
          <w:color w:val="000000"/>
          <w:sz w:val="22"/>
          <w:szCs w:val="22"/>
        </w:rPr>
        <w:t xml:space="preserve">Lastly, in helping partner countries consider options for addressing Stage II consumption phase-out, particularly where grant funding may be limited due to eligibility, cost-effectiveness ceilings and specific sector funding boundaries, the World Bank is exploring means to better integrate the MP agenda into its main line of work. Beyond the identification of synergies in the Bank’s larger lending portfolio, there will be continuing efforts in 2018 to seek out concrete opportunities that allow ODS sector phase-out to be twinned with new projects aiming for green growth and improving energy efficiency in industry, energy, agriculture, infrastructure, and other sectors. This also include projects for Philippines, Thailand and Vietnam to improve energy efficiency in room air-conditioners with </w:t>
      </w:r>
      <w:r>
        <w:rPr>
          <w:color w:val="000000"/>
          <w:sz w:val="22"/>
          <w:szCs w:val="22"/>
        </w:rPr>
        <w:t xml:space="preserve">proposed </w:t>
      </w:r>
      <w:r w:rsidRPr="00820842">
        <w:rPr>
          <w:color w:val="000000"/>
          <w:sz w:val="22"/>
          <w:szCs w:val="22"/>
        </w:rPr>
        <w:t>funding from Kigali Cooling Efficiency Program (K-CEP)</w:t>
      </w:r>
      <w:r>
        <w:rPr>
          <w:color w:val="000000"/>
          <w:sz w:val="22"/>
          <w:szCs w:val="22"/>
        </w:rPr>
        <w:t xml:space="preserve">. </w:t>
      </w:r>
    </w:p>
    <w:p w:rsidR="00925140" w:rsidRPr="00CA223D" w:rsidRDefault="00925140" w:rsidP="00DF6138">
      <w:pPr>
        <w:pStyle w:val="ListParagraph"/>
        <w:rPr>
          <w:sz w:val="22"/>
          <w:szCs w:val="22"/>
          <w:lang w:eastAsia="zh-CN"/>
        </w:rPr>
      </w:pPr>
    </w:p>
    <w:p w:rsidR="00925140" w:rsidRPr="00925140" w:rsidRDefault="00925140" w:rsidP="00925140">
      <w:pPr>
        <w:pStyle w:val="Heading1"/>
        <w:keepNext/>
        <w:numPr>
          <w:ilvl w:val="0"/>
          <w:numId w:val="23"/>
        </w:numPr>
        <w:spacing w:before="240"/>
        <w:jc w:val="left"/>
        <w:rPr>
          <w:b/>
        </w:rPr>
      </w:pPr>
      <w:bookmarkStart w:id="10" w:name="_Toc395519922"/>
      <w:r w:rsidRPr="00925140">
        <w:rPr>
          <w:b/>
        </w:rPr>
        <w:t>PERFORMANCE INDICATORS</w:t>
      </w:r>
      <w:bookmarkEnd w:id="10"/>
    </w:p>
    <w:p w:rsidR="00925140" w:rsidRPr="00CA223D" w:rsidRDefault="00925140" w:rsidP="0002088C"/>
    <w:p w:rsidR="00925140" w:rsidRPr="007932FA" w:rsidRDefault="00925140" w:rsidP="00925140">
      <w:pPr>
        <w:pStyle w:val="ListParagraph"/>
        <w:numPr>
          <w:ilvl w:val="0"/>
          <w:numId w:val="24"/>
        </w:numPr>
        <w:spacing w:after="120" w:line="276" w:lineRule="auto"/>
        <w:ind w:left="0" w:firstLine="0"/>
        <w:rPr>
          <w:sz w:val="22"/>
          <w:szCs w:val="22"/>
        </w:rPr>
      </w:pPr>
      <w:r>
        <w:rPr>
          <w:sz w:val="22"/>
          <w:szCs w:val="22"/>
        </w:rPr>
        <w:t>As per Decision 71</w:t>
      </w:r>
      <w:r w:rsidRPr="00CA223D">
        <w:rPr>
          <w:sz w:val="22"/>
          <w:szCs w:val="22"/>
        </w:rPr>
        <w:t>/</w:t>
      </w:r>
      <w:r>
        <w:rPr>
          <w:sz w:val="22"/>
          <w:szCs w:val="22"/>
        </w:rPr>
        <w:t>28</w:t>
      </w:r>
      <w:r w:rsidRPr="00CA223D">
        <w:rPr>
          <w:sz w:val="22"/>
          <w:szCs w:val="22"/>
        </w:rPr>
        <w:t xml:space="preserve">, the following performance indicators are included in the World Bank’s </w:t>
      </w:r>
      <w:r>
        <w:rPr>
          <w:sz w:val="22"/>
          <w:szCs w:val="22"/>
        </w:rPr>
        <w:t>2018-2020</w:t>
      </w:r>
      <w:r w:rsidRPr="00CA223D">
        <w:rPr>
          <w:sz w:val="22"/>
          <w:szCs w:val="22"/>
        </w:rPr>
        <w:t xml:space="preserve"> Business Plan:</w:t>
      </w:r>
    </w:p>
    <w:p w:rsidR="00925140" w:rsidRPr="00925140" w:rsidRDefault="00925140" w:rsidP="00925140">
      <w:pPr>
        <w:pStyle w:val="Heading2"/>
        <w:keepNext/>
        <w:keepLines/>
        <w:widowControl/>
        <w:numPr>
          <w:ilvl w:val="1"/>
          <w:numId w:val="23"/>
        </w:numPr>
        <w:spacing w:before="200" w:after="0"/>
        <w:ind w:left="0"/>
        <w:jc w:val="left"/>
        <w:rPr>
          <w:b/>
          <w:bCs/>
          <w:szCs w:val="24"/>
        </w:rPr>
      </w:pPr>
      <w:bookmarkStart w:id="11" w:name="_Toc395519923"/>
      <w:r w:rsidRPr="00925140">
        <w:rPr>
          <w:b/>
          <w:szCs w:val="24"/>
        </w:rPr>
        <w:t>Planning--Approval Performance Indicators</w:t>
      </w:r>
      <w:bookmarkEnd w:id="11"/>
    </w:p>
    <w:p w:rsidR="00925140" w:rsidRPr="00CA223D" w:rsidRDefault="00925140" w:rsidP="0002088C"/>
    <w:p w:rsidR="00925140" w:rsidRPr="004236A1" w:rsidRDefault="00925140" w:rsidP="00925140">
      <w:pPr>
        <w:pStyle w:val="ListParagraph"/>
        <w:numPr>
          <w:ilvl w:val="0"/>
          <w:numId w:val="24"/>
        </w:numPr>
        <w:spacing w:after="120" w:line="276" w:lineRule="auto"/>
        <w:ind w:left="0" w:firstLine="0"/>
        <w:rPr>
          <w:sz w:val="22"/>
          <w:szCs w:val="22"/>
        </w:rPr>
      </w:pPr>
      <w:r w:rsidRPr="004236A1">
        <w:rPr>
          <w:sz w:val="22"/>
          <w:szCs w:val="22"/>
        </w:rPr>
        <w:t>Number of tranches of multi-year agreements approved vs. those planned</w:t>
      </w:r>
      <w:r>
        <w:rPr>
          <w:sz w:val="22"/>
          <w:szCs w:val="22"/>
        </w:rPr>
        <w:t xml:space="preserve"> </w:t>
      </w:r>
      <w:r w:rsidRPr="0090379D">
        <w:rPr>
          <w:sz w:val="22"/>
          <w:szCs w:val="22"/>
        </w:rPr>
        <w:t>(</w:t>
      </w:r>
      <w:r w:rsidRPr="0090379D">
        <w:rPr>
          <w:sz w:val="22"/>
          <w:szCs w:val="22"/>
          <w:u w:val="single"/>
        </w:rPr>
        <w:t xml:space="preserve">Weighting: </w:t>
      </w:r>
      <w:r>
        <w:t>1</w:t>
      </w:r>
      <w:r w:rsidRPr="00B53ACA">
        <w:t>0</w:t>
      </w:r>
      <w:r w:rsidRPr="0090379D">
        <w:rPr>
          <w:sz w:val="22"/>
          <w:szCs w:val="22"/>
        </w:rPr>
        <w:t>)</w:t>
      </w:r>
    </w:p>
    <w:p w:rsidR="00925140" w:rsidRPr="004236A1" w:rsidRDefault="00925140" w:rsidP="0002088C"/>
    <w:p w:rsidR="00925140" w:rsidRPr="004236A1" w:rsidRDefault="00925140" w:rsidP="0002088C">
      <w:pPr>
        <w:jc w:val="center"/>
        <w:rPr>
          <w:sz w:val="18"/>
          <w:szCs w:val="18"/>
        </w:rPr>
      </w:pPr>
      <w:r w:rsidRPr="004236A1">
        <w:rPr>
          <w:sz w:val="18"/>
          <w:szCs w:val="18"/>
        </w:rPr>
        <w:t>Table III-1: Number of annual programs of multi-year agreements planned for 201</w:t>
      </w:r>
      <w:r>
        <w:rPr>
          <w:sz w:val="18"/>
          <w:szCs w:val="18"/>
        </w:rPr>
        <w:t>8</w:t>
      </w:r>
    </w:p>
    <w:p w:rsidR="00925140" w:rsidRPr="004236A1" w:rsidRDefault="00925140" w:rsidP="0002088C">
      <w:pPr>
        <w:jc w:val="center"/>
      </w:pPr>
    </w:p>
    <w:tbl>
      <w:tblPr>
        <w:tblStyle w:val="TableGrid"/>
        <w:tblW w:w="0" w:type="auto"/>
        <w:jc w:val="center"/>
        <w:tblLook w:val="04A0" w:firstRow="1" w:lastRow="0" w:firstColumn="1" w:lastColumn="0" w:noHBand="0" w:noVBand="1"/>
      </w:tblPr>
      <w:tblGrid>
        <w:gridCol w:w="2662"/>
        <w:gridCol w:w="898"/>
        <w:gridCol w:w="5790"/>
      </w:tblGrid>
      <w:tr w:rsidR="00925140" w:rsidRPr="004236A1" w:rsidTr="00BC7C7F">
        <w:trPr>
          <w:jc w:val="center"/>
        </w:trPr>
        <w:tc>
          <w:tcPr>
            <w:tcW w:w="2718" w:type="dxa"/>
          </w:tcPr>
          <w:p w:rsidR="00925140" w:rsidRPr="004236A1" w:rsidRDefault="00925140" w:rsidP="0002088C">
            <w:pPr>
              <w:jc w:val="center"/>
              <w:rPr>
                <w:sz w:val="18"/>
                <w:szCs w:val="18"/>
              </w:rPr>
            </w:pPr>
            <w:r w:rsidRPr="004236A1">
              <w:rPr>
                <w:b/>
                <w:bCs/>
                <w:sz w:val="18"/>
                <w:szCs w:val="18"/>
              </w:rPr>
              <w:t>Item</w:t>
            </w:r>
          </w:p>
        </w:tc>
        <w:tc>
          <w:tcPr>
            <w:tcW w:w="900" w:type="dxa"/>
            <w:vAlign w:val="center"/>
          </w:tcPr>
          <w:p w:rsidR="00925140" w:rsidRPr="004236A1" w:rsidRDefault="00925140" w:rsidP="00004423">
            <w:pPr>
              <w:jc w:val="center"/>
              <w:rPr>
                <w:b/>
                <w:sz w:val="18"/>
                <w:szCs w:val="18"/>
              </w:rPr>
            </w:pPr>
            <w:r w:rsidRPr="004236A1">
              <w:rPr>
                <w:b/>
                <w:sz w:val="18"/>
                <w:szCs w:val="18"/>
              </w:rPr>
              <w:t>Planned for 201</w:t>
            </w:r>
            <w:r>
              <w:rPr>
                <w:b/>
                <w:sz w:val="18"/>
                <w:szCs w:val="18"/>
              </w:rPr>
              <w:t>8</w:t>
            </w:r>
          </w:p>
        </w:tc>
        <w:tc>
          <w:tcPr>
            <w:tcW w:w="5958" w:type="dxa"/>
          </w:tcPr>
          <w:p w:rsidR="00925140" w:rsidRPr="004236A1" w:rsidRDefault="00925140" w:rsidP="0002088C">
            <w:pPr>
              <w:jc w:val="center"/>
              <w:rPr>
                <w:b/>
                <w:sz w:val="18"/>
                <w:szCs w:val="18"/>
              </w:rPr>
            </w:pPr>
            <w:r w:rsidRPr="004236A1">
              <w:rPr>
                <w:b/>
                <w:sz w:val="18"/>
                <w:szCs w:val="18"/>
              </w:rPr>
              <w:t>Remarks</w:t>
            </w:r>
          </w:p>
        </w:tc>
      </w:tr>
      <w:tr w:rsidR="00925140" w:rsidRPr="004236A1" w:rsidTr="00BC7C7F">
        <w:trPr>
          <w:jc w:val="center"/>
        </w:trPr>
        <w:tc>
          <w:tcPr>
            <w:tcW w:w="2718" w:type="dxa"/>
            <w:vAlign w:val="center"/>
          </w:tcPr>
          <w:p w:rsidR="00925140" w:rsidRPr="004236A1" w:rsidRDefault="00925140" w:rsidP="00B6615F">
            <w:pPr>
              <w:rPr>
                <w:sz w:val="18"/>
                <w:szCs w:val="18"/>
              </w:rPr>
            </w:pPr>
            <w:r w:rsidRPr="004236A1">
              <w:rPr>
                <w:sz w:val="18"/>
                <w:szCs w:val="18"/>
              </w:rPr>
              <w:t xml:space="preserve">Tranches of previously approved multi-year agreements to be presented to </w:t>
            </w:r>
            <w:proofErr w:type="spellStart"/>
            <w:r w:rsidRPr="004236A1">
              <w:rPr>
                <w:sz w:val="18"/>
                <w:szCs w:val="18"/>
              </w:rPr>
              <w:t>ExCom</w:t>
            </w:r>
            <w:proofErr w:type="spellEnd"/>
            <w:r w:rsidRPr="004236A1">
              <w:rPr>
                <w:sz w:val="18"/>
                <w:szCs w:val="18"/>
              </w:rPr>
              <w:t xml:space="preserve"> in 201</w:t>
            </w:r>
            <w:r>
              <w:rPr>
                <w:sz w:val="18"/>
                <w:szCs w:val="18"/>
              </w:rPr>
              <w:t>8</w:t>
            </w:r>
          </w:p>
        </w:tc>
        <w:tc>
          <w:tcPr>
            <w:tcW w:w="900" w:type="dxa"/>
            <w:vAlign w:val="center"/>
          </w:tcPr>
          <w:p w:rsidR="00925140" w:rsidRPr="004236A1" w:rsidRDefault="00925140" w:rsidP="00BC7C7F">
            <w:pPr>
              <w:jc w:val="center"/>
              <w:rPr>
                <w:sz w:val="18"/>
                <w:szCs w:val="18"/>
                <w:lang w:eastAsia="zh-CN"/>
              </w:rPr>
            </w:pPr>
            <w:r>
              <w:rPr>
                <w:sz w:val="18"/>
                <w:szCs w:val="18"/>
                <w:lang w:eastAsia="zh-CN"/>
              </w:rPr>
              <w:t>5</w:t>
            </w:r>
          </w:p>
        </w:tc>
        <w:tc>
          <w:tcPr>
            <w:tcW w:w="5958" w:type="dxa"/>
            <w:vAlign w:val="center"/>
          </w:tcPr>
          <w:p w:rsidR="00925140" w:rsidRPr="004236A1" w:rsidRDefault="00925140" w:rsidP="002A0DD3">
            <w:pPr>
              <w:rPr>
                <w:sz w:val="18"/>
                <w:szCs w:val="18"/>
                <w:lang w:eastAsia="zh-CN"/>
              </w:rPr>
            </w:pPr>
            <w:r w:rsidRPr="004236A1">
              <w:rPr>
                <w:sz w:val="18"/>
                <w:szCs w:val="18"/>
                <w:lang w:eastAsia="zh-CN"/>
              </w:rPr>
              <w:t>HCFC Phase-out Plan (</w:t>
            </w:r>
            <w:r>
              <w:rPr>
                <w:sz w:val="18"/>
                <w:szCs w:val="18"/>
                <w:lang w:eastAsia="zh-CN"/>
              </w:rPr>
              <w:t>China, Indonesia, Jordan, Thailand</w:t>
            </w:r>
            <w:r>
              <w:rPr>
                <w:rStyle w:val="FootnoteReference"/>
                <w:sz w:val="18"/>
                <w:szCs w:val="18"/>
                <w:lang w:eastAsia="zh-CN"/>
              </w:rPr>
              <w:footnoteReference w:id="6"/>
            </w:r>
            <w:r>
              <w:rPr>
                <w:sz w:val="18"/>
                <w:szCs w:val="18"/>
                <w:lang w:eastAsia="zh-CN"/>
              </w:rPr>
              <w:t>, and Vietnam)</w:t>
            </w:r>
          </w:p>
        </w:tc>
      </w:tr>
    </w:tbl>
    <w:p w:rsidR="00925140" w:rsidRPr="004236A1" w:rsidRDefault="00925140" w:rsidP="0002088C"/>
    <w:p w:rsidR="00925140" w:rsidRPr="004236A1" w:rsidRDefault="00925140" w:rsidP="00925140">
      <w:pPr>
        <w:pStyle w:val="ListParagraph"/>
        <w:numPr>
          <w:ilvl w:val="0"/>
          <w:numId w:val="24"/>
        </w:numPr>
        <w:spacing w:after="120" w:line="276" w:lineRule="auto"/>
        <w:ind w:left="0" w:firstLine="0"/>
        <w:rPr>
          <w:sz w:val="22"/>
          <w:szCs w:val="22"/>
        </w:rPr>
      </w:pPr>
      <w:r w:rsidRPr="004236A1">
        <w:rPr>
          <w:sz w:val="22"/>
          <w:szCs w:val="22"/>
        </w:rPr>
        <w:t>Number of individual projects/ activities (investment, demonstration projects, TAS, IS) approved vs. those planned. (</w:t>
      </w:r>
      <w:r w:rsidRPr="004236A1">
        <w:rPr>
          <w:sz w:val="22"/>
          <w:szCs w:val="22"/>
          <w:u w:val="single"/>
        </w:rPr>
        <w:t>Weighting: 10</w:t>
      </w:r>
      <w:r w:rsidRPr="004236A1">
        <w:rPr>
          <w:sz w:val="22"/>
          <w:szCs w:val="22"/>
        </w:rPr>
        <w:t>)</w:t>
      </w:r>
    </w:p>
    <w:p w:rsidR="00925140" w:rsidRPr="004236A1" w:rsidRDefault="00925140" w:rsidP="0002088C"/>
    <w:p w:rsidR="00925140" w:rsidRPr="004236A1" w:rsidRDefault="00925140" w:rsidP="0002088C">
      <w:pPr>
        <w:jc w:val="center"/>
        <w:rPr>
          <w:sz w:val="18"/>
          <w:szCs w:val="18"/>
        </w:rPr>
      </w:pPr>
      <w:r w:rsidRPr="004236A1">
        <w:rPr>
          <w:sz w:val="18"/>
          <w:szCs w:val="18"/>
        </w:rPr>
        <w:t>Table III-2: Number of individual projects/ activities planned for 201</w:t>
      </w:r>
      <w:r>
        <w:rPr>
          <w:sz w:val="18"/>
          <w:szCs w:val="18"/>
        </w:rPr>
        <w:t>8</w:t>
      </w:r>
    </w:p>
    <w:p w:rsidR="00925140" w:rsidRPr="004236A1" w:rsidRDefault="00925140" w:rsidP="0002088C"/>
    <w:tbl>
      <w:tblPr>
        <w:tblStyle w:val="TableGrid"/>
        <w:tblW w:w="0" w:type="auto"/>
        <w:jc w:val="center"/>
        <w:tblLook w:val="04A0" w:firstRow="1" w:lastRow="0" w:firstColumn="1" w:lastColumn="0" w:noHBand="0" w:noVBand="1"/>
      </w:tblPr>
      <w:tblGrid>
        <w:gridCol w:w="2665"/>
        <w:gridCol w:w="898"/>
        <w:gridCol w:w="5787"/>
      </w:tblGrid>
      <w:tr w:rsidR="00925140" w:rsidRPr="004236A1" w:rsidTr="00BC7C7F">
        <w:trPr>
          <w:jc w:val="center"/>
        </w:trPr>
        <w:tc>
          <w:tcPr>
            <w:tcW w:w="2718" w:type="dxa"/>
          </w:tcPr>
          <w:p w:rsidR="00925140" w:rsidRPr="004236A1" w:rsidRDefault="00925140" w:rsidP="005C5C83">
            <w:pPr>
              <w:jc w:val="center"/>
              <w:rPr>
                <w:sz w:val="18"/>
                <w:szCs w:val="18"/>
              </w:rPr>
            </w:pPr>
            <w:r w:rsidRPr="004236A1">
              <w:rPr>
                <w:b/>
                <w:bCs/>
                <w:sz w:val="18"/>
                <w:szCs w:val="18"/>
              </w:rPr>
              <w:t>Item</w:t>
            </w:r>
          </w:p>
        </w:tc>
        <w:tc>
          <w:tcPr>
            <w:tcW w:w="900" w:type="dxa"/>
          </w:tcPr>
          <w:p w:rsidR="00925140" w:rsidRPr="004236A1" w:rsidRDefault="00925140" w:rsidP="00B6615F">
            <w:pPr>
              <w:jc w:val="center"/>
              <w:rPr>
                <w:sz w:val="18"/>
                <w:szCs w:val="18"/>
              </w:rPr>
            </w:pPr>
            <w:r w:rsidRPr="004236A1">
              <w:rPr>
                <w:b/>
                <w:bCs/>
                <w:sz w:val="18"/>
                <w:szCs w:val="18"/>
              </w:rPr>
              <w:t>Planned for 201</w:t>
            </w:r>
            <w:r>
              <w:rPr>
                <w:b/>
                <w:bCs/>
                <w:sz w:val="18"/>
                <w:szCs w:val="18"/>
              </w:rPr>
              <w:t>8</w:t>
            </w:r>
          </w:p>
        </w:tc>
        <w:tc>
          <w:tcPr>
            <w:tcW w:w="5958" w:type="dxa"/>
          </w:tcPr>
          <w:p w:rsidR="00925140" w:rsidRPr="004236A1" w:rsidRDefault="00925140" w:rsidP="005C5C83">
            <w:pPr>
              <w:jc w:val="center"/>
              <w:rPr>
                <w:b/>
                <w:bCs/>
                <w:sz w:val="18"/>
                <w:szCs w:val="18"/>
              </w:rPr>
            </w:pPr>
            <w:r w:rsidRPr="004236A1">
              <w:rPr>
                <w:b/>
                <w:sz w:val="18"/>
                <w:szCs w:val="18"/>
              </w:rPr>
              <w:t>Remarks</w:t>
            </w:r>
          </w:p>
        </w:tc>
      </w:tr>
      <w:tr w:rsidR="00925140" w:rsidTr="00BC7C7F">
        <w:trPr>
          <w:jc w:val="center"/>
        </w:trPr>
        <w:tc>
          <w:tcPr>
            <w:tcW w:w="2718" w:type="dxa"/>
            <w:vAlign w:val="center"/>
          </w:tcPr>
          <w:p w:rsidR="00925140" w:rsidRPr="004236A1" w:rsidRDefault="00925140" w:rsidP="00AD71B3">
            <w:pPr>
              <w:rPr>
                <w:sz w:val="18"/>
                <w:szCs w:val="18"/>
                <w:lang w:eastAsia="zh-CN"/>
              </w:rPr>
            </w:pPr>
            <w:r w:rsidRPr="004236A1">
              <w:rPr>
                <w:sz w:val="18"/>
                <w:szCs w:val="18"/>
                <w:lang w:eastAsia="zh-CN"/>
              </w:rPr>
              <w:t>Number of projects/ activities (investment and demonstration projects, TAS, PRP, IS) approved vs. planned</w:t>
            </w:r>
            <w:r w:rsidRPr="004236A1">
              <w:rPr>
                <w:rFonts w:hint="eastAsia"/>
                <w:sz w:val="18"/>
                <w:szCs w:val="18"/>
                <w:lang w:eastAsia="zh-CN"/>
              </w:rPr>
              <w:t xml:space="preserve"> </w:t>
            </w:r>
          </w:p>
        </w:tc>
        <w:tc>
          <w:tcPr>
            <w:tcW w:w="900" w:type="dxa"/>
            <w:vAlign w:val="center"/>
          </w:tcPr>
          <w:p w:rsidR="00925140" w:rsidRPr="004236A1" w:rsidRDefault="00925140" w:rsidP="00BC7C7F">
            <w:pPr>
              <w:jc w:val="center"/>
              <w:rPr>
                <w:sz w:val="18"/>
                <w:szCs w:val="18"/>
                <w:lang w:eastAsia="zh-CN"/>
              </w:rPr>
            </w:pPr>
            <w:r>
              <w:rPr>
                <w:sz w:val="18"/>
                <w:szCs w:val="18"/>
                <w:lang w:eastAsia="zh-CN"/>
              </w:rPr>
              <w:t>5</w:t>
            </w:r>
          </w:p>
        </w:tc>
        <w:tc>
          <w:tcPr>
            <w:tcW w:w="5958" w:type="dxa"/>
            <w:vAlign w:val="center"/>
          </w:tcPr>
          <w:p w:rsidR="00925140" w:rsidRPr="00E33370" w:rsidRDefault="00925140" w:rsidP="002608CE">
            <w:pPr>
              <w:rPr>
                <w:sz w:val="18"/>
                <w:szCs w:val="18"/>
                <w:lang w:eastAsia="zh-CN"/>
              </w:rPr>
            </w:pPr>
            <w:r>
              <w:rPr>
                <w:sz w:val="18"/>
                <w:szCs w:val="18"/>
                <w:lang w:eastAsia="zh-CN"/>
              </w:rPr>
              <w:t>HFC-23 demonstration project for China, HFC investment project for Thailand, TAS for Indonesia HFC enabling activities, IS projects for Jordan and Thailand</w:t>
            </w:r>
          </w:p>
        </w:tc>
      </w:tr>
    </w:tbl>
    <w:p w:rsidR="00925140" w:rsidRDefault="00925140" w:rsidP="0002088C">
      <w:pPr>
        <w:rPr>
          <w:b/>
        </w:rPr>
      </w:pPr>
    </w:p>
    <w:p w:rsidR="00925140" w:rsidRPr="00925140" w:rsidRDefault="00925140" w:rsidP="00925140">
      <w:pPr>
        <w:pStyle w:val="Heading2"/>
        <w:keepNext/>
        <w:keepLines/>
        <w:widowControl/>
        <w:numPr>
          <w:ilvl w:val="1"/>
          <w:numId w:val="23"/>
        </w:numPr>
        <w:spacing w:before="200" w:after="0"/>
        <w:ind w:left="0"/>
        <w:jc w:val="left"/>
        <w:rPr>
          <w:b/>
          <w:bCs/>
          <w:szCs w:val="24"/>
        </w:rPr>
      </w:pPr>
      <w:bookmarkStart w:id="12" w:name="_Toc395519924"/>
      <w:r w:rsidRPr="00925140">
        <w:rPr>
          <w:b/>
          <w:szCs w:val="24"/>
        </w:rPr>
        <w:t>Implementation Performance Indicators</w:t>
      </w:r>
      <w:bookmarkEnd w:id="12"/>
    </w:p>
    <w:p w:rsidR="00925140" w:rsidRPr="004236A1" w:rsidRDefault="00925140" w:rsidP="0002088C"/>
    <w:p w:rsidR="00925140" w:rsidRPr="000110F1" w:rsidRDefault="00925140" w:rsidP="00925140">
      <w:pPr>
        <w:pStyle w:val="ListParagraph"/>
        <w:numPr>
          <w:ilvl w:val="0"/>
          <w:numId w:val="24"/>
        </w:numPr>
        <w:spacing w:after="120" w:line="276" w:lineRule="auto"/>
        <w:ind w:left="0" w:firstLine="0"/>
        <w:rPr>
          <w:sz w:val="22"/>
          <w:szCs w:val="22"/>
        </w:rPr>
      </w:pPr>
      <w:r w:rsidRPr="000110F1">
        <w:rPr>
          <w:sz w:val="22"/>
          <w:szCs w:val="22"/>
        </w:rPr>
        <w:t>Funds disbursed (</w:t>
      </w:r>
      <w:r w:rsidRPr="000110F1">
        <w:rPr>
          <w:sz w:val="22"/>
          <w:szCs w:val="22"/>
          <w:u w:val="single"/>
        </w:rPr>
        <w:t>Weighting: 15</w:t>
      </w:r>
      <w:r w:rsidRPr="000110F1">
        <w:rPr>
          <w:sz w:val="22"/>
          <w:szCs w:val="22"/>
        </w:rPr>
        <w:t>). In 201</w:t>
      </w:r>
      <w:r>
        <w:rPr>
          <w:sz w:val="22"/>
          <w:szCs w:val="22"/>
        </w:rPr>
        <w:t>8</w:t>
      </w:r>
      <w:r w:rsidRPr="000110F1">
        <w:rPr>
          <w:sz w:val="22"/>
          <w:szCs w:val="22"/>
        </w:rPr>
        <w:t xml:space="preserve">, the World Bank is targeting disbursement of </w:t>
      </w:r>
      <w:r w:rsidRPr="000110F1">
        <w:rPr>
          <w:i/>
          <w:sz w:val="22"/>
          <w:szCs w:val="22"/>
        </w:rPr>
        <w:t>$</w:t>
      </w:r>
      <w:r>
        <w:rPr>
          <w:i/>
          <w:sz w:val="22"/>
          <w:szCs w:val="22"/>
        </w:rPr>
        <w:t xml:space="preserve">18.6 </w:t>
      </w:r>
      <w:r w:rsidRPr="000110F1">
        <w:rPr>
          <w:i/>
          <w:sz w:val="22"/>
          <w:szCs w:val="22"/>
        </w:rPr>
        <w:t>million</w:t>
      </w:r>
      <w:r>
        <w:rPr>
          <w:i/>
          <w:sz w:val="22"/>
          <w:szCs w:val="22"/>
        </w:rPr>
        <w:t>.</w:t>
      </w:r>
      <w:r w:rsidRPr="000110F1">
        <w:rPr>
          <w:sz w:val="22"/>
          <w:szCs w:val="22"/>
        </w:rPr>
        <w:t xml:space="preserve"> </w:t>
      </w:r>
      <w:r>
        <w:rPr>
          <w:sz w:val="22"/>
          <w:szCs w:val="22"/>
        </w:rPr>
        <w:t xml:space="preserve">This is the balance of total committed funds after deducting the $30.1 million expected to be disbursed in 2017 based on </w:t>
      </w:r>
      <w:r w:rsidRPr="000110F1">
        <w:rPr>
          <w:sz w:val="22"/>
          <w:szCs w:val="22"/>
        </w:rPr>
        <w:t>the 201</w:t>
      </w:r>
      <w:r>
        <w:rPr>
          <w:sz w:val="22"/>
          <w:szCs w:val="22"/>
        </w:rPr>
        <w:t>6</w:t>
      </w:r>
      <w:r w:rsidRPr="000110F1">
        <w:rPr>
          <w:sz w:val="22"/>
          <w:szCs w:val="22"/>
        </w:rPr>
        <w:t xml:space="preserve"> Progress Report.</w:t>
      </w:r>
    </w:p>
    <w:p w:rsidR="00925140" w:rsidRPr="000110F1" w:rsidRDefault="00925140" w:rsidP="00925140">
      <w:pPr>
        <w:pStyle w:val="ListParagraph"/>
        <w:numPr>
          <w:ilvl w:val="0"/>
          <w:numId w:val="24"/>
        </w:numPr>
        <w:spacing w:after="120" w:line="276" w:lineRule="auto"/>
        <w:ind w:left="0" w:firstLine="0"/>
        <w:rPr>
          <w:sz w:val="22"/>
          <w:szCs w:val="22"/>
        </w:rPr>
      </w:pPr>
      <w:r w:rsidRPr="000110F1">
        <w:t>ODP</w:t>
      </w:r>
      <w:r w:rsidRPr="000110F1">
        <w:rPr>
          <w:sz w:val="22"/>
          <w:szCs w:val="22"/>
        </w:rPr>
        <w:t xml:space="preserve"> phased-out for the tranche when the next tranche is approved vs. those planned per progress reports (</w:t>
      </w:r>
      <w:r w:rsidRPr="000110F1">
        <w:rPr>
          <w:sz w:val="22"/>
          <w:szCs w:val="22"/>
          <w:u w:val="single"/>
        </w:rPr>
        <w:t>Weighting: 25</w:t>
      </w:r>
      <w:r w:rsidRPr="000110F1">
        <w:rPr>
          <w:sz w:val="22"/>
          <w:szCs w:val="22"/>
        </w:rPr>
        <w:t>): In 201</w:t>
      </w:r>
      <w:r>
        <w:rPr>
          <w:sz w:val="22"/>
          <w:szCs w:val="22"/>
        </w:rPr>
        <w:t>8</w:t>
      </w:r>
      <w:r w:rsidRPr="000110F1">
        <w:rPr>
          <w:sz w:val="22"/>
          <w:szCs w:val="22"/>
        </w:rPr>
        <w:t xml:space="preserve">, the World Bank expects to phase out a total of </w:t>
      </w:r>
      <w:r>
        <w:rPr>
          <w:i/>
          <w:iCs/>
          <w:sz w:val="22"/>
          <w:szCs w:val="22"/>
        </w:rPr>
        <w:t>235</w:t>
      </w:r>
      <w:r w:rsidRPr="00B174CC">
        <w:rPr>
          <w:i/>
          <w:iCs/>
          <w:sz w:val="22"/>
          <w:szCs w:val="22"/>
        </w:rPr>
        <w:t>.</w:t>
      </w:r>
      <w:r>
        <w:rPr>
          <w:i/>
          <w:iCs/>
          <w:sz w:val="22"/>
          <w:szCs w:val="22"/>
        </w:rPr>
        <w:t>58</w:t>
      </w:r>
      <w:r w:rsidRPr="000110F1">
        <w:rPr>
          <w:sz w:val="22"/>
          <w:szCs w:val="22"/>
        </w:rPr>
        <w:t xml:space="preserve"> ODP tons through implementation of approved multi-year projects.</w:t>
      </w:r>
    </w:p>
    <w:p w:rsidR="00925140" w:rsidRPr="000110F1" w:rsidRDefault="00925140" w:rsidP="00925140">
      <w:pPr>
        <w:pStyle w:val="ListParagraph"/>
        <w:numPr>
          <w:ilvl w:val="0"/>
          <w:numId w:val="24"/>
        </w:numPr>
        <w:spacing w:after="120" w:line="276" w:lineRule="auto"/>
        <w:ind w:left="0" w:firstLine="0"/>
        <w:rPr>
          <w:sz w:val="22"/>
          <w:szCs w:val="22"/>
        </w:rPr>
      </w:pPr>
      <w:r w:rsidRPr="000110F1">
        <w:rPr>
          <w:sz w:val="22"/>
          <w:szCs w:val="22"/>
        </w:rPr>
        <w:t>Project completion vs. those planned in progress reports for all activities (excluding project preparation) (</w:t>
      </w:r>
      <w:r w:rsidRPr="000110F1">
        <w:rPr>
          <w:sz w:val="22"/>
          <w:szCs w:val="22"/>
          <w:u w:val="single"/>
        </w:rPr>
        <w:t>Weighting: 20</w:t>
      </w:r>
      <w:r w:rsidRPr="000110F1">
        <w:rPr>
          <w:sz w:val="22"/>
          <w:szCs w:val="22"/>
        </w:rPr>
        <w:t>): In 201</w:t>
      </w:r>
      <w:r>
        <w:rPr>
          <w:sz w:val="22"/>
          <w:szCs w:val="22"/>
        </w:rPr>
        <w:t>8</w:t>
      </w:r>
      <w:r w:rsidRPr="000110F1">
        <w:rPr>
          <w:sz w:val="22"/>
          <w:szCs w:val="22"/>
        </w:rPr>
        <w:t xml:space="preserve">, the World Bank expects to bring to completion a total of </w:t>
      </w:r>
      <w:r>
        <w:rPr>
          <w:sz w:val="22"/>
          <w:szCs w:val="22"/>
          <w:lang w:eastAsia="zh-CN"/>
        </w:rPr>
        <w:t>4</w:t>
      </w:r>
      <w:r w:rsidRPr="000110F1">
        <w:rPr>
          <w:sz w:val="22"/>
          <w:szCs w:val="22"/>
        </w:rPr>
        <w:t xml:space="preserve"> individual project activities including 2 </w:t>
      </w:r>
      <w:r>
        <w:rPr>
          <w:sz w:val="22"/>
          <w:szCs w:val="22"/>
        </w:rPr>
        <w:t>demonstration project in Saudi Arabia and Thailand and 2 institutional strengthening projects for Jordan and Thailand</w:t>
      </w:r>
      <w:r w:rsidRPr="000110F1">
        <w:rPr>
          <w:sz w:val="22"/>
          <w:szCs w:val="22"/>
        </w:rPr>
        <w:t>.</w:t>
      </w:r>
      <w:r>
        <w:rPr>
          <w:sz w:val="22"/>
          <w:szCs w:val="22"/>
        </w:rPr>
        <w:t xml:space="preserve"> </w:t>
      </w:r>
    </w:p>
    <w:p w:rsidR="00925140" w:rsidRPr="00925140" w:rsidRDefault="00925140" w:rsidP="00925140">
      <w:pPr>
        <w:pStyle w:val="Heading2"/>
        <w:keepNext/>
        <w:keepLines/>
        <w:widowControl/>
        <w:numPr>
          <w:ilvl w:val="1"/>
          <w:numId w:val="23"/>
        </w:numPr>
        <w:spacing w:before="200" w:after="0"/>
        <w:ind w:left="0"/>
        <w:jc w:val="left"/>
        <w:rPr>
          <w:b/>
          <w:bCs/>
          <w:szCs w:val="24"/>
        </w:rPr>
      </w:pPr>
      <w:bookmarkStart w:id="13" w:name="_Toc395519925"/>
      <w:r w:rsidRPr="00925140">
        <w:rPr>
          <w:b/>
          <w:szCs w:val="24"/>
        </w:rPr>
        <w:t>Administrative Performance Indicators</w:t>
      </w:r>
      <w:bookmarkEnd w:id="13"/>
    </w:p>
    <w:p w:rsidR="00925140" w:rsidRPr="004236A1" w:rsidRDefault="00925140" w:rsidP="0002088C"/>
    <w:p w:rsidR="00925140" w:rsidRPr="004236A1" w:rsidRDefault="00925140" w:rsidP="00925140">
      <w:pPr>
        <w:pStyle w:val="ListParagraph"/>
        <w:numPr>
          <w:ilvl w:val="0"/>
          <w:numId w:val="24"/>
        </w:numPr>
        <w:spacing w:after="120" w:line="276" w:lineRule="auto"/>
        <w:ind w:left="0" w:firstLine="0"/>
        <w:rPr>
          <w:sz w:val="22"/>
          <w:szCs w:val="22"/>
        </w:rPr>
      </w:pPr>
      <w:r w:rsidRPr="004236A1">
        <w:rPr>
          <w:sz w:val="22"/>
          <w:szCs w:val="22"/>
        </w:rPr>
        <w:t>Speed of financial completion after project completion (</w:t>
      </w:r>
      <w:r w:rsidRPr="004236A1">
        <w:rPr>
          <w:sz w:val="22"/>
          <w:szCs w:val="22"/>
          <w:u w:val="single"/>
        </w:rPr>
        <w:t xml:space="preserve">Weighting: </w:t>
      </w:r>
      <w:r w:rsidRPr="004236A1">
        <w:t>10</w:t>
      </w:r>
      <w:r w:rsidRPr="004236A1">
        <w:rPr>
          <w:sz w:val="22"/>
          <w:szCs w:val="22"/>
        </w:rPr>
        <w:t>): The Bank has set its target for financial completion of all project activities completed in 201</w:t>
      </w:r>
      <w:r>
        <w:rPr>
          <w:sz w:val="22"/>
          <w:szCs w:val="22"/>
        </w:rPr>
        <w:t>5</w:t>
      </w:r>
      <w:r w:rsidRPr="004236A1">
        <w:rPr>
          <w:sz w:val="22"/>
          <w:szCs w:val="22"/>
        </w:rPr>
        <w:t xml:space="preserve"> within 12 months at 90%. </w:t>
      </w:r>
    </w:p>
    <w:p w:rsidR="00925140" w:rsidRPr="004236A1" w:rsidRDefault="00925140" w:rsidP="00925140">
      <w:pPr>
        <w:pStyle w:val="ListParagraph"/>
        <w:numPr>
          <w:ilvl w:val="0"/>
          <w:numId w:val="24"/>
        </w:numPr>
        <w:spacing w:after="120" w:line="276" w:lineRule="auto"/>
        <w:ind w:left="0" w:firstLine="0"/>
        <w:rPr>
          <w:sz w:val="22"/>
          <w:szCs w:val="22"/>
        </w:rPr>
      </w:pPr>
      <w:r w:rsidRPr="004236A1">
        <w:rPr>
          <w:sz w:val="22"/>
          <w:szCs w:val="22"/>
        </w:rPr>
        <w:t>Timely submission of project completion reports (</w:t>
      </w:r>
      <w:r w:rsidRPr="004236A1">
        <w:rPr>
          <w:sz w:val="22"/>
          <w:szCs w:val="22"/>
          <w:u w:val="single"/>
        </w:rPr>
        <w:t>Weighting: 5</w:t>
      </w:r>
      <w:r w:rsidRPr="004236A1">
        <w:rPr>
          <w:sz w:val="22"/>
          <w:szCs w:val="22"/>
        </w:rPr>
        <w:t>): The Bank plans to submit project completion reports as agreed with the Senior Monitoring and Evaluation Officer.</w:t>
      </w:r>
    </w:p>
    <w:p w:rsidR="00925140" w:rsidRPr="004236A1" w:rsidRDefault="00925140" w:rsidP="00925140">
      <w:pPr>
        <w:pStyle w:val="ListParagraph"/>
        <w:numPr>
          <w:ilvl w:val="0"/>
          <w:numId w:val="24"/>
        </w:numPr>
        <w:spacing w:after="120" w:line="276" w:lineRule="auto"/>
        <w:ind w:left="0" w:firstLine="0"/>
        <w:rPr>
          <w:sz w:val="22"/>
          <w:szCs w:val="22"/>
        </w:rPr>
      </w:pPr>
      <w:r w:rsidRPr="004236A1">
        <w:rPr>
          <w:sz w:val="22"/>
          <w:szCs w:val="22"/>
        </w:rPr>
        <w:t>Timely submission of progress reports and responses unless otherwise agreed (</w:t>
      </w:r>
      <w:r w:rsidRPr="004236A1">
        <w:rPr>
          <w:sz w:val="22"/>
          <w:szCs w:val="22"/>
          <w:u w:val="single"/>
        </w:rPr>
        <w:t>Weighting: 5</w:t>
      </w:r>
      <w:r w:rsidRPr="004236A1">
        <w:rPr>
          <w:sz w:val="22"/>
          <w:szCs w:val="22"/>
        </w:rPr>
        <w:t>): The Bank plans to submit its 201</w:t>
      </w:r>
      <w:r>
        <w:rPr>
          <w:sz w:val="22"/>
          <w:szCs w:val="22"/>
        </w:rPr>
        <w:t>8</w:t>
      </w:r>
      <w:r w:rsidRPr="004236A1">
        <w:rPr>
          <w:sz w:val="22"/>
          <w:szCs w:val="22"/>
        </w:rPr>
        <w:t xml:space="preserve"> Progress Report by the </w:t>
      </w:r>
      <w:r>
        <w:rPr>
          <w:sz w:val="22"/>
          <w:szCs w:val="22"/>
        </w:rPr>
        <w:t xml:space="preserve">April </w:t>
      </w:r>
      <w:r w:rsidRPr="004236A1">
        <w:rPr>
          <w:sz w:val="22"/>
          <w:szCs w:val="22"/>
        </w:rPr>
        <w:t>deadline.</w:t>
      </w:r>
    </w:p>
    <w:p w:rsidR="00925140" w:rsidRPr="004236A1" w:rsidRDefault="00925140" w:rsidP="00925140">
      <w:pPr>
        <w:pStyle w:val="ListParagraph"/>
        <w:numPr>
          <w:ilvl w:val="0"/>
          <w:numId w:val="24"/>
        </w:numPr>
        <w:spacing w:after="120" w:line="276" w:lineRule="auto"/>
        <w:ind w:left="0" w:firstLine="0"/>
        <w:rPr>
          <w:sz w:val="22"/>
          <w:szCs w:val="22"/>
        </w:rPr>
      </w:pPr>
      <w:r w:rsidRPr="004236A1">
        <w:rPr>
          <w:sz w:val="22"/>
          <w:szCs w:val="22"/>
        </w:rPr>
        <w:t>A summary of the World Bank’s 201</w:t>
      </w:r>
      <w:r>
        <w:rPr>
          <w:sz w:val="22"/>
          <w:szCs w:val="22"/>
        </w:rPr>
        <w:t>8</w:t>
      </w:r>
      <w:r w:rsidRPr="004236A1">
        <w:rPr>
          <w:sz w:val="22"/>
          <w:szCs w:val="22"/>
        </w:rPr>
        <w:t xml:space="preserve"> performance indicators is included in Table III-3 below.</w:t>
      </w:r>
    </w:p>
    <w:p w:rsidR="00925140" w:rsidRPr="004236A1" w:rsidRDefault="00925140" w:rsidP="0002088C">
      <w:pPr>
        <w:jc w:val="center"/>
        <w:rPr>
          <w:iCs/>
          <w:sz w:val="18"/>
          <w:szCs w:val="18"/>
        </w:rPr>
      </w:pPr>
      <w:r w:rsidRPr="004236A1">
        <w:rPr>
          <w:iCs/>
          <w:sz w:val="18"/>
          <w:szCs w:val="18"/>
        </w:rPr>
        <w:t>Table III-3:  Summary of World Bank’s 201</w:t>
      </w:r>
      <w:r>
        <w:rPr>
          <w:iCs/>
          <w:sz w:val="18"/>
          <w:szCs w:val="18"/>
        </w:rPr>
        <w:t>8</w:t>
      </w:r>
      <w:r w:rsidRPr="004236A1">
        <w:rPr>
          <w:iCs/>
          <w:sz w:val="18"/>
          <w:szCs w:val="18"/>
        </w:rPr>
        <w:t xml:space="preserve"> performance indicators</w:t>
      </w:r>
    </w:p>
    <w:p w:rsidR="00925140" w:rsidRPr="004236A1" w:rsidRDefault="00925140" w:rsidP="0002088C">
      <w:pPr>
        <w:jc w:val="center"/>
        <w:rPr>
          <w:i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5641"/>
        <w:gridCol w:w="1017"/>
        <w:gridCol w:w="874"/>
      </w:tblGrid>
      <w:tr w:rsidR="00925140" w:rsidRPr="004236A1" w:rsidTr="004B7C1C">
        <w:trPr>
          <w:trHeight w:val="20"/>
          <w:tblHeader/>
          <w:jc w:val="center"/>
        </w:trPr>
        <w:tc>
          <w:tcPr>
            <w:tcW w:w="1818" w:type="dxa"/>
            <w:shd w:val="clear" w:color="auto" w:fill="auto"/>
            <w:vAlign w:val="center"/>
          </w:tcPr>
          <w:p w:rsidR="00925140" w:rsidRPr="004236A1" w:rsidRDefault="00925140" w:rsidP="00CA3A8B">
            <w:pPr>
              <w:jc w:val="center"/>
              <w:rPr>
                <w:b/>
                <w:bCs/>
                <w:iCs/>
                <w:sz w:val="18"/>
                <w:szCs w:val="18"/>
              </w:rPr>
            </w:pPr>
            <w:r w:rsidRPr="004236A1">
              <w:rPr>
                <w:b/>
                <w:bCs/>
                <w:iCs/>
                <w:sz w:val="18"/>
                <w:szCs w:val="18"/>
              </w:rPr>
              <w:t>Category of Performance Indicator</w:t>
            </w:r>
          </w:p>
        </w:tc>
        <w:tc>
          <w:tcPr>
            <w:tcW w:w="5641" w:type="dxa"/>
            <w:shd w:val="clear" w:color="auto" w:fill="auto"/>
            <w:vAlign w:val="center"/>
          </w:tcPr>
          <w:p w:rsidR="00925140" w:rsidRPr="004236A1" w:rsidRDefault="00925140" w:rsidP="00CA3A8B">
            <w:pPr>
              <w:jc w:val="center"/>
              <w:rPr>
                <w:b/>
                <w:bCs/>
                <w:iCs/>
                <w:sz w:val="18"/>
                <w:szCs w:val="18"/>
              </w:rPr>
            </w:pPr>
            <w:r w:rsidRPr="004236A1">
              <w:rPr>
                <w:b/>
                <w:bCs/>
                <w:iCs/>
                <w:sz w:val="18"/>
                <w:szCs w:val="18"/>
              </w:rPr>
              <w:t>Title</w:t>
            </w:r>
          </w:p>
        </w:tc>
        <w:tc>
          <w:tcPr>
            <w:tcW w:w="0" w:type="auto"/>
            <w:shd w:val="clear" w:color="auto" w:fill="auto"/>
            <w:noWrap/>
            <w:vAlign w:val="center"/>
          </w:tcPr>
          <w:p w:rsidR="00925140" w:rsidRPr="004236A1" w:rsidRDefault="00925140" w:rsidP="00AD71B3">
            <w:pPr>
              <w:jc w:val="center"/>
              <w:rPr>
                <w:b/>
                <w:bCs/>
                <w:iCs/>
                <w:sz w:val="18"/>
                <w:szCs w:val="18"/>
              </w:rPr>
            </w:pPr>
            <w:r w:rsidRPr="004236A1">
              <w:rPr>
                <w:b/>
                <w:bCs/>
                <w:iCs/>
                <w:sz w:val="18"/>
                <w:szCs w:val="18"/>
              </w:rPr>
              <w:t>Weighting</w:t>
            </w:r>
          </w:p>
        </w:tc>
        <w:tc>
          <w:tcPr>
            <w:tcW w:w="0" w:type="auto"/>
            <w:shd w:val="clear" w:color="auto" w:fill="auto"/>
            <w:vAlign w:val="center"/>
          </w:tcPr>
          <w:p w:rsidR="00925140" w:rsidRPr="004236A1" w:rsidRDefault="00925140" w:rsidP="00AD71B3">
            <w:pPr>
              <w:jc w:val="center"/>
              <w:rPr>
                <w:b/>
                <w:bCs/>
                <w:iCs/>
                <w:sz w:val="18"/>
                <w:szCs w:val="18"/>
              </w:rPr>
            </w:pPr>
            <w:r>
              <w:rPr>
                <w:b/>
                <w:bCs/>
                <w:iCs/>
                <w:sz w:val="18"/>
                <w:szCs w:val="18"/>
              </w:rPr>
              <w:t>2018</w:t>
            </w:r>
            <w:r w:rsidRPr="004236A1">
              <w:rPr>
                <w:b/>
                <w:bCs/>
                <w:iCs/>
                <w:sz w:val="18"/>
                <w:szCs w:val="18"/>
              </w:rPr>
              <w:t xml:space="preserve"> Target</w:t>
            </w:r>
          </w:p>
        </w:tc>
      </w:tr>
      <w:tr w:rsidR="00925140" w:rsidRPr="004236A1" w:rsidTr="004B7C1C">
        <w:trPr>
          <w:trHeight w:val="20"/>
          <w:jc w:val="center"/>
        </w:trPr>
        <w:tc>
          <w:tcPr>
            <w:tcW w:w="1818" w:type="dxa"/>
            <w:vMerge w:val="restart"/>
            <w:shd w:val="clear" w:color="auto" w:fill="auto"/>
            <w:vAlign w:val="center"/>
          </w:tcPr>
          <w:p w:rsidR="00925140" w:rsidRPr="004236A1" w:rsidRDefault="00925140" w:rsidP="004F3D65">
            <w:pPr>
              <w:rPr>
                <w:iCs/>
                <w:sz w:val="18"/>
                <w:szCs w:val="18"/>
              </w:rPr>
            </w:pPr>
            <w:r w:rsidRPr="004236A1">
              <w:rPr>
                <w:iCs/>
                <w:sz w:val="18"/>
                <w:szCs w:val="18"/>
              </w:rPr>
              <w:t>Planning -- Approval</w:t>
            </w:r>
          </w:p>
        </w:tc>
        <w:tc>
          <w:tcPr>
            <w:tcW w:w="5641" w:type="dxa"/>
            <w:shd w:val="clear" w:color="auto" w:fill="auto"/>
            <w:vAlign w:val="center"/>
          </w:tcPr>
          <w:p w:rsidR="00925140" w:rsidRPr="004236A1" w:rsidRDefault="00925140" w:rsidP="00D53C20">
            <w:pPr>
              <w:rPr>
                <w:iCs/>
                <w:sz w:val="18"/>
                <w:szCs w:val="18"/>
              </w:rPr>
            </w:pPr>
            <w:r w:rsidRPr="004236A1">
              <w:rPr>
                <w:iCs/>
                <w:sz w:val="18"/>
                <w:szCs w:val="18"/>
              </w:rPr>
              <w:t>Tranches of previously approved multi-year agreements to be approved in 201</w:t>
            </w:r>
            <w:r>
              <w:rPr>
                <w:iCs/>
                <w:sz w:val="18"/>
                <w:szCs w:val="18"/>
              </w:rPr>
              <w:t>8</w:t>
            </w:r>
          </w:p>
        </w:tc>
        <w:tc>
          <w:tcPr>
            <w:tcW w:w="0" w:type="auto"/>
            <w:shd w:val="clear" w:color="auto" w:fill="auto"/>
            <w:noWrap/>
            <w:vAlign w:val="center"/>
          </w:tcPr>
          <w:p w:rsidR="00925140" w:rsidRPr="004236A1" w:rsidRDefault="00925140" w:rsidP="00AD71B3">
            <w:pPr>
              <w:jc w:val="center"/>
              <w:rPr>
                <w:iCs/>
                <w:sz w:val="18"/>
                <w:szCs w:val="18"/>
              </w:rPr>
            </w:pPr>
            <w:r w:rsidRPr="004236A1">
              <w:rPr>
                <w:iCs/>
                <w:sz w:val="18"/>
                <w:szCs w:val="18"/>
              </w:rPr>
              <w:t>10</w:t>
            </w:r>
          </w:p>
        </w:tc>
        <w:tc>
          <w:tcPr>
            <w:tcW w:w="0" w:type="auto"/>
            <w:shd w:val="clear" w:color="auto" w:fill="auto"/>
            <w:noWrap/>
            <w:vAlign w:val="center"/>
          </w:tcPr>
          <w:p w:rsidR="00925140" w:rsidRPr="00BA4CFA" w:rsidRDefault="00925140" w:rsidP="00AD71B3">
            <w:pPr>
              <w:jc w:val="center"/>
              <w:rPr>
                <w:iCs/>
                <w:sz w:val="18"/>
                <w:szCs w:val="18"/>
                <w:lang w:eastAsia="zh-CN"/>
              </w:rPr>
            </w:pPr>
            <w:r>
              <w:rPr>
                <w:iCs/>
                <w:sz w:val="18"/>
                <w:szCs w:val="18"/>
                <w:lang w:eastAsia="zh-CN"/>
              </w:rPr>
              <w:t>5</w:t>
            </w:r>
          </w:p>
        </w:tc>
      </w:tr>
      <w:tr w:rsidR="00925140" w:rsidRPr="004236A1" w:rsidTr="004B7C1C">
        <w:trPr>
          <w:trHeight w:val="20"/>
          <w:jc w:val="center"/>
        </w:trPr>
        <w:tc>
          <w:tcPr>
            <w:tcW w:w="1818" w:type="dxa"/>
            <w:vMerge/>
            <w:shd w:val="clear" w:color="auto" w:fill="auto"/>
            <w:vAlign w:val="center"/>
          </w:tcPr>
          <w:p w:rsidR="00925140" w:rsidRPr="004236A1" w:rsidRDefault="00925140" w:rsidP="004F3D65">
            <w:pPr>
              <w:rPr>
                <w:iCs/>
                <w:sz w:val="18"/>
                <w:szCs w:val="18"/>
              </w:rPr>
            </w:pPr>
          </w:p>
        </w:tc>
        <w:tc>
          <w:tcPr>
            <w:tcW w:w="5641" w:type="dxa"/>
            <w:shd w:val="clear" w:color="auto" w:fill="auto"/>
            <w:vAlign w:val="center"/>
          </w:tcPr>
          <w:p w:rsidR="00925140" w:rsidRPr="004236A1" w:rsidRDefault="00925140" w:rsidP="009B07E5">
            <w:pPr>
              <w:rPr>
                <w:iCs/>
                <w:sz w:val="18"/>
                <w:szCs w:val="18"/>
                <w:lang w:eastAsia="zh-CN"/>
              </w:rPr>
            </w:pPr>
            <w:r w:rsidRPr="004236A1">
              <w:rPr>
                <w:iCs/>
                <w:sz w:val="18"/>
                <w:szCs w:val="18"/>
              </w:rPr>
              <w:t>Number of projects/ activities (investment and demonstration projects, TAS, PRP, IS) approved vs. planned</w:t>
            </w:r>
            <w:r w:rsidRPr="004236A1">
              <w:rPr>
                <w:rFonts w:hint="eastAsia"/>
                <w:iCs/>
                <w:sz w:val="18"/>
                <w:szCs w:val="18"/>
                <w:lang w:eastAsia="zh-CN"/>
              </w:rPr>
              <w:t xml:space="preserve"> </w:t>
            </w:r>
          </w:p>
        </w:tc>
        <w:tc>
          <w:tcPr>
            <w:tcW w:w="0" w:type="auto"/>
            <w:shd w:val="clear" w:color="auto" w:fill="auto"/>
            <w:noWrap/>
            <w:vAlign w:val="center"/>
          </w:tcPr>
          <w:p w:rsidR="00925140" w:rsidRPr="004236A1" w:rsidRDefault="00925140" w:rsidP="00AD71B3">
            <w:pPr>
              <w:jc w:val="center"/>
              <w:rPr>
                <w:iCs/>
                <w:sz w:val="18"/>
                <w:szCs w:val="18"/>
              </w:rPr>
            </w:pPr>
            <w:r w:rsidRPr="004236A1">
              <w:rPr>
                <w:iCs/>
                <w:sz w:val="18"/>
                <w:szCs w:val="18"/>
              </w:rPr>
              <w:t>10</w:t>
            </w:r>
          </w:p>
        </w:tc>
        <w:tc>
          <w:tcPr>
            <w:tcW w:w="0" w:type="auto"/>
            <w:shd w:val="clear" w:color="auto" w:fill="auto"/>
            <w:noWrap/>
            <w:vAlign w:val="center"/>
          </w:tcPr>
          <w:p w:rsidR="00925140" w:rsidRPr="00BA4CFA" w:rsidRDefault="00925140" w:rsidP="00AD71B3">
            <w:pPr>
              <w:jc w:val="center"/>
              <w:rPr>
                <w:iCs/>
                <w:sz w:val="18"/>
                <w:szCs w:val="18"/>
                <w:lang w:eastAsia="zh-CN"/>
              </w:rPr>
            </w:pPr>
            <w:r>
              <w:rPr>
                <w:iCs/>
                <w:sz w:val="18"/>
                <w:szCs w:val="18"/>
                <w:lang w:eastAsia="zh-CN"/>
              </w:rPr>
              <w:t>5</w:t>
            </w:r>
          </w:p>
        </w:tc>
      </w:tr>
      <w:tr w:rsidR="00925140" w:rsidRPr="004236A1" w:rsidTr="004B7C1C">
        <w:trPr>
          <w:trHeight w:val="20"/>
          <w:jc w:val="center"/>
        </w:trPr>
        <w:tc>
          <w:tcPr>
            <w:tcW w:w="1818" w:type="dxa"/>
            <w:vMerge w:val="restart"/>
            <w:shd w:val="clear" w:color="auto" w:fill="auto"/>
            <w:vAlign w:val="center"/>
          </w:tcPr>
          <w:p w:rsidR="00925140" w:rsidRPr="004236A1" w:rsidRDefault="00925140" w:rsidP="004F3D65">
            <w:pPr>
              <w:rPr>
                <w:iCs/>
                <w:sz w:val="18"/>
                <w:szCs w:val="18"/>
              </w:rPr>
            </w:pPr>
            <w:r w:rsidRPr="004236A1">
              <w:rPr>
                <w:iCs/>
                <w:sz w:val="18"/>
                <w:szCs w:val="18"/>
              </w:rPr>
              <w:t>Implementation</w:t>
            </w:r>
          </w:p>
        </w:tc>
        <w:tc>
          <w:tcPr>
            <w:tcW w:w="5641" w:type="dxa"/>
            <w:shd w:val="clear" w:color="auto" w:fill="auto"/>
            <w:vAlign w:val="center"/>
          </w:tcPr>
          <w:p w:rsidR="00925140" w:rsidRPr="004236A1" w:rsidRDefault="00925140" w:rsidP="004F3D65">
            <w:pPr>
              <w:rPr>
                <w:iCs/>
                <w:sz w:val="18"/>
                <w:szCs w:val="18"/>
              </w:rPr>
            </w:pPr>
            <w:r w:rsidRPr="004236A1">
              <w:rPr>
                <w:iCs/>
                <w:sz w:val="18"/>
                <w:szCs w:val="18"/>
              </w:rPr>
              <w:t>Funds disbursed based on estimated disbursement in progress report</w:t>
            </w:r>
          </w:p>
        </w:tc>
        <w:tc>
          <w:tcPr>
            <w:tcW w:w="0" w:type="auto"/>
            <w:shd w:val="clear" w:color="auto" w:fill="auto"/>
            <w:noWrap/>
            <w:vAlign w:val="center"/>
          </w:tcPr>
          <w:p w:rsidR="00925140" w:rsidRPr="004236A1" w:rsidRDefault="00925140" w:rsidP="00AD71B3">
            <w:pPr>
              <w:jc w:val="center"/>
              <w:rPr>
                <w:iCs/>
                <w:sz w:val="18"/>
                <w:szCs w:val="18"/>
              </w:rPr>
            </w:pPr>
            <w:r w:rsidRPr="004236A1">
              <w:rPr>
                <w:iCs/>
                <w:sz w:val="18"/>
                <w:szCs w:val="18"/>
              </w:rPr>
              <w:t>15</w:t>
            </w:r>
          </w:p>
        </w:tc>
        <w:tc>
          <w:tcPr>
            <w:tcW w:w="0" w:type="auto"/>
            <w:shd w:val="clear" w:color="auto" w:fill="auto"/>
            <w:noWrap/>
            <w:vAlign w:val="center"/>
          </w:tcPr>
          <w:p w:rsidR="00925140" w:rsidRPr="00BA4CFA" w:rsidRDefault="00925140" w:rsidP="002B0864">
            <w:pPr>
              <w:jc w:val="center"/>
              <w:rPr>
                <w:iCs/>
                <w:sz w:val="18"/>
                <w:szCs w:val="18"/>
                <w:lang w:eastAsia="zh-CN"/>
              </w:rPr>
            </w:pPr>
            <w:r>
              <w:rPr>
                <w:iCs/>
                <w:sz w:val="18"/>
                <w:szCs w:val="18"/>
                <w:lang w:eastAsia="zh-CN"/>
              </w:rPr>
              <w:t>18.6</w:t>
            </w:r>
          </w:p>
        </w:tc>
      </w:tr>
      <w:tr w:rsidR="00925140" w:rsidRPr="004236A1" w:rsidTr="004B7C1C">
        <w:trPr>
          <w:trHeight w:val="20"/>
          <w:jc w:val="center"/>
        </w:trPr>
        <w:tc>
          <w:tcPr>
            <w:tcW w:w="1818" w:type="dxa"/>
            <w:vMerge/>
            <w:shd w:val="clear" w:color="auto" w:fill="auto"/>
            <w:vAlign w:val="center"/>
          </w:tcPr>
          <w:p w:rsidR="00925140" w:rsidRPr="004236A1" w:rsidRDefault="00925140" w:rsidP="004F3D65">
            <w:pPr>
              <w:rPr>
                <w:iCs/>
                <w:sz w:val="18"/>
                <w:szCs w:val="18"/>
              </w:rPr>
            </w:pPr>
          </w:p>
        </w:tc>
        <w:tc>
          <w:tcPr>
            <w:tcW w:w="5641" w:type="dxa"/>
            <w:shd w:val="clear" w:color="auto" w:fill="auto"/>
            <w:vAlign w:val="center"/>
          </w:tcPr>
          <w:p w:rsidR="00925140" w:rsidRPr="004236A1" w:rsidRDefault="00925140" w:rsidP="00AD71B3">
            <w:pPr>
              <w:rPr>
                <w:iCs/>
                <w:sz w:val="18"/>
                <w:szCs w:val="18"/>
              </w:rPr>
            </w:pPr>
            <w:r w:rsidRPr="004236A1">
              <w:rPr>
                <w:iCs/>
                <w:sz w:val="18"/>
                <w:szCs w:val="18"/>
              </w:rPr>
              <w:t>ODP phase-out for the tranche vs. that planned per progress reports</w:t>
            </w:r>
          </w:p>
        </w:tc>
        <w:tc>
          <w:tcPr>
            <w:tcW w:w="0" w:type="auto"/>
            <w:shd w:val="clear" w:color="auto" w:fill="auto"/>
            <w:noWrap/>
            <w:vAlign w:val="center"/>
          </w:tcPr>
          <w:p w:rsidR="00925140" w:rsidRPr="004236A1" w:rsidRDefault="00925140" w:rsidP="00AD71B3">
            <w:pPr>
              <w:jc w:val="center"/>
              <w:rPr>
                <w:iCs/>
                <w:sz w:val="18"/>
                <w:szCs w:val="18"/>
              </w:rPr>
            </w:pPr>
            <w:r w:rsidRPr="004236A1">
              <w:rPr>
                <w:iCs/>
                <w:sz w:val="18"/>
                <w:szCs w:val="18"/>
              </w:rPr>
              <w:t>25</w:t>
            </w:r>
          </w:p>
        </w:tc>
        <w:tc>
          <w:tcPr>
            <w:tcW w:w="0" w:type="auto"/>
            <w:shd w:val="clear" w:color="auto" w:fill="auto"/>
            <w:noWrap/>
            <w:vAlign w:val="center"/>
          </w:tcPr>
          <w:p w:rsidR="00925140" w:rsidRPr="00BA4CFA" w:rsidRDefault="00925140" w:rsidP="00BA4CFA">
            <w:pPr>
              <w:jc w:val="center"/>
              <w:rPr>
                <w:iCs/>
                <w:sz w:val="18"/>
                <w:szCs w:val="18"/>
                <w:lang w:eastAsia="zh-CN"/>
              </w:rPr>
            </w:pPr>
            <w:r>
              <w:rPr>
                <w:iCs/>
                <w:sz w:val="18"/>
                <w:szCs w:val="18"/>
                <w:lang w:eastAsia="zh-CN"/>
              </w:rPr>
              <w:t>235.58</w:t>
            </w:r>
          </w:p>
        </w:tc>
      </w:tr>
      <w:tr w:rsidR="00925140" w:rsidRPr="004236A1" w:rsidTr="004B7C1C">
        <w:trPr>
          <w:trHeight w:val="424"/>
          <w:jc w:val="center"/>
        </w:trPr>
        <w:tc>
          <w:tcPr>
            <w:tcW w:w="1818" w:type="dxa"/>
            <w:vMerge/>
            <w:shd w:val="clear" w:color="auto" w:fill="auto"/>
            <w:vAlign w:val="center"/>
          </w:tcPr>
          <w:p w:rsidR="00925140" w:rsidRPr="004236A1" w:rsidRDefault="00925140" w:rsidP="004F3D65">
            <w:pPr>
              <w:rPr>
                <w:iCs/>
                <w:sz w:val="18"/>
                <w:szCs w:val="18"/>
              </w:rPr>
            </w:pPr>
          </w:p>
        </w:tc>
        <w:tc>
          <w:tcPr>
            <w:tcW w:w="5641" w:type="dxa"/>
            <w:shd w:val="clear" w:color="auto" w:fill="auto"/>
            <w:vAlign w:val="center"/>
          </w:tcPr>
          <w:p w:rsidR="00925140" w:rsidRPr="004236A1" w:rsidRDefault="00925140" w:rsidP="00AD71B3">
            <w:pPr>
              <w:rPr>
                <w:iCs/>
                <w:sz w:val="18"/>
                <w:szCs w:val="18"/>
              </w:rPr>
            </w:pPr>
            <w:r w:rsidRPr="004236A1">
              <w:rPr>
                <w:iCs/>
                <w:sz w:val="18"/>
                <w:szCs w:val="18"/>
              </w:rPr>
              <w:t>Project completion vs. those planned per progress reports (excluding preparation)</w:t>
            </w:r>
          </w:p>
        </w:tc>
        <w:tc>
          <w:tcPr>
            <w:tcW w:w="0" w:type="auto"/>
            <w:shd w:val="clear" w:color="auto" w:fill="auto"/>
            <w:noWrap/>
            <w:vAlign w:val="center"/>
          </w:tcPr>
          <w:p w:rsidR="00925140" w:rsidRPr="004236A1" w:rsidRDefault="00925140" w:rsidP="00AD71B3">
            <w:pPr>
              <w:jc w:val="center"/>
              <w:rPr>
                <w:iCs/>
                <w:sz w:val="18"/>
                <w:szCs w:val="18"/>
              </w:rPr>
            </w:pPr>
            <w:r w:rsidRPr="004236A1">
              <w:rPr>
                <w:iCs/>
                <w:sz w:val="18"/>
                <w:szCs w:val="18"/>
              </w:rPr>
              <w:t>20</w:t>
            </w:r>
          </w:p>
        </w:tc>
        <w:tc>
          <w:tcPr>
            <w:tcW w:w="0" w:type="auto"/>
            <w:shd w:val="clear" w:color="auto" w:fill="auto"/>
            <w:noWrap/>
            <w:vAlign w:val="center"/>
          </w:tcPr>
          <w:p w:rsidR="00925140" w:rsidRPr="00BA4CFA" w:rsidRDefault="00925140" w:rsidP="004B7C1C">
            <w:pPr>
              <w:jc w:val="center"/>
              <w:rPr>
                <w:iCs/>
                <w:sz w:val="18"/>
                <w:szCs w:val="18"/>
              </w:rPr>
            </w:pPr>
            <w:r>
              <w:rPr>
                <w:iCs/>
                <w:sz w:val="18"/>
                <w:szCs w:val="18"/>
              </w:rPr>
              <w:t>4</w:t>
            </w:r>
          </w:p>
        </w:tc>
      </w:tr>
      <w:tr w:rsidR="00925140" w:rsidRPr="004236A1" w:rsidTr="004B7C1C">
        <w:trPr>
          <w:trHeight w:val="20"/>
          <w:jc w:val="center"/>
        </w:trPr>
        <w:tc>
          <w:tcPr>
            <w:tcW w:w="1818" w:type="dxa"/>
            <w:vMerge w:val="restart"/>
            <w:shd w:val="clear" w:color="auto" w:fill="auto"/>
            <w:vAlign w:val="center"/>
          </w:tcPr>
          <w:p w:rsidR="00925140" w:rsidRPr="004236A1" w:rsidRDefault="00925140" w:rsidP="002E6D56">
            <w:pPr>
              <w:rPr>
                <w:iCs/>
                <w:sz w:val="18"/>
                <w:szCs w:val="18"/>
              </w:rPr>
            </w:pPr>
            <w:r w:rsidRPr="004236A1">
              <w:rPr>
                <w:iCs/>
                <w:sz w:val="18"/>
                <w:szCs w:val="18"/>
              </w:rPr>
              <w:t>Administrative</w:t>
            </w:r>
          </w:p>
        </w:tc>
        <w:tc>
          <w:tcPr>
            <w:tcW w:w="5641" w:type="dxa"/>
            <w:shd w:val="clear" w:color="auto" w:fill="auto"/>
            <w:vAlign w:val="center"/>
          </w:tcPr>
          <w:p w:rsidR="00925140" w:rsidRPr="004236A1" w:rsidRDefault="00925140" w:rsidP="002E6D56">
            <w:pPr>
              <w:rPr>
                <w:iCs/>
                <w:sz w:val="18"/>
                <w:szCs w:val="18"/>
              </w:rPr>
            </w:pPr>
            <w:r w:rsidRPr="004236A1">
              <w:rPr>
                <w:iCs/>
                <w:sz w:val="18"/>
                <w:szCs w:val="18"/>
              </w:rPr>
              <w:t>Speed of financial completion after project completion</w:t>
            </w:r>
          </w:p>
        </w:tc>
        <w:tc>
          <w:tcPr>
            <w:tcW w:w="0" w:type="auto"/>
            <w:shd w:val="clear" w:color="auto" w:fill="auto"/>
            <w:noWrap/>
            <w:vAlign w:val="center"/>
          </w:tcPr>
          <w:p w:rsidR="00925140" w:rsidRPr="004236A1" w:rsidRDefault="00925140" w:rsidP="002E6D56">
            <w:pPr>
              <w:jc w:val="center"/>
              <w:rPr>
                <w:iCs/>
                <w:sz w:val="18"/>
                <w:szCs w:val="18"/>
              </w:rPr>
            </w:pPr>
            <w:r w:rsidRPr="004236A1">
              <w:rPr>
                <w:iCs/>
                <w:sz w:val="18"/>
                <w:szCs w:val="18"/>
              </w:rPr>
              <w:t>10</w:t>
            </w:r>
          </w:p>
        </w:tc>
        <w:tc>
          <w:tcPr>
            <w:tcW w:w="0" w:type="auto"/>
            <w:shd w:val="clear" w:color="auto" w:fill="auto"/>
            <w:noWrap/>
            <w:vAlign w:val="center"/>
          </w:tcPr>
          <w:p w:rsidR="00925140" w:rsidRPr="004236A1" w:rsidRDefault="00925140" w:rsidP="002E6D56">
            <w:pPr>
              <w:jc w:val="center"/>
              <w:rPr>
                <w:iCs/>
                <w:sz w:val="18"/>
                <w:szCs w:val="18"/>
              </w:rPr>
            </w:pPr>
            <w:r w:rsidRPr="004236A1">
              <w:rPr>
                <w:iCs/>
                <w:sz w:val="18"/>
                <w:szCs w:val="18"/>
              </w:rPr>
              <w:t>90%</w:t>
            </w:r>
          </w:p>
        </w:tc>
      </w:tr>
      <w:tr w:rsidR="00925140" w:rsidRPr="004236A1" w:rsidTr="004B7C1C">
        <w:trPr>
          <w:trHeight w:val="20"/>
          <w:jc w:val="center"/>
        </w:trPr>
        <w:tc>
          <w:tcPr>
            <w:tcW w:w="1818" w:type="dxa"/>
            <w:vMerge/>
            <w:shd w:val="clear" w:color="auto" w:fill="auto"/>
            <w:vAlign w:val="center"/>
          </w:tcPr>
          <w:p w:rsidR="00925140" w:rsidRPr="004236A1" w:rsidRDefault="00925140" w:rsidP="002E6D56">
            <w:pPr>
              <w:rPr>
                <w:iCs/>
                <w:sz w:val="18"/>
                <w:szCs w:val="18"/>
              </w:rPr>
            </w:pPr>
          </w:p>
        </w:tc>
        <w:tc>
          <w:tcPr>
            <w:tcW w:w="5641" w:type="dxa"/>
            <w:shd w:val="clear" w:color="auto" w:fill="auto"/>
            <w:vAlign w:val="center"/>
          </w:tcPr>
          <w:p w:rsidR="00925140" w:rsidRPr="004236A1" w:rsidRDefault="00925140" w:rsidP="002E6D56">
            <w:pPr>
              <w:rPr>
                <w:iCs/>
                <w:sz w:val="18"/>
                <w:szCs w:val="18"/>
              </w:rPr>
            </w:pPr>
            <w:r w:rsidRPr="004236A1">
              <w:rPr>
                <w:iCs/>
                <w:sz w:val="18"/>
                <w:szCs w:val="18"/>
              </w:rPr>
              <w:t>Timely submission of project completion reports</w:t>
            </w:r>
          </w:p>
        </w:tc>
        <w:tc>
          <w:tcPr>
            <w:tcW w:w="0" w:type="auto"/>
            <w:shd w:val="clear" w:color="auto" w:fill="auto"/>
            <w:noWrap/>
            <w:vAlign w:val="center"/>
          </w:tcPr>
          <w:p w:rsidR="00925140" w:rsidRPr="004236A1" w:rsidRDefault="00925140" w:rsidP="002E6D56">
            <w:pPr>
              <w:jc w:val="center"/>
              <w:rPr>
                <w:iCs/>
                <w:sz w:val="18"/>
                <w:szCs w:val="18"/>
              </w:rPr>
            </w:pPr>
            <w:r w:rsidRPr="004236A1">
              <w:rPr>
                <w:iCs/>
                <w:sz w:val="18"/>
                <w:szCs w:val="18"/>
              </w:rPr>
              <w:t>5</w:t>
            </w:r>
          </w:p>
        </w:tc>
        <w:tc>
          <w:tcPr>
            <w:tcW w:w="0" w:type="auto"/>
            <w:shd w:val="clear" w:color="auto" w:fill="auto"/>
            <w:noWrap/>
            <w:vAlign w:val="center"/>
          </w:tcPr>
          <w:p w:rsidR="00925140" w:rsidRPr="004236A1" w:rsidRDefault="00925140" w:rsidP="002E6D56">
            <w:pPr>
              <w:jc w:val="center"/>
              <w:rPr>
                <w:iCs/>
                <w:sz w:val="18"/>
                <w:szCs w:val="18"/>
              </w:rPr>
            </w:pPr>
            <w:r w:rsidRPr="004236A1">
              <w:rPr>
                <w:iCs/>
                <w:sz w:val="18"/>
                <w:szCs w:val="18"/>
              </w:rPr>
              <w:t>On time</w:t>
            </w:r>
          </w:p>
        </w:tc>
      </w:tr>
      <w:tr w:rsidR="00925140" w:rsidRPr="00BF4B5B" w:rsidTr="004B7C1C">
        <w:trPr>
          <w:trHeight w:val="20"/>
          <w:jc w:val="center"/>
        </w:trPr>
        <w:tc>
          <w:tcPr>
            <w:tcW w:w="1818" w:type="dxa"/>
            <w:vMerge/>
            <w:shd w:val="clear" w:color="auto" w:fill="auto"/>
            <w:vAlign w:val="center"/>
          </w:tcPr>
          <w:p w:rsidR="00925140" w:rsidRPr="004236A1" w:rsidRDefault="00925140" w:rsidP="002E6D56">
            <w:pPr>
              <w:rPr>
                <w:iCs/>
                <w:sz w:val="18"/>
                <w:szCs w:val="18"/>
              </w:rPr>
            </w:pPr>
          </w:p>
        </w:tc>
        <w:tc>
          <w:tcPr>
            <w:tcW w:w="5641" w:type="dxa"/>
            <w:shd w:val="clear" w:color="auto" w:fill="auto"/>
            <w:vAlign w:val="center"/>
          </w:tcPr>
          <w:p w:rsidR="00925140" w:rsidRPr="004236A1" w:rsidRDefault="00925140" w:rsidP="002E6D56">
            <w:pPr>
              <w:rPr>
                <w:iCs/>
                <w:sz w:val="18"/>
                <w:szCs w:val="18"/>
              </w:rPr>
            </w:pPr>
            <w:r w:rsidRPr="004236A1">
              <w:rPr>
                <w:iCs/>
                <w:sz w:val="18"/>
                <w:szCs w:val="18"/>
              </w:rPr>
              <w:t xml:space="preserve">Timely submission of progress reports </w:t>
            </w:r>
          </w:p>
        </w:tc>
        <w:tc>
          <w:tcPr>
            <w:tcW w:w="0" w:type="auto"/>
            <w:shd w:val="clear" w:color="auto" w:fill="auto"/>
            <w:noWrap/>
            <w:vAlign w:val="center"/>
          </w:tcPr>
          <w:p w:rsidR="00925140" w:rsidRPr="004236A1" w:rsidRDefault="00925140" w:rsidP="002E6D56">
            <w:pPr>
              <w:jc w:val="center"/>
              <w:rPr>
                <w:iCs/>
                <w:sz w:val="18"/>
                <w:szCs w:val="18"/>
              </w:rPr>
            </w:pPr>
            <w:r w:rsidRPr="004236A1">
              <w:rPr>
                <w:iCs/>
                <w:sz w:val="18"/>
                <w:szCs w:val="18"/>
              </w:rPr>
              <w:t>5</w:t>
            </w:r>
          </w:p>
        </w:tc>
        <w:tc>
          <w:tcPr>
            <w:tcW w:w="0" w:type="auto"/>
            <w:shd w:val="clear" w:color="auto" w:fill="auto"/>
            <w:noWrap/>
            <w:vAlign w:val="center"/>
          </w:tcPr>
          <w:p w:rsidR="00925140" w:rsidRPr="004236A1" w:rsidRDefault="00925140" w:rsidP="002E6D56">
            <w:pPr>
              <w:jc w:val="center"/>
              <w:rPr>
                <w:iCs/>
                <w:sz w:val="18"/>
                <w:szCs w:val="18"/>
              </w:rPr>
            </w:pPr>
            <w:r w:rsidRPr="004236A1">
              <w:rPr>
                <w:iCs/>
                <w:sz w:val="18"/>
                <w:szCs w:val="18"/>
              </w:rPr>
              <w:t>On time</w:t>
            </w:r>
          </w:p>
        </w:tc>
      </w:tr>
    </w:tbl>
    <w:p w:rsidR="00925140" w:rsidRDefault="00925140" w:rsidP="0002088C">
      <w:pPr>
        <w:jc w:val="center"/>
        <w:rPr>
          <w:iCs/>
        </w:rPr>
      </w:pPr>
    </w:p>
    <w:p w:rsidR="00925140" w:rsidRPr="00784885" w:rsidRDefault="00925140" w:rsidP="00784885">
      <w:pPr>
        <w:autoSpaceDE w:val="0"/>
        <w:autoSpaceDN w:val="0"/>
        <w:adjustRightInd w:val="0"/>
      </w:pPr>
    </w:p>
    <w:p w:rsidR="00925140" w:rsidRPr="00925140" w:rsidRDefault="00925140" w:rsidP="00925140">
      <w:pPr>
        <w:pStyle w:val="Heading1"/>
        <w:keepNext/>
        <w:numPr>
          <w:ilvl w:val="0"/>
          <w:numId w:val="23"/>
        </w:numPr>
        <w:spacing w:before="240"/>
        <w:jc w:val="left"/>
        <w:rPr>
          <w:b/>
        </w:rPr>
      </w:pPr>
      <w:bookmarkStart w:id="14" w:name="_Toc395519926"/>
      <w:r w:rsidRPr="00925140">
        <w:rPr>
          <w:b/>
        </w:rPr>
        <w:t>POLICY ISSUES</w:t>
      </w:r>
      <w:bookmarkEnd w:id="14"/>
    </w:p>
    <w:p w:rsidR="00925140" w:rsidRPr="00716F22" w:rsidRDefault="00925140" w:rsidP="00925140">
      <w:pPr>
        <w:pStyle w:val="ListParagraph"/>
        <w:numPr>
          <w:ilvl w:val="0"/>
          <w:numId w:val="24"/>
        </w:numPr>
        <w:spacing w:after="120" w:line="276" w:lineRule="auto"/>
        <w:ind w:left="0" w:firstLine="0"/>
        <w:rPr>
          <w:sz w:val="22"/>
          <w:szCs w:val="22"/>
        </w:rPr>
      </w:pPr>
      <w:r>
        <w:t>There are no policy issues to raise at this point in time.</w:t>
      </w:r>
    </w:p>
    <w:p w:rsidR="00925140" w:rsidRDefault="00925140" w:rsidP="0079658D">
      <w:pPr>
        <w:pStyle w:val="ListParagraph"/>
        <w:spacing w:after="120" w:line="276" w:lineRule="auto"/>
        <w:ind w:left="0"/>
        <w:rPr>
          <w:sz w:val="22"/>
          <w:szCs w:val="22"/>
        </w:rPr>
      </w:pPr>
    </w:p>
    <w:p w:rsidR="00925140" w:rsidRPr="00925140" w:rsidRDefault="00925140" w:rsidP="00015809">
      <w:pPr>
        <w:rPr>
          <w:lang w:val="en-US"/>
        </w:rPr>
      </w:pPr>
    </w:p>
    <w:sectPr w:rsidR="00925140" w:rsidRPr="00925140" w:rsidSect="00F84C58">
      <w:headerReference w:type="even" r:id="rId20"/>
      <w:headerReference w:type="default" r:id="rId21"/>
      <w:footerReference w:type="even" r:id="rId22"/>
      <w:footerReference w:type="default" r:id="rId23"/>
      <w:pgSz w:w="12240" w:h="15840" w:code="1"/>
      <w:pgMar w:top="1440" w:right="1440" w:bottom="1440" w:left="1440" w:header="115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D2A" w:rsidRDefault="00647D2A" w:rsidP="004A504B">
      <w:r>
        <w:separator/>
      </w:r>
    </w:p>
  </w:endnote>
  <w:endnote w:type="continuationSeparator" w:id="0">
    <w:p w:rsidR="00647D2A" w:rsidRDefault="00647D2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Andes">
    <w:altName w:val="Times New Roman"/>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2A" w:rsidRPr="0033525D" w:rsidRDefault="00647D2A">
    <w:pPr>
      <w:jc w:val="center"/>
    </w:pPr>
    <w:r>
      <w:fldChar w:fldCharType="begin"/>
    </w:r>
    <w:r>
      <w:instrText xml:space="preserve"> PAGE </w:instrText>
    </w:r>
    <w:r>
      <w:fldChar w:fldCharType="separate"/>
    </w:r>
    <w:r w:rsidR="002676CC">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2A" w:rsidRPr="0033525D" w:rsidRDefault="00647D2A">
    <w:pPr>
      <w:jc w:val="center"/>
    </w:pPr>
    <w:r>
      <w:fldChar w:fldCharType="begin"/>
    </w:r>
    <w:r>
      <w:instrText xml:space="preserve"> PAGE </w:instrText>
    </w:r>
    <w:r>
      <w:fldChar w:fldCharType="separate"/>
    </w:r>
    <w:r w:rsidR="002676CC">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2A" w:rsidRDefault="00647D2A"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647D2A" w:rsidRDefault="00647D2A"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952027"/>
      <w:docPartObj>
        <w:docPartGallery w:val="Page Numbers (Bottom of Page)"/>
        <w:docPartUnique/>
      </w:docPartObj>
    </w:sdtPr>
    <w:sdtEndPr>
      <w:rPr>
        <w:noProof/>
      </w:rPr>
    </w:sdtEndPr>
    <w:sdtContent>
      <w:p w:rsidR="00925140" w:rsidRDefault="00925140">
        <w:pPr>
          <w:pStyle w:val="Footer"/>
          <w:jc w:val="right"/>
        </w:pPr>
        <w:r>
          <w:fldChar w:fldCharType="begin"/>
        </w:r>
        <w:r>
          <w:instrText xml:space="preserve"> PAGE   \* MERGEFORMAT </w:instrText>
        </w:r>
        <w:r>
          <w:fldChar w:fldCharType="separate"/>
        </w:r>
        <w:r w:rsidR="002676CC">
          <w:rPr>
            <w:noProof/>
          </w:rPr>
          <w:t>2</w:t>
        </w:r>
        <w:r>
          <w:rPr>
            <w:noProof/>
          </w:rPr>
          <w:fldChar w:fldCharType="end"/>
        </w:r>
      </w:p>
    </w:sdtContent>
  </w:sdt>
  <w:p w:rsidR="00925140" w:rsidRPr="0033525D" w:rsidRDefault="00925140">
    <w:pP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26246"/>
      <w:docPartObj>
        <w:docPartGallery w:val="Page Numbers (Bottom of Page)"/>
        <w:docPartUnique/>
      </w:docPartObj>
    </w:sdtPr>
    <w:sdtEndPr>
      <w:rPr>
        <w:noProof/>
        <w:sz w:val="20"/>
        <w:szCs w:val="20"/>
      </w:rPr>
    </w:sdtEndPr>
    <w:sdtContent>
      <w:p w:rsidR="00925140" w:rsidRPr="00F84C58" w:rsidRDefault="00925140">
        <w:pPr>
          <w:pStyle w:val="Footer"/>
          <w:jc w:val="right"/>
          <w:rPr>
            <w:sz w:val="20"/>
            <w:szCs w:val="20"/>
          </w:rPr>
        </w:pPr>
        <w:r w:rsidRPr="00F84C58">
          <w:rPr>
            <w:sz w:val="20"/>
            <w:szCs w:val="20"/>
          </w:rPr>
          <w:fldChar w:fldCharType="begin"/>
        </w:r>
        <w:r w:rsidRPr="00F84C58">
          <w:rPr>
            <w:sz w:val="20"/>
            <w:szCs w:val="20"/>
          </w:rPr>
          <w:instrText xml:space="preserve"> PAGE   \* MERGEFORMAT </w:instrText>
        </w:r>
        <w:r w:rsidRPr="00F84C58">
          <w:rPr>
            <w:sz w:val="20"/>
            <w:szCs w:val="20"/>
          </w:rPr>
          <w:fldChar w:fldCharType="separate"/>
        </w:r>
        <w:r>
          <w:rPr>
            <w:noProof/>
            <w:sz w:val="20"/>
            <w:szCs w:val="20"/>
          </w:rPr>
          <w:t>1</w:t>
        </w:r>
        <w:r w:rsidRPr="00F84C58">
          <w:rPr>
            <w:noProof/>
            <w:sz w:val="20"/>
            <w:szCs w:val="20"/>
          </w:rPr>
          <w:fldChar w:fldCharType="end"/>
        </w:r>
      </w:p>
    </w:sdtContent>
  </w:sdt>
  <w:p w:rsidR="00925140" w:rsidRDefault="0092514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754172"/>
      <w:docPartObj>
        <w:docPartGallery w:val="Page Numbers (Bottom of Page)"/>
        <w:docPartUnique/>
      </w:docPartObj>
    </w:sdtPr>
    <w:sdtEndPr>
      <w:rPr>
        <w:noProof/>
      </w:rPr>
    </w:sdtEndPr>
    <w:sdtContent>
      <w:p w:rsidR="00925140" w:rsidRDefault="00925140">
        <w:pPr>
          <w:pStyle w:val="Footer"/>
          <w:jc w:val="right"/>
        </w:pPr>
        <w:r>
          <w:fldChar w:fldCharType="begin"/>
        </w:r>
        <w:r>
          <w:instrText xml:space="preserve"> PAGE   \* MERGEFORMAT </w:instrText>
        </w:r>
        <w:r>
          <w:fldChar w:fldCharType="separate"/>
        </w:r>
        <w:r w:rsidR="002676CC">
          <w:rPr>
            <w:noProof/>
          </w:rPr>
          <w:t>1</w:t>
        </w:r>
        <w:r>
          <w:rPr>
            <w:noProof/>
          </w:rPr>
          <w:fldChar w:fldCharType="end"/>
        </w:r>
      </w:p>
    </w:sdtContent>
  </w:sdt>
  <w:p w:rsidR="00925140" w:rsidRPr="00925140" w:rsidRDefault="00925140" w:rsidP="00925140">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40" w:rsidRPr="0033525D" w:rsidRDefault="00925140" w:rsidP="00925140">
    <w:pPr>
      <w:pStyle w:val="Footer"/>
      <w:jc w:val="right"/>
    </w:pPr>
    <w:r>
      <w:fldChar w:fldCharType="begin"/>
    </w:r>
    <w:r>
      <w:instrText xml:space="preserve"> PAGE </w:instrText>
    </w:r>
    <w:r>
      <w:fldChar w:fldCharType="separate"/>
    </w:r>
    <w:r w:rsidR="002676CC">
      <w:rPr>
        <w:noProof/>
      </w:rPr>
      <w:t>4</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184128"/>
      <w:docPartObj>
        <w:docPartGallery w:val="Page Numbers (Bottom of Page)"/>
        <w:docPartUnique/>
      </w:docPartObj>
    </w:sdtPr>
    <w:sdtEndPr>
      <w:rPr>
        <w:noProof/>
        <w:sz w:val="20"/>
        <w:szCs w:val="20"/>
      </w:rPr>
    </w:sdtEndPr>
    <w:sdtContent>
      <w:p w:rsidR="00925140" w:rsidRPr="00F84C58" w:rsidRDefault="00925140">
        <w:pPr>
          <w:pStyle w:val="Footer"/>
          <w:jc w:val="right"/>
          <w:rPr>
            <w:sz w:val="20"/>
            <w:szCs w:val="20"/>
          </w:rPr>
        </w:pPr>
        <w:r w:rsidRPr="00F84C58">
          <w:rPr>
            <w:sz w:val="20"/>
            <w:szCs w:val="20"/>
          </w:rPr>
          <w:fldChar w:fldCharType="begin"/>
        </w:r>
        <w:r w:rsidRPr="00F84C58">
          <w:rPr>
            <w:sz w:val="20"/>
            <w:szCs w:val="20"/>
          </w:rPr>
          <w:instrText xml:space="preserve"> PAGE   \* MERGEFORMAT </w:instrText>
        </w:r>
        <w:r w:rsidRPr="00F84C58">
          <w:rPr>
            <w:sz w:val="20"/>
            <w:szCs w:val="20"/>
          </w:rPr>
          <w:fldChar w:fldCharType="separate"/>
        </w:r>
        <w:r w:rsidR="002676CC">
          <w:rPr>
            <w:noProof/>
            <w:sz w:val="20"/>
            <w:szCs w:val="20"/>
          </w:rPr>
          <w:t>5</w:t>
        </w:r>
        <w:r w:rsidRPr="00F84C58">
          <w:rPr>
            <w:noProof/>
            <w:sz w:val="20"/>
            <w:szCs w:val="20"/>
          </w:rPr>
          <w:fldChar w:fldCharType="end"/>
        </w:r>
      </w:p>
    </w:sdtContent>
  </w:sdt>
  <w:p w:rsidR="00925140" w:rsidRDefault="009251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D2A" w:rsidRDefault="00647D2A" w:rsidP="004A504B">
      <w:r>
        <w:separator/>
      </w:r>
    </w:p>
  </w:footnote>
  <w:footnote w:type="continuationSeparator" w:id="0">
    <w:p w:rsidR="00647D2A" w:rsidRDefault="00647D2A" w:rsidP="004A504B">
      <w:r>
        <w:continuationSeparator/>
      </w:r>
    </w:p>
  </w:footnote>
  <w:footnote w:id="1">
    <w:p w:rsidR="00647D2A" w:rsidRPr="007F5EDA" w:rsidRDefault="00647D2A" w:rsidP="00E06711">
      <w:pPr>
        <w:pStyle w:val="FootnoteText"/>
      </w:pPr>
      <w:r w:rsidRPr="00126407">
        <w:rPr>
          <w:rStyle w:val="FootnoteReference"/>
        </w:rPr>
        <w:footnoteRef/>
      </w:r>
      <w:r w:rsidRPr="00126407">
        <w:t xml:space="preserve"> A draft business plan for 2018-2020 of the World Bank was discussed at the Inter-agency coordination meeting (IACM) held in Montreal from 5 to 7 September 2017. The business plan contained in this document has addressed the issues raised at the meeting.</w:t>
      </w:r>
    </w:p>
  </w:footnote>
  <w:footnote w:id="2">
    <w:p w:rsidR="00647D2A" w:rsidRPr="007F5EDA" w:rsidRDefault="00647D2A" w:rsidP="00E06711">
      <w:pPr>
        <w:pStyle w:val="FootnoteText"/>
      </w:pPr>
      <w:r w:rsidRPr="00126407">
        <w:rPr>
          <w:rStyle w:val="FootnoteReference"/>
        </w:rPr>
        <w:footnoteRef/>
      </w:r>
      <w:r w:rsidRPr="00126407">
        <w:t xml:space="preserve"> </w:t>
      </w:r>
      <w:r w:rsidRPr="00126407">
        <w:rPr>
          <w:lang w:val="en-US"/>
        </w:rPr>
        <w:t xml:space="preserve">US $385 million plus </w:t>
      </w:r>
      <w:r w:rsidR="00E00D27">
        <w:rPr>
          <w:lang w:val="en-US"/>
        </w:rPr>
        <w:t xml:space="preserve">agency </w:t>
      </w:r>
      <w:r w:rsidRPr="00126407">
        <w:rPr>
          <w:lang w:val="en-US"/>
        </w:rPr>
        <w:t>support costs of US $21.56 million</w:t>
      </w:r>
      <w:r w:rsidR="00E00D27">
        <w:rPr>
          <w:lang w:val="en-US"/>
        </w:rPr>
        <w:t xml:space="preserve"> (calculated at 5.6 per cent of the project cost)</w:t>
      </w:r>
      <w:r w:rsidRPr="00126407">
        <w:rPr>
          <w:lang w:val="en-US"/>
        </w:rPr>
        <w:t>.</w:t>
      </w:r>
    </w:p>
  </w:footnote>
  <w:footnote w:id="3">
    <w:p w:rsidR="00647D2A" w:rsidRPr="007F5EDA" w:rsidRDefault="00647D2A" w:rsidP="00E06711">
      <w:pPr>
        <w:pStyle w:val="FootnoteText"/>
        <w:rPr>
          <w:lang w:val="en-CA"/>
        </w:rPr>
      </w:pPr>
      <w:r w:rsidRPr="00126407">
        <w:rPr>
          <w:rStyle w:val="FootnoteReference"/>
        </w:rPr>
        <w:footnoteRef/>
      </w:r>
      <w:r w:rsidRPr="00126407">
        <w:t xml:space="preserve"> </w:t>
      </w:r>
      <w:r w:rsidRPr="00126407">
        <w:rPr>
          <w:lang w:val="en-CA"/>
        </w:rPr>
        <w:t>The World Bank’s 2018 core unit cost request has been submitted to the 80</w:t>
      </w:r>
      <w:r w:rsidRPr="00126407">
        <w:rPr>
          <w:vertAlign w:val="superscript"/>
          <w:lang w:val="en-CA"/>
        </w:rPr>
        <w:t>th</w:t>
      </w:r>
      <w:r w:rsidRPr="00126407">
        <w:rPr>
          <w:lang w:val="en-CA"/>
        </w:rPr>
        <w:t xml:space="preserve"> meeting</w:t>
      </w:r>
      <w:r>
        <w:rPr>
          <w:lang w:val="en-CA"/>
        </w:rPr>
        <w:t xml:space="preserve"> </w:t>
      </w:r>
      <w:r w:rsidRPr="00C23FE6">
        <w:rPr>
          <w:lang w:val="en-CA"/>
        </w:rPr>
        <w:t>(UNEP/OzL.Pro/</w:t>
      </w:r>
      <w:proofErr w:type="spellStart"/>
      <w:r w:rsidRPr="00C23FE6">
        <w:rPr>
          <w:lang w:val="en-CA"/>
        </w:rPr>
        <w:t>ExCom</w:t>
      </w:r>
      <w:proofErr w:type="spellEnd"/>
      <w:r w:rsidRPr="00C23FE6">
        <w:rPr>
          <w:lang w:val="en-CA"/>
        </w:rPr>
        <w:t>/80/</w:t>
      </w:r>
      <w:r w:rsidR="00C23FE6" w:rsidRPr="00C23FE6">
        <w:rPr>
          <w:lang w:val="en-CA"/>
        </w:rPr>
        <w:t>29</w:t>
      </w:r>
      <w:r w:rsidRPr="00C23FE6">
        <w:rPr>
          <w:lang w:val="en-CA"/>
        </w:rPr>
        <w:t>).</w:t>
      </w:r>
    </w:p>
  </w:footnote>
  <w:footnote w:id="4">
    <w:p w:rsidR="00647D2A" w:rsidRPr="007F5EDA" w:rsidRDefault="00647D2A" w:rsidP="00E06711">
      <w:pPr>
        <w:pStyle w:val="FootnoteText"/>
        <w:rPr>
          <w:lang w:val="en-CA"/>
        </w:rPr>
      </w:pPr>
      <w:r w:rsidRPr="00015809">
        <w:rPr>
          <w:rStyle w:val="FootnoteReference"/>
        </w:rPr>
        <w:footnoteRef/>
      </w:r>
      <w:r w:rsidRPr="00015809">
        <w:t xml:space="preserve"> UNEP/OzL.Pro/</w:t>
      </w:r>
      <w:proofErr w:type="spellStart"/>
      <w:r w:rsidRPr="00015809">
        <w:t>ExCom</w:t>
      </w:r>
      <w:proofErr w:type="spellEnd"/>
      <w:r w:rsidRPr="00015809">
        <w:t>/80/</w:t>
      </w:r>
      <w:r w:rsidR="00015809" w:rsidRPr="00015809">
        <w:t>16</w:t>
      </w:r>
      <w:r w:rsidRPr="00015809">
        <w:t>.</w:t>
      </w:r>
    </w:p>
  </w:footnote>
  <w:footnote w:id="5">
    <w:p w:rsidR="00925140" w:rsidRDefault="00925140">
      <w:pPr>
        <w:pStyle w:val="FootnoteText"/>
      </w:pPr>
      <w:r>
        <w:rPr>
          <w:rStyle w:val="FootnoteReference"/>
        </w:rPr>
        <w:footnoteRef/>
      </w:r>
      <w:r>
        <w:t xml:space="preserve"> HPMP Stage I</w:t>
      </w:r>
    </w:p>
  </w:footnote>
  <w:footnote w:id="6">
    <w:p w:rsidR="00925140" w:rsidRDefault="00925140">
      <w:pPr>
        <w:pStyle w:val="FootnoteText"/>
      </w:pPr>
      <w:r>
        <w:rPr>
          <w:rStyle w:val="FootnoteReference"/>
        </w:rPr>
        <w:footnoteRef/>
      </w:r>
      <w:r>
        <w:t xml:space="preserve"> Stage I HPMP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2A" w:rsidRPr="0033525D" w:rsidRDefault="00015809">
    <w:r>
      <w:fldChar w:fldCharType="begin"/>
    </w:r>
    <w:r>
      <w:instrText xml:space="preserve"> DOCPROPERTY "Document number"  \* MERGEFORMAT </w:instrText>
    </w:r>
    <w:r>
      <w:fldChar w:fldCharType="separate"/>
    </w:r>
    <w:r>
      <w:t>UNEP/OzL.Pro/</w:t>
    </w:r>
    <w:proofErr w:type="spellStart"/>
    <w:r>
      <w:t>ExCom</w:t>
    </w:r>
    <w:proofErr w:type="spellEnd"/>
    <w:r>
      <w:t>/80/21</w:t>
    </w:r>
    <w:r>
      <w:fldChar w:fldCharType="end"/>
    </w:r>
  </w:p>
  <w:p w:rsidR="00647D2A" w:rsidRPr="0033525D" w:rsidRDefault="00647D2A"/>
  <w:p w:rsidR="00647D2A" w:rsidRPr="0033525D" w:rsidRDefault="00647D2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2A" w:rsidRPr="0033525D" w:rsidRDefault="00015809">
    <w:pPr>
      <w:jc w:val="right"/>
    </w:pPr>
    <w:r>
      <w:fldChar w:fldCharType="begin"/>
    </w:r>
    <w:r>
      <w:instrText xml:space="preserve"> DOCPROPERTY "Document number"  \* MERGEFORMAT </w:instrText>
    </w:r>
    <w:r>
      <w:fldChar w:fldCharType="separate"/>
    </w:r>
    <w:r>
      <w:t>UNEP/OzL.Pro/</w:t>
    </w:r>
    <w:proofErr w:type="spellStart"/>
    <w:r>
      <w:t>ExCom</w:t>
    </w:r>
    <w:proofErr w:type="spellEnd"/>
    <w:r>
      <w:t>/80/21</w:t>
    </w:r>
    <w:r>
      <w:fldChar w:fldCharType="end"/>
    </w:r>
  </w:p>
  <w:p w:rsidR="00647D2A" w:rsidRPr="0033525D" w:rsidRDefault="00647D2A"/>
  <w:p w:rsidR="00647D2A" w:rsidRPr="0033525D" w:rsidRDefault="00647D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40" w:rsidRPr="0033525D" w:rsidRDefault="00925140"/>
  <w:p w:rsidR="00925140" w:rsidRPr="0033525D" w:rsidRDefault="0092514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40" w:rsidRPr="0033525D" w:rsidRDefault="0092514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40" w:rsidRPr="0033525D" w:rsidRDefault="009251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52850D4"/>
    <w:multiLevelType w:val="multilevel"/>
    <w:tmpl w:val="2658830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E444E2"/>
    <w:multiLevelType w:val="hybridMultilevel"/>
    <w:tmpl w:val="530ED264"/>
    <w:lvl w:ilvl="0" w:tplc="9350EFE2">
      <w:start w:val="1"/>
      <w:numFmt w:val="upperLetter"/>
      <w:lvlText w:val="%1."/>
      <w:lvlJc w:val="left"/>
      <w:pPr>
        <w:tabs>
          <w:tab w:val="num" w:pos="1080"/>
        </w:tabs>
        <w:ind w:left="1080" w:hanging="720"/>
      </w:pPr>
      <w:rPr>
        <w:rFonts w:ascii="Times New Roman" w:eastAsia="Times New Roman" w:hAnsi="Times New Roman" w:cs="Times New Roman"/>
      </w:rPr>
    </w:lvl>
    <w:lvl w:ilvl="1" w:tplc="A4247F2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521C5C"/>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42B5C4D"/>
    <w:multiLevelType w:val="hybridMultilevel"/>
    <w:tmpl w:val="A6966DE6"/>
    <w:lvl w:ilvl="0" w:tplc="04090015">
      <w:start w:val="1"/>
      <w:numFmt w:val="upperLetter"/>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8"/>
  </w:num>
  <w:num w:numId="19">
    <w:abstractNumId w:val="19"/>
  </w:num>
  <w:num w:numId="20">
    <w:abstractNumId w:val="15"/>
  </w:num>
  <w:num w:numId="21">
    <w:abstractNumId w:val="16"/>
  </w:num>
  <w:num w:numId="22">
    <w:abstractNumId w:val="12"/>
  </w:num>
  <w:num w:numId="23">
    <w:abstractNumId w:val="14"/>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E06711"/>
    <w:rsid w:val="00000FED"/>
    <w:rsid w:val="0000434E"/>
    <w:rsid w:val="00013AA6"/>
    <w:rsid w:val="00015809"/>
    <w:rsid w:val="000211A9"/>
    <w:rsid w:val="000270DA"/>
    <w:rsid w:val="00031260"/>
    <w:rsid w:val="000312E8"/>
    <w:rsid w:val="0003681A"/>
    <w:rsid w:val="00061EC2"/>
    <w:rsid w:val="00080D4E"/>
    <w:rsid w:val="00080ED0"/>
    <w:rsid w:val="00085B8F"/>
    <w:rsid w:val="00090481"/>
    <w:rsid w:val="0009164B"/>
    <w:rsid w:val="000A6C26"/>
    <w:rsid w:val="000E07BC"/>
    <w:rsid w:val="000F1CD4"/>
    <w:rsid w:val="000F4103"/>
    <w:rsid w:val="000F70A7"/>
    <w:rsid w:val="00122F25"/>
    <w:rsid w:val="00126407"/>
    <w:rsid w:val="00135980"/>
    <w:rsid w:val="00164719"/>
    <w:rsid w:val="00166FC4"/>
    <w:rsid w:val="001677AC"/>
    <w:rsid w:val="00173F1E"/>
    <w:rsid w:val="001804EA"/>
    <w:rsid w:val="00183250"/>
    <w:rsid w:val="00190A61"/>
    <w:rsid w:val="001A3342"/>
    <w:rsid w:val="001A3E3D"/>
    <w:rsid w:val="001A4713"/>
    <w:rsid w:val="001A7049"/>
    <w:rsid w:val="001B1E40"/>
    <w:rsid w:val="001C4FB2"/>
    <w:rsid w:val="001C764E"/>
    <w:rsid w:val="001E1052"/>
    <w:rsid w:val="001E21B1"/>
    <w:rsid w:val="001E2F93"/>
    <w:rsid w:val="001E61E5"/>
    <w:rsid w:val="001F2159"/>
    <w:rsid w:val="0021453A"/>
    <w:rsid w:val="00214863"/>
    <w:rsid w:val="002156B4"/>
    <w:rsid w:val="00215C26"/>
    <w:rsid w:val="002363A5"/>
    <w:rsid w:val="00253222"/>
    <w:rsid w:val="00255A94"/>
    <w:rsid w:val="00262847"/>
    <w:rsid w:val="002676CC"/>
    <w:rsid w:val="00281BB2"/>
    <w:rsid w:val="00284177"/>
    <w:rsid w:val="00293A6A"/>
    <w:rsid w:val="002A6C7A"/>
    <w:rsid w:val="002B72E9"/>
    <w:rsid w:val="002C7998"/>
    <w:rsid w:val="002F1E53"/>
    <w:rsid w:val="002F2CAA"/>
    <w:rsid w:val="0030052C"/>
    <w:rsid w:val="003306E1"/>
    <w:rsid w:val="003320E4"/>
    <w:rsid w:val="0033525D"/>
    <w:rsid w:val="003414F3"/>
    <w:rsid w:val="0035613E"/>
    <w:rsid w:val="00363EE9"/>
    <w:rsid w:val="00376128"/>
    <w:rsid w:val="0037742E"/>
    <w:rsid w:val="0038245A"/>
    <w:rsid w:val="00385CFC"/>
    <w:rsid w:val="0039337A"/>
    <w:rsid w:val="00397DF0"/>
    <w:rsid w:val="003A3189"/>
    <w:rsid w:val="003B33BD"/>
    <w:rsid w:val="003B3B95"/>
    <w:rsid w:val="003B569D"/>
    <w:rsid w:val="003C3C0E"/>
    <w:rsid w:val="003D4FAC"/>
    <w:rsid w:val="003E7906"/>
    <w:rsid w:val="003F3C50"/>
    <w:rsid w:val="00406A6A"/>
    <w:rsid w:val="00406B22"/>
    <w:rsid w:val="004328A7"/>
    <w:rsid w:val="00434C74"/>
    <w:rsid w:val="00456EB4"/>
    <w:rsid w:val="004718F3"/>
    <w:rsid w:val="00475040"/>
    <w:rsid w:val="00493D40"/>
    <w:rsid w:val="004967B6"/>
    <w:rsid w:val="004A504B"/>
    <w:rsid w:val="004A6911"/>
    <w:rsid w:val="004B54E0"/>
    <w:rsid w:val="004B7384"/>
    <w:rsid w:val="004C4269"/>
    <w:rsid w:val="004D6236"/>
    <w:rsid w:val="004E4DBB"/>
    <w:rsid w:val="004E4E41"/>
    <w:rsid w:val="004E7F9C"/>
    <w:rsid w:val="004F3493"/>
    <w:rsid w:val="004F5143"/>
    <w:rsid w:val="00512B09"/>
    <w:rsid w:val="00555D75"/>
    <w:rsid w:val="00560DF0"/>
    <w:rsid w:val="0056759C"/>
    <w:rsid w:val="0059513E"/>
    <w:rsid w:val="005A609B"/>
    <w:rsid w:val="005B48FF"/>
    <w:rsid w:val="005D360B"/>
    <w:rsid w:val="005F2FC1"/>
    <w:rsid w:val="00604C15"/>
    <w:rsid w:val="006145F9"/>
    <w:rsid w:val="006158D5"/>
    <w:rsid w:val="00615BBA"/>
    <w:rsid w:val="00625D83"/>
    <w:rsid w:val="00647D2A"/>
    <w:rsid w:val="00661EDB"/>
    <w:rsid w:val="006623E7"/>
    <w:rsid w:val="00662B80"/>
    <w:rsid w:val="00670F6C"/>
    <w:rsid w:val="006852C7"/>
    <w:rsid w:val="006C1727"/>
    <w:rsid w:val="006C32FD"/>
    <w:rsid w:val="006C39CE"/>
    <w:rsid w:val="006D0FCC"/>
    <w:rsid w:val="006E1FC3"/>
    <w:rsid w:val="006F0713"/>
    <w:rsid w:val="006F2E5B"/>
    <w:rsid w:val="0070616B"/>
    <w:rsid w:val="00706FDA"/>
    <w:rsid w:val="00711F9A"/>
    <w:rsid w:val="00713810"/>
    <w:rsid w:val="007303A5"/>
    <w:rsid w:val="00730B3E"/>
    <w:rsid w:val="0073420B"/>
    <w:rsid w:val="007439BC"/>
    <w:rsid w:val="00744B9D"/>
    <w:rsid w:val="0074760E"/>
    <w:rsid w:val="00754ABA"/>
    <w:rsid w:val="00785A5C"/>
    <w:rsid w:val="007A1546"/>
    <w:rsid w:val="007A228C"/>
    <w:rsid w:val="007A368E"/>
    <w:rsid w:val="007A5868"/>
    <w:rsid w:val="007B04CE"/>
    <w:rsid w:val="007B6871"/>
    <w:rsid w:val="007B7A2F"/>
    <w:rsid w:val="007C3D33"/>
    <w:rsid w:val="007D294A"/>
    <w:rsid w:val="007D47D2"/>
    <w:rsid w:val="007D6EC0"/>
    <w:rsid w:val="007D7E1D"/>
    <w:rsid w:val="008216E9"/>
    <w:rsid w:val="00831979"/>
    <w:rsid w:val="0083474D"/>
    <w:rsid w:val="00851352"/>
    <w:rsid w:val="00851EFF"/>
    <w:rsid w:val="00863230"/>
    <w:rsid w:val="008717D8"/>
    <w:rsid w:val="00871C42"/>
    <w:rsid w:val="0087215C"/>
    <w:rsid w:val="008875FE"/>
    <w:rsid w:val="00887F8E"/>
    <w:rsid w:val="00896234"/>
    <w:rsid w:val="00897E43"/>
    <w:rsid w:val="008C5738"/>
    <w:rsid w:val="008C7EAD"/>
    <w:rsid w:val="008D0CFE"/>
    <w:rsid w:val="008D522C"/>
    <w:rsid w:val="008D6152"/>
    <w:rsid w:val="008F0F81"/>
    <w:rsid w:val="008F27BF"/>
    <w:rsid w:val="009142EC"/>
    <w:rsid w:val="009154C3"/>
    <w:rsid w:val="00923540"/>
    <w:rsid w:val="00925140"/>
    <w:rsid w:val="00926767"/>
    <w:rsid w:val="009361D5"/>
    <w:rsid w:val="009428A4"/>
    <w:rsid w:val="009659F4"/>
    <w:rsid w:val="00970D60"/>
    <w:rsid w:val="009960E5"/>
    <w:rsid w:val="009A0E09"/>
    <w:rsid w:val="009A37C3"/>
    <w:rsid w:val="009A7ADC"/>
    <w:rsid w:val="009C19B7"/>
    <w:rsid w:val="009D7C51"/>
    <w:rsid w:val="009E7A63"/>
    <w:rsid w:val="009F36BF"/>
    <w:rsid w:val="00A111B6"/>
    <w:rsid w:val="00A16D98"/>
    <w:rsid w:val="00A26D27"/>
    <w:rsid w:val="00A376EE"/>
    <w:rsid w:val="00A42A99"/>
    <w:rsid w:val="00A5151A"/>
    <w:rsid w:val="00A57E0A"/>
    <w:rsid w:val="00A60F1A"/>
    <w:rsid w:val="00A823F6"/>
    <w:rsid w:val="00AA0A89"/>
    <w:rsid w:val="00AA38BF"/>
    <w:rsid w:val="00AA6429"/>
    <w:rsid w:val="00AB6BBD"/>
    <w:rsid w:val="00AC01AA"/>
    <w:rsid w:val="00AC4F72"/>
    <w:rsid w:val="00AE7FA9"/>
    <w:rsid w:val="00AF741A"/>
    <w:rsid w:val="00B01ADB"/>
    <w:rsid w:val="00B04161"/>
    <w:rsid w:val="00B056F9"/>
    <w:rsid w:val="00B114BC"/>
    <w:rsid w:val="00B11E3D"/>
    <w:rsid w:val="00B16117"/>
    <w:rsid w:val="00B17E82"/>
    <w:rsid w:val="00B33C3E"/>
    <w:rsid w:val="00B4575A"/>
    <w:rsid w:val="00B575BA"/>
    <w:rsid w:val="00B611CB"/>
    <w:rsid w:val="00B76429"/>
    <w:rsid w:val="00B8023A"/>
    <w:rsid w:val="00B956D4"/>
    <w:rsid w:val="00B97446"/>
    <w:rsid w:val="00BA7432"/>
    <w:rsid w:val="00BB1BBF"/>
    <w:rsid w:val="00BC1AA0"/>
    <w:rsid w:val="00BC2495"/>
    <w:rsid w:val="00BC7EB9"/>
    <w:rsid w:val="00BD2643"/>
    <w:rsid w:val="00BD56B1"/>
    <w:rsid w:val="00BD6558"/>
    <w:rsid w:val="00BF0BEF"/>
    <w:rsid w:val="00BF3022"/>
    <w:rsid w:val="00BF3214"/>
    <w:rsid w:val="00BF3BD2"/>
    <w:rsid w:val="00BF5573"/>
    <w:rsid w:val="00BF77F7"/>
    <w:rsid w:val="00C13493"/>
    <w:rsid w:val="00C15867"/>
    <w:rsid w:val="00C2296D"/>
    <w:rsid w:val="00C23155"/>
    <w:rsid w:val="00C23FE6"/>
    <w:rsid w:val="00C40C41"/>
    <w:rsid w:val="00C45885"/>
    <w:rsid w:val="00C50F22"/>
    <w:rsid w:val="00C57971"/>
    <w:rsid w:val="00C76BA4"/>
    <w:rsid w:val="00C83A48"/>
    <w:rsid w:val="00C85865"/>
    <w:rsid w:val="00C85E85"/>
    <w:rsid w:val="00CA2EAE"/>
    <w:rsid w:val="00CA4AC1"/>
    <w:rsid w:val="00CB0316"/>
    <w:rsid w:val="00CB0B11"/>
    <w:rsid w:val="00CB2FCD"/>
    <w:rsid w:val="00CB5354"/>
    <w:rsid w:val="00CC6A14"/>
    <w:rsid w:val="00CC70A3"/>
    <w:rsid w:val="00CD4442"/>
    <w:rsid w:val="00CD53C3"/>
    <w:rsid w:val="00CD574E"/>
    <w:rsid w:val="00CE4C22"/>
    <w:rsid w:val="00CF41EC"/>
    <w:rsid w:val="00CF5D04"/>
    <w:rsid w:val="00D04DE4"/>
    <w:rsid w:val="00D063F1"/>
    <w:rsid w:val="00D14F22"/>
    <w:rsid w:val="00D1705B"/>
    <w:rsid w:val="00D57776"/>
    <w:rsid w:val="00D57918"/>
    <w:rsid w:val="00D73DC6"/>
    <w:rsid w:val="00D74C1A"/>
    <w:rsid w:val="00D754C1"/>
    <w:rsid w:val="00D77393"/>
    <w:rsid w:val="00D77A35"/>
    <w:rsid w:val="00D81B3E"/>
    <w:rsid w:val="00D90C70"/>
    <w:rsid w:val="00D90E49"/>
    <w:rsid w:val="00D96ADE"/>
    <w:rsid w:val="00DB5ED0"/>
    <w:rsid w:val="00DC6A10"/>
    <w:rsid w:val="00DE5002"/>
    <w:rsid w:val="00DE657E"/>
    <w:rsid w:val="00DF4704"/>
    <w:rsid w:val="00E00D27"/>
    <w:rsid w:val="00E024AA"/>
    <w:rsid w:val="00E05198"/>
    <w:rsid w:val="00E06711"/>
    <w:rsid w:val="00E0753F"/>
    <w:rsid w:val="00E20603"/>
    <w:rsid w:val="00E250F1"/>
    <w:rsid w:val="00E3550D"/>
    <w:rsid w:val="00E60F6C"/>
    <w:rsid w:val="00E614E0"/>
    <w:rsid w:val="00E73791"/>
    <w:rsid w:val="00E73F7F"/>
    <w:rsid w:val="00E85409"/>
    <w:rsid w:val="00EA429F"/>
    <w:rsid w:val="00EA4F9E"/>
    <w:rsid w:val="00EA63CA"/>
    <w:rsid w:val="00EA6D3B"/>
    <w:rsid w:val="00EB00AD"/>
    <w:rsid w:val="00EB136C"/>
    <w:rsid w:val="00EB480E"/>
    <w:rsid w:val="00EB5EC6"/>
    <w:rsid w:val="00EB7FC9"/>
    <w:rsid w:val="00ED27E8"/>
    <w:rsid w:val="00ED7137"/>
    <w:rsid w:val="00EE1F8C"/>
    <w:rsid w:val="00EF2EA5"/>
    <w:rsid w:val="00F21088"/>
    <w:rsid w:val="00F25937"/>
    <w:rsid w:val="00F327E7"/>
    <w:rsid w:val="00F35746"/>
    <w:rsid w:val="00F43737"/>
    <w:rsid w:val="00F447C7"/>
    <w:rsid w:val="00F45688"/>
    <w:rsid w:val="00F554A9"/>
    <w:rsid w:val="00F64C23"/>
    <w:rsid w:val="00F716FD"/>
    <w:rsid w:val="00F80355"/>
    <w:rsid w:val="00FB0C81"/>
    <w:rsid w:val="00FC2200"/>
    <w:rsid w:val="00FC2540"/>
    <w:rsid w:val="00FE1C4D"/>
    <w:rsid w:val="00FF00A3"/>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3FFE00A"/>
  <w15:docId w15:val="{25D72616-15F5-40B0-A92C-2F9986DD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Title2">
    <w:name w:val="Title2"/>
    <w:rsid w:val="00E06711"/>
    <w:pPr>
      <w:jc w:val="center"/>
      <w:outlineLvl w:val="0"/>
    </w:pPr>
    <w:rPr>
      <w:b/>
      <w:caps/>
      <w:sz w:val="22"/>
      <w:szCs w:val="22"/>
      <w:lang w:val="en-GB"/>
    </w:rPr>
  </w:style>
  <w:style w:type="paragraph" w:customStyle="1" w:styleId="subhead">
    <w:name w:val="subhead"/>
    <w:basedOn w:val="Normal"/>
    <w:next w:val="Normal"/>
    <w:uiPriority w:val="99"/>
    <w:rsid w:val="00E06711"/>
    <w:pPr>
      <w:tabs>
        <w:tab w:val="left" w:pos="-720"/>
        <w:tab w:val="left" w:pos="0"/>
        <w:tab w:val="left" w:pos="720"/>
        <w:tab w:val="left" w:pos="1440"/>
        <w:tab w:val="left" w:pos="2160"/>
        <w:tab w:val="left" w:pos="2880"/>
        <w:tab w:val="left" w:pos="3600"/>
      </w:tabs>
      <w:jc w:val="center"/>
    </w:pPr>
    <w:rPr>
      <w:sz w:val="24"/>
      <w:szCs w:val="24"/>
      <w:lang w:val="en-US"/>
    </w:rPr>
  </w:style>
  <w:style w:type="paragraph" w:styleId="FootnoteText">
    <w:name w:val="footnote text"/>
    <w:basedOn w:val="Normal"/>
    <w:link w:val="FootnoteTextChar"/>
    <w:semiHidden/>
    <w:rsid w:val="00E06711"/>
    <w:rPr>
      <w:sz w:val="20"/>
      <w:szCs w:val="20"/>
    </w:rPr>
  </w:style>
  <w:style w:type="character" w:customStyle="1" w:styleId="FootnoteTextChar">
    <w:name w:val="Footnote Text Char"/>
    <w:basedOn w:val="DefaultParagraphFont"/>
    <w:link w:val="FootnoteText"/>
    <w:semiHidden/>
    <w:rsid w:val="00E06711"/>
    <w:rPr>
      <w:lang w:val="en-GB"/>
    </w:rPr>
  </w:style>
  <w:style w:type="character" w:styleId="FootnoteReference">
    <w:name w:val="footnote reference"/>
    <w:semiHidden/>
    <w:rsid w:val="00E06711"/>
    <w:rPr>
      <w:vertAlign w:val="superscript"/>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E06711"/>
    <w:rPr>
      <w:sz w:val="22"/>
      <w:szCs w:val="22"/>
      <w:lang w:val="en-GB"/>
    </w:rPr>
  </w:style>
  <w:style w:type="paragraph" w:styleId="ListParagraph">
    <w:name w:val="List Paragraph"/>
    <w:basedOn w:val="Normal"/>
    <w:uiPriority w:val="34"/>
    <w:qFormat/>
    <w:rsid w:val="00925140"/>
    <w:pPr>
      <w:ind w:left="720"/>
      <w:jc w:val="left"/>
    </w:pPr>
    <w:rPr>
      <w:rFonts w:eastAsia="SimSun"/>
      <w:sz w:val="24"/>
      <w:szCs w:val="24"/>
      <w:lang w:val="en-US"/>
    </w:rPr>
  </w:style>
  <w:style w:type="character" w:customStyle="1" w:styleId="FooterChar">
    <w:name w:val="Footer Char"/>
    <w:basedOn w:val="DefaultParagraphFont"/>
    <w:link w:val="Footer"/>
    <w:uiPriority w:val="99"/>
    <w:rsid w:val="0092514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36983">
      <w:bodyDiv w:val="1"/>
      <w:marLeft w:val="0"/>
      <w:marRight w:val="0"/>
      <w:marTop w:val="0"/>
      <w:marBottom w:val="0"/>
      <w:divBdr>
        <w:top w:val="none" w:sz="0" w:space="0" w:color="auto"/>
        <w:left w:val="none" w:sz="0" w:space="0" w:color="auto"/>
        <w:bottom w:val="none" w:sz="0" w:space="0" w:color="auto"/>
        <w:right w:val="none" w:sz="0" w:space="0" w:color="auto"/>
      </w:divBdr>
    </w:div>
    <w:div w:id="1093818471">
      <w:bodyDiv w:val="1"/>
      <w:marLeft w:val="0"/>
      <w:marRight w:val="0"/>
      <w:marTop w:val="0"/>
      <w:marBottom w:val="0"/>
      <w:divBdr>
        <w:top w:val="none" w:sz="0" w:space="0" w:color="auto"/>
        <w:left w:val="none" w:sz="0" w:space="0" w:color="auto"/>
        <w:bottom w:val="none" w:sz="0" w:space="0" w:color="auto"/>
        <w:right w:val="none" w:sz="0" w:space="0" w:color="auto"/>
      </w:divBdr>
    </w:div>
    <w:div w:id="171372737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8.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0022006E-0020-0052-6500-610064004F00">UNEP/OzL.Pro/ExCom/80/21</Document_x0020_number>
    <ContentTypeId xmlns="http://schemas.microsoft.com/sharepoint/v3">0x010100EDC4D3BE67EA81429E9CFCEF859CE76D</ContentTypeId>
    <TemplateUrl xmlns="http://schemas.microsoft.com/sharepoint/v3" xsi:nil="true"/>
    <Language xmlns="0022006E-0020-0052-6500-610064004F00">English</Language>
    <Document_x0020_type xmlns="0022006E-0020-0052-6500-610064004F00">Pre-session</Document_x0020_typ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Format xmlns="bb1c52ca-fecf-4d22-8415-84d57dc70178">Word</Forma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C4D3BE67EA81429E9CFCEF859CE76D" ma:contentTypeVersion="1" ma:contentTypeDescription="Create a new document." ma:contentTypeScope="" ma:versionID="db5dc4fa37fb4935fabb10f141fd9446">
  <xsd:schema xmlns:xsd="http://www.w3.org/2001/XMLSchema" xmlns:p="http://schemas.microsoft.com/office/2006/metadata/properties" xmlns:ns1="http://schemas.microsoft.com/sharepoint/v3" xmlns:ns2="0022006E-0020-0052-6500-610064004F00" xmlns:ns3="bb1c52ca-fecf-4d22-8415-84d57dc70178" targetNamespace="http://schemas.microsoft.com/office/2006/metadata/properties" ma:root="true" ma:fieldsID="be404d6246e96f8ea69a59749b802115" ns1:_="" ns2:_="" ns3:_="">
    <xsd:import namespace="http://schemas.microsoft.com/sharepoint/v3"/>
    <xsd:import namespace="0022006E-0020-0052-6500-610064004F00"/>
    <xsd:import namespace="bb1c52ca-fecf-4d22-8415-84d57dc70178"/>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ocument_x0020_number" minOccurs="0"/>
                <xsd:element ref="ns2:Language" minOccurs="0"/>
                <xsd:element ref="ns2:Document_x0020_type" minOccurs="0"/>
                <xsd:element ref="ns1:ContentTypeId" minOccurs="0"/>
                <xsd:element ref="ns1:TemplateUrl" minOccurs="0"/>
                <xsd:element ref="ns1:xd_ProgID" minOccurs="0"/>
                <xsd:element ref="ns1:xd_Signature" minOccurs="0"/>
                <xsd:element ref="ns1:ParentVersionString" minOccurs="0"/>
                <xsd:element ref="ns1:ParentLeaf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3:Forma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6" nillable="true" ma:displayName="Content Type ID" ma:hidden="true" ma:internalName="ContentTypeId" ma:readOnly="true">
      <xsd:simpleType>
        <xsd:restriction base="dms:Unknown"/>
      </xsd:simpleType>
    </xsd:element>
    <xsd:element name="TemplateUrl" ma:index="17" nillable="true" ma:displayName="Template Link" ma:description="" ma:hidden="true" ma:internalName="TemplateUrl">
      <xsd:simpleType>
        <xsd:restriction base="dms:Text"/>
      </xsd:simpleType>
    </xsd:element>
    <xsd:element name="xd_ProgID" ma:index="18" nillable="true" ma:displayName="Html File Link" ma:description="" ma:hidden="true" ma:internalName="xd_ProgID">
      <xsd:simpleType>
        <xsd:restriction base="dms:Text"/>
      </xsd:simpleType>
    </xsd:element>
    <xsd:element name="xd_Signature" ma:index="19" nillable="true" ma:displayName="Is Signed" ma:description="" ma:hidden="true" ma:internalName="xd_Signature" ma:readOnly="true">
      <xsd:simpleType>
        <xsd:restriction base="dms:Boolean"/>
      </xsd:simpleType>
    </xsd:element>
    <xsd:element name="ParentVersionString" ma:index="23" nillable="true" ma:displayName="Source Version (Converted Document)" ma:hidden="true" ma:list="Docs" ma:internalName="ParentVersionString" ma:readOnly="true" ma:showField="ParentVersionString">
      <xsd:simpleType>
        <xsd:restriction base="dms:Lookup"/>
      </xsd:simpleType>
    </xsd:element>
    <xsd:element name="ParentLeafName" ma:index="24" nillable="true" ma:displayName="Source Name (Converted Document)" ma:hidden="true" ma:list="Docs" ma:internalName="ParentLeafName" ma:readOnly="true" ma:showField="ParentLeafName">
      <xsd:simpleType>
        <xsd:restriction base="dms:Lookup"/>
      </xsd:simpleType>
    </xsd:element>
    <xsd:element name="ID" ma:index="25"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8" nillable="true" ma:displayName="Has Copy Destinations" ma:hidden="true" ma:internalName="_HasCopyDestinations" ma:readOnly="true">
      <xsd:simpleType>
        <xsd:restriction base="dms:Boolean"/>
      </xsd:simpleType>
    </xsd:element>
    <xsd:element name="_CopySource" ma:index="29" nillable="true" ma:displayName="Copy Source" ma:internalName="_CopySource" ma:readOnly="true">
      <xsd:simpleType>
        <xsd:restriction base="dms:Text"/>
      </xsd:simpleType>
    </xsd:element>
    <xsd:element name="_ModerationStatus" ma:index="30" nillable="true" ma:displayName="Approval Status" ma:default="0" ma:hidden="true" ma:internalName="_ModerationStatus" ma:readOnly="true">
      <xsd:simpleType>
        <xsd:restriction base="dms:Unknown"/>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tru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ProgId" ma:index="41" nillable="true" ma:displayName="ProgId" ma:hidden="true" ma:list="Docs" ma:internalName="ProgId" ma:readOnly="true" ma:showField="ProgId">
      <xsd:simpleType>
        <xsd:restriction base="dms:Lookup"/>
      </xsd:simpleType>
    </xsd:element>
    <xsd:element name="ScopeId" ma:index="42" nillable="true" ma:displayName="ScopeId" ma:hidden="true" ma:list="Docs" ma:internalName="ScopeId" ma:readOnly="true" ma:showField="ScopeId">
      <xsd:simpleType>
        <xsd:restriction base="dms:Lookup"/>
      </xsd:simpleType>
    </xsd:element>
    <xsd:element name="VirusStatus" ma:index="43" nillable="true" ma:displayName="Virus Status" ma:format="TRUE" ma:hidden="true" ma:list="Docs" ma:internalName="VirusStatus" ma:readOnly="true" ma:showField="Size">
      <xsd:simpleType>
        <xsd:restriction base="dms:Lookup"/>
      </xsd:simpleType>
    </xsd:element>
    <xsd:element name="CheckedOutTitle" ma:index="44" nillable="true" ma:displayName="Checked Out To" ma:format="TRUE" ma:hidden="true" ma:list="Docs" ma:internalName="CheckedOutTitle" ma:readOnly="true" ma:showField="CheckedOutTitle">
      <xsd:simpleType>
        <xsd:restriction base="dms:Lookup"/>
      </xsd:simpleType>
    </xsd:element>
    <xsd:element name="_CheckinComment" ma:index="45" nillable="true" ma:displayName="Check In Comment" ma:format="TRUE" ma:list="Docs" ma:internalName="_CheckinComment" ma:readOnly="true" ma:showField="CheckinComment">
      <xsd:simpleType>
        <xsd:restriction base="dms:Lookup"/>
      </xsd:simpleType>
    </xsd:element>
    <xsd:element name="MetaInfo" ma:index="56" nillable="true" ma:displayName="Property Bag" ma:hidden="true" ma:list="Docs" ma:internalName="MetaInfo" ma:showField="MetaInfo">
      <xsd:simpleType>
        <xsd:restriction base="dms:Lookup"/>
      </xsd:simpleType>
    </xsd:element>
    <xsd:element name="_Level" ma:index="57" nillable="true" ma:displayName="Level" ma:hidden="true" ma:internalName="_Level" ma:readOnly="true">
      <xsd:simpleType>
        <xsd:restriction base="dms:Unknown"/>
      </xsd:simpleType>
    </xsd:element>
    <xsd:element name="_IsCurrentVersion" ma:index="58" nillable="true" ma:displayName="Is Current Version" ma:hidden="true" ma:internalName="_IsCurrentVersion" ma:readOnly="true">
      <xsd:simpleType>
        <xsd:restriction base="dms:Boolean"/>
      </xsd:simpleType>
    </xsd:element>
    <xsd:element name="owshiddenversion" ma:index="61" nillable="true" ma:displayName="owshiddenversion" ma:hidden="true" ma:internalName="owshiddenversion" ma:readOnly="true">
      <xsd:simpleType>
        <xsd:restriction base="dms:Unknown"/>
      </xsd:simpleType>
    </xsd:element>
    <xsd:element name="_UIVersion" ma:index="62" nillable="true" ma:displayName="UI Version" ma:hidden="true" ma:internalName="_UIVersion" ma:readOnly="true">
      <xsd:simpleType>
        <xsd:restriction base="dms:Unknown"/>
      </xsd:simpleType>
    </xsd:element>
    <xsd:element name="_UIVersionString" ma:index="63" nillable="true" ma:displayName="Version" ma:internalName="_UIVersionString" ma:readOnly="true">
      <xsd:simpleType>
        <xsd:restriction base="dms:Text"/>
      </xsd:simpleType>
    </xsd:element>
    <xsd:element name="InstanceID" ma:index="64" nillable="true" ma:displayName="Instance ID" ma:hidden="true" ma:internalName="InstanceID" ma:readOnly="true">
      <xsd:simpleType>
        <xsd:restriction base="dms:Unknown"/>
      </xsd:simpleType>
    </xsd:element>
    <xsd:element name="Order" ma:index="65" nillable="true" ma:displayName="Order" ma:hidden="true" ma:internalName="Order">
      <xsd:simpleType>
        <xsd:restriction base="dms:Number"/>
      </xsd:simpleType>
    </xsd:element>
    <xsd:element name="GUID" ma:index="66" nillable="true" ma:displayName="GUID" ma:hidden="true" ma:internalName="GUID" ma:readOnly="true">
      <xsd:simpleType>
        <xsd:restriction base="dms:Unknown"/>
      </xsd:simpleType>
    </xsd:element>
    <xsd:element name="WorkflowVersion" ma:index="67" nillable="true" ma:displayName="Workflow Version" ma:hidden="true" ma:internalName="WorkflowVersion" ma:readOnly="true">
      <xsd:simpleType>
        <xsd:restriction base="dms:Unknown"/>
      </xsd:simpleType>
    </xsd:element>
    <xsd:element name="WorkflowInstanceID" ma:index="68" nillable="true" ma:displayName="Workflow Instance ID" ma:hidden="true" ma:internalName="WorkflowInstanceID" ma:readOnly="true">
      <xsd:simpleType>
        <xsd:restriction base="dms:Unknown"/>
      </xsd:simpleType>
    </xsd:element>
  </xsd:schema>
  <xsd:schema xmlns:xsd="http://www.w3.org/2001/XMLSchema" xmlns:dms="http://schemas.microsoft.com/office/2006/documentManagement/types" targetNamespace="0022006E-0020-0052-6500-610064004F00" elementFormDefault="qualified">
    <xsd:import namespace="http://schemas.microsoft.com/office/2006/documentManagement/types"/>
    <xsd:element name="Document_x0020_number" ma:index="13" nillable="true" ma:displayName="Document number" ma:default="UNEP/OzL.Pro/ExCom/80/1" ma:internalName="Document_x0020_number">
      <xsd:simpleType>
        <xsd:restriction base="dms:Text">
          <xsd:maxLength value="255"/>
        </xsd:restriction>
      </xsd:simpleType>
    </xsd:element>
    <xsd:element name="Language" ma:index="14" nillable="true" ma:displayName="Language" ma:default="English" ma:internalName="Language">
      <xsd:simpleType>
        <xsd:restriction base="dms:Text">
          <xsd:maxLength value="255"/>
        </xsd:restriction>
      </xsd:simpleType>
    </xsd:element>
    <xsd:element name="Document_x0020_type" ma:index="15" nillable="true" ma:displayName="Document type" ma:default="Pre-session" ma:format="Dropdown" ma:internalName="Document_x0020_type">
      <xsd:simpleType>
        <xsd:restriction base="dms:Choice">
          <xsd:enumeration value="In-session"/>
          <xsd:enumeration value="Pre-session"/>
          <xsd:enumeration value="Final report"/>
          <xsd:enumeration value="Adjusted business plan"/>
        </xsd:restriction>
      </xsd:simpleType>
    </xsd:element>
  </xsd:schema>
  <xsd:schema xmlns:xsd="http://www.w3.org/2001/XMLSchema" xmlns:dms="http://schemas.microsoft.com/office/2006/documentManagement/types" targetNamespace="bb1c52ca-fecf-4d22-8415-84d57dc70178" elementFormDefault="qualified">
    <xsd:import namespace="http://schemas.microsoft.com/office/2006/documentManagement/types"/>
    <xsd:element name="Format" ma:index="69"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6002D-60AC-46DD-B5EE-083BB0F1631B}"/>
</file>

<file path=customXml/itemProps2.xml><?xml version="1.0" encoding="utf-8"?>
<ds:datastoreItem xmlns:ds="http://schemas.openxmlformats.org/officeDocument/2006/customXml" ds:itemID="{36E66699-A8D7-404F-B0AD-C15F1AB6ED79}"/>
</file>

<file path=customXml/itemProps3.xml><?xml version="1.0" encoding="utf-8"?>
<ds:datastoreItem xmlns:ds="http://schemas.openxmlformats.org/officeDocument/2006/customXml" ds:itemID="{8DB33FA5-AF8C-489C-AD3D-9CB7E3998BAA}"/>
</file>

<file path=customXml/itemProps4.xml><?xml version="1.0" encoding="utf-8"?>
<ds:datastoreItem xmlns:ds="http://schemas.openxmlformats.org/officeDocument/2006/customXml" ds:itemID="{1FB0FA77-E9EB-49DF-BEE7-2EE90317FB1E}"/>
</file>

<file path=docProps/app.xml><?xml version="1.0" encoding="utf-8"?>
<Properties xmlns="http://schemas.openxmlformats.org/officeDocument/2006/extended-properties" xmlns:vt="http://schemas.openxmlformats.org/officeDocument/2006/docPropsVTypes">
  <Template>Eec80G</Template>
  <TotalTime>10</TotalTime>
  <Pages>13</Pages>
  <Words>3927</Words>
  <Characters>22252</Characters>
  <Application>Microsoft Office Word</Application>
  <DocSecurity>0</DocSecurity>
  <Lines>185</Lines>
  <Paragraphs>52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The World Bank business plan for 2018-2020 (part I)</vt:lpstr>
      <vt:lpstr/>
      <vt:lpstr/>
      <vt:lpstr>THE WORLD BANK Business plan for 2018-2020</vt:lpstr>
      <vt:lpstr/>
      <vt:lpstr>This document presents the World Bank business plan for 2018-2020  and includes:</vt:lpstr>
      <vt:lpstr>Table 1 sets out, by year, the value of activities included in the World Bank’s </vt:lpstr>
      <vt:lpstr/>
      <vt:lpstr>Additional information on some of the proposed activities is provided below. </vt:lpstr>
      <vt:lpstr>HCFC production – stage II</vt:lpstr>
      <vt:lpstr>A total of US $228.9 million is included for the HCFC production phase-out manag</vt:lpstr>
      <vt:lpstr>However, the average annual level of funding after stage I of the HPPMP starting</vt:lpstr>
      <vt:lpstr>The request for funding for stage II of the HPPMP for China has been resubmitted</vt:lpstr>
      <vt:lpstr>The funding distribution of stage II of HPMPs by sector is provided in Table 2.</vt:lpstr>
      <vt:lpstr>HFC activities include enabling activities (US $250,000 in 2018 for Indonesia); </vt:lpstr>
      <vt:lpstr>One of the pre-requisites for including an HFC activity in a business plan is a </vt:lpstr>
      <vt:lpstr>The World Bank has increased the core unit budget for 2018  to US $1.735 million</vt:lpstr>
      <vt:lpstr>During the IACM, adjustments to the business plans of bilateral and implementing</vt:lpstr>
      <vt:lpstr/>
      <vt:lpstr>Table 4 presents the results of the Secretariat’s proposed adjustments to the Wo</vt:lpstr>
      <vt:lpstr>Table 4: Resource allocation in the World Bank’s adjusted business plan for 2018</vt:lpstr>
      <vt:lpstr>The World Bank submitted performance indicators pursuant to decision 71/28 in it</vt:lpstr>
      <vt:lpstr>** Project preparation should not be assessed if the Executive Committee has not</vt:lpstr>
      <vt:lpstr>RECOMMENDATIONS</vt:lpstr>
      <vt:lpstr>The Executive Committee may wish:</vt:lpstr>
      <vt:lpstr>    To note the World Bank business plan for 2018-2020 contained in document UNEP/Oz</vt:lpstr>
      <vt:lpstr>    To approve the performance indicators for the World Bank as set out in Table 5 i</vt:lpstr>
      <vt:lpstr/>
    </vt:vector>
  </TitlesOfParts>
  <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Bank business plan for 2018-2020 </dc:title>
  <dc:subject>UNEP/OzL.Pro/ExCom/80/21</dc:subject>
  <dc:creator/>
  <cp:keywords/>
  <dc:description/>
  <cp:lastModifiedBy>muriel Aguiar</cp:lastModifiedBy>
  <cp:revision>6</cp:revision>
  <cp:lastPrinted>2001-05-26T16:40:00Z</cp:lastPrinted>
  <dcterms:created xsi:type="dcterms:W3CDTF">2017-10-10T21:12:00Z</dcterms:created>
  <dcterms:modified xsi:type="dcterms:W3CDTF">2017-10-11T16:00:00Z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UNEP/OzL.Pro/ExCom/80/21</vt:lpwstr>
  </property>
  <property fmtid="{D5CDD505-2E9C-101B-9397-08002B2CF9AE}" pid="3" name="Revision date">
    <vt:lpwstr>10/10/2017</vt:lpwstr>
  </property>
</Properties>
</file>