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Tr="00FD3DC2">
        <w:trPr>
          <w:trHeight w:val="720"/>
        </w:trPr>
        <w:tc>
          <w:tcPr>
            <w:tcW w:w="5490" w:type="dxa"/>
            <w:gridSpan w:val="2"/>
            <w:tcBorders>
              <w:bottom w:val="single" w:sz="18" w:space="0" w:color="auto"/>
            </w:tcBorders>
          </w:tcPr>
          <w:p w:rsidR="00C15867" w:rsidRPr="0000434E" w:rsidRDefault="00C15867" w:rsidP="009A6AC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A6AC4">
            <w:pPr>
              <w:jc w:val="right"/>
              <w:rPr>
                <w:sz w:val="52"/>
                <w:szCs w:val="52"/>
              </w:rPr>
            </w:pPr>
            <w:r>
              <w:rPr>
                <w:rFonts w:ascii="Univers Bold" w:hAnsi="Univers Bold"/>
                <w:b/>
                <w:sz w:val="72"/>
              </w:rPr>
              <w:t>EP</w:t>
            </w:r>
          </w:p>
        </w:tc>
      </w:tr>
      <w:tr w:rsidR="00C15867" w:rsidTr="00FD3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9A6AC4">
            <w:pPr>
              <w:spacing w:before="120"/>
            </w:pPr>
            <w:r>
              <w:rPr>
                <w:noProof/>
                <w:lang w:val="en-CA" w:eastAsia="en-CA"/>
              </w:rPr>
              <w:drawing>
                <wp:anchor distT="0" distB="0" distL="114300" distR="114300" simplePos="0" relativeHeight="251660288" behindDoc="0" locked="0" layoutInCell="1" allowOverlap="1" wp14:anchorId="2E6343C3" wp14:editId="312B6123">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683A58A0" wp14:editId="2166D4F5">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9A6AC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A6AC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A6AC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A6AC4">
            <w:pPr>
              <w:spacing w:before="720"/>
              <w:ind w:left="158"/>
            </w:pPr>
          </w:p>
        </w:tc>
        <w:tc>
          <w:tcPr>
            <w:tcW w:w="4590" w:type="dxa"/>
            <w:tcBorders>
              <w:top w:val="nil"/>
              <w:left w:val="nil"/>
              <w:bottom w:val="single" w:sz="36" w:space="0" w:color="auto"/>
              <w:right w:val="nil"/>
            </w:tcBorders>
          </w:tcPr>
          <w:p w:rsidR="00C15867" w:rsidRPr="0033525D" w:rsidRDefault="00C15867" w:rsidP="009A6AC4">
            <w:r w:rsidRPr="0033525D">
              <w:t>Distr.</w:t>
            </w:r>
          </w:p>
          <w:p w:rsidR="00923540" w:rsidRPr="0033525D" w:rsidRDefault="00923540" w:rsidP="009A6AC4">
            <w:r w:rsidRPr="0033525D">
              <w:t>GENERAL</w:t>
            </w:r>
          </w:p>
          <w:p w:rsidR="00C15867" w:rsidRPr="0033525D" w:rsidRDefault="00C15867" w:rsidP="009A6AC4"/>
          <w:p w:rsidR="00C15867" w:rsidRPr="003F73BA" w:rsidRDefault="00C15867" w:rsidP="009A6AC4"/>
          <w:p w:rsidR="00C15867" w:rsidRPr="003F73BA" w:rsidRDefault="00D26D87" w:rsidP="009A6AC4">
            <w:r>
              <w:fldChar w:fldCharType="begin"/>
            </w:r>
            <w:r>
              <w:instrText xml:space="preserve"> DOCPROPERTY "Document number"  \* MERGEFORMAT </w:instrText>
            </w:r>
            <w:r>
              <w:fldChar w:fldCharType="separate"/>
            </w:r>
            <w:r w:rsidR="00615209">
              <w:t>UNEP/OzL.Pro/ExCom/79/42</w:t>
            </w:r>
            <w:r>
              <w:fldChar w:fldCharType="end"/>
            </w:r>
          </w:p>
          <w:p w:rsidR="00C15867" w:rsidRPr="003F73BA" w:rsidRDefault="00BC2495" w:rsidP="009A6AC4">
            <w:r>
              <w:fldChar w:fldCharType="begin"/>
            </w:r>
            <w:r w:rsidR="00851352">
              <w:instrText xml:space="preserve"> DOCPROPERTY "Revision date" \@ "d MMMM YYYY"  \* MERGEFORMAT </w:instrText>
            </w:r>
            <w:r>
              <w:fldChar w:fldCharType="separate"/>
            </w:r>
            <w:r w:rsidR="00E454E3">
              <w:t>6 June 2017</w:t>
            </w:r>
            <w:r>
              <w:fldChar w:fldCharType="end"/>
            </w:r>
          </w:p>
          <w:p w:rsidR="00C15867" w:rsidRPr="00000FED" w:rsidRDefault="00C15867" w:rsidP="009A6AC4">
            <w:pPr>
              <w:rPr>
                <w:caps/>
              </w:rPr>
            </w:pPr>
          </w:p>
          <w:p w:rsidR="00C15867" w:rsidRDefault="00C15867" w:rsidP="009A6AC4">
            <w:r w:rsidRPr="0033525D">
              <w:t>ORIGINAL: ENGLISH</w:t>
            </w:r>
          </w:p>
        </w:tc>
      </w:tr>
    </w:tbl>
    <w:p w:rsidR="00BF3022" w:rsidRPr="00612F2F" w:rsidRDefault="00C15867" w:rsidP="009A6AC4">
      <w:pPr>
        <w:jc w:val="left"/>
      </w:pPr>
      <w:r w:rsidRPr="0033525D">
        <w:t>EXECUTIVE COMMITTEE OF</w:t>
      </w:r>
      <w:r w:rsidRPr="0033525D">
        <w:br/>
      </w:r>
      <w:r w:rsidR="009A6AC4">
        <w:t xml:space="preserve"> </w:t>
      </w:r>
      <w:r w:rsidRPr="0033525D">
        <w:t>THE MULTILATERAL FUND FOR THE</w:t>
      </w:r>
      <w:r w:rsidRPr="0033525D">
        <w:br/>
      </w:r>
      <w:r w:rsidR="009A6AC4">
        <w:t xml:space="preserve"> </w:t>
      </w:r>
      <w:r w:rsidRPr="0033525D">
        <w:t>IMPLEMENTATION OF THE MONTREAL PROTOCOL</w:t>
      </w:r>
      <w:r w:rsidRPr="0033525D">
        <w:br/>
      </w:r>
      <w:r w:rsidR="00BF3022">
        <w:rPr>
          <w:lang w:val="en-CA"/>
        </w:rPr>
        <w:t>Seventy-</w:t>
      </w:r>
      <w:r w:rsidR="00214863">
        <w:rPr>
          <w:lang w:val="en-CA"/>
        </w:rPr>
        <w:t>nin</w:t>
      </w:r>
      <w:r w:rsidR="00831979">
        <w:rPr>
          <w:lang w:val="en-CA"/>
        </w:rPr>
        <w:t xml:space="preserve">th </w:t>
      </w:r>
      <w:r w:rsidR="00BF3022">
        <w:t>Meeting</w:t>
      </w:r>
    </w:p>
    <w:p w:rsidR="009960E5" w:rsidRPr="006C39CE" w:rsidRDefault="00214863" w:rsidP="009A6AC4">
      <w:pPr>
        <w:jc w:val="left"/>
        <w:rPr>
          <w:lang w:val="en-CA"/>
        </w:rPr>
      </w:pPr>
      <w:r>
        <w:rPr>
          <w:lang w:val="en-CA"/>
        </w:rPr>
        <w:t>Bangkok</w:t>
      </w:r>
      <w:r w:rsidR="00BF3022" w:rsidRPr="00042E3E">
        <w:rPr>
          <w:lang w:val="en-CA"/>
        </w:rPr>
        <w:t xml:space="preserve">, </w:t>
      </w:r>
      <w:r>
        <w:rPr>
          <w:lang w:val="en-CA"/>
        </w:rPr>
        <w:t>3</w:t>
      </w:r>
      <w:r w:rsidR="00BF3022" w:rsidRPr="00042E3E">
        <w:rPr>
          <w:lang w:val="en-CA"/>
        </w:rPr>
        <w:t xml:space="preserve">-7 </w:t>
      </w:r>
      <w:r>
        <w:rPr>
          <w:lang w:val="en-CA"/>
        </w:rPr>
        <w:t>July</w:t>
      </w:r>
      <w:r w:rsidR="00BF3022" w:rsidRPr="00042E3E">
        <w:rPr>
          <w:lang w:val="en-CA"/>
        </w:rPr>
        <w:t xml:space="preserve"> 2017 </w:t>
      </w:r>
    </w:p>
    <w:p w:rsidR="00C15867" w:rsidRPr="00765DE4" w:rsidRDefault="00C15867" w:rsidP="009A6AC4">
      <w:pPr>
        <w:jc w:val="left"/>
        <w:rPr>
          <w:lang w:val="en-US"/>
        </w:rPr>
      </w:pPr>
    </w:p>
    <w:p w:rsidR="00C15867" w:rsidRPr="00765DE4" w:rsidRDefault="00C15867" w:rsidP="009A6AC4">
      <w:pPr>
        <w:pStyle w:val="Heading3"/>
        <w:numPr>
          <w:ilvl w:val="0"/>
          <w:numId w:val="0"/>
        </w:numPr>
        <w:spacing w:after="0"/>
        <w:rPr>
          <w:lang w:val="en-US"/>
        </w:rPr>
      </w:pPr>
    </w:p>
    <w:p w:rsidR="00C57806" w:rsidRPr="00572436" w:rsidRDefault="00C57806" w:rsidP="009A6AC4">
      <w:pPr>
        <w:pStyle w:val="Heading1"/>
        <w:numPr>
          <w:ilvl w:val="0"/>
          <w:numId w:val="0"/>
        </w:numPr>
        <w:spacing w:after="0"/>
        <w:rPr>
          <w:lang w:val="en-CA"/>
        </w:rPr>
      </w:pPr>
    </w:p>
    <w:p w:rsidR="00C57806" w:rsidRPr="00572436" w:rsidRDefault="00C57806" w:rsidP="009A6AC4">
      <w:pPr>
        <w:jc w:val="center"/>
        <w:rPr>
          <w:b/>
          <w:lang w:val="en-CA"/>
        </w:rPr>
      </w:pPr>
      <w:r w:rsidRPr="00572436">
        <w:rPr>
          <w:b/>
          <w:lang w:val="en-CA"/>
        </w:rPr>
        <w:t>PROJECT PROPOSAL:</w:t>
      </w:r>
      <w:r w:rsidR="009A6AC4">
        <w:rPr>
          <w:b/>
          <w:lang w:val="en-CA"/>
        </w:rPr>
        <w:t xml:space="preserve"> </w:t>
      </w:r>
      <w:r w:rsidR="00016BC9">
        <w:rPr>
          <w:b/>
          <w:lang w:val="en-CA"/>
        </w:rPr>
        <w:t>TOGO</w:t>
      </w:r>
    </w:p>
    <w:p w:rsidR="00C57806" w:rsidRPr="00572436" w:rsidRDefault="00C57806" w:rsidP="009A6AC4">
      <w:pPr>
        <w:rPr>
          <w:lang w:val="en-CA"/>
        </w:rPr>
      </w:pPr>
    </w:p>
    <w:p w:rsidR="00C57806" w:rsidRPr="00572436" w:rsidRDefault="00C57806" w:rsidP="009A6AC4">
      <w:pPr>
        <w:rPr>
          <w:lang w:val="en-CA"/>
        </w:rPr>
      </w:pPr>
    </w:p>
    <w:p w:rsidR="00C57806" w:rsidRPr="00572436" w:rsidRDefault="00C57806" w:rsidP="009A6AC4">
      <w:pPr>
        <w:ind w:firstLine="720"/>
        <w:rPr>
          <w:lang w:val="en-CA"/>
        </w:rPr>
      </w:pPr>
      <w:r w:rsidRPr="00572436">
        <w:rPr>
          <w:lang w:val="en-CA"/>
        </w:rPr>
        <w:t xml:space="preserve">This document consists of the comments and recommendation of the Secretariat on the following project proposal: </w:t>
      </w:r>
    </w:p>
    <w:p w:rsidR="00C57806" w:rsidRPr="00572436" w:rsidRDefault="00C57806" w:rsidP="009A6AC4">
      <w:pPr>
        <w:rPr>
          <w:lang w:val="en-CA"/>
        </w:rPr>
      </w:pPr>
    </w:p>
    <w:p w:rsidR="00C57806" w:rsidRPr="00572436" w:rsidRDefault="00C57806" w:rsidP="009A6AC4">
      <w:pPr>
        <w:rPr>
          <w:u w:val="single"/>
          <w:lang w:val="en-CA"/>
        </w:rPr>
      </w:pPr>
      <w:r w:rsidRPr="00572436">
        <w:rPr>
          <w:u w:val="single"/>
          <w:lang w:val="en-CA"/>
        </w:rPr>
        <w:t>Phase-out</w:t>
      </w:r>
    </w:p>
    <w:p w:rsidR="00C57806" w:rsidRPr="00572436" w:rsidRDefault="00C57806" w:rsidP="009A6AC4">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C57806" w:rsidRPr="00016BC9" w:rsidTr="00FD3DC2">
        <w:tc>
          <w:tcPr>
            <w:tcW w:w="7128" w:type="dxa"/>
          </w:tcPr>
          <w:p w:rsidR="00C57806" w:rsidRPr="00572436" w:rsidRDefault="00C57806" w:rsidP="009A6AC4">
            <w:pPr>
              <w:rPr>
                <w:lang w:val="en-CA"/>
              </w:rPr>
            </w:pPr>
            <w:r w:rsidRPr="00572436">
              <w:rPr>
                <w:lang w:val="en-CA"/>
              </w:rPr>
              <w:t>•</w:t>
            </w:r>
            <w:r w:rsidRPr="00572436">
              <w:rPr>
                <w:lang w:val="en-CA"/>
              </w:rPr>
              <w:tab/>
              <w:t xml:space="preserve">HCFC phase-out management plan (stage I, </w:t>
            </w:r>
            <w:r w:rsidR="00016BC9">
              <w:rPr>
                <w:lang w:val="en-CA"/>
              </w:rPr>
              <w:t xml:space="preserve">third </w:t>
            </w:r>
            <w:r w:rsidRPr="00572436">
              <w:rPr>
                <w:lang w:val="en-CA"/>
              </w:rPr>
              <w:t>tranche)</w:t>
            </w:r>
          </w:p>
        </w:tc>
        <w:tc>
          <w:tcPr>
            <w:tcW w:w="2448" w:type="dxa"/>
          </w:tcPr>
          <w:p w:rsidR="00C57806" w:rsidRPr="00016BC9" w:rsidRDefault="0078269B" w:rsidP="009A6AC4">
            <w:pPr>
              <w:jc w:val="right"/>
              <w:rPr>
                <w:lang w:val="en-CA"/>
              </w:rPr>
            </w:pPr>
            <w:r>
              <w:rPr>
                <w:lang w:val="en-CA"/>
              </w:rPr>
              <w:t>UN Environment</w:t>
            </w:r>
            <w:r w:rsidR="009A6AC4">
              <w:rPr>
                <w:lang w:val="en-CA"/>
              </w:rPr>
              <w:t xml:space="preserve"> </w:t>
            </w:r>
            <w:r w:rsidR="00016BC9" w:rsidRPr="00016BC9">
              <w:rPr>
                <w:lang w:val="en-CA"/>
              </w:rPr>
              <w:t>and UNIDO</w:t>
            </w:r>
          </w:p>
        </w:tc>
      </w:tr>
    </w:tbl>
    <w:p w:rsidR="00C57806" w:rsidRPr="00572436" w:rsidRDefault="00C57806" w:rsidP="009A6AC4">
      <w:pPr>
        <w:pStyle w:val="Title1"/>
        <w:rPr>
          <w:lang w:val="en-CA"/>
        </w:rPr>
      </w:pPr>
    </w:p>
    <w:p w:rsidR="00C57806" w:rsidRPr="00572436" w:rsidRDefault="00C57806" w:rsidP="009A6AC4">
      <w:pPr>
        <w:pStyle w:val="Heading1"/>
        <w:numPr>
          <w:ilvl w:val="0"/>
          <w:numId w:val="0"/>
        </w:numPr>
        <w:rPr>
          <w:lang w:val="en-CA"/>
        </w:rPr>
      </w:pPr>
    </w:p>
    <w:p w:rsidR="00C57806" w:rsidRPr="00572436" w:rsidRDefault="00C57806" w:rsidP="009A6AC4">
      <w:pPr>
        <w:pStyle w:val="StyleHeader4Para4Left0Firstline0"/>
        <w:numPr>
          <w:ilvl w:val="0"/>
          <w:numId w:val="0"/>
        </w:numPr>
        <w:rPr>
          <w:lang w:val="en-CA"/>
        </w:rPr>
      </w:pPr>
    </w:p>
    <w:p w:rsidR="00C57806" w:rsidRPr="00572436" w:rsidRDefault="00C57806" w:rsidP="009A6AC4">
      <w:pPr>
        <w:pStyle w:val="StyleHeader4Para4Left0Firstline0"/>
        <w:numPr>
          <w:ilvl w:val="0"/>
          <w:numId w:val="0"/>
        </w:numPr>
        <w:rPr>
          <w:lang w:val="en-CA"/>
        </w:rPr>
      </w:pPr>
      <w:r w:rsidRPr="00572436">
        <w:rPr>
          <w:lang w:val="en-CA"/>
        </w:rPr>
        <w:br w:type="page"/>
      </w:r>
    </w:p>
    <w:p w:rsidR="0051214F" w:rsidRDefault="0051214F" w:rsidP="009A6AC4">
      <w:pPr>
        <w:jc w:val="center"/>
        <w:rPr>
          <w:b/>
        </w:rPr>
      </w:pPr>
      <w:r w:rsidRPr="0051214F">
        <w:rPr>
          <w:b/>
        </w:rPr>
        <w:lastRenderedPageBreak/>
        <w:t>PROJECT EVALUATION SHEET – MULTI-YEAR PROJECTS</w:t>
      </w:r>
    </w:p>
    <w:p w:rsidR="0051214F" w:rsidRPr="000A0EBF" w:rsidRDefault="0051214F" w:rsidP="009A6AC4">
      <w:pPr>
        <w:jc w:val="center"/>
        <w:rPr>
          <w:b/>
          <w:sz w:val="16"/>
          <w:szCs w:val="16"/>
        </w:rPr>
      </w:pPr>
    </w:p>
    <w:p w:rsidR="0051214F" w:rsidRPr="0051214F" w:rsidRDefault="0051214F" w:rsidP="009A6AC4">
      <w:pPr>
        <w:jc w:val="center"/>
        <w:rPr>
          <w:b/>
        </w:rPr>
      </w:pPr>
      <w:r w:rsidRPr="0051214F">
        <w:rPr>
          <w:b/>
        </w:rPr>
        <w:t>Togo</w:t>
      </w:r>
    </w:p>
    <w:p w:rsidR="0051214F" w:rsidRPr="000A0EBF" w:rsidRDefault="0051214F" w:rsidP="009A6AC4">
      <w:pPr>
        <w:jc w:val="center"/>
        <w:rPr>
          <w:sz w:val="16"/>
          <w:szCs w:val="16"/>
        </w:rPr>
      </w:pPr>
    </w:p>
    <w:tbl>
      <w:tblPr>
        <w:tblStyle w:val="TableGrid"/>
        <w:tblW w:w="10890" w:type="dxa"/>
        <w:tblInd w:w="-6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97"/>
        <w:gridCol w:w="2463"/>
        <w:gridCol w:w="2542"/>
        <w:gridCol w:w="2788"/>
      </w:tblGrid>
      <w:tr w:rsidR="0051214F" w:rsidRPr="00C93A0F" w:rsidTr="00481772">
        <w:trPr>
          <w:trHeight w:val="240"/>
        </w:trPr>
        <w:tc>
          <w:tcPr>
            <w:tcW w:w="3097" w:type="dxa"/>
            <w:shd w:val="clear" w:color="auto" w:fill="auto"/>
          </w:tcPr>
          <w:p w:rsidR="0051214F" w:rsidRPr="00C93A0F" w:rsidRDefault="0051214F" w:rsidP="009A6AC4">
            <w:pPr>
              <w:spacing w:after="80"/>
              <w:jc w:val="left"/>
              <w:rPr>
                <w:b/>
                <w:sz w:val="18"/>
              </w:rPr>
            </w:pPr>
            <w:r w:rsidRPr="00C93A0F">
              <w:rPr>
                <w:b/>
                <w:sz w:val="18"/>
              </w:rPr>
              <w:t>(I) PROJECT TITLE</w:t>
            </w:r>
          </w:p>
        </w:tc>
        <w:tc>
          <w:tcPr>
            <w:tcW w:w="2463" w:type="dxa"/>
            <w:shd w:val="clear" w:color="auto" w:fill="auto"/>
          </w:tcPr>
          <w:p w:rsidR="0051214F" w:rsidRPr="00C93A0F" w:rsidRDefault="0051214F" w:rsidP="009A6AC4">
            <w:pPr>
              <w:spacing w:after="80"/>
              <w:jc w:val="center"/>
              <w:rPr>
                <w:b/>
                <w:sz w:val="18"/>
              </w:rPr>
            </w:pPr>
            <w:r w:rsidRPr="00C93A0F">
              <w:rPr>
                <w:b/>
                <w:sz w:val="18"/>
              </w:rPr>
              <w:t>AGENCY</w:t>
            </w:r>
          </w:p>
        </w:tc>
        <w:tc>
          <w:tcPr>
            <w:tcW w:w="2542" w:type="dxa"/>
            <w:shd w:val="clear" w:color="auto" w:fill="auto"/>
          </w:tcPr>
          <w:p w:rsidR="0051214F" w:rsidRPr="00C93A0F" w:rsidRDefault="0051214F" w:rsidP="009A6AC4">
            <w:pPr>
              <w:spacing w:after="80"/>
              <w:jc w:val="center"/>
              <w:rPr>
                <w:b/>
                <w:sz w:val="18"/>
              </w:rPr>
            </w:pPr>
            <w:r w:rsidRPr="00C93A0F">
              <w:rPr>
                <w:b/>
                <w:sz w:val="18"/>
              </w:rPr>
              <w:t>MEETING APPROVED</w:t>
            </w:r>
          </w:p>
        </w:tc>
        <w:tc>
          <w:tcPr>
            <w:tcW w:w="2788" w:type="dxa"/>
            <w:shd w:val="clear" w:color="auto" w:fill="auto"/>
          </w:tcPr>
          <w:p w:rsidR="0051214F" w:rsidRPr="00C93A0F" w:rsidRDefault="0051214F" w:rsidP="009A6AC4">
            <w:pPr>
              <w:spacing w:after="80"/>
              <w:jc w:val="center"/>
              <w:rPr>
                <w:b/>
                <w:sz w:val="18"/>
              </w:rPr>
            </w:pPr>
            <w:r w:rsidRPr="00C93A0F">
              <w:rPr>
                <w:b/>
                <w:sz w:val="18"/>
              </w:rPr>
              <w:t>CONTROL MEASURE</w:t>
            </w:r>
          </w:p>
        </w:tc>
      </w:tr>
      <w:tr w:rsidR="0051214F" w:rsidRPr="00C93A0F" w:rsidTr="00481772">
        <w:trPr>
          <w:trHeight w:val="404"/>
        </w:trPr>
        <w:tc>
          <w:tcPr>
            <w:tcW w:w="3097" w:type="dxa"/>
            <w:shd w:val="clear" w:color="auto" w:fill="auto"/>
          </w:tcPr>
          <w:p w:rsidR="0051214F" w:rsidRPr="00C93A0F" w:rsidRDefault="0051214F" w:rsidP="009A6AC4">
            <w:pPr>
              <w:spacing w:after="80"/>
              <w:jc w:val="center"/>
              <w:rPr>
                <w:sz w:val="18"/>
              </w:rPr>
            </w:pPr>
            <w:r>
              <w:rPr>
                <w:sz w:val="18"/>
              </w:rPr>
              <w:t>HCFC phase out plan (Stage I)</w:t>
            </w:r>
          </w:p>
        </w:tc>
        <w:tc>
          <w:tcPr>
            <w:tcW w:w="2463" w:type="dxa"/>
            <w:shd w:val="clear" w:color="auto" w:fill="auto"/>
          </w:tcPr>
          <w:p w:rsidR="0051214F" w:rsidRPr="00C93A0F" w:rsidRDefault="0078269B" w:rsidP="009A6AC4">
            <w:pPr>
              <w:spacing w:after="80"/>
              <w:jc w:val="center"/>
              <w:rPr>
                <w:sz w:val="18"/>
              </w:rPr>
            </w:pPr>
            <w:r>
              <w:rPr>
                <w:sz w:val="18"/>
              </w:rPr>
              <w:t>UN Environment</w:t>
            </w:r>
            <w:r w:rsidR="0051214F">
              <w:rPr>
                <w:sz w:val="18"/>
              </w:rPr>
              <w:t xml:space="preserve"> (lead), UNIDO</w:t>
            </w:r>
          </w:p>
        </w:tc>
        <w:tc>
          <w:tcPr>
            <w:tcW w:w="2542" w:type="dxa"/>
            <w:shd w:val="clear" w:color="auto" w:fill="auto"/>
          </w:tcPr>
          <w:p w:rsidR="0051214F" w:rsidRPr="00C93A0F" w:rsidRDefault="0051214F" w:rsidP="009A6AC4">
            <w:pPr>
              <w:spacing w:after="80"/>
              <w:jc w:val="center"/>
              <w:rPr>
                <w:sz w:val="18"/>
              </w:rPr>
            </w:pPr>
            <w:r>
              <w:rPr>
                <w:sz w:val="18"/>
              </w:rPr>
              <w:t>62nd</w:t>
            </w:r>
          </w:p>
        </w:tc>
        <w:tc>
          <w:tcPr>
            <w:tcW w:w="2788" w:type="dxa"/>
            <w:shd w:val="clear" w:color="auto" w:fill="auto"/>
          </w:tcPr>
          <w:p w:rsidR="0051214F" w:rsidRPr="00C93A0F" w:rsidRDefault="007860A4" w:rsidP="009A6AC4">
            <w:pPr>
              <w:spacing w:after="80"/>
              <w:jc w:val="center"/>
              <w:rPr>
                <w:sz w:val="18"/>
              </w:rPr>
            </w:pPr>
            <w:r>
              <w:rPr>
                <w:sz w:val="18"/>
              </w:rPr>
              <w:t>35%</w:t>
            </w:r>
            <w:r w:rsidR="0051214F">
              <w:rPr>
                <w:sz w:val="18"/>
              </w:rPr>
              <w:t xml:space="preserve"> by 2020</w:t>
            </w:r>
          </w:p>
        </w:tc>
      </w:tr>
    </w:tbl>
    <w:p w:rsidR="0051214F" w:rsidRPr="000A0EBF" w:rsidRDefault="0051214F" w:rsidP="009A6AC4">
      <w:pPr>
        <w:spacing w:after="60"/>
        <w:jc w:val="center"/>
        <w:rPr>
          <w:sz w:val="16"/>
          <w:szCs w:val="16"/>
        </w:rPr>
      </w:pPr>
    </w:p>
    <w:tbl>
      <w:tblPr>
        <w:tblStyle w:val="TableGrid"/>
        <w:tblW w:w="10980" w:type="dxa"/>
        <w:tblInd w:w="-6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812"/>
        <w:gridCol w:w="2400"/>
        <w:gridCol w:w="2768"/>
      </w:tblGrid>
      <w:tr w:rsidR="0051214F" w:rsidRPr="00C93A0F" w:rsidTr="00481772">
        <w:trPr>
          <w:trHeight w:val="240"/>
        </w:trPr>
        <w:tc>
          <w:tcPr>
            <w:tcW w:w="5812" w:type="dxa"/>
            <w:shd w:val="clear" w:color="auto" w:fill="auto"/>
          </w:tcPr>
          <w:p w:rsidR="0051214F" w:rsidRPr="00C93A0F" w:rsidRDefault="0051214F" w:rsidP="009A6AC4">
            <w:pPr>
              <w:spacing w:after="60"/>
              <w:jc w:val="left"/>
              <w:rPr>
                <w:b/>
                <w:sz w:val="18"/>
              </w:rPr>
            </w:pPr>
            <w:r w:rsidRPr="00C93A0F">
              <w:rPr>
                <w:b/>
                <w:sz w:val="18"/>
              </w:rPr>
              <w:t>(II) LATEST ARTICLE 7 DATA (Annex C Group l)</w:t>
            </w:r>
          </w:p>
        </w:tc>
        <w:tc>
          <w:tcPr>
            <w:tcW w:w="2400" w:type="dxa"/>
            <w:shd w:val="clear" w:color="auto" w:fill="auto"/>
          </w:tcPr>
          <w:p w:rsidR="0051214F" w:rsidRPr="00C93A0F" w:rsidRDefault="0051214F" w:rsidP="009A6AC4">
            <w:pPr>
              <w:spacing w:after="60"/>
              <w:jc w:val="center"/>
              <w:rPr>
                <w:sz w:val="18"/>
              </w:rPr>
            </w:pPr>
            <w:r>
              <w:rPr>
                <w:sz w:val="18"/>
              </w:rPr>
              <w:t>Year: 201</w:t>
            </w:r>
            <w:r w:rsidR="0031408C">
              <w:rPr>
                <w:sz w:val="18"/>
              </w:rPr>
              <w:t>6</w:t>
            </w:r>
          </w:p>
        </w:tc>
        <w:tc>
          <w:tcPr>
            <w:tcW w:w="2768" w:type="dxa"/>
            <w:shd w:val="clear" w:color="auto" w:fill="auto"/>
          </w:tcPr>
          <w:p w:rsidR="0051214F" w:rsidRPr="00C93A0F" w:rsidRDefault="0031408C" w:rsidP="009A6AC4">
            <w:pPr>
              <w:spacing w:after="60"/>
              <w:jc w:val="right"/>
              <w:rPr>
                <w:sz w:val="18"/>
              </w:rPr>
            </w:pPr>
            <w:r>
              <w:rPr>
                <w:sz w:val="18"/>
              </w:rPr>
              <w:t>15.4</w:t>
            </w:r>
            <w:r w:rsidR="0051214F">
              <w:rPr>
                <w:sz w:val="18"/>
              </w:rPr>
              <w:t xml:space="preserve"> (ODP tonnes)</w:t>
            </w:r>
          </w:p>
        </w:tc>
      </w:tr>
    </w:tbl>
    <w:p w:rsidR="0051214F" w:rsidRDefault="0051214F" w:rsidP="009A6AC4">
      <w:pPr>
        <w:spacing w:after="60"/>
        <w:jc w:val="center"/>
      </w:pPr>
    </w:p>
    <w:tbl>
      <w:tblPr>
        <w:tblStyle w:val="TableGrid"/>
        <w:tblW w:w="10980" w:type="dxa"/>
        <w:tblInd w:w="-6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12"/>
        <w:gridCol w:w="786"/>
        <w:gridCol w:w="627"/>
        <w:gridCol w:w="997"/>
        <w:gridCol w:w="1286"/>
        <w:gridCol w:w="906"/>
        <w:gridCol w:w="767"/>
        <w:gridCol w:w="1041"/>
        <w:gridCol w:w="676"/>
        <w:gridCol w:w="2082"/>
      </w:tblGrid>
      <w:tr w:rsidR="0051214F" w:rsidRPr="00C93A0F" w:rsidTr="00481772">
        <w:trPr>
          <w:trHeight w:val="240"/>
        </w:trPr>
        <w:tc>
          <w:tcPr>
            <w:tcW w:w="8222" w:type="dxa"/>
            <w:gridSpan w:val="8"/>
            <w:shd w:val="clear" w:color="auto" w:fill="auto"/>
          </w:tcPr>
          <w:p w:rsidR="0051214F" w:rsidRPr="00C93A0F" w:rsidRDefault="0051214F" w:rsidP="009A6AC4">
            <w:pPr>
              <w:spacing w:after="60"/>
              <w:jc w:val="left"/>
              <w:rPr>
                <w:b/>
                <w:sz w:val="18"/>
              </w:rPr>
            </w:pPr>
            <w:r w:rsidRPr="00C93A0F">
              <w:rPr>
                <w:b/>
                <w:sz w:val="18"/>
              </w:rPr>
              <w:t>(III) LATEST COUNTRY PROGRAMME SECTORAL DATA (ODP tonnes)</w:t>
            </w:r>
          </w:p>
        </w:tc>
        <w:tc>
          <w:tcPr>
            <w:tcW w:w="2758" w:type="dxa"/>
            <w:gridSpan w:val="2"/>
            <w:shd w:val="clear" w:color="auto" w:fill="auto"/>
          </w:tcPr>
          <w:p w:rsidR="0051214F" w:rsidRPr="00C93A0F" w:rsidRDefault="0031408C" w:rsidP="009A6AC4">
            <w:pPr>
              <w:spacing w:after="60"/>
              <w:jc w:val="right"/>
              <w:rPr>
                <w:b/>
                <w:sz w:val="18"/>
              </w:rPr>
            </w:pPr>
            <w:r>
              <w:rPr>
                <w:b/>
                <w:sz w:val="18"/>
              </w:rPr>
              <w:t>Year: 2016</w:t>
            </w:r>
          </w:p>
        </w:tc>
      </w:tr>
      <w:tr w:rsidR="0051214F" w:rsidRPr="00C93A0F" w:rsidTr="00481772">
        <w:trPr>
          <w:trHeight w:val="240"/>
        </w:trPr>
        <w:tc>
          <w:tcPr>
            <w:tcW w:w="1812" w:type="dxa"/>
            <w:shd w:val="clear" w:color="auto" w:fill="auto"/>
          </w:tcPr>
          <w:p w:rsidR="0051214F" w:rsidRPr="00C93A0F" w:rsidRDefault="0051214F" w:rsidP="009A6AC4">
            <w:pPr>
              <w:spacing w:after="60"/>
              <w:jc w:val="center"/>
              <w:rPr>
                <w:sz w:val="18"/>
              </w:rPr>
            </w:pPr>
            <w:r>
              <w:rPr>
                <w:sz w:val="18"/>
              </w:rPr>
              <w:t>Chemical</w:t>
            </w:r>
          </w:p>
        </w:tc>
        <w:tc>
          <w:tcPr>
            <w:tcW w:w="0" w:type="auto"/>
            <w:shd w:val="clear" w:color="auto" w:fill="auto"/>
          </w:tcPr>
          <w:p w:rsidR="0051214F" w:rsidRPr="00C93A0F" w:rsidRDefault="0051214F" w:rsidP="009A6AC4">
            <w:pPr>
              <w:spacing w:after="60"/>
              <w:jc w:val="center"/>
              <w:rPr>
                <w:sz w:val="18"/>
              </w:rPr>
            </w:pPr>
            <w:r>
              <w:rPr>
                <w:sz w:val="18"/>
              </w:rPr>
              <w:t>Aerosol</w:t>
            </w:r>
          </w:p>
        </w:tc>
        <w:tc>
          <w:tcPr>
            <w:tcW w:w="0" w:type="auto"/>
            <w:shd w:val="clear" w:color="auto" w:fill="auto"/>
          </w:tcPr>
          <w:p w:rsidR="0051214F" w:rsidRPr="00C93A0F" w:rsidRDefault="0051214F" w:rsidP="009A6AC4">
            <w:pPr>
              <w:spacing w:after="60"/>
              <w:jc w:val="center"/>
              <w:rPr>
                <w:sz w:val="18"/>
              </w:rPr>
            </w:pPr>
            <w:r>
              <w:rPr>
                <w:sz w:val="18"/>
              </w:rPr>
              <w:t>Foam</w:t>
            </w:r>
          </w:p>
        </w:tc>
        <w:tc>
          <w:tcPr>
            <w:tcW w:w="0" w:type="auto"/>
            <w:shd w:val="clear" w:color="auto" w:fill="auto"/>
          </w:tcPr>
          <w:p w:rsidR="0051214F" w:rsidRPr="00C93A0F" w:rsidRDefault="0051214F" w:rsidP="009A6AC4">
            <w:pPr>
              <w:spacing w:after="60"/>
              <w:jc w:val="center"/>
              <w:rPr>
                <w:sz w:val="18"/>
              </w:rPr>
            </w:pPr>
            <w:r>
              <w:rPr>
                <w:sz w:val="18"/>
              </w:rPr>
              <w:t>Fire fighting</w:t>
            </w:r>
          </w:p>
        </w:tc>
        <w:tc>
          <w:tcPr>
            <w:tcW w:w="0" w:type="auto"/>
            <w:gridSpan w:val="2"/>
            <w:shd w:val="clear" w:color="auto" w:fill="auto"/>
          </w:tcPr>
          <w:p w:rsidR="0051214F" w:rsidRPr="00C93A0F" w:rsidRDefault="0051214F" w:rsidP="009A6AC4">
            <w:pPr>
              <w:spacing w:after="60"/>
              <w:jc w:val="center"/>
              <w:rPr>
                <w:sz w:val="18"/>
              </w:rPr>
            </w:pPr>
            <w:r>
              <w:rPr>
                <w:sz w:val="18"/>
              </w:rPr>
              <w:t>Refrigeration</w:t>
            </w:r>
          </w:p>
        </w:tc>
        <w:tc>
          <w:tcPr>
            <w:tcW w:w="0" w:type="auto"/>
            <w:shd w:val="clear" w:color="auto" w:fill="auto"/>
          </w:tcPr>
          <w:p w:rsidR="0051214F" w:rsidRPr="00C93A0F" w:rsidRDefault="0051214F" w:rsidP="009A6AC4">
            <w:pPr>
              <w:spacing w:after="60"/>
              <w:jc w:val="center"/>
              <w:rPr>
                <w:sz w:val="18"/>
              </w:rPr>
            </w:pPr>
            <w:r>
              <w:rPr>
                <w:sz w:val="18"/>
              </w:rPr>
              <w:t>Solvent</w:t>
            </w:r>
          </w:p>
        </w:tc>
        <w:tc>
          <w:tcPr>
            <w:tcW w:w="0" w:type="auto"/>
            <w:shd w:val="clear" w:color="auto" w:fill="auto"/>
          </w:tcPr>
          <w:p w:rsidR="0051214F" w:rsidRPr="00C93A0F" w:rsidRDefault="0051214F" w:rsidP="009A6AC4">
            <w:pPr>
              <w:spacing w:after="60"/>
              <w:jc w:val="center"/>
              <w:rPr>
                <w:sz w:val="18"/>
              </w:rPr>
            </w:pPr>
            <w:r>
              <w:rPr>
                <w:sz w:val="18"/>
              </w:rPr>
              <w:t>Process agent</w:t>
            </w:r>
          </w:p>
        </w:tc>
        <w:tc>
          <w:tcPr>
            <w:tcW w:w="0" w:type="auto"/>
            <w:shd w:val="clear" w:color="auto" w:fill="auto"/>
          </w:tcPr>
          <w:p w:rsidR="0051214F" w:rsidRPr="00C93A0F" w:rsidRDefault="0051214F" w:rsidP="009A6AC4">
            <w:pPr>
              <w:spacing w:after="60"/>
              <w:jc w:val="center"/>
              <w:rPr>
                <w:sz w:val="18"/>
              </w:rPr>
            </w:pPr>
            <w:r>
              <w:rPr>
                <w:sz w:val="18"/>
              </w:rPr>
              <w:t>Lab use</w:t>
            </w:r>
          </w:p>
        </w:tc>
        <w:tc>
          <w:tcPr>
            <w:tcW w:w="2082" w:type="dxa"/>
            <w:shd w:val="clear" w:color="auto" w:fill="auto"/>
          </w:tcPr>
          <w:p w:rsidR="0051214F" w:rsidRPr="00C93A0F" w:rsidRDefault="0051214F" w:rsidP="009A6AC4">
            <w:pPr>
              <w:spacing w:after="60"/>
              <w:jc w:val="center"/>
              <w:rPr>
                <w:sz w:val="18"/>
              </w:rPr>
            </w:pPr>
            <w:r>
              <w:rPr>
                <w:sz w:val="18"/>
              </w:rPr>
              <w:t>Total sector consumption</w:t>
            </w:r>
          </w:p>
        </w:tc>
      </w:tr>
      <w:tr w:rsidR="0051214F" w:rsidRPr="00C93A0F" w:rsidTr="00481772">
        <w:trPr>
          <w:trHeight w:val="240"/>
        </w:trPr>
        <w:tc>
          <w:tcPr>
            <w:tcW w:w="4222" w:type="dxa"/>
            <w:gridSpan w:val="4"/>
            <w:shd w:val="clear" w:color="auto" w:fill="auto"/>
          </w:tcPr>
          <w:p w:rsidR="0051214F" w:rsidRPr="00C93A0F" w:rsidRDefault="0051214F" w:rsidP="009A6AC4">
            <w:pPr>
              <w:spacing w:after="60"/>
              <w:jc w:val="center"/>
              <w:rPr>
                <w:sz w:val="18"/>
              </w:rPr>
            </w:pPr>
            <w:r>
              <w:rPr>
                <w:sz w:val="18"/>
              </w:rPr>
              <w:t xml:space="preserve"> </w:t>
            </w:r>
          </w:p>
        </w:tc>
        <w:tc>
          <w:tcPr>
            <w:tcW w:w="0" w:type="auto"/>
            <w:shd w:val="clear" w:color="auto" w:fill="auto"/>
          </w:tcPr>
          <w:p w:rsidR="0051214F" w:rsidRPr="00C93A0F" w:rsidRDefault="0051214F" w:rsidP="009A6AC4">
            <w:pPr>
              <w:spacing w:after="60"/>
              <w:jc w:val="center"/>
              <w:rPr>
                <w:sz w:val="18"/>
              </w:rPr>
            </w:pPr>
            <w:r>
              <w:rPr>
                <w:sz w:val="18"/>
              </w:rPr>
              <w:t>Manufacturing</w:t>
            </w:r>
          </w:p>
        </w:tc>
        <w:tc>
          <w:tcPr>
            <w:tcW w:w="0" w:type="auto"/>
            <w:shd w:val="clear" w:color="auto" w:fill="auto"/>
          </w:tcPr>
          <w:p w:rsidR="0051214F" w:rsidRPr="00C93A0F" w:rsidRDefault="0051214F" w:rsidP="009A6AC4">
            <w:pPr>
              <w:spacing w:after="60"/>
              <w:jc w:val="center"/>
              <w:rPr>
                <w:sz w:val="18"/>
              </w:rPr>
            </w:pPr>
            <w:r>
              <w:rPr>
                <w:sz w:val="18"/>
              </w:rPr>
              <w:t>Servicing</w:t>
            </w:r>
          </w:p>
        </w:tc>
        <w:tc>
          <w:tcPr>
            <w:tcW w:w="4566" w:type="dxa"/>
            <w:gridSpan w:val="4"/>
            <w:shd w:val="clear" w:color="auto" w:fill="auto"/>
          </w:tcPr>
          <w:p w:rsidR="0051214F" w:rsidRPr="00C93A0F" w:rsidRDefault="0051214F" w:rsidP="009A6AC4">
            <w:pPr>
              <w:spacing w:after="60"/>
              <w:jc w:val="center"/>
              <w:rPr>
                <w:sz w:val="18"/>
              </w:rPr>
            </w:pPr>
          </w:p>
        </w:tc>
      </w:tr>
      <w:tr w:rsidR="0051214F" w:rsidRPr="00C93A0F" w:rsidTr="00481772">
        <w:trPr>
          <w:trHeight w:val="240"/>
        </w:trPr>
        <w:tc>
          <w:tcPr>
            <w:tcW w:w="1812" w:type="dxa"/>
            <w:shd w:val="clear" w:color="auto" w:fill="auto"/>
          </w:tcPr>
          <w:p w:rsidR="0051214F" w:rsidRPr="00C93A0F" w:rsidRDefault="0051214F" w:rsidP="009A6AC4">
            <w:pPr>
              <w:spacing w:after="60"/>
              <w:jc w:val="left"/>
              <w:rPr>
                <w:sz w:val="18"/>
              </w:rPr>
            </w:pPr>
            <w:r>
              <w:rPr>
                <w:sz w:val="18"/>
              </w:rPr>
              <w:t>HCFC-22</w:t>
            </w: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31408C" w:rsidP="009A6AC4">
            <w:pPr>
              <w:spacing w:after="60"/>
              <w:jc w:val="right"/>
              <w:rPr>
                <w:sz w:val="18"/>
              </w:rPr>
            </w:pPr>
            <w:r>
              <w:rPr>
                <w:sz w:val="18"/>
              </w:rPr>
              <w:t>15.4</w:t>
            </w: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51214F" w:rsidP="009A6AC4">
            <w:pPr>
              <w:spacing w:after="60"/>
              <w:jc w:val="right"/>
              <w:rPr>
                <w:sz w:val="18"/>
              </w:rPr>
            </w:pPr>
          </w:p>
        </w:tc>
        <w:tc>
          <w:tcPr>
            <w:tcW w:w="0" w:type="auto"/>
            <w:shd w:val="clear" w:color="auto" w:fill="auto"/>
          </w:tcPr>
          <w:p w:rsidR="0051214F" w:rsidRPr="00C93A0F" w:rsidRDefault="0051214F" w:rsidP="009A6AC4">
            <w:pPr>
              <w:spacing w:after="60"/>
              <w:jc w:val="right"/>
              <w:rPr>
                <w:sz w:val="18"/>
              </w:rPr>
            </w:pPr>
          </w:p>
        </w:tc>
        <w:tc>
          <w:tcPr>
            <w:tcW w:w="2082" w:type="dxa"/>
            <w:shd w:val="clear" w:color="auto" w:fill="auto"/>
          </w:tcPr>
          <w:p w:rsidR="0051214F" w:rsidRPr="00C93A0F" w:rsidRDefault="0031408C" w:rsidP="009A6AC4">
            <w:pPr>
              <w:spacing w:after="60"/>
              <w:jc w:val="right"/>
              <w:rPr>
                <w:sz w:val="18"/>
              </w:rPr>
            </w:pPr>
            <w:r>
              <w:rPr>
                <w:sz w:val="18"/>
              </w:rPr>
              <w:t>15.4</w:t>
            </w:r>
          </w:p>
        </w:tc>
      </w:tr>
    </w:tbl>
    <w:p w:rsidR="0051214F" w:rsidRDefault="0051214F" w:rsidP="009A6AC4">
      <w:pPr>
        <w:spacing w:after="60"/>
        <w:jc w:val="center"/>
      </w:pPr>
    </w:p>
    <w:tbl>
      <w:tblPr>
        <w:tblStyle w:val="TableGrid"/>
        <w:tblW w:w="10980" w:type="dxa"/>
        <w:tblInd w:w="-6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99"/>
        <w:gridCol w:w="571"/>
        <w:gridCol w:w="4042"/>
        <w:gridCol w:w="1068"/>
      </w:tblGrid>
      <w:tr w:rsidR="0051214F" w:rsidRPr="00C93A0F" w:rsidTr="00481772">
        <w:trPr>
          <w:trHeight w:val="240"/>
        </w:trPr>
        <w:tc>
          <w:tcPr>
            <w:tcW w:w="10980" w:type="dxa"/>
            <w:gridSpan w:val="4"/>
            <w:shd w:val="clear" w:color="auto" w:fill="auto"/>
          </w:tcPr>
          <w:p w:rsidR="0051214F" w:rsidRPr="00C93A0F" w:rsidRDefault="0051214F" w:rsidP="009A6AC4">
            <w:pPr>
              <w:spacing w:after="60"/>
              <w:jc w:val="left"/>
              <w:rPr>
                <w:b/>
                <w:sz w:val="18"/>
              </w:rPr>
            </w:pPr>
            <w:r w:rsidRPr="00C93A0F">
              <w:rPr>
                <w:b/>
                <w:sz w:val="18"/>
              </w:rPr>
              <w:t>(IV) CONSUMPTION DATA (ODP tonnes)</w:t>
            </w:r>
          </w:p>
        </w:tc>
      </w:tr>
      <w:tr w:rsidR="0051214F" w:rsidRPr="00C93A0F" w:rsidTr="00481772">
        <w:trPr>
          <w:trHeight w:val="240"/>
        </w:trPr>
        <w:tc>
          <w:tcPr>
            <w:tcW w:w="4930" w:type="dxa"/>
            <w:shd w:val="clear" w:color="auto" w:fill="auto"/>
          </w:tcPr>
          <w:p w:rsidR="0051214F" w:rsidRPr="00C93A0F" w:rsidRDefault="0051214F" w:rsidP="009A6AC4">
            <w:pPr>
              <w:spacing w:after="60"/>
              <w:jc w:val="center"/>
              <w:rPr>
                <w:sz w:val="18"/>
              </w:rPr>
            </w:pPr>
            <w:r>
              <w:rPr>
                <w:sz w:val="18"/>
              </w:rPr>
              <w:t>2009 - 2010 baseline:</w:t>
            </w:r>
          </w:p>
        </w:tc>
        <w:tc>
          <w:tcPr>
            <w:tcW w:w="0" w:type="auto"/>
            <w:shd w:val="clear" w:color="auto" w:fill="auto"/>
          </w:tcPr>
          <w:p w:rsidR="0051214F" w:rsidRPr="00C93A0F" w:rsidRDefault="0051214F" w:rsidP="009A6AC4">
            <w:pPr>
              <w:spacing w:after="60"/>
              <w:jc w:val="right"/>
              <w:rPr>
                <w:sz w:val="18"/>
              </w:rPr>
            </w:pPr>
            <w:r>
              <w:rPr>
                <w:sz w:val="18"/>
              </w:rPr>
              <w:t>20.0</w:t>
            </w:r>
          </w:p>
        </w:tc>
        <w:tc>
          <w:tcPr>
            <w:tcW w:w="0" w:type="auto"/>
            <w:shd w:val="clear" w:color="auto" w:fill="auto"/>
          </w:tcPr>
          <w:p w:rsidR="0051214F" w:rsidRPr="00C93A0F" w:rsidRDefault="0051214F" w:rsidP="009A6AC4">
            <w:pPr>
              <w:spacing w:after="60"/>
              <w:jc w:val="center"/>
              <w:rPr>
                <w:sz w:val="18"/>
              </w:rPr>
            </w:pPr>
            <w:r>
              <w:rPr>
                <w:sz w:val="18"/>
              </w:rPr>
              <w:t>Starting point for sustained aggregate reductions:</w:t>
            </w:r>
          </w:p>
        </w:tc>
        <w:tc>
          <w:tcPr>
            <w:tcW w:w="994" w:type="dxa"/>
            <w:shd w:val="clear" w:color="auto" w:fill="auto"/>
          </w:tcPr>
          <w:p w:rsidR="0051214F" w:rsidRPr="00C93A0F" w:rsidRDefault="00FD3DC2" w:rsidP="009A6AC4">
            <w:pPr>
              <w:spacing w:after="60"/>
              <w:jc w:val="right"/>
              <w:rPr>
                <w:sz w:val="18"/>
              </w:rPr>
            </w:pPr>
            <w:r>
              <w:rPr>
                <w:sz w:val="18"/>
              </w:rPr>
              <w:t>20.0</w:t>
            </w:r>
          </w:p>
        </w:tc>
      </w:tr>
      <w:tr w:rsidR="0051214F" w:rsidRPr="00C93A0F" w:rsidTr="00481772">
        <w:trPr>
          <w:trHeight w:val="240"/>
        </w:trPr>
        <w:tc>
          <w:tcPr>
            <w:tcW w:w="10980" w:type="dxa"/>
            <w:gridSpan w:val="4"/>
            <w:shd w:val="clear" w:color="auto" w:fill="auto"/>
          </w:tcPr>
          <w:p w:rsidR="0051214F" w:rsidRPr="00C93A0F" w:rsidRDefault="0051214F" w:rsidP="009A6AC4">
            <w:pPr>
              <w:spacing w:after="60"/>
              <w:jc w:val="center"/>
              <w:rPr>
                <w:b/>
                <w:sz w:val="18"/>
              </w:rPr>
            </w:pPr>
            <w:r w:rsidRPr="00C93A0F">
              <w:rPr>
                <w:b/>
                <w:sz w:val="18"/>
              </w:rPr>
              <w:t>CONSUMPTION ELIGIBLE FOR FUNDING (ODP tonnes)</w:t>
            </w:r>
          </w:p>
        </w:tc>
      </w:tr>
      <w:tr w:rsidR="0051214F" w:rsidRPr="00C93A0F" w:rsidTr="00481772">
        <w:trPr>
          <w:trHeight w:val="240"/>
        </w:trPr>
        <w:tc>
          <w:tcPr>
            <w:tcW w:w="4930" w:type="dxa"/>
            <w:shd w:val="clear" w:color="auto" w:fill="auto"/>
          </w:tcPr>
          <w:p w:rsidR="0051214F" w:rsidRPr="00C93A0F" w:rsidRDefault="0051214F" w:rsidP="009A6AC4">
            <w:pPr>
              <w:spacing w:after="60"/>
              <w:jc w:val="center"/>
              <w:rPr>
                <w:sz w:val="18"/>
              </w:rPr>
            </w:pPr>
            <w:r>
              <w:rPr>
                <w:sz w:val="18"/>
              </w:rPr>
              <w:t>Already approved:</w:t>
            </w:r>
          </w:p>
        </w:tc>
        <w:tc>
          <w:tcPr>
            <w:tcW w:w="0" w:type="auto"/>
            <w:shd w:val="clear" w:color="auto" w:fill="auto"/>
          </w:tcPr>
          <w:p w:rsidR="0051214F" w:rsidRPr="00C93A0F" w:rsidRDefault="007860A4" w:rsidP="009A6AC4">
            <w:pPr>
              <w:spacing w:after="60"/>
              <w:jc w:val="right"/>
              <w:rPr>
                <w:sz w:val="18"/>
              </w:rPr>
            </w:pPr>
            <w:r>
              <w:rPr>
                <w:sz w:val="18"/>
              </w:rPr>
              <w:t>7</w:t>
            </w:r>
            <w:r w:rsidR="0051214F">
              <w:rPr>
                <w:sz w:val="18"/>
              </w:rPr>
              <w:t>.0</w:t>
            </w:r>
          </w:p>
        </w:tc>
        <w:tc>
          <w:tcPr>
            <w:tcW w:w="0" w:type="auto"/>
            <w:shd w:val="clear" w:color="auto" w:fill="auto"/>
          </w:tcPr>
          <w:p w:rsidR="0051214F" w:rsidRPr="00C93A0F" w:rsidRDefault="0051214F" w:rsidP="009A6AC4">
            <w:pPr>
              <w:spacing w:after="60"/>
              <w:jc w:val="center"/>
              <w:rPr>
                <w:sz w:val="18"/>
              </w:rPr>
            </w:pPr>
            <w:r>
              <w:rPr>
                <w:sz w:val="18"/>
              </w:rPr>
              <w:t>Remaining:</w:t>
            </w:r>
          </w:p>
        </w:tc>
        <w:tc>
          <w:tcPr>
            <w:tcW w:w="994" w:type="dxa"/>
            <w:shd w:val="clear" w:color="auto" w:fill="auto"/>
          </w:tcPr>
          <w:p w:rsidR="0051214F" w:rsidRPr="00C93A0F" w:rsidRDefault="00FD3DC2" w:rsidP="009A6AC4">
            <w:pPr>
              <w:spacing w:after="60"/>
              <w:jc w:val="right"/>
              <w:rPr>
                <w:sz w:val="18"/>
              </w:rPr>
            </w:pPr>
            <w:r>
              <w:rPr>
                <w:sz w:val="18"/>
              </w:rPr>
              <w:t>13.0</w:t>
            </w:r>
          </w:p>
        </w:tc>
      </w:tr>
    </w:tbl>
    <w:p w:rsidR="0051214F" w:rsidRDefault="0051214F" w:rsidP="009A6AC4">
      <w:pPr>
        <w:spacing w:after="60"/>
        <w:jc w:val="center"/>
      </w:pPr>
    </w:p>
    <w:tbl>
      <w:tblPr>
        <w:tblStyle w:val="TableGrid"/>
        <w:tblW w:w="10980" w:type="dxa"/>
        <w:tblInd w:w="-6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693"/>
        <w:gridCol w:w="3204"/>
        <w:gridCol w:w="1162"/>
        <w:gridCol w:w="1163"/>
        <w:gridCol w:w="1162"/>
        <w:gridCol w:w="1163"/>
        <w:gridCol w:w="1433"/>
      </w:tblGrid>
      <w:tr w:rsidR="009F665B" w:rsidRPr="00C93A0F" w:rsidTr="00481772">
        <w:trPr>
          <w:trHeight w:val="226"/>
        </w:trPr>
        <w:tc>
          <w:tcPr>
            <w:tcW w:w="4897" w:type="dxa"/>
            <w:gridSpan w:val="2"/>
            <w:shd w:val="clear" w:color="auto" w:fill="auto"/>
          </w:tcPr>
          <w:p w:rsidR="009F665B" w:rsidRPr="00C93A0F" w:rsidRDefault="009F665B" w:rsidP="009A6AC4">
            <w:pPr>
              <w:spacing w:after="60"/>
              <w:jc w:val="left"/>
              <w:rPr>
                <w:b/>
                <w:sz w:val="18"/>
              </w:rPr>
            </w:pPr>
            <w:r w:rsidRPr="00C93A0F">
              <w:rPr>
                <w:b/>
                <w:sz w:val="18"/>
              </w:rPr>
              <w:t>(V) BUSINESS PLAN</w:t>
            </w:r>
          </w:p>
        </w:tc>
        <w:tc>
          <w:tcPr>
            <w:tcW w:w="1162" w:type="dxa"/>
            <w:shd w:val="clear" w:color="auto" w:fill="auto"/>
          </w:tcPr>
          <w:p w:rsidR="009F665B" w:rsidRPr="00C93A0F" w:rsidRDefault="009F665B" w:rsidP="009A6AC4">
            <w:pPr>
              <w:spacing w:after="60"/>
              <w:jc w:val="center"/>
              <w:rPr>
                <w:b/>
                <w:sz w:val="18"/>
              </w:rPr>
            </w:pPr>
            <w:r>
              <w:rPr>
                <w:b/>
                <w:sz w:val="18"/>
              </w:rPr>
              <w:t>2017</w:t>
            </w:r>
          </w:p>
        </w:tc>
        <w:tc>
          <w:tcPr>
            <w:tcW w:w="1163" w:type="dxa"/>
            <w:shd w:val="clear" w:color="auto" w:fill="auto"/>
          </w:tcPr>
          <w:p w:rsidR="009F665B" w:rsidRPr="00C93A0F" w:rsidRDefault="009F665B" w:rsidP="009A6AC4">
            <w:pPr>
              <w:spacing w:after="60"/>
              <w:jc w:val="center"/>
              <w:rPr>
                <w:b/>
                <w:sz w:val="18"/>
              </w:rPr>
            </w:pPr>
            <w:r>
              <w:rPr>
                <w:b/>
                <w:sz w:val="18"/>
              </w:rPr>
              <w:t>2018</w:t>
            </w:r>
          </w:p>
        </w:tc>
        <w:tc>
          <w:tcPr>
            <w:tcW w:w="1162" w:type="dxa"/>
            <w:shd w:val="clear" w:color="auto" w:fill="auto"/>
          </w:tcPr>
          <w:p w:rsidR="009F665B" w:rsidRPr="00C93A0F" w:rsidRDefault="009F665B" w:rsidP="009A6AC4">
            <w:pPr>
              <w:spacing w:after="60"/>
              <w:jc w:val="center"/>
              <w:rPr>
                <w:b/>
                <w:sz w:val="18"/>
              </w:rPr>
            </w:pPr>
            <w:r>
              <w:rPr>
                <w:b/>
                <w:sz w:val="18"/>
              </w:rPr>
              <w:t>2019</w:t>
            </w:r>
          </w:p>
        </w:tc>
        <w:tc>
          <w:tcPr>
            <w:tcW w:w="1163" w:type="dxa"/>
            <w:shd w:val="clear" w:color="auto" w:fill="auto"/>
          </w:tcPr>
          <w:p w:rsidR="009F665B" w:rsidRPr="00C93A0F" w:rsidRDefault="009F665B" w:rsidP="009A6AC4">
            <w:pPr>
              <w:spacing w:after="60"/>
              <w:jc w:val="center"/>
              <w:rPr>
                <w:b/>
                <w:sz w:val="18"/>
              </w:rPr>
            </w:pPr>
            <w:r>
              <w:rPr>
                <w:b/>
                <w:sz w:val="18"/>
              </w:rPr>
              <w:t>2020</w:t>
            </w:r>
          </w:p>
        </w:tc>
        <w:tc>
          <w:tcPr>
            <w:tcW w:w="1433" w:type="dxa"/>
            <w:shd w:val="clear" w:color="auto" w:fill="auto"/>
          </w:tcPr>
          <w:p w:rsidR="009F665B" w:rsidRPr="00C93A0F" w:rsidRDefault="009F665B" w:rsidP="009A6AC4">
            <w:pPr>
              <w:spacing w:after="60"/>
              <w:jc w:val="center"/>
              <w:rPr>
                <w:b/>
                <w:sz w:val="18"/>
              </w:rPr>
            </w:pPr>
            <w:r>
              <w:rPr>
                <w:b/>
                <w:sz w:val="18"/>
              </w:rPr>
              <w:t>Total</w:t>
            </w:r>
          </w:p>
        </w:tc>
      </w:tr>
      <w:tr w:rsidR="009F665B" w:rsidRPr="00C93A0F" w:rsidTr="00481772">
        <w:trPr>
          <w:trHeight w:val="226"/>
        </w:trPr>
        <w:tc>
          <w:tcPr>
            <w:tcW w:w="1693" w:type="dxa"/>
            <w:vMerge w:val="restart"/>
            <w:shd w:val="clear" w:color="auto" w:fill="auto"/>
          </w:tcPr>
          <w:p w:rsidR="009F665B" w:rsidRPr="00C93A0F" w:rsidRDefault="009F665B" w:rsidP="009A6AC4">
            <w:pPr>
              <w:spacing w:after="60"/>
              <w:jc w:val="center"/>
              <w:rPr>
                <w:sz w:val="18"/>
              </w:rPr>
            </w:pPr>
            <w:r>
              <w:rPr>
                <w:sz w:val="18"/>
              </w:rPr>
              <w:t>UN Environment</w:t>
            </w:r>
          </w:p>
        </w:tc>
        <w:tc>
          <w:tcPr>
            <w:tcW w:w="0" w:type="auto"/>
            <w:shd w:val="clear" w:color="auto" w:fill="auto"/>
          </w:tcPr>
          <w:p w:rsidR="009F665B" w:rsidRPr="00C93A0F" w:rsidRDefault="009F665B" w:rsidP="009A6AC4">
            <w:pPr>
              <w:spacing w:after="60"/>
              <w:jc w:val="left"/>
              <w:rPr>
                <w:sz w:val="18"/>
              </w:rPr>
            </w:pPr>
            <w:r>
              <w:rPr>
                <w:sz w:val="18"/>
              </w:rPr>
              <w:t>ODS phase-out (ODP tonnes)</w:t>
            </w:r>
          </w:p>
        </w:tc>
        <w:tc>
          <w:tcPr>
            <w:tcW w:w="1162" w:type="dxa"/>
            <w:shd w:val="clear" w:color="auto" w:fill="auto"/>
          </w:tcPr>
          <w:p w:rsidR="009F665B" w:rsidRPr="00C93A0F" w:rsidRDefault="009F665B" w:rsidP="009A6AC4">
            <w:pPr>
              <w:spacing w:after="60"/>
              <w:jc w:val="right"/>
              <w:rPr>
                <w:sz w:val="18"/>
              </w:rPr>
            </w:pPr>
            <w:r>
              <w:rPr>
                <w:sz w:val="18"/>
              </w:rPr>
              <w:t>0.69</w:t>
            </w:r>
          </w:p>
        </w:tc>
        <w:tc>
          <w:tcPr>
            <w:tcW w:w="1163" w:type="dxa"/>
            <w:shd w:val="clear" w:color="auto" w:fill="auto"/>
          </w:tcPr>
          <w:p w:rsidR="009F665B" w:rsidRPr="00C93A0F" w:rsidRDefault="009F665B" w:rsidP="009A6AC4">
            <w:pPr>
              <w:spacing w:after="60"/>
              <w:jc w:val="right"/>
              <w:rPr>
                <w:sz w:val="18"/>
              </w:rPr>
            </w:pPr>
            <w:r>
              <w:rPr>
                <w:sz w:val="18"/>
              </w:rPr>
              <w:t>0.44</w:t>
            </w:r>
          </w:p>
        </w:tc>
        <w:tc>
          <w:tcPr>
            <w:tcW w:w="1162" w:type="dxa"/>
            <w:shd w:val="clear" w:color="auto" w:fill="auto"/>
          </w:tcPr>
          <w:p w:rsidR="009F665B" w:rsidRPr="00C93A0F" w:rsidRDefault="009F665B" w:rsidP="009A6AC4">
            <w:pPr>
              <w:spacing w:after="60"/>
              <w:jc w:val="right"/>
              <w:rPr>
                <w:sz w:val="18"/>
              </w:rPr>
            </w:pPr>
            <w:r>
              <w:rPr>
                <w:sz w:val="18"/>
              </w:rPr>
              <w:t>0</w:t>
            </w:r>
          </w:p>
        </w:tc>
        <w:tc>
          <w:tcPr>
            <w:tcW w:w="1163" w:type="dxa"/>
            <w:shd w:val="clear" w:color="auto" w:fill="auto"/>
          </w:tcPr>
          <w:p w:rsidR="009F665B" w:rsidRPr="00C93A0F" w:rsidRDefault="009F665B" w:rsidP="009A6AC4">
            <w:pPr>
              <w:spacing w:after="60"/>
              <w:jc w:val="right"/>
              <w:rPr>
                <w:sz w:val="18"/>
              </w:rPr>
            </w:pPr>
            <w:r>
              <w:rPr>
                <w:sz w:val="18"/>
              </w:rPr>
              <w:t>0.7</w:t>
            </w:r>
          </w:p>
        </w:tc>
        <w:tc>
          <w:tcPr>
            <w:tcW w:w="1433" w:type="dxa"/>
            <w:shd w:val="clear" w:color="auto" w:fill="auto"/>
          </w:tcPr>
          <w:p w:rsidR="009F665B" w:rsidRPr="00C93A0F" w:rsidRDefault="009F665B" w:rsidP="009A6AC4">
            <w:pPr>
              <w:spacing w:after="60"/>
              <w:jc w:val="right"/>
              <w:rPr>
                <w:sz w:val="18"/>
              </w:rPr>
            </w:pPr>
            <w:r>
              <w:rPr>
                <w:sz w:val="18"/>
              </w:rPr>
              <w:t>1.83</w:t>
            </w:r>
          </w:p>
        </w:tc>
      </w:tr>
      <w:tr w:rsidR="009F665B" w:rsidRPr="00C93A0F" w:rsidTr="00481772">
        <w:trPr>
          <w:trHeight w:val="226"/>
        </w:trPr>
        <w:tc>
          <w:tcPr>
            <w:tcW w:w="1693" w:type="dxa"/>
            <w:vMerge/>
            <w:shd w:val="clear" w:color="auto" w:fill="auto"/>
          </w:tcPr>
          <w:p w:rsidR="009F665B" w:rsidRPr="00C93A0F" w:rsidRDefault="009F665B" w:rsidP="009A6AC4">
            <w:pPr>
              <w:spacing w:after="60"/>
              <w:jc w:val="center"/>
              <w:rPr>
                <w:sz w:val="18"/>
              </w:rPr>
            </w:pPr>
          </w:p>
        </w:tc>
        <w:tc>
          <w:tcPr>
            <w:tcW w:w="0" w:type="auto"/>
            <w:shd w:val="clear" w:color="auto" w:fill="auto"/>
          </w:tcPr>
          <w:p w:rsidR="009F665B" w:rsidRPr="00C93A0F" w:rsidRDefault="009F665B" w:rsidP="009A6AC4">
            <w:pPr>
              <w:spacing w:after="60"/>
              <w:jc w:val="left"/>
              <w:rPr>
                <w:sz w:val="18"/>
              </w:rPr>
            </w:pPr>
            <w:r>
              <w:rPr>
                <w:sz w:val="18"/>
              </w:rPr>
              <w:t>Funding (</w:t>
            </w:r>
            <w:r w:rsidR="001A2151">
              <w:rPr>
                <w:sz w:val="18"/>
              </w:rPr>
              <w:t>US $</w:t>
            </w:r>
            <w:r>
              <w:rPr>
                <w:sz w:val="18"/>
              </w:rPr>
              <w:t>)</w:t>
            </w:r>
          </w:p>
        </w:tc>
        <w:tc>
          <w:tcPr>
            <w:tcW w:w="1162" w:type="dxa"/>
            <w:shd w:val="clear" w:color="auto" w:fill="auto"/>
          </w:tcPr>
          <w:p w:rsidR="009F665B" w:rsidRPr="00C93A0F" w:rsidRDefault="009F665B" w:rsidP="009A6AC4">
            <w:pPr>
              <w:spacing w:after="60"/>
              <w:jc w:val="right"/>
              <w:rPr>
                <w:sz w:val="18"/>
              </w:rPr>
            </w:pPr>
            <w:r>
              <w:rPr>
                <w:sz w:val="18"/>
              </w:rPr>
              <w:t>70,060</w:t>
            </w:r>
          </w:p>
        </w:tc>
        <w:tc>
          <w:tcPr>
            <w:tcW w:w="1163" w:type="dxa"/>
            <w:shd w:val="clear" w:color="auto" w:fill="auto"/>
          </w:tcPr>
          <w:p w:rsidR="009F665B" w:rsidRPr="00C93A0F" w:rsidRDefault="009F665B" w:rsidP="009A6AC4">
            <w:pPr>
              <w:spacing w:after="60"/>
              <w:jc w:val="right"/>
              <w:rPr>
                <w:sz w:val="18"/>
              </w:rPr>
            </w:pPr>
            <w:r>
              <w:rPr>
                <w:sz w:val="18"/>
              </w:rPr>
              <w:t>45,200</w:t>
            </w:r>
          </w:p>
        </w:tc>
        <w:tc>
          <w:tcPr>
            <w:tcW w:w="1162" w:type="dxa"/>
            <w:shd w:val="clear" w:color="auto" w:fill="auto"/>
          </w:tcPr>
          <w:p w:rsidR="009F665B" w:rsidRPr="00C93A0F" w:rsidRDefault="009F665B" w:rsidP="009A6AC4">
            <w:pPr>
              <w:spacing w:after="60"/>
              <w:jc w:val="right"/>
              <w:rPr>
                <w:sz w:val="18"/>
              </w:rPr>
            </w:pPr>
            <w:r>
              <w:rPr>
                <w:sz w:val="18"/>
              </w:rPr>
              <w:t>0</w:t>
            </w:r>
          </w:p>
        </w:tc>
        <w:tc>
          <w:tcPr>
            <w:tcW w:w="1163" w:type="dxa"/>
            <w:shd w:val="clear" w:color="auto" w:fill="auto"/>
          </w:tcPr>
          <w:p w:rsidR="009F665B" w:rsidRPr="00C93A0F" w:rsidRDefault="009F665B" w:rsidP="009A6AC4">
            <w:pPr>
              <w:spacing w:after="60"/>
              <w:jc w:val="right"/>
              <w:rPr>
                <w:sz w:val="18"/>
              </w:rPr>
            </w:pPr>
            <w:r>
              <w:rPr>
                <w:sz w:val="18"/>
              </w:rPr>
              <w:t>71,190</w:t>
            </w:r>
          </w:p>
        </w:tc>
        <w:tc>
          <w:tcPr>
            <w:tcW w:w="1433" w:type="dxa"/>
            <w:shd w:val="clear" w:color="auto" w:fill="auto"/>
          </w:tcPr>
          <w:p w:rsidR="009F665B" w:rsidRPr="00C93A0F" w:rsidRDefault="009F665B" w:rsidP="009A6AC4">
            <w:pPr>
              <w:spacing w:after="60"/>
              <w:jc w:val="right"/>
              <w:rPr>
                <w:sz w:val="18"/>
              </w:rPr>
            </w:pPr>
            <w:r>
              <w:rPr>
                <w:sz w:val="18"/>
              </w:rPr>
              <w:t>186,450</w:t>
            </w:r>
          </w:p>
        </w:tc>
      </w:tr>
      <w:tr w:rsidR="009F665B" w:rsidRPr="00C93A0F" w:rsidTr="00481772">
        <w:trPr>
          <w:trHeight w:val="226"/>
        </w:trPr>
        <w:tc>
          <w:tcPr>
            <w:tcW w:w="1693" w:type="dxa"/>
            <w:vMerge w:val="restart"/>
            <w:shd w:val="clear" w:color="auto" w:fill="auto"/>
          </w:tcPr>
          <w:p w:rsidR="009F665B" w:rsidRPr="00C93A0F" w:rsidRDefault="009F665B" w:rsidP="009A6AC4">
            <w:pPr>
              <w:spacing w:after="60"/>
              <w:jc w:val="center"/>
              <w:rPr>
                <w:sz w:val="18"/>
              </w:rPr>
            </w:pPr>
            <w:r>
              <w:rPr>
                <w:sz w:val="18"/>
              </w:rPr>
              <w:t>UNIDO</w:t>
            </w:r>
          </w:p>
        </w:tc>
        <w:tc>
          <w:tcPr>
            <w:tcW w:w="0" w:type="auto"/>
            <w:shd w:val="clear" w:color="auto" w:fill="auto"/>
          </w:tcPr>
          <w:p w:rsidR="009F665B" w:rsidRPr="00C93A0F" w:rsidRDefault="009F665B" w:rsidP="009A6AC4">
            <w:pPr>
              <w:spacing w:after="60"/>
              <w:jc w:val="left"/>
              <w:rPr>
                <w:sz w:val="18"/>
              </w:rPr>
            </w:pPr>
            <w:r>
              <w:rPr>
                <w:sz w:val="18"/>
              </w:rPr>
              <w:t>ODS phase-out (ODP tonnes)</w:t>
            </w:r>
          </w:p>
        </w:tc>
        <w:tc>
          <w:tcPr>
            <w:tcW w:w="1162" w:type="dxa"/>
            <w:shd w:val="clear" w:color="auto" w:fill="auto"/>
          </w:tcPr>
          <w:p w:rsidR="009F665B" w:rsidRPr="00C93A0F" w:rsidRDefault="009F665B" w:rsidP="009A6AC4">
            <w:pPr>
              <w:spacing w:after="60"/>
              <w:jc w:val="right"/>
              <w:rPr>
                <w:sz w:val="18"/>
              </w:rPr>
            </w:pPr>
            <w:r>
              <w:rPr>
                <w:sz w:val="18"/>
              </w:rPr>
              <w:t>1.67</w:t>
            </w:r>
          </w:p>
        </w:tc>
        <w:tc>
          <w:tcPr>
            <w:tcW w:w="1163" w:type="dxa"/>
            <w:shd w:val="clear" w:color="auto" w:fill="auto"/>
          </w:tcPr>
          <w:p w:rsidR="009F665B" w:rsidRPr="00C93A0F" w:rsidRDefault="009F665B" w:rsidP="009A6AC4">
            <w:pPr>
              <w:spacing w:after="60"/>
              <w:jc w:val="right"/>
              <w:rPr>
                <w:sz w:val="18"/>
              </w:rPr>
            </w:pPr>
            <w:r>
              <w:rPr>
                <w:sz w:val="18"/>
              </w:rPr>
              <w:t>0</w:t>
            </w:r>
          </w:p>
        </w:tc>
        <w:tc>
          <w:tcPr>
            <w:tcW w:w="1162" w:type="dxa"/>
            <w:shd w:val="clear" w:color="auto" w:fill="auto"/>
          </w:tcPr>
          <w:p w:rsidR="009F665B" w:rsidRPr="00C93A0F" w:rsidRDefault="009F665B" w:rsidP="009A6AC4">
            <w:pPr>
              <w:spacing w:after="60"/>
              <w:jc w:val="right"/>
              <w:rPr>
                <w:sz w:val="18"/>
              </w:rPr>
            </w:pPr>
            <w:r>
              <w:rPr>
                <w:sz w:val="18"/>
              </w:rPr>
              <w:t>0</w:t>
            </w:r>
          </w:p>
        </w:tc>
        <w:tc>
          <w:tcPr>
            <w:tcW w:w="1163" w:type="dxa"/>
            <w:shd w:val="clear" w:color="auto" w:fill="auto"/>
          </w:tcPr>
          <w:p w:rsidR="009F665B" w:rsidRPr="00C93A0F" w:rsidRDefault="009F665B" w:rsidP="009A6AC4">
            <w:pPr>
              <w:spacing w:after="60"/>
              <w:jc w:val="right"/>
              <w:rPr>
                <w:sz w:val="18"/>
              </w:rPr>
            </w:pPr>
            <w:r>
              <w:rPr>
                <w:sz w:val="18"/>
              </w:rPr>
              <w:t>0</w:t>
            </w:r>
          </w:p>
        </w:tc>
        <w:tc>
          <w:tcPr>
            <w:tcW w:w="1433" w:type="dxa"/>
            <w:shd w:val="clear" w:color="auto" w:fill="auto"/>
          </w:tcPr>
          <w:p w:rsidR="009F665B" w:rsidRPr="00C93A0F" w:rsidRDefault="009F665B" w:rsidP="009A6AC4">
            <w:pPr>
              <w:spacing w:after="60"/>
              <w:jc w:val="right"/>
              <w:rPr>
                <w:sz w:val="18"/>
              </w:rPr>
            </w:pPr>
            <w:r>
              <w:rPr>
                <w:sz w:val="18"/>
              </w:rPr>
              <w:t>1.67</w:t>
            </w:r>
          </w:p>
        </w:tc>
      </w:tr>
      <w:tr w:rsidR="009F665B" w:rsidRPr="00C93A0F" w:rsidTr="00481772">
        <w:trPr>
          <w:trHeight w:val="226"/>
        </w:trPr>
        <w:tc>
          <w:tcPr>
            <w:tcW w:w="1693" w:type="dxa"/>
            <w:vMerge/>
            <w:shd w:val="clear" w:color="auto" w:fill="auto"/>
          </w:tcPr>
          <w:p w:rsidR="009F665B" w:rsidRPr="00C93A0F" w:rsidRDefault="009F665B" w:rsidP="009A6AC4">
            <w:pPr>
              <w:spacing w:after="60"/>
              <w:jc w:val="center"/>
              <w:rPr>
                <w:sz w:val="18"/>
              </w:rPr>
            </w:pPr>
          </w:p>
        </w:tc>
        <w:tc>
          <w:tcPr>
            <w:tcW w:w="0" w:type="auto"/>
            <w:shd w:val="clear" w:color="auto" w:fill="auto"/>
          </w:tcPr>
          <w:p w:rsidR="009F665B" w:rsidRPr="00C93A0F" w:rsidRDefault="009F665B" w:rsidP="009A6AC4">
            <w:pPr>
              <w:spacing w:after="60"/>
              <w:jc w:val="left"/>
              <w:rPr>
                <w:sz w:val="18"/>
              </w:rPr>
            </w:pPr>
            <w:r>
              <w:rPr>
                <w:sz w:val="18"/>
              </w:rPr>
              <w:t>Funding (</w:t>
            </w:r>
            <w:r w:rsidR="001A2151">
              <w:rPr>
                <w:sz w:val="18"/>
              </w:rPr>
              <w:t>US $</w:t>
            </w:r>
            <w:r>
              <w:rPr>
                <w:sz w:val="18"/>
              </w:rPr>
              <w:t>)</w:t>
            </w:r>
          </w:p>
        </w:tc>
        <w:tc>
          <w:tcPr>
            <w:tcW w:w="1162" w:type="dxa"/>
            <w:shd w:val="clear" w:color="auto" w:fill="auto"/>
          </w:tcPr>
          <w:p w:rsidR="009F665B" w:rsidRPr="00C93A0F" w:rsidRDefault="009F665B" w:rsidP="009A6AC4">
            <w:pPr>
              <w:spacing w:after="60"/>
              <w:jc w:val="right"/>
              <w:rPr>
                <w:sz w:val="18"/>
              </w:rPr>
            </w:pPr>
            <w:r>
              <w:rPr>
                <w:sz w:val="18"/>
              </w:rPr>
              <w:t>161,250</w:t>
            </w:r>
          </w:p>
        </w:tc>
        <w:tc>
          <w:tcPr>
            <w:tcW w:w="1163" w:type="dxa"/>
            <w:shd w:val="clear" w:color="auto" w:fill="auto"/>
          </w:tcPr>
          <w:p w:rsidR="009F665B" w:rsidRPr="00C93A0F" w:rsidRDefault="009F665B" w:rsidP="009A6AC4">
            <w:pPr>
              <w:spacing w:after="60"/>
              <w:jc w:val="right"/>
              <w:rPr>
                <w:sz w:val="18"/>
              </w:rPr>
            </w:pPr>
            <w:r>
              <w:rPr>
                <w:sz w:val="18"/>
              </w:rPr>
              <w:t>0</w:t>
            </w:r>
          </w:p>
        </w:tc>
        <w:tc>
          <w:tcPr>
            <w:tcW w:w="1162" w:type="dxa"/>
            <w:shd w:val="clear" w:color="auto" w:fill="auto"/>
          </w:tcPr>
          <w:p w:rsidR="009F665B" w:rsidRPr="00C93A0F" w:rsidRDefault="009F665B" w:rsidP="009A6AC4">
            <w:pPr>
              <w:spacing w:after="60"/>
              <w:jc w:val="right"/>
              <w:rPr>
                <w:sz w:val="18"/>
              </w:rPr>
            </w:pPr>
            <w:r>
              <w:rPr>
                <w:sz w:val="18"/>
              </w:rPr>
              <w:t>0</w:t>
            </w:r>
          </w:p>
        </w:tc>
        <w:tc>
          <w:tcPr>
            <w:tcW w:w="1163" w:type="dxa"/>
            <w:shd w:val="clear" w:color="auto" w:fill="auto"/>
          </w:tcPr>
          <w:p w:rsidR="009F665B" w:rsidRPr="00C93A0F" w:rsidRDefault="009F665B" w:rsidP="009A6AC4">
            <w:pPr>
              <w:spacing w:after="60"/>
              <w:jc w:val="right"/>
              <w:rPr>
                <w:sz w:val="18"/>
              </w:rPr>
            </w:pPr>
            <w:r>
              <w:rPr>
                <w:sz w:val="18"/>
              </w:rPr>
              <w:t>0</w:t>
            </w:r>
          </w:p>
        </w:tc>
        <w:tc>
          <w:tcPr>
            <w:tcW w:w="1433" w:type="dxa"/>
            <w:shd w:val="clear" w:color="auto" w:fill="auto"/>
          </w:tcPr>
          <w:p w:rsidR="009F665B" w:rsidRPr="00C93A0F" w:rsidRDefault="009F665B" w:rsidP="009A6AC4">
            <w:pPr>
              <w:spacing w:after="60"/>
              <w:jc w:val="right"/>
              <w:rPr>
                <w:sz w:val="18"/>
              </w:rPr>
            </w:pPr>
            <w:r>
              <w:rPr>
                <w:sz w:val="18"/>
              </w:rPr>
              <w:t>161,250</w:t>
            </w:r>
          </w:p>
        </w:tc>
      </w:tr>
    </w:tbl>
    <w:p w:rsidR="0051214F" w:rsidRDefault="0051214F" w:rsidP="009A6AC4">
      <w:pPr>
        <w:spacing w:after="60"/>
        <w:jc w:val="center"/>
      </w:pPr>
    </w:p>
    <w:tbl>
      <w:tblPr>
        <w:tblStyle w:val="TableGrid"/>
        <w:tblW w:w="1121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833"/>
        <w:gridCol w:w="1237"/>
        <w:gridCol w:w="841"/>
        <w:gridCol w:w="801"/>
        <w:gridCol w:w="576"/>
        <w:gridCol w:w="576"/>
        <w:gridCol w:w="711"/>
        <w:gridCol w:w="576"/>
        <w:gridCol w:w="576"/>
        <w:gridCol w:w="801"/>
        <w:gridCol w:w="891"/>
        <w:gridCol w:w="711"/>
        <w:gridCol w:w="576"/>
        <w:gridCol w:w="711"/>
        <w:gridCol w:w="801"/>
      </w:tblGrid>
      <w:tr w:rsidR="00171A70" w:rsidRPr="00C93A0F" w:rsidTr="009A6AC4">
        <w:trPr>
          <w:trHeight w:val="267"/>
          <w:jc w:val="center"/>
        </w:trPr>
        <w:tc>
          <w:tcPr>
            <w:tcW w:w="2908" w:type="dxa"/>
            <w:gridSpan w:val="3"/>
            <w:shd w:val="clear" w:color="auto" w:fill="auto"/>
          </w:tcPr>
          <w:p w:rsidR="0051214F" w:rsidRPr="00C93A0F" w:rsidRDefault="0051214F" w:rsidP="009A6AC4">
            <w:pPr>
              <w:spacing w:after="60"/>
              <w:jc w:val="left"/>
              <w:rPr>
                <w:b/>
                <w:sz w:val="18"/>
              </w:rPr>
            </w:pPr>
            <w:r w:rsidRPr="00C93A0F">
              <w:rPr>
                <w:b/>
                <w:sz w:val="18"/>
              </w:rPr>
              <w:t>(VI) PROJECT DATA</w:t>
            </w:r>
          </w:p>
        </w:tc>
        <w:tc>
          <w:tcPr>
            <w:tcW w:w="0" w:type="auto"/>
            <w:shd w:val="clear" w:color="auto" w:fill="auto"/>
          </w:tcPr>
          <w:p w:rsidR="0051214F" w:rsidRPr="00C93A0F" w:rsidRDefault="0051214F" w:rsidP="009A6AC4">
            <w:pPr>
              <w:spacing w:after="60"/>
              <w:jc w:val="center"/>
              <w:rPr>
                <w:b/>
                <w:sz w:val="18"/>
              </w:rPr>
            </w:pPr>
            <w:r w:rsidRPr="00C93A0F">
              <w:rPr>
                <w:b/>
                <w:sz w:val="18"/>
              </w:rPr>
              <w:t>2010</w:t>
            </w:r>
          </w:p>
        </w:tc>
        <w:tc>
          <w:tcPr>
            <w:tcW w:w="0" w:type="auto"/>
            <w:shd w:val="clear" w:color="auto" w:fill="auto"/>
          </w:tcPr>
          <w:p w:rsidR="0051214F" w:rsidRPr="00C93A0F" w:rsidRDefault="0051214F" w:rsidP="009A6AC4">
            <w:pPr>
              <w:spacing w:after="60"/>
              <w:jc w:val="center"/>
              <w:rPr>
                <w:b/>
                <w:sz w:val="18"/>
              </w:rPr>
            </w:pPr>
            <w:r w:rsidRPr="00C93A0F">
              <w:rPr>
                <w:b/>
                <w:sz w:val="18"/>
              </w:rPr>
              <w:t>2011</w:t>
            </w:r>
          </w:p>
        </w:tc>
        <w:tc>
          <w:tcPr>
            <w:tcW w:w="0" w:type="auto"/>
            <w:shd w:val="clear" w:color="auto" w:fill="auto"/>
          </w:tcPr>
          <w:p w:rsidR="0051214F" w:rsidRPr="00C93A0F" w:rsidRDefault="0051214F" w:rsidP="009A6AC4">
            <w:pPr>
              <w:spacing w:after="60"/>
              <w:jc w:val="center"/>
              <w:rPr>
                <w:b/>
                <w:sz w:val="18"/>
              </w:rPr>
            </w:pPr>
            <w:r w:rsidRPr="00C93A0F">
              <w:rPr>
                <w:b/>
                <w:sz w:val="18"/>
              </w:rPr>
              <w:t>2012</w:t>
            </w:r>
          </w:p>
        </w:tc>
        <w:tc>
          <w:tcPr>
            <w:tcW w:w="0" w:type="auto"/>
            <w:shd w:val="clear" w:color="auto" w:fill="auto"/>
          </w:tcPr>
          <w:p w:rsidR="0051214F" w:rsidRPr="00C93A0F" w:rsidRDefault="0051214F" w:rsidP="009A6AC4">
            <w:pPr>
              <w:spacing w:after="60"/>
              <w:jc w:val="center"/>
              <w:rPr>
                <w:b/>
                <w:sz w:val="18"/>
              </w:rPr>
            </w:pPr>
            <w:r w:rsidRPr="00C93A0F">
              <w:rPr>
                <w:b/>
                <w:sz w:val="18"/>
              </w:rPr>
              <w:t>2013</w:t>
            </w:r>
          </w:p>
        </w:tc>
        <w:tc>
          <w:tcPr>
            <w:tcW w:w="0" w:type="auto"/>
            <w:shd w:val="clear" w:color="auto" w:fill="auto"/>
          </w:tcPr>
          <w:p w:rsidR="0051214F" w:rsidRPr="00C93A0F" w:rsidRDefault="0051214F" w:rsidP="009A6AC4">
            <w:pPr>
              <w:spacing w:after="60"/>
              <w:jc w:val="center"/>
              <w:rPr>
                <w:b/>
                <w:sz w:val="18"/>
              </w:rPr>
            </w:pPr>
            <w:r w:rsidRPr="00C93A0F">
              <w:rPr>
                <w:b/>
                <w:sz w:val="18"/>
              </w:rPr>
              <w:t>2014</w:t>
            </w:r>
          </w:p>
        </w:tc>
        <w:tc>
          <w:tcPr>
            <w:tcW w:w="0" w:type="auto"/>
            <w:shd w:val="clear" w:color="auto" w:fill="auto"/>
          </w:tcPr>
          <w:p w:rsidR="0051214F" w:rsidRPr="00C93A0F" w:rsidRDefault="0051214F" w:rsidP="009A6AC4">
            <w:pPr>
              <w:spacing w:after="60"/>
              <w:jc w:val="center"/>
              <w:rPr>
                <w:b/>
                <w:sz w:val="18"/>
              </w:rPr>
            </w:pPr>
            <w:r w:rsidRPr="00C93A0F">
              <w:rPr>
                <w:b/>
                <w:sz w:val="18"/>
              </w:rPr>
              <w:t>2015</w:t>
            </w:r>
          </w:p>
        </w:tc>
        <w:tc>
          <w:tcPr>
            <w:tcW w:w="0" w:type="auto"/>
            <w:shd w:val="clear" w:color="auto" w:fill="auto"/>
          </w:tcPr>
          <w:p w:rsidR="0051214F" w:rsidRPr="00C93A0F" w:rsidRDefault="0051214F" w:rsidP="009A6AC4">
            <w:pPr>
              <w:spacing w:after="60"/>
              <w:jc w:val="center"/>
              <w:rPr>
                <w:b/>
                <w:sz w:val="18"/>
              </w:rPr>
            </w:pPr>
            <w:r w:rsidRPr="00C93A0F">
              <w:rPr>
                <w:b/>
                <w:sz w:val="18"/>
              </w:rPr>
              <w:t>2016</w:t>
            </w:r>
          </w:p>
        </w:tc>
        <w:tc>
          <w:tcPr>
            <w:tcW w:w="0" w:type="auto"/>
            <w:shd w:val="clear" w:color="auto" w:fill="auto"/>
          </w:tcPr>
          <w:p w:rsidR="0051214F" w:rsidRPr="00C93A0F" w:rsidRDefault="0051214F" w:rsidP="009A6AC4">
            <w:pPr>
              <w:spacing w:after="60"/>
              <w:jc w:val="center"/>
              <w:rPr>
                <w:b/>
                <w:sz w:val="18"/>
              </w:rPr>
            </w:pPr>
            <w:r w:rsidRPr="00C93A0F">
              <w:rPr>
                <w:b/>
                <w:sz w:val="18"/>
              </w:rPr>
              <w:t>2017</w:t>
            </w:r>
          </w:p>
        </w:tc>
        <w:tc>
          <w:tcPr>
            <w:tcW w:w="0" w:type="auto"/>
            <w:shd w:val="clear" w:color="auto" w:fill="auto"/>
          </w:tcPr>
          <w:p w:rsidR="0051214F" w:rsidRPr="00C93A0F" w:rsidRDefault="0051214F" w:rsidP="009A6AC4">
            <w:pPr>
              <w:spacing w:after="60"/>
              <w:jc w:val="center"/>
              <w:rPr>
                <w:b/>
                <w:sz w:val="18"/>
              </w:rPr>
            </w:pPr>
            <w:r w:rsidRPr="00C93A0F">
              <w:rPr>
                <w:b/>
                <w:sz w:val="18"/>
              </w:rPr>
              <w:t>2018</w:t>
            </w:r>
          </w:p>
        </w:tc>
        <w:tc>
          <w:tcPr>
            <w:tcW w:w="0" w:type="auto"/>
            <w:shd w:val="clear" w:color="auto" w:fill="auto"/>
          </w:tcPr>
          <w:p w:rsidR="0051214F" w:rsidRPr="00C93A0F" w:rsidRDefault="0051214F" w:rsidP="009A6AC4">
            <w:pPr>
              <w:spacing w:after="60"/>
              <w:jc w:val="center"/>
              <w:rPr>
                <w:b/>
                <w:sz w:val="18"/>
              </w:rPr>
            </w:pPr>
            <w:r w:rsidRPr="00C93A0F">
              <w:rPr>
                <w:b/>
                <w:sz w:val="18"/>
              </w:rPr>
              <w:t>2019</w:t>
            </w:r>
          </w:p>
        </w:tc>
        <w:tc>
          <w:tcPr>
            <w:tcW w:w="0" w:type="auto"/>
            <w:shd w:val="clear" w:color="auto" w:fill="auto"/>
          </w:tcPr>
          <w:p w:rsidR="0051214F" w:rsidRPr="00C93A0F" w:rsidRDefault="0051214F" w:rsidP="009A6AC4">
            <w:pPr>
              <w:spacing w:after="60"/>
              <w:jc w:val="center"/>
              <w:rPr>
                <w:b/>
                <w:sz w:val="18"/>
              </w:rPr>
            </w:pPr>
            <w:r w:rsidRPr="00C93A0F">
              <w:rPr>
                <w:b/>
                <w:sz w:val="18"/>
              </w:rPr>
              <w:t>2020</w:t>
            </w:r>
          </w:p>
        </w:tc>
        <w:tc>
          <w:tcPr>
            <w:tcW w:w="0" w:type="auto"/>
            <w:shd w:val="clear" w:color="auto" w:fill="auto"/>
          </w:tcPr>
          <w:p w:rsidR="0051214F" w:rsidRPr="00C93A0F" w:rsidRDefault="0051214F" w:rsidP="009A6AC4">
            <w:pPr>
              <w:spacing w:after="60"/>
              <w:jc w:val="center"/>
              <w:rPr>
                <w:b/>
                <w:sz w:val="18"/>
              </w:rPr>
            </w:pPr>
            <w:r w:rsidRPr="00C93A0F">
              <w:rPr>
                <w:b/>
                <w:sz w:val="18"/>
              </w:rPr>
              <w:t>Total</w:t>
            </w:r>
          </w:p>
        </w:tc>
      </w:tr>
      <w:tr w:rsidR="00171A70" w:rsidRPr="00C93A0F" w:rsidTr="009A6AC4">
        <w:trPr>
          <w:trHeight w:val="486"/>
          <w:jc w:val="center"/>
        </w:trPr>
        <w:tc>
          <w:tcPr>
            <w:tcW w:w="2908" w:type="dxa"/>
            <w:gridSpan w:val="3"/>
            <w:shd w:val="clear" w:color="auto" w:fill="auto"/>
          </w:tcPr>
          <w:p w:rsidR="0051214F" w:rsidRPr="00C93A0F" w:rsidRDefault="0051214F" w:rsidP="009A6AC4">
            <w:pPr>
              <w:spacing w:after="60"/>
              <w:jc w:val="left"/>
              <w:rPr>
                <w:sz w:val="18"/>
              </w:rPr>
            </w:pPr>
            <w:r>
              <w:rPr>
                <w:sz w:val="18"/>
              </w:rPr>
              <w:t>Montreal Protocol consumption limits</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right"/>
              <w:rPr>
                <w:sz w:val="18"/>
              </w:rPr>
            </w:pPr>
            <w:r>
              <w:rPr>
                <w:sz w:val="18"/>
              </w:rPr>
              <w:t>20.0</w:t>
            </w:r>
          </w:p>
        </w:tc>
        <w:tc>
          <w:tcPr>
            <w:tcW w:w="0" w:type="auto"/>
            <w:shd w:val="clear" w:color="auto" w:fill="auto"/>
          </w:tcPr>
          <w:p w:rsidR="0051214F" w:rsidRPr="00C93A0F" w:rsidRDefault="0051214F" w:rsidP="009A6AC4">
            <w:pPr>
              <w:spacing w:after="60"/>
              <w:jc w:val="right"/>
              <w:rPr>
                <w:sz w:val="18"/>
              </w:rPr>
            </w:pPr>
            <w:r>
              <w:rPr>
                <w:sz w:val="18"/>
              </w:rPr>
              <w:t>20.0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13.0</w:t>
            </w:r>
          </w:p>
        </w:tc>
        <w:tc>
          <w:tcPr>
            <w:tcW w:w="0" w:type="auto"/>
            <w:shd w:val="clear" w:color="auto" w:fill="auto"/>
          </w:tcPr>
          <w:p w:rsidR="0051214F" w:rsidRPr="00C93A0F" w:rsidRDefault="00FD3DC2" w:rsidP="009A6AC4">
            <w:pPr>
              <w:spacing w:after="60"/>
              <w:jc w:val="center"/>
              <w:rPr>
                <w:sz w:val="18"/>
              </w:rPr>
            </w:pPr>
            <w:r>
              <w:rPr>
                <w:sz w:val="18"/>
              </w:rPr>
              <w:t>n/a</w:t>
            </w:r>
          </w:p>
        </w:tc>
      </w:tr>
      <w:tr w:rsidR="00171A70" w:rsidRPr="00C93A0F" w:rsidTr="009A6AC4">
        <w:trPr>
          <w:trHeight w:val="474"/>
          <w:jc w:val="center"/>
        </w:trPr>
        <w:tc>
          <w:tcPr>
            <w:tcW w:w="2908" w:type="dxa"/>
            <w:gridSpan w:val="3"/>
            <w:shd w:val="clear" w:color="auto" w:fill="auto"/>
          </w:tcPr>
          <w:p w:rsidR="0051214F" w:rsidRPr="00C93A0F" w:rsidRDefault="0051214F" w:rsidP="009A6AC4">
            <w:pPr>
              <w:spacing w:after="60"/>
              <w:jc w:val="left"/>
              <w:rPr>
                <w:sz w:val="18"/>
              </w:rPr>
            </w:pPr>
            <w:r>
              <w:rPr>
                <w:sz w:val="18"/>
              </w:rPr>
              <w:t>Maximum allowable consumption (ODP tonnes)</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center"/>
              <w:rPr>
                <w:sz w:val="18"/>
              </w:rPr>
            </w:pPr>
            <w:r>
              <w:rPr>
                <w:sz w:val="18"/>
              </w:rPr>
              <w:t>n/a</w:t>
            </w:r>
          </w:p>
        </w:tc>
        <w:tc>
          <w:tcPr>
            <w:tcW w:w="0" w:type="auto"/>
            <w:shd w:val="clear" w:color="auto" w:fill="auto"/>
          </w:tcPr>
          <w:p w:rsidR="0051214F" w:rsidRPr="00C93A0F" w:rsidRDefault="0051214F" w:rsidP="009A6AC4">
            <w:pPr>
              <w:spacing w:after="60"/>
              <w:jc w:val="right"/>
              <w:rPr>
                <w:sz w:val="18"/>
              </w:rPr>
            </w:pPr>
            <w:r>
              <w:rPr>
                <w:sz w:val="18"/>
              </w:rPr>
              <w:t>20.0</w:t>
            </w:r>
          </w:p>
        </w:tc>
        <w:tc>
          <w:tcPr>
            <w:tcW w:w="0" w:type="auto"/>
            <w:shd w:val="clear" w:color="auto" w:fill="auto"/>
          </w:tcPr>
          <w:p w:rsidR="0051214F" w:rsidRPr="00C93A0F" w:rsidRDefault="0051214F" w:rsidP="009A6AC4">
            <w:pPr>
              <w:spacing w:after="60"/>
              <w:jc w:val="right"/>
              <w:rPr>
                <w:sz w:val="18"/>
              </w:rPr>
            </w:pPr>
            <w:r>
              <w:rPr>
                <w:sz w:val="18"/>
              </w:rPr>
              <w:t>20.0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18.0</w:t>
            </w:r>
          </w:p>
        </w:tc>
        <w:tc>
          <w:tcPr>
            <w:tcW w:w="0" w:type="auto"/>
            <w:shd w:val="clear" w:color="auto" w:fill="auto"/>
          </w:tcPr>
          <w:p w:rsidR="0051214F" w:rsidRPr="00C93A0F" w:rsidRDefault="0051214F" w:rsidP="009A6AC4">
            <w:pPr>
              <w:spacing w:after="60"/>
              <w:jc w:val="right"/>
              <w:rPr>
                <w:sz w:val="18"/>
              </w:rPr>
            </w:pPr>
            <w:r>
              <w:rPr>
                <w:sz w:val="18"/>
              </w:rPr>
              <w:t>13.0</w:t>
            </w:r>
          </w:p>
        </w:tc>
        <w:tc>
          <w:tcPr>
            <w:tcW w:w="0" w:type="auto"/>
            <w:shd w:val="clear" w:color="auto" w:fill="auto"/>
          </w:tcPr>
          <w:p w:rsidR="0051214F" w:rsidRPr="00C93A0F" w:rsidRDefault="00FD3DC2" w:rsidP="009A6AC4">
            <w:pPr>
              <w:spacing w:after="60"/>
              <w:jc w:val="center"/>
              <w:rPr>
                <w:sz w:val="18"/>
              </w:rPr>
            </w:pPr>
            <w:r>
              <w:rPr>
                <w:sz w:val="18"/>
              </w:rPr>
              <w:t>n/a</w:t>
            </w:r>
          </w:p>
        </w:tc>
      </w:tr>
      <w:tr w:rsidR="00171A70" w:rsidRPr="00C93A0F" w:rsidTr="009A6AC4">
        <w:trPr>
          <w:trHeight w:val="474"/>
          <w:jc w:val="center"/>
        </w:trPr>
        <w:tc>
          <w:tcPr>
            <w:tcW w:w="832" w:type="dxa"/>
            <w:vMerge w:val="restart"/>
            <w:shd w:val="clear" w:color="auto" w:fill="auto"/>
          </w:tcPr>
          <w:p w:rsidR="00FD3DC2" w:rsidRPr="00C93A0F" w:rsidRDefault="00FD3DC2" w:rsidP="009A6AC4">
            <w:pPr>
              <w:spacing w:after="60"/>
              <w:jc w:val="left"/>
              <w:rPr>
                <w:sz w:val="18"/>
              </w:rPr>
            </w:pPr>
            <w:r>
              <w:rPr>
                <w:sz w:val="18"/>
              </w:rPr>
              <w:t>Agreed funding (</w:t>
            </w:r>
            <w:r w:rsidR="001A2151">
              <w:rPr>
                <w:sz w:val="18"/>
              </w:rPr>
              <w:t>US $</w:t>
            </w:r>
            <w:r>
              <w:rPr>
                <w:sz w:val="18"/>
              </w:rPr>
              <w:t>)</w:t>
            </w:r>
          </w:p>
        </w:tc>
        <w:tc>
          <w:tcPr>
            <w:tcW w:w="1236" w:type="dxa"/>
            <w:vMerge w:val="restart"/>
            <w:shd w:val="clear" w:color="auto" w:fill="auto"/>
          </w:tcPr>
          <w:p w:rsidR="00FD3DC2" w:rsidRPr="00C93A0F" w:rsidRDefault="00FD3DC2" w:rsidP="009A6AC4">
            <w:pPr>
              <w:spacing w:after="60"/>
              <w:jc w:val="center"/>
              <w:rPr>
                <w:sz w:val="18"/>
              </w:rPr>
            </w:pPr>
            <w:r>
              <w:rPr>
                <w:sz w:val="18"/>
              </w:rPr>
              <w:t>UN</w:t>
            </w:r>
            <w:r w:rsidR="0078269B">
              <w:rPr>
                <w:sz w:val="18"/>
              </w:rPr>
              <w:t xml:space="preserve"> Environment</w:t>
            </w:r>
          </w:p>
        </w:tc>
        <w:tc>
          <w:tcPr>
            <w:tcW w:w="840" w:type="dxa"/>
            <w:shd w:val="clear" w:color="auto" w:fill="auto"/>
          </w:tcPr>
          <w:p w:rsidR="00FD3DC2" w:rsidRPr="00C93A0F" w:rsidRDefault="00FD3DC2" w:rsidP="009A6AC4">
            <w:pPr>
              <w:spacing w:after="60"/>
              <w:jc w:val="left"/>
              <w:rPr>
                <w:sz w:val="18"/>
              </w:rPr>
            </w:pPr>
            <w:r>
              <w:rPr>
                <w:sz w:val="18"/>
              </w:rPr>
              <w:t>Project costs</w:t>
            </w:r>
          </w:p>
        </w:tc>
        <w:tc>
          <w:tcPr>
            <w:tcW w:w="0" w:type="auto"/>
            <w:shd w:val="clear" w:color="auto" w:fill="auto"/>
          </w:tcPr>
          <w:p w:rsidR="00FD3DC2" w:rsidRPr="00C93A0F" w:rsidRDefault="00FD3DC2" w:rsidP="009A6AC4">
            <w:pPr>
              <w:spacing w:after="60"/>
              <w:jc w:val="right"/>
              <w:rPr>
                <w:sz w:val="18"/>
              </w:rPr>
            </w:pPr>
            <w:r>
              <w:rPr>
                <w:sz w:val="18"/>
              </w:rPr>
              <w:t>70,000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45,000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62,000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40,000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63,000</w:t>
            </w:r>
          </w:p>
        </w:tc>
        <w:tc>
          <w:tcPr>
            <w:tcW w:w="0" w:type="auto"/>
            <w:shd w:val="clear" w:color="auto" w:fill="auto"/>
          </w:tcPr>
          <w:p w:rsidR="00FD3DC2" w:rsidRPr="00C93A0F" w:rsidRDefault="00FD3DC2" w:rsidP="009A6AC4">
            <w:pPr>
              <w:spacing w:after="60"/>
              <w:jc w:val="right"/>
              <w:rPr>
                <w:sz w:val="18"/>
              </w:rPr>
            </w:pPr>
            <w:r>
              <w:rPr>
                <w:sz w:val="18"/>
              </w:rPr>
              <w:t>280,000</w:t>
            </w:r>
          </w:p>
        </w:tc>
      </w:tr>
      <w:tr w:rsidR="00171A70" w:rsidRPr="00C93A0F" w:rsidTr="009A6AC4">
        <w:trPr>
          <w:trHeight w:val="145"/>
          <w:jc w:val="center"/>
        </w:trPr>
        <w:tc>
          <w:tcPr>
            <w:tcW w:w="832" w:type="dxa"/>
            <w:vMerge/>
            <w:shd w:val="clear" w:color="auto" w:fill="auto"/>
          </w:tcPr>
          <w:p w:rsidR="00FD3DC2" w:rsidRPr="00C93A0F" w:rsidRDefault="00FD3DC2" w:rsidP="009A6AC4">
            <w:pPr>
              <w:spacing w:after="60"/>
              <w:jc w:val="center"/>
              <w:rPr>
                <w:sz w:val="18"/>
              </w:rPr>
            </w:pPr>
          </w:p>
        </w:tc>
        <w:tc>
          <w:tcPr>
            <w:tcW w:w="1236" w:type="dxa"/>
            <w:vMerge/>
            <w:shd w:val="clear" w:color="auto" w:fill="auto"/>
          </w:tcPr>
          <w:p w:rsidR="00FD3DC2" w:rsidRPr="00C93A0F" w:rsidRDefault="00FD3DC2" w:rsidP="009A6AC4">
            <w:pPr>
              <w:spacing w:after="60"/>
              <w:jc w:val="center"/>
              <w:rPr>
                <w:sz w:val="18"/>
              </w:rPr>
            </w:pPr>
          </w:p>
        </w:tc>
        <w:tc>
          <w:tcPr>
            <w:tcW w:w="840" w:type="dxa"/>
            <w:shd w:val="clear" w:color="auto" w:fill="auto"/>
          </w:tcPr>
          <w:p w:rsidR="00FD3DC2" w:rsidRPr="00C93A0F" w:rsidRDefault="00FD3DC2" w:rsidP="009A6AC4">
            <w:pPr>
              <w:spacing w:after="60"/>
              <w:jc w:val="left"/>
              <w:rPr>
                <w:sz w:val="18"/>
              </w:rPr>
            </w:pPr>
            <w:r>
              <w:rPr>
                <w:sz w:val="18"/>
              </w:rPr>
              <w:t>Support costs</w:t>
            </w:r>
          </w:p>
        </w:tc>
        <w:tc>
          <w:tcPr>
            <w:tcW w:w="0" w:type="auto"/>
            <w:shd w:val="clear" w:color="auto" w:fill="auto"/>
          </w:tcPr>
          <w:p w:rsidR="00FD3DC2" w:rsidRPr="00C93A0F" w:rsidRDefault="00FD3DC2" w:rsidP="009A6AC4">
            <w:pPr>
              <w:spacing w:after="60"/>
              <w:jc w:val="right"/>
              <w:rPr>
                <w:sz w:val="18"/>
              </w:rPr>
            </w:pPr>
            <w:r>
              <w:rPr>
                <w:sz w:val="18"/>
              </w:rPr>
              <w:t>9,100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5,850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8,060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5,200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8,190</w:t>
            </w:r>
          </w:p>
        </w:tc>
        <w:tc>
          <w:tcPr>
            <w:tcW w:w="0" w:type="auto"/>
            <w:shd w:val="clear" w:color="auto" w:fill="auto"/>
          </w:tcPr>
          <w:p w:rsidR="00FD3DC2" w:rsidRPr="00C93A0F" w:rsidRDefault="00FD3DC2" w:rsidP="009A6AC4">
            <w:pPr>
              <w:spacing w:after="60"/>
              <w:jc w:val="right"/>
              <w:rPr>
                <w:sz w:val="18"/>
              </w:rPr>
            </w:pPr>
            <w:r>
              <w:rPr>
                <w:sz w:val="18"/>
              </w:rPr>
              <w:t>36,400</w:t>
            </w:r>
          </w:p>
        </w:tc>
      </w:tr>
      <w:tr w:rsidR="00171A70" w:rsidRPr="00C93A0F" w:rsidTr="009A6AC4">
        <w:trPr>
          <w:trHeight w:val="145"/>
          <w:jc w:val="center"/>
        </w:trPr>
        <w:tc>
          <w:tcPr>
            <w:tcW w:w="832" w:type="dxa"/>
            <w:vMerge/>
            <w:shd w:val="clear" w:color="auto" w:fill="auto"/>
          </w:tcPr>
          <w:p w:rsidR="00FD3DC2" w:rsidRPr="00C93A0F" w:rsidRDefault="00FD3DC2" w:rsidP="009A6AC4">
            <w:pPr>
              <w:spacing w:after="60"/>
              <w:jc w:val="center"/>
              <w:rPr>
                <w:sz w:val="18"/>
              </w:rPr>
            </w:pPr>
          </w:p>
        </w:tc>
        <w:tc>
          <w:tcPr>
            <w:tcW w:w="1236" w:type="dxa"/>
            <w:vMerge w:val="restart"/>
            <w:shd w:val="clear" w:color="auto" w:fill="auto"/>
          </w:tcPr>
          <w:p w:rsidR="00FD3DC2" w:rsidRPr="00C93A0F" w:rsidRDefault="00FD3DC2" w:rsidP="009A6AC4">
            <w:pPr>
              <w:spacing w:after="60"/>
              <w:jc w:val="center"/>
              <w:rPr>
                <w:sz w:val="18"/>
              </w:rPr>
            </w:pPr>
            <w:r>
              <w:rPr>
                <w:sz w:val="18"/>
              </w:rPr>
              <w:t>UNIDO</w:t>
            </w:r>
          </w:p>
        </w:tc>
        <w:tc>
          <w:tcPr>
            <w:tcW w:w="840" w:type="dxa"/>
            <w:shd w:val="clear" w:color="auto" w:fill="auto"/>
          </w:tcPr>
          <w:p w:rsidR="00FD3DC2" w:rsidRPr="00C93A0F" w:rsidRDefault="00FD3DC2" w:rsidP="009A6AC4">
            <w:pPr>
              <w:spacing w:after="60"/>
              <w:jc w:val="left"/>
              <w:rPr>
                <w:sz w:val="18"/>
              </w:rPr>
            </w:pPr>
            <w:r>
              <w:rPr>
                <w:sz w:val="18"/>
              </w:rPr>
              <w:t>Project costs</w:t>
            </w:r>
          </w:p>
        </w:tc>
        <w:tc>
          <w:tcPr>
            <w:tcW w:w="0" w:type="auto"/>
            <w:shd w:val="clear" w:color="auto" w:fill="auto"/>
          </w:tcPr>
          <w:p w:rsidR="00FD3DC2" w:rsidRPr="00C93A0F" w:rsidRDefault="00FD3DC2" w:rsidP="009A6AC4">
            <w:pPr>
              <w:spacing w:after="60"/>
              <w:jc w:val="right"/>
              <w:rPr>
                <w:sz w:val="18"/>
              </w:rPr>
            </w:pPr>
            <w:r>
              <w:rPr>
                <w:sz w:val="18"/>
              </w:rPr>
              <w:t>200,000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150,000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350,000</w:t>
            </w:r>
          </w:p>
        </w:tc>
      </w:tr>
      <w:tr w:rsidR="00171A70" w:rsidRPr="00C93A0F" w:rsidTr="009A6AC4">
        <w:trPr>
          <w:trHeight w:val="145"/>
          <w:jc w:val="center"/>
        </w:trPr>
        <w:tc>
          <w:tcPr>
            <w:tcW w:w="832" w:type="dxa"/>
            <w:vMerge/>
            <w:shd w:val="clear" w:color="auto" w:fill="auto"/>
          </w:tcPr>
          <w:p w:rsidR="00FD3DC2" w:rsidRPr="00C93A0F" w:rsidRDefault="00FD3DC2" w:rsidP="009A6AC4">
            <w:pPr>
              <w:spacing w:after="60"/>
              <w:jc w:val="center"/>
              <w:rPr>
                <w:sz w:val="18"/>
              </w:rPr>
            </w:pPr>
          </w:p>
        </w:tc>
        <w:tc>
          <w:tcPr>
            <w:tcW w:w="1236" w:type="dxa"/>
            <w:vMerge/>
            <w:shd w:val="clear" w:color="auto" w:fill="auto"/>
          </w:tcPr>
          <w:p w:rsidR="00FD3DC2" w:rsidRPr="00C93A0F" w:rsidRDefault="00FD3DC2" w:rsidP="009A6AC4">
            <w:pPr>
              <w:spacing w:after="60"/>
              <w:jc w:val="center"/>
              <w:rPr>
                <w:sz w:val="18"/>
              </w:rPr>
            </w:pPr>
          </w:p>
        </w:tc>
        <w:tc>
          <w:tcPr>
            <w:tcW w:w="840" w:type="dxa"/>
            <w:shd w:val="clear" w:color="auto" w:fill="auto"/>
          </w:tcPr>
          <w:p w:rsidR="00FD3DC2" w:rsidRPr="00C93A0F" w:rsidRDefault="00FD3DC2" w:rsidP="009A6AC4">
            <w:pPr>
              <w:spacing w:after="60"/>
              <w:jc w:val="left"/>
              <w:rPr>
                <w:sz w:val="18"/>
              </w:rPr>
            </w:pPr>
            <w:r>
              <w:rPr>
                <w:sz w:val="18"/>
              </w:rPr>
              <w:t>Support costs</w:t>
            </w:r>
          </w:p>
        </w:tc>
        <w:tc>
          <w:tcPr>
            <w:tcW w:w="0" w:type="auto"/>
            <w:shd w:val="clear" w:color="auto" w:fill="auto"/>
          </w:tcPr>
          <w:p w:rsidR="00FD3DC2" w:rsidRPr="00C93A0F" w:rsidRDefault="00FD3DC2" w:rsidP="009A6AC4">
            <w:pPr>
              <w:spacing w:after="60"/>
              <w:jc w:val="right"/>
              <w:rPr>
                <w:sz w:val="18"/>
              </w:rPr>
            </w:pPr>
            <w:r>
              <w:rPr>
                <w:sz w:val="18"/>
              </w:rPr>
              <w:t>15,000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11,250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0</w:t>
            </w:r>
          </w:p>
        </w:tc>
        <w:tc>
          <w:tcPr>
            <w:tcW w:w="0" w:type="auto"/>
            <w:shd w:val="clear" w:color="auto" w:fill="auto"/>
          </w:tcPr>
          <w:p w:rsidR="00FD3DC2" w:rsidRPr="00C93A0F" w:rsidRDefault="00FD3DC2" w:rsidP="009A6AC4">
            <w:pPr>
              <w:spacing w:after="60"/>
              <w:jc w:val="right"/>
              <w:rPr>
                <w:sz w:val="18"/>
              </w:rPr>
            </w:pPr>
            <w:r>
              <w:rPr>
                <w:sz w:val="18"/>
              </w:rPr>
              <w:t>26,250</w:t>
            </w:r>
          </w:p>
        </w:tc>
      </w:tr>
      <w:tr w:rsidR="00171A70" w:rsidRPr="00C93A0F" w:rsidTr="009A6AC4">
        <w:trPr>
          <w:trHeight w:val="486"/>
          <w:jc w:val="center"/>
        </w:trPr>
        <w:tc>
          <w:tcPr>
            <w:tcW w:w="2068" w:type="dxa"/>
            <w:gridSpan w:val="2"/>
            <w:vMerge w:val="restart"/>
            <w:shd w:val="clear" w:color="auto" w:fill="auto"/>
          </w:tcPr>
          <w:p w:rsidR="0051214F" w:rsidRPr="00C93A0F" w:rsidRDefault="0051214F" w:rsidP="009A6AC4">
            <w:pPr>
              <w:spacing w:after="60"/>
              <w:jc w:val="left"/>
              <w:rPr>
                <w:sz w:val="18"/>
              </w:rPr>
            </w:pPr>
            <w:r>
              <w:rPr>
                <w:sz w:val="18"/>
              </w:rPr>
              <w:t>Funds approved by ExCom (</w:t>
            </w:r>
            <w:r w:rsidR="001A2151">
              <w:rPr>
                <w:sz w:val="18"/>
              </w:rPr>
              <w:t>US $</w:t>
            </w:r>
            <w:r>
              <w:rPr>
                <w:sz w:val="18"/>
              </w:rPr>
              <w:t>)</w:t>
            </w:r>
          </w:p>
        </w:tc>
        <w:tc>
          <w:tcPr>
            <w:tcW w:w="840" w:type="dxa"/>
            <w:shd w:val="clear" w:color="auto" w:fill="auto"/>
          </w:tcPr>
          <w:p w:rsidR="0051214F" w:rsidRPr="00C93A0F" w:rsidRDefault="0051214F" w:rsidP="009A6AC4">
            <w:pPr>
              <w:spacing w:after="60"/>
              <w:jc w:val="left"/>
              <w:rPr>
                <w:sz w:val="18"/>
              </w:rPr>
            </w:pPr>
            <w:r>
              <w:rPr>
                <w:sz w:val="18"/>
              </w:rPr>
              <w:t>Project costs</w:t>
            </w:r>
          </w:p>
        </w:tc>
        <w:tc>
          <w:tcPr>
            <w:tcW w:w="0" w:type="auto"/>
            <w:shd w:val="clear" w:color="auto" w:fill="auto"/>
          </w:tcPr>
          <w:p w:rsidR="0051214F" w:rsidRPr="00C93A0F" w:rsidRDefault="0051214F" w:rsidP="009A6AC4">
            <w:pPr>
              <w:spacing w:after="60"/>
              <w:jc w:val="right"/>
              <w:rPr>
                <w:sz w:val="18"/>
              </w:rPr>
            </w:pPr>
            <w:r>
              <w:rPr>
                <w:sz w:val="18"/>
              </w:rPr>
              <w:t>270,000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45,000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7860A4"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7860A4" w:rsidP="009A6AC4">
            <w:pPr>
              <w:spacing w:after="60"/>
              <w:jc w:val="right"/>
              <w:rPr>
                <w:sz w:val="18"/>
              </w:rPr>
            </w:pPr>
            <w:r>
              <w:rPr>
                <w:sz w:val="18"/>
              </w:rPr>
              <w:t>0</w:t>
            </w:r>
          </w:p>
        </w:tc>
        <w:tc>
          <w:tcPr>
            <w:tcW w:w="0" w:type="auto"/>
            <w:shd w:val="clear" w:color="auto" w:fill="auto"/>
          </w:tcPr>
          <w:p w:rsidR="0051214F" w:rsidRPr="00C93A0F" w:rsidRDefault="0051214F" w:rsidP="009A6AC4">
            <w:pPr>
              <w:spacing w:after="60"/>
              <w:jc w:val="right"/>
              <w:rPr>
                <w:sz w:val="18"/>
              </w:rPr>
            </w:pPr>
            <w:r>
              <w:rPr>
                <w:sz w:val="18"/>
              </w:rPr>
              <w:t>0</w:t>
            </w:r>
          </w:p>
        </w:tc>
        <w:tc>
          <w:tcPr>
            <w:tcW w:w="0" w:type="auto"/>
            <w:shd w:val="clear" w:color="auto" w:fill="auto"/>
          </w:tcPr>
          <w:p w:rsidR="0051214F" w:rsidRPr="00C93A0F" w:rsidRDefault="007860A4" w:rsidP="009A6AC4">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315,000</w:t>
            </w:r>
            <w:r>
              <w:rPr>
                <w:sz w:val="18"/>
              </w:rPr>
              <w:fldChar w:fldCharType="end"/>
            </w:r>
          </w:p>
        </w:tc>
      </w:tr>
      <w:tr w:rsidR="00171A70" w:rsidRPr="00C93A0F" w:rsidTr="009A6AC4">
        <w:trPr>
          <w:trHeight w:val="145"/>
          <w:jc w:val="center"/>
        </w:trPr>
        <w:tc>
          <w:tcPr>
            <w:tcW w:w="2068" w:type="dxa"/>
            <w:gridSpan w:val="2"/>
            <w:vMerge/>
            <w:tcBorders>
              <w:bottom w:val="single" w:sz="4" w:space="0" w:color="666699"/>
            </w:tcBorders>
            <w:shd w:val="clear" w:color="auto" w:fill="auto"/>
          </w:tcPr>
          <w:p w:rsidR="0051214F" w:rsidRPr="00C93A0F" w:rsidRDefault="0051214F" w:rsidP="009A6AC4">
            <w:pPr>
              <w:spacing w:after="60"/>
              <w:jc w:val="center"/>
              <w:rPr>
                <w:sz w:val="18"/>
              </w:rPr>
            </w:pPr>
          </w:p>
        </w:tc>
        <w:tc>
          <w:tcPr>
            <w:tcW w:w="840" w:type="dxa"/>
            <w:tcBorders>
              <w:bottom w:val="single" w:sz="4" w:space="0" w:color="666699"/>
            </w:tcBorders>
            <w:shd w:val="clear" w:color="auto" w:fill="auto"/>
          </w:tcPr>
          <w:p w:rsidR="0051214F" w:rsidRPr="00C93A0F" w:rsidRDefault="0051214F" w:rsidP="009A6AC4">
            <w:pPr>
              <w:spacing w:after="60"/>
              <w:jc w:val="left"/>
              <w:rPr>
                <w:sz w:val="18"/>
              </w:rPr>
            </w:pPr>
            <w:r>
              <w:rPr>
                <w:sz w:val="18"/>
              </w:rPr>
              <w:t>Support costs</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24,100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5,850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7860A4"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51214F" w:rsidP="009A6AC4">
            <w:pPr>
              <w:spacing w:after="60"/>
              <w:jc w:val="right"/>
              <w:rPr>
                <w:sz w:val="18"/>
              </w:rPr>
            </w:pPr>
            <w:r>
              <w:rPr>
                <w:sz w:val="18"/>
              </w:rPr>
              <w:t>0</w:t>
            </w:r>
          </w:p>
        </w:tc>
        <w:tc>
          <w:tcPr>
            <w:tcW w:w="0" w:type="auto"/>
            <w:tcBorders>
              <w:bottom w:val="single" w:sz="4" w:space="0" w:color="666699"/>
            </w:tcBorders>
            <w:shd w:val="clear" w:color="auto" w:fill="auto"/>
          </w:tcPr>
          <w:p w:rsidR="0051214F" w:rsidRPr="00C93A0F" w:rsidRDefault="007860A4" w:rsidP="009A6AC4">
            <w:pPr>
              <w:spacing w:after="60"/>
              <w:jc w:val="right"/>
              <w:rPr>
                <w:sz w:val="18"/>
              </w:rPr>
            </w:pPr>
            <w:r>
              <w:rPr>
                <w:sz w:val="18"/>
              </w:rPr>
              <w:fldChar w:fldCharType="begin"/>
            </w:r>
            <w:r>
              <w:rPr>
                <w:sz w:val="18"/>
              </w:rPr>
              <w:instrText xml:space="preserve"> =SUM(left) </w:instrText>
            </w:r>
            <w:r>
              <w:rPr>
                <w:sz w:val="18"/>
              </w:rPr>
              <w:fldChar w:fldCharType="separate"/>
            </w:r>
            <w:r>
              <w:rPr>
                <w:noProof/>
                <w:sz w:val="18"/>
              </w:rPr>
              <w:t>29,950</w:t>
            </w:r>
            <w:r>
              <w:rPr>
                <w:sz w:val="18"/>
              </w:rPr>
              <w:fldChar w:fldCharType="end"/>
            </w:r>
          </w:p>
        </w:tc>
      </w:tr>
      <w:tr w:rsidR="00171A70" w:rsidRPr="00C93A0F" w:rsidTr="009A6AC4">
        <w:trPr>
          <w:trHeight w:val="474"/>
          <w:jc w:val="center"/>
        </w:trPr>
        <w:tc>
          <w:tcPr>
            <w:tcW w:w="2068" w:type="dxa"/>
            <w:gridSpan w:val="2"/>
            <w:vMerge w:val="restart"/>
            <w:shd w:val="clear" w:color="auto" w:fill="auto"/>
          </w:tcPr>
          <w:p w:rsidR="007860A4" w:rsidRPr="00C93A0F" w:rsidRDefault="007860A4" w:rsidP="009A6AC4">
            <w:pPr>
              <w:spacing w:after="60"/>
              <w:jc w:val="left"/>
              <w:rPr>
                <w:sz w:val="18"/>
              </w:rPr>
            </w:pPr>
            <w:r>
              <w:rPr>
                <w:sz w:val="18"/>
              </w:rPr>
              <w:t>Total funds requested for approval at this meeting (</w:t>
            </w:r>
            <w:r w:rsidR="001A2151">
              <w:rPr>
                <w:sz w:val="18"/>
              </w:rPr>
              <w:t>US $</w:t>
            </w:r>
            <w:r>
              <w:rPr>
                <w:sz w:val="18"/>
              </w:rPr>
              <w:t>)</w:t>
            </w:r>
          </w:p>
        </w:tc>
        <w:tc>
          <w:tcPr>
            <w:tcW w:w="840" w:type="dxa"/>
            <w:shd w:val="clear" w:color="auto" w:fill="auto"/>
          </w:tcPr>
          <w:p w:rsidR="007860A4" w:rsidRPr="00C93A0F" w:rsidRDefault="007860A4" w:rsidP="009A6AC4">
            <w:pPr>
              <w:spacing w:after="60"/>
              <w:jc w:val="left"/>
              <w:rPr>
                <w:sz w:val="18"/>
              </w:rPr>
            </w:pPr>
            <w:r>
              <w:rPr>
                <w:sz w:val="18"/>
              </w:rPr>
              <w:t>Project costs</w:t>
            </w: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r>
              <w:rPr>
                <w:sz w:val="18"/>
              </w:rPr>
              <w:t>212,000*</w:t>
            </w: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p>
        </w:tc>
        <w:tc>
          <w:tcPr>
            <w:tcW w:w="0" w:type="auto"/>
            <w:shd w:val="clear" w:color="auto" w:fill="auto"/>
          </w:tcPr>
          <w:p w:rsidR="007860A4" w:rsidRPr="00C93A0F" w:rsidRDefault="007860A4" w:rsidP="009A6AC4">
            <w:pPr>
              <w:spacing w:after="60"/>
              <w:jc w:val="right"/>
              <w:rPr>
                <w:sz w:val="18"/>
              </w:rPr>
            </w:pPr>
            <w:r>
              <w:rPr>
                <w:sz w:val="18"/>
              </w:rPr>
              <w:t>212,000</w:t>
            </w:r>
          </w:p>
        </w:tc>
      </w:tr>
      <w:tr w:rsidR="00171A70" w:rsidRPr="00C93A0F" w:rsidTr="009A6AC4">
        <w:trPr>
          <w:trHeight w:val="145"/>
          <w:jc w:val="center"/>
        </w:trPr>
        <w:tc>
          <w:tcPr>
            <w:tcW w:w="2068" w:type="dxa"/>
            <w:gridSpan w:val="2"/>
            <w:vMerge/>
            <w:tcBorders>
              <w:bottom w:val="single" w:sz="4" w:space="0" w:color="666699"/>
            </w:tcBorders>
            <w:shd w:val="clear" w:color="auto" w:fill="auto"/>
          </w:tcPr>
          <w:p w:rsidR="007860A4" w:rsidRPr="00C93A0F" w:rsidRDefault="007860A4" w:rsidP="009A6AC4">
            <w:pPr>
              <w:spacing w:after="60"/>
              <w:jc w:val="center"/>
              <w:rPr>
                <w:sz w:val="18"/>
              </w:rPr>
            </w:pPr>
          </w:p>
        </w:tc>
        <w:tc>
          <w:tcPr>
            <w:tcW w:w="840" w:type="dxa"/>
            <w:tcBorders>
              <w:bottom w:val="single" w:sz="4" w:space="0" w:color="666699"/>
            </w:tcBorders>
            <w:shd w:val="clear" w:color="auto" w:fill="auto"/>
          </w:tcPr>
          <w:p w:rsidR="007860A4" w:rsidRPr="00C93A0F" w:rsidRDefault="007860A4" w:rsidP="009A6AC4">
            <w:pPr>
              <w:spacing w:after="60"/>
              <w:jc w:val="left"/>
              <w:rPr>
                <w:sz w:val="18"/>
              </w:rPr>
            </w:pPr>
            <w:r>
              <w:rPr>
                <w:sz w:val="18"/>
              </w:rPr>
              <w:t>Support costs</w:t>
            </w: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r>
              <w:rPr>
                <w:sz w:val="18"/>
              </w:rPr>
              <w:t>19,310*</w:t>
            </w: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p>
        </w:tc>
        <w:tc>
          <w:tcPr>
            <w:tcW w:w="0" w:type="auto"/>
            <w:tcBorders>
              <w:bottom w:val="single" w:sz="4" w:space="0" w:color="666699"/>
            </w:tcBorders>
            <w:shd w:val="clear" w:color="auto" w:fill="auto"/>
          </w:tcPr>
          <w:p w:rsidR="007860A4" w:rsidRPr="00C93A0F" w:rsidRDefault="007860A4" w:rsidP="009A6AC4">
            <w:pPr>
              <w:spacing w:after="60"/>
              <w:jc w:val="right"/>
              <w:rPr>
                <w:sz w:val="18"/>
              </w:rPr>
            </w:pPr>
            <w:r>
              <w:rPr>
                <w:sz w:val="18"/>
              </w:rPr>
              <w:t>19,310</w:t>
            </w:r>
          </w:p>
        </w:tc>
      </w:tr>
      <w:tr w:rsidR="007860A4" w:rsidRPr="00171A70" w:rsidTr="009A6AC4">
        <w:trPr>
          <w:jc w:val="center"/>
        </w:trPr>
        <w:tc>
          <w:tcPr>
            <w:tcW w:w="11218" w:type="dxa"/>
            <w:gridSpan w:val="15"/>
            <w:tcBorders>
              <w:top w:val="single" w:sz="4" w:space="0" w:color="666699"/>
              <w:left w:val="nil"/>
              <w:bottom w:val="nil"/>
              <w:right w:val="nil"/>
            </w:tcBorders>
            <w:shd w:val="clear" w:color="auto" w:fill="auto"/>
          </w:tcPr>
          <w:p w:rsidR="007860A4" w:rsidRPr="007860A4" w:rsidRDefault="007860A4" w:rsidP="009A6AC4">
            <w:pPr>
              <w:jc w:val="left"/>
              <w:rPr>
                <w:sz w:val="16"/>
                <w:szCs w:val="16"/>
              </w:rPr>
            </w:pPr>
            <w:r w:rsidRPr="007860A4">
              <w:rPr>
                <w:sz w:val="16"/>
                <w:szCs w:val="16"/>
              </w:rPr>
              <w:t>*The third tranche should have been submitted in 2016.</w:t>
            </w:r>
          </w:p>
        </w:tc>
      </w:tr>
    </w:tbl>
    <w:p w:rsidR="00171A70" w:rsidRPr="000A0EBF" w:rsidRDefault="00171A70" w:rsidP="009A6AC4">
      <w:pPr>
        <w:jc w:val="center"/>
        <w:rPr>
          <w:sz w:val="16"/>
          <w:szCs w:val="16"/>
          <w:lang w:val="en-CA"/>
        </w:rPr>
      </w:pPr>
    </w:p>
    <w:tbl>
      <w:tblPr>
        <w:tblStyle w:val="TableGrid"/>
        <w:tblW w:w="11160" w:type="dxa"/>
        <w:tblInd w:w="-79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894"/>
        <w:gridCol w:w="5266"/>
      </w:tblGrid>
      <w:tr w:rsidR="00171A70" w:rsidRPr="00C93A0F" w:rsidTr="000A0EBF">
        <w:trPr>
          <w:trHeight w:val="134"/>
        </w:trPr>
        <w:tc>
          <w:tcPr>
            <w:tcW w:w="5894" w:type="dxa"/>
            <w:shd w:val="clear" w:color="auto" w:fill="auto"/>
          </w:tcPr>
          <w:p w:rsidR="00171A70" w:rsidRPr="00C93A0F" w:rsidRDefault="00171A70" w:rsidP="009A6AC4">
            <w:pPr>
              <w:jc w:val="left"/>
              <w:rPr>
                <w:b/>
                <w:sz w:val="18"/>
              </w:rPr>
            </w:pPr>
            <w:r w:rsidRPr="00C93A0F">
              <w:rPr>
                <w:b/>
                <w:sz w:val="18"/>
              </w:rPr>
              <w:t>Secretariat's recommendation:</w:t>
            </w:r>
          </w:p>
        </w:tc>
        <w:tc>
          <w:tcPr>
            <w:tcW w:w="5266" w:type="dxa"/>
            <w:shd w:val="clear" w:color="auto" w:fill="auto"/>
          </w:tcPr>
          <w:p w:rsidR="00171A70" w:rsidRPr="00C93A0F" w:rsidRDefault="00171A70" w:rsidP="009A6AC4">
            <w:pPr>
              <w:jc w:val="center"/>
              <w:rPr>
                <w:b/>
                <w:sz w:val="18"/>
              </w:rPr>
            </w:pPr>
            <w:r w:rsidRPr="009703F3">
              <w:rPr>
                <w:sz w:val="18"/>
              </w:rPr>
              <w:t>For blanket approval</w:t>
            </w:r>
          </w:p>
        </w:tc>
      </w:tr>
    </w:tbl>
    <w:p w:rsidR="00171A70" w:rsidRPr="00171A70" w:rsidRDefault="00171A70" w:rsidP="009A6AC4">
      <w:pPr>
        <w:jc w:val="center"/>
        <w:rPr>
          <w:lang w:val="en-CA"/>
        </w:rPr>
      </w:pPr>
    </w:p>
    <w:p w:rsidR="00C57806" w:rsidRPr="00572436" w:rsidRDefault="00C57806" w:rsidP="009A6AC4">
      <w:pPr>
        <w:jc w:val="center"/>
        <w:rPr>
          <w:b/>
          <w:lang w:val="en-CA"/>
        </w:rPr>
      </w:pPr>
      <w:r w:rsidRPr="00572436">
        <w:rPr>
          <w:b/>
          <w:lang w:val="en-CA"/>
        </w:rPr>
        <w:lastRenderedPageBreak/>
        <w:t>PROJECT DESCRIPTION</w:t>
      </w:r>
    </w:p>
    <w:p w:rsidR="00C57806" w:rsidRPr="00572436" w:rsidRDefault="00C57806" w:rsidP="009A6AC4">
      <w:pPr>
        <w:rPr>
          <w:lang w:val="en-CA"/>
        </w:rPr>
      </w:pPr>
    </w:p>
    <w:p w:rsidR="00C57806" w:rsidRPr="00244AC2" w:rsidRDefault="00C57806" w:rsidP="009A6AC4">
      <w:pPr>
        <w:pStyle w:val="Heading1"/>
        <w:rPr>
          <w:lang w:val="en-CA"/>
        </w:rPr>
      </w:pPr>
      <w:r w:rsidRPr="00244AC2">
        <w:rPr>
          <w:lang w:val="en-CA"/>
        </w:rPr>
        <w:t xml:space="preserve">On behalf of the Government of </w:t>
      </w:r>
      <w:r w:rsidR="00016BC9" w:rsidRPr="00244AC2">
        <w:rPr>
          <w:lang w:val="en-CA"/>
        </w:rPr>
        <w:t>Togo</w:t>
      </w:r>
      <w:r w:rsidRPr="00244AC2">
        <w:rPr>
          <w:lang w:val="en-CA"/>
        </w:rPr>
        <w:t xml:space="preserve">, </w:t>
      </w:r>
      <w:r w:rsidR="0078269B">
        <w:rPr>
          <w:lang w:val="en-CA"/>
        </w:rPr>
        <w:t xml:space="preserve">United Nations </w:t>
      </w:r>
      <w:r w:rsidR="0078269B" w:rsidRPr="00244AC2">
        <w:rPr>
          <w:lang w:val="en-CA"/>
        </w:rPr>
        <w:t>E</w:t>
      </w:r>
      <w:r w:rsidR="0078269B">
        <w:rPr>
          <w:lang w:val="en-CA"/>
        </w:rPr>
        <w:t xml:space="preserve">nvironment </w:t>
      </w:r>
      <w:r w:rsidR="0078269B" w:rsidRPr="00244AC2">
        <w:rPr>
          <w:lang w:val="en-CA"/>
        </w:rPr>
        <w:t>P</w:t>
      </w:r>
      <w:r w:rsidR="0078269B">
        <w:rPr>
          <w:lang w:val="en-CA"/>
        </w:rPr>
        <w:t>rogramme (UN Environment)</w:t>
      </w:r>
      <w:r w:rsidRPr="00244AC2">
        <w:rPr>
          <w:lang w:val="en-CA"/>
        </w:rPr>
        <w:t xml:space="preserve"> as the lead implementing agency, has submitted to the 79</w:t>
      </w:r>
      <w:r w:rsidRPr="00244AC2">
        <w:rPr>
          <w:vertAlign w:val="superscript"/>
          <w:lang w:val="en-CA"/>
        </w:rPr>
        <w:t>th</w:t>
      </w:r>
      <w:r w:rsidRPr="00244AC2">
        <w:rPr>
          <w:lang w:val="en-CA"/>
        </w:rPr>
        <w:t xml:space="preserve"> meeting a request for funding for the </w:t>
      </w:r>
      <w:r w:rsidR="00016BC9" w:rsidRPr="00244AC2">
        <w:rPr>
          <w:lang w:val="en-CA"/>
        </w:rPr>
        <w:t>third</w:t>
      </w:r>
      <w:r w:rsidRPr="00244AC2">
        <w:rPr>
          <w:lang w:val="en-CA"/>
        </w:rPr>
        <w:t xml:space="preserve"> tranche of stage I of the HCFC phase-out management plan (HPMP), at a total cost of </w:t>
      </w:r>
      <w:r w:rsidR="001A2151">
        <w:rPr>
          <w:lang w:val="en-CA"/>
        </w:rPr>
        <w:t>US $</w:t>
      </w:r>
      <w:r w:rsidR="00016BC9" w:rsidRPr="00244AC2">
        <w:rPr>
          <w:lang w:val="en-CA"/>
        </w:rPr>
        <w:t>231,310</w:t>
      </w:r>
      <w:r w:rsidRPr="00244AC2">
        <w:rPr>
          <w:lang w:val="en-CA"/>
        </w:rPr>
        <w:t xml:space="preserve">, consisting of </w:t>
      </w:r>
      <w:r w:rsidR="001A2151">
        <w:rPr>
          <w:lang w:val="en-CA"/>
        </w:rPr>
        <w:t>US $</w:t>
      </w:r>
      <w:r w:rsidR="00016BC9" w:rsidRPr="00244AC2">
        <w:rPr>
          <w:lang w:val="en-CA"/>
        </w:rPr>
        <w:t>62,000</w:t>
      </w:r>
      <w:r w:rsidRPr="00244AC2">
        <w:rPr>
          <w:lang w:val="en-CA"/>
        </w:rPr>
        <w:t xml:space="preserve">, plus agency support costs of </w:t>
      </w:r>
      <w:r w:rsidR="001A2151">
        <w:rPr>
          <w:lang w:val="en-CA"/>
        </w:rPr>
        <w:t>US $</w:t>
      </w:r>
      <w:r w:rsidR="00016BC9" w:rsidRPr="00244AC2">
        <w:rPr>
          <w:lang w:val="en-CA"/>
        </w:rPr>
        <w:t>8,0</w:t>
      </w:r>
      <w:r w:rsidR="008D4557">
        <w:rPr>
          <w:lang w:val="en-CA"/>
        </w:rPr>
        <w:t>6</w:t>
      </w:r>
      <w:r w:rsidR="00016BC9" w:rsidRPr="00244AC2">
        <w:rPr>
          <w:lang w:val="en-CA"/>
        </w:rPr>
        <w:t>0</w:t>
      </w:r>
      <w:r w:rsidRPr="00244AC2">
        <w:rPr>
          <w:lang w:val="en-CA"/>
        </w:rPr>
        <w:t xml:space="preserve"> for</w:t>
      </w:r>
      <w:r w:rsidR="00016BC9" w:rsidRPr="00244AC2">
        <w:rPr>
          <w:lang w:val="en-CA"/>
        </w:rPr>
        <w:t xml:space="preserve"> UN</w:t>
      </w:r>
      <w:r w:rsidR="0078269B">
        <w:rPr>
          <w:lang w:val="en-CA"/>
        </w:rPr>
        <w:t xml:space="preserve"> </w:t>
      </w:r>
      <w:r w:rsidR="00016BC9" w:rsidRPr="00244AC2">
        <w:rPr>
          <w:lang w:val="en-CA"/>
        </w:rPr>
        <w:t>E</w:t>
      </w:r>
      <w:r w:rsidR="0078269B">
        <w:rPr>
          <w:lang w:val="en-CA"/>
        </w:rPr>
        <w:t>nvironment</w:t>
      </w:r>
      <w:r w:rsidRPr="00244AC2">
        <w:rPr>
          <w:lang w:val="en-CA"/>
        </w:rPr>
        <w:t xml:space="preserve">, and </w:t>
      </w:r>
      <w:r w:rsidR="001A2151">
        <w:rPr>
          <w:lang w:val="en-CA"/>
        </w:rPr>
        <w:t>US $</w:t>
      </w:r>
      <w:r w:rsidR="00016BC9" w:rsidRPr="00244AC2">
        <w:rPr>
          <w:lang w:val="en-CA"/>
        </w:rPr>
        <w:t>150,000</w:t>
      </w:r>
      <w:r w:rsidRPr="00244AC2">
        <w:rPr>
          <w:lang w:val="en-CA"/>
        </w:rPr>
        <w:t>, plus agency support costs of US </w:t>
      </w:r>
      <w:r w:rsidR="00016BC9" w:rsidRPr="00244AC2">
        <w:rPr>
          <w:lang w:val="en-CA"/>
        </w:rPr>
        <w:t>11,250</w:t>
      </w:r>
      <w:r w:rsidRPr="00244AC2">
        <w:rPr>
          <w:lang w:val="en-CA"/>
        </w:rPr>
        <w:t xml:space="preserve"> for</w:t>
      </w:r>
      <w:r w:rsidR="00016BC9" w:rsidRPr="00244AC2">
        <w:rPr>
          <w:lang w:val="en-CA"/>
        </w:rPr>
        <w:t xml:space="preserve"> UNIDO</w:t>
      </w:r>
      <w:r w:rsidRPr="00244AC2">
        <w:rPr>
          <w:lang w:val="en-CA"/>
        </w:rPr>
        <w:t>.</w:t>
      </w:r>
      <w:r w:rsidR="006E7D06" w:rsidRPr="00244AC2">
        <w:rPr>
          <w:rStyle w:val="FootnoteReference"/>
          <w:lang w:val="en-CA"/>
        </w:rPr>
        <w:footnoteReference w:id="1"/>
      </w:r>
      <w:r w:rsidR="009A6AC4">
        <w:rPr>
          <w:lang w:val="en-CA"/>
        </w:rPr>
        <w:t xml:space="preserve"> </w:t>
      </w:r>
      <w:r w:rsidRPr="00244AC2">
        <w:rPr>
          <w:lang w:val="en-CA"/>
        </w:rPr>
        <w:t>The submission includes a progress report on the implementation of the</w:t>
      </w:r>
      <w:r w:rsidR="00016BC9" w:rsidRPr="00244AC2">
        <w:rPr>
          <w:lang w:val="en-CA"/>
        </w:rPr>
        <w:t xml:space="preserve"> second</w:t>
      </w:r>
      <w:r w:rsidRPr="00244AC2">
        <w:rPr>
          <w:lang w:val="en-CA"/>
        </w:rPr>
        <w:t xml:space="preserve"> tranche and the tranche implementation plan for 2017 to </w:t>
      </w:r>
      <w:r w:rsidR="00016BC9" w:rsidRPr="00244AC2">
        <w:rPr>
          <w:lang w:val="en-CA"/>
        </w:rPr>
        <w:t>201</w:t>
      </w:r>
      <w:r w:rsidR="00024B26" w:rsidRPr="00244AC2">
        <w:rPr>
          <w:lang w:val="en-CA"/>
        </w:rPr>
        <w:t>9</w:t>
      </w:r>
      <w:r w:rsidR="00016BC9" w:rsidRPr="00244AC2">
        <w:rPr>
          <w:lang w:val="en-CA"/>
        </w:rPr>
        <w:t>.</w:t>
      </w:r>
    </w:p>
    <w:p w:rsidR="00C57806" w:rsidRPr="00572436" w:rsidRDefault="00C57806" w:rsidP="009A6AC4">
      <w:pPr>
        <w:rPr>
          <w:u w:val="single"/>
          <w:lang w:val="en-CA"/>
        </w:rPr>
      </w:pPr>
      <w:r w:rsidRPr="00572436">
        <w:rPr>
          <w:u w:val="single"/>
          <w:lang w:val="en-CA"/>
        </w:rPr>
        <w:t>Report on HCFC consumption</w:t>
      </w:r>
    </w:p>
    <w:p w:rsidR="00C57806" w:rsidRDefault="00C57806" w:rsidP="009A6AC4">
      <w:pPr>
        <w:rPr>
          <w:lang w:val="en-CA"/>
        </w:rPr>
      </w:pPr>
    </w:p>
    <w:p w:rsidR="00C57806" w:rsidRPr="00572436" w:rsidRDefault="00C57806" w:rsidP="009A6AC4">
      <w:pPr>
        <w:rPr>
          <w:i/>
          <w:lang w:val="en-CA"/>
        </w:rPr>
      </w:pPr>
      <w:r w:rsidRPr="00572436">
        <w:rPr>
          <w:i/>
          <w:lang w:val="en-CA"/>
        </w:rPr>
        <w:t>HCFC consumption</w:t>
      </w:r>
    </w:p>
    <w:p w:rsidR="00C57806" w:rsidRPr="00572436" w:rsidRDefault="00C57806" w:rsidP="009A6AC4">
      <w:pPr>
        <w:rPr>
          <w:lang w:val="en-CA"/>
        </w:rPr>
      </w:pPr>
    </w:p>
    <w:p w:rsidR="00C57806" w:rsidRPr="00B722A3" w:rsidRDefault="00C57806" w:rsidP="009A6AC4">
      <w:pPr>
        <w:pStyle w:val="Heading1"/>
        <w:rPr>
          <w:lang w:val="en-CA"/>
        </w:rPr>
      </w:pPr>
      <w:r w:rsidRPr="00B722A3">
        <w:rPr>
          <w:lang w:val="en-CA"/>
        </w:rPr>
        <w:t xml:space="preserve">The Government of </w:t>
      </w:r>
      <w:r w:rsidR="00FD3DC2" w:rsidRPr="00B722A3">
        <w:rPr>
          <w:lang w:val="en-CA"/>
        </w:rPr>
        <w:t>Togo</w:t>
      </w:r>
      <w:r w:rsidRPr="00B722A3">
        <w:rPr>
          <w:lang w:val="en-CA"/>
        </w:rPr>
        <w:t xml:space="preserve"> reported a consumption of </w:t>
      </w:r>
      <w:r w:rsidR="004856C3" w:rsidRPr="00B722A3">
        <w:rPr>
          <w:lang w:val="en-CA"/>
        </w:rPr>
        <w:t>15.4</w:t>
      </w:r>
      <w:r w:rsidRPr="00B722A3">
        <w:rPr>
          <w:lang w:val="en-CA"/>
        </w:rPr>
        <w:t> ODP tonnes of HCFC</w:t>
      </w:r>
      <w:r w:rsidR="009A6AC4">
        <w:rPr>
          <w:lang w:val="en-CA"/>
        </w:rPr>
        <w:t>-22</w:t>
      </w:r>
      <w:r w:rsidRPr="00B722A3">
        <w:rPr>
          <w:lang w:val="en-CA"/>
        </w:rPr>
        <w:t xml:space="preserve"> in 201</w:t>
      </w:r>
      <w:r w:rsidR="00E41EF2" w:rsidRPr="00B722A3">
        <w:rPr>
          <w:lang w:val="en-CA"/>
        </w:rPr>
        <w:t>6</w:t>
      </w:r>
      <w:r w:rsidR="009A6AC4">
        <w:rPr>
          <w:lang w:val="en-CA"/>
        </w:rPr>
        <w:t>, which was 23</w:t>
      </w:r>
      <w:r w:rsidR="00615209">
        <w:rPr>
          <w:lang w:val="en-CA"/>
        </w:rPr>
        <w:t> </w:t>
      </w:r>
      <w:r w:rsidR="009A6AC4">
        <w:rPr>
          <w:lang w:val="en-CA"/>
        </w:rPr>
        <w:t>per cent below the HCFC baseline</w:t>
      </w:r>
      <w:r w:rsidR="00EA2FEC">
        <w:rPr>
          <w:lang w:val="en-CA"/>
        </w:rPr>
        <w:t xml:space="preserve"> for compliance and 14</w:t>
      </w:r>
      <w:r w:rsidR="00615209">
        <w:rPr>
          <w:lang w:val="en-CA"/>
        </w:rPr>
        <w:t> </w:t>
      </w:r>
      <w:r w:rsidR="00EA2FEC">
        <w:rPr>
          <w:lang w:val="en-CA"/>
        </w:rPr>
        <w:t>per cent below the maximum allowable consumption in the Agreement with the Executive Committee for 2016</w:t>
      </w:r>
      <w:r w:rsidRPr="00B722A3">
        <w:rPr>
          <w:lang w:val="en-CA"/>
        </w:rPr>
        <w:t>. The 2012-2016 HCFC consumption is shown in Table 1.</w:t>
      </w:r>
      <w:r w:rsidR="009A6AC4">
        <w:rPr>
          <w:lang w:val="en-CA"/>
        </w:rPr>
        <w:t xml:space="preserve"> </w:t>
      </w:r>
    </w:p>
    <w:p w:rsidR="00C57806" w:rsidRPr="00981C3A" w:rsidRDefault="00C57806" w:rsidP="009A6AC4">
      <w:pPr>
        <w:rPr>
          <w:b/>
          <w:lang w:val="en-CA"/>
        </w:rPr>
      </w:pPr>
      <w:r w:rsidRPr="00981C3A">
        <w:rPr>
          <w:b/>
          <w:lang w:val="en-CA"/>
        </w:rPr>
        <w:t xml:space="preserve">Table 1. HCFC consumption in </w:t>
      </w:r>
      <w:r w:rsidR="00FD3DC2" w:rsidRPr="00981C3A">
        <w:rPr>
          <w:b/>
          <w:lang w:val="en-CA"/>
        </w:rPr>
        <w:t>Togo</w:t>
      </w:r>
      <w:r w:rsidRPr="00981C3A">
        <w:rPr>
          <w:b/>
          <w:lang w:val="en-CA"/>
        </w:rPr>
        <w:t xml:space="preserve"> (2012-2016 Article 7 data)</w:t>
      </w:r>
    </w:p>
    <w:tbl>
      <w:tblPr>
        <w:tblW w:w="4943" w:type="pct"/>
        <w:tblLayout w:type="fixed"/>
        <w:tblLook w:val="04A0" w:firstRow="1" w:lastRow="0" w:firstColumn="1" w:lastColumn="0" w:noHBand="0" w:noVBand="1"/>
      </w:tblPr>
      <w:tblGrid>
        <w:gridCol w:w="2925"/>
        <w:gridCol w:w="1080"/>
        <w:gridCol w:w="1080"/>
        <w:gridCol w:w="1080"/>
        <w:gridCol w:w="1080"/>
        <w:gridCol w:w="1079"/>
        <w:gridCol w:w="1079"/>
      </w:tblGrid>
      <w:tr w:rsidR="00C57806" w:rsidRPr="00981C3A" w:rsidTr="009F665B">
        <w:trPr>
          <w:tblHeader/>
        </w:trPr>
        <w:tc>
          <w:tcPr>
            <w:tcW w:w="155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57806" w:rsidRPr="00981C3A" w:rsidRDefault="00C57806" w:rsidP="009A6AC4">
            <w:pPr>
              <w:widowControl w:val="0"/>
              <w:jc w:val="left"/>
              <w:rPr>
                <w:b/>
                <w:bCs/>
                <w:color w:val="000000"/>
                <w:sz w:val="20"/>
                <w:szCs w:val="20"/>
                <w:lang w:val="en-CA"/>
              </w:rPr>
            </w:pPr>
            <w:r w:rsidRPr="00981C3A">
              <w:rPr>
                <w:b/>
                <w:bCs/>
                <w:color w:val="000000"/>
                <w:sz w:val="20"/>
                <w:szCs w:val="20"/>
                <w:lang w:val="en-CA"/>
              </w:rPr>
              <w:t>HCFC</w:t>
            </w:r>
            <w:r w:rsidR="007C43BC">
              <w:rPr>
                <w:b/>
                <w:bCs/>
                <w:color w:val="000000"/>
                <w:sz w:val="20"/>
                <w:szCs w:val="20"/>
                <w:lang w:val="en-CA"/>
              </w:rPr>
              <w:t>-22</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2012</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2013</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2014</w:t>
            </w:r>
          </w:p>
        </w:tc>
        <w:tc>
          <w:tcPr>
            <w:tcW w:w="574" w:type="pct"/>
            <w:tcBorders>
              <w:top w:val="single" w:sz="4" w:space="0" w:color="auto"/>
              <w:left w:val="nil"/>
              <w:bottom w:val="single" w:sz="4" w:space="0" w:color="auto"/>
              <w:right w:val="single" w:sz="4" w:space="0" w:color="auto"/>
            </w:tcBorders>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2015</w:t>
            </w:r>
          </w:p>
        </w:tc>
        <w:tc>
          <w:tcPr>
            <w:tcW w:w="574" w:type="pct"/>
            <w:tcBorders>
              <w:top w:val="single" w:sz="4" w:space="0" w:color="auto"/>
              <w:left w:val="single" w:sz="4" w:space="0" w:color="auto"/>
              <w:bottom w:val="single" w:sz="4" w:space="0" w:color="auto"/>
              <w:right w:val="single" w:sz="4" w:space="0" w:color="auto"/>
            </w:tcBorders>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2016</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806" w:rsidRPr="00981C3A" w:rsidRDefault="00C57806" w:rsidP="009A6AC4">
            <w:pPr>
              <w:widowControl w:val="0"/>
              <w:jc w:val="center"/>
              <w:rPr>
                <w:b/>
                <w:bCs/>
                <w:color w:val="000000"/>
                <w:sz w:val="20"/>
                <w:szCs w:val="20"/>
                <w:lang w:val="en-CA"/>
              </w:rPr>
            </w:pPr>
            <w:r w:rsidRPr="00981C3A">
              <w:rPr>
                <w:b/>
                <w:bCs/>
                <w:color w:val="000000"/>
                <w:sz w:val="20"/>
                <w:szCs w:val="20"/>
                <w:lang w:val="en-CA"/>
              </w:rPr>
              <w:t>Baseline</w:t>
            </w:r>
          </w:p>
        </w:tc>
      </w:tr>
      <w:tr w:rsidR="007C43BC" w:rsidRPr="00981C3A" w:rsidTr="009F665B">
        <w:tc>
          <w:tcPr>
            <w:tcW w:w="1555"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C43BC" w:rsidRPr="00981C3A" w:rsidRDefault="007C43BC" w:rsidP="009A6AC4">
            <w:pPr>
              <w:widowControl w:val="0"/>
              <w:jc w:val="left"/>
              <w:rPr>
                <w:b/>
                <w:bCs/>
                <w:color w:val="000000"/>
                <w:sz w:val="20"/>
                <w:szCs w:val="20"/>
                <w:lang w:val="en-CA"/>
              </w:rPr>
            </w:pPr>
            <w:r w:rsidRPr="00981C3A">
              <w:rPr>
                <w:b/>
                <w:bCs/>
                <w:color w:val="000000"/>
                <w:sz w:val="20"/>
                <w:szCs w:val="20"/>
                <w:lang w:val="en-CA"/>
              </w:rPr>
              <w:t>Metric tonnes</w:t>
            </w:r>
          </w:p>
        </w:tc>
        <w:tc>
          <w:tcPr>
            <w:tcW w:w="574" w:type="pct"/>
            <w:tcBorders>
              <w:top w:val="nil"/>
              <w:left w:val="nil"/>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b/>
                <w:bCs/>
                <w:color w:val="000000"/>
                <w:sz w:val="20"/>
                <w:szCs w:val="20"/>
                <w:lang w:val="en-CA"/>
              </w:rPr>
            </w:pPr>
            <w:r w:rsidRPr="00981C3A">
              <w:rPr>
                <w:sz w:val="20"/>
                <w:szCs w:val="20"/>
                <w:lang w:val="en-CA"/>
              </w:rPr>
              <w:t>360.0</w:t>
            </w:r>
            <w:r w:rsidR="0032185A">
              <w:rPr>
                <w:sz w:val="20"/>
                <w:szCs w:val="20"/>
                <w:lang w:val="en-CA"/>
              </w:rPr>
              <w:t>0</w:t>
            </w:r>
          </w:p>
        </w:tc>
        <w:tc>
          <w:tcPr>
            <w:tcW w:w="574" w:type="pct"/>
            <w:tcBorders>
              <w:top w:val="nil"/>
              <w:left w:val="nil"/>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b/>
                <w:bCs/>
                <w:color w:val="000000"/>
                <w:sz w:val="20"/>
                <w:szCs w:val="20"/>
                <w:lang w:val="en-CA"/>
              </w:rPr>
            </w:pPr>
            <w:r w:rsidRPr="00981C3A">
              <w:rPr>
                <w:sz w:val="20"/>
                <w:szCs w:val="20"/>
                <w:lang w:val="en-CA"/>
              </w:rPr>
              <w:t>345.0</w:t>
            </w:r>
            <w:r w:rsidR="0032185A">
              <w:rPr>
                <w:sz w:val="20"/>
                <w:szCs w:val="20"/>
                <w:lang w:val="en-CA"/>
              </w:rPr>
              <w:t>0</w:t>
            </w:r>
          </w:p>
        </w:tc>
        <w:tc>
          <w:tcPr>
            <w:tcW w:w="574" w:type="pct"/>
            <w:tcBorders>
              <w:top w:val="nil"/>
              <w:left w:val="nil"/>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b/>
                <w:bCs/>
                <w:color w:val="000000"/>
                <w:sz w:val="20"/>
                <w:szCs w:val="20"/>
                <w:lang w:val="en-CA"/>
              </w:rPr>
            </w:pPr>
            <w:r w:rsidRPr="00981C3A">
              <w:rPr>
                <w:color w:val="000000"/>
                <w:sz w:val="20"/>
                <w:szCs w:val="20"/>
                <w:lang w:val="en-CA"/>
              </w:rPr>
              <w:t>325.</w:t>
            </w:r>
            <w:r w:rsidR="0032185A">
              <w:rPr>
                <w:color w:val="000000"/>
                <w:sz w:val="20"/>
                <w:szCs w:val="20"/>
                <w:lang w:val="en-CA"/>
              </w:rPr>
              <w:t>0</w:t>
            </w:r>
            <w:r w:rsidRPr="00981C3A">
              <w:rPr>
                <w:color w:val="000000"/>
                <w:sz w:val="20"/>
                <w:szCs w:val="20"/>
                <w:lang w:val="en-CA"/>
              </w:rPr>
              <w:t>0</w:t>
            </w:r>
          </w:p>
        </w:tc>
        <w:tc>
          <w:tcPr>
            <w:tcW w:w="574" w:type="pct"/>
            <w:tcBorders>
              <w:top w:val="single" w:sz="4" w:space="0" w:color="auto"/>
              <w:left w:val="nil"/>
              <w:bottom w:val="single" w:sz="4" w:space="0" w:color="auto"/>
              <w:right w:val="single" w:sz="4" w:space="0" w:color="auto"/>
            </w:tcBorders>
          </w:tcPr>
          <w:p w:rsidR="007C43BC" w:rsidRPr="00981C3A" w:rsidRDefault="007C43BC" w:rsidP="009A6AC4">
            <w:pPr>
              <w:widowControl w:val="0"/>
              <w:jc w:val="right"/>
              <w:rPr>
                <w:b/>
                <w:bCs/>
                <w:color w:val="000000"/>
                <w:sz w:val="20"/>
                <w:szCs w:val="20"/>
                <w:lang w:val="en-CA"/>
              </w:rPr>
            </w:pPr>
            <w:r w:rsidRPr="00981C3A">
              <w:rPr>
                <w:color w:val="000000"/>
                <w:sz w:val="20"/>
                <w:szCs w:val="20"/>
                <w:lang w:val="en-CA"/>
              </w:rPr>
              <w:t>302</w:t>
            </w:r>
            <w:r w:rsidR="0032185A">
              <w:rPr>
                <w:color w:val="000000"/>
                <w:sz w:val="20"/>
                <w:szCs w:val="20"/>
                <w:lang w:val="en-CA"/>
              </w:rPr>
              <w:t>.00</w:t>
            </w:r>
          </w:p>
        </w:tc>
        <w:tc>
          <w:tcPr>
            <w:tcW w:w="574" w:type="pct"/>
            <w:tcBorders>
              <w:top w:val="nil"/>
              <w:left w:val="single" w:sz="4" w:space="0" w:color="auto"/>
              <w:bottom w:val="single" w:sz="4" w:space="0" w:color="auto"/>
              <w:right w:val="single" w:sz="4" w:space="0" w:color="auto"/>
            </w:tcBorders>
          </w:tcPr>
          <w:p w:rsidR="007C43BC" w:rsidRPr="00981C3A" w:rsidRDefault="007C43BC" w:rsidP="009A6AC4">
            <w:pPr>
              <w:widowControl w:val="0"/>
              <w:jc w:val="right"/>
              <w:rPr>
                <w:b/>
                <w:bCs/>
                <w:color w:val="000000"/>
                <w:sz w:val="20"/>
                <w:szCs w:val="20"/>
                <w:lang w:val="en-CA"/>
              </w:rPr>
            </w:pPr>
            <w:r w:rsidRPr="00981C3A">
              <w:rPr>
                <w:color w:val="000000"/>
                <w:sz w:val="20"/>
                <w:szCs w:val="20"/>
                <w:lang w:val="en-CA"/>
              </w:rPr>
              <w:t>280.</w:t>
            </w:r>
            <w:r w:rsidR="0032185A">
              <w:rPr>
                <w:color w:val="000000"/>
                <w:sz w:val="20"/>
                <w:szCs w:val="20"/>
                <w:lang w:val="en-CA"/>
              </w:rPr>
              <w:t>0</w:t>
            </w:r>
            <w:r w:rsidRPr="00981C3A">
              <w:rPr>
                <w:color w:val="000000"/>
                <w:sz w:val="20"/>
                <w:szCs w:val="20"/>
                <w:lang w:val="en-CA"/>
              </w:rPr>
              <w:t>0</w:t>
            </w:r>
          </w:p>
        </w:tc>
        <w:tc>
          <w:tcPr>
            <w:tcW w:w="574" w:type="pct"/>
            <w:tcBorders>
              <w:top w:val="nil"/>
              <w:left w:val="single" w:sz="4" w:space="0" w:color="auto"/>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b/>
                <w:bCs/>
                <w:color w:val="000000"/>
                <w:sz w:val="20"/>
                <w:szCs w:val="20"/>
                <w:lang w:val="en-CA"/>
              </w:rPr>
            </w:pPr>
            <w:r w:rsidRPr="00681E46">
              <w:rPr>
                <w:sz w:val="20"/>
                <w:szCs w:val="20"/>
                <w:lang w:val="en-CA"/>
              </w:rPr>
              <w:t>362.6</w:t>
            </w:r>
            <w:r w:rsidR="0032185A">
              <w:rPr>
                <w:sz w:val="20"/>
                <w:szCs w:val="20"/>
                <w:lang w:val="en-CA"/>
              </w:rPr>
              <w:t>0</w:t>
            </w:r>
          </w:p>
        </w:tc>
      </w:tr>
      <w:tr w:rsidR="007C43BC" w:rsidRPr="00981C3A" w:rsidTr="009F665B">
        <w:tc>
          <w:tcPr>
            <w:tcW w:w="155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C43BC" w:rsidRPr="00981C3A" w:rsidRDefault="007C43BC" w:rsidP="009A6AC4">
            <w:pPr>
              <w:widowControl w:val="0"/>
              <w:jc w:val="left"/>
              <w:rPr>
                <w:b/>
                <w:bCs/>
                <w:color w:val="000000"/>
                <w:sz w:val="20"/>
                <w:szCs w:val="20"/>
                <w:lang w:val="en-CA"/>
              </w:rPr>
            </w:pPr>
            <w:r w:rsidRPr="00981C3A">
              <w:rPr>
                <w:b/>
                <w:bCs/>
                <w:color w:val="000000"/>
                <w:sz w:val="20"/>
                <w:szCs w:val="20"/>
                <w:lang w:val="en-CA"/>
              </w:rPr>
              <w:t>ODP tonnes</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color w:val="000000"/>
                <w:sz w:val="20"/>
                <w:szCs w:val="20"/>
                <w:lang w:val="en-CA"/>
              </w:rPr>
            </w:pPr>
            <w:r w:rsidRPr="00981C3A">
              <w:rPr>
                <w:color w:val="000000"/>
                <w:sz w:val="20"/>
                <w:szCs w:val="20"/>
                <w:lang w:val="en-CA" w:eastAsia="en-CA"/>
              </w:rPr>
              <w:t>19.8</w:t>
            </w:r>
            <w:r w:rsidR="0032185A">
              <w:rPr>
                <w:color w:val="000000"/>
                <w:sz w:val="20"/>
                <w:szCs w:val="20"/>
                <w:lang w:val="en-CA" w:eastAsia="en-CA"/>
              </w:rPr>
              <w:t>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color w:val="000000"/>
                <w:sz w:val="20"/>
                <w:szCs w:val="20"/>
                <w:lang w:val="en-CA"/>
              </w:rPr>
            </w:pPr>
            <w:r w:rsidRPr="00981C3A">
              <w:rPr>
                <w:color w:val="000000"/>
                <w:sz w:val="20"/>
                <w:szCs w:val="20"/>
                <w:lang w:val="en-CA"/>
              </w:rPr>
              <w:t>18.98</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43BC" w:rsidRPr="00981C3A" w:rsidRDefault="007C43BC" w:rsidP="009A6AC4">
            <w:pPr>
              <w:widowControl w:val="0"/>
              <w:jc w:val="right"/>
              <w:rPr>
                <w:color w:val="000000"/>
                <w:sz w:val="20"/>
                <w:szCs w:val="20"/>
                <w:lang w:val="en-CA"/>
              </w:rPr>
            </w:pPr>
            <w:r w:rsidRPr="00981C3A">
              <w:rPr>
                <w:color w:val="000000"/>
                <w:sz w:val="20"/>
                <w:szCs w:val="20"/>
                <w:lang w:val="en-CA"/>
              </w:rPr>
              <w:t>17.88</w:t>
            </w:r>
          </w:p>
        </w:tc>
        <w:tc>
          <w:tcPr>
            <w:tcW w:w="574" w:type="pct"/>
            <w:tcBorders>
              <w:top w:val="single" w:sz="4" w:space="0" w:color="auto"/>
              <w:left w:val="single" w:sz="4" w:space="0" w:color="auto"/>
              <w:bottom w:val="single" w:sz="4" w:space="0" w:color="auto"/>
              <w:right w:val="single" w:sz="4" w:space="0" w:color="auto"/>
            </w:tcBorders>
          </w:tcPr>
          <w:p w:rsidR="007C43BC" w:rsidRPr="00981C3A" w:rsidRDefault="007C43BC" w:rsidP="009A6AC4">
            <w:pPr>
              <w:widowControl w:val="0"/>
              <w:jc w:val="right"/>
              <w:rPr>
                <w:color w:val="000000"/>
                <w:sz w:val="20"/>
                <w:szCs w:val="20"/>
                <w:lang w:val="en-CA"/>
              </w:rPr>
            </w:pPr>
            <w:r w:rsidRPr="00981C3A">
              <w:rPr>
                <w:color w:val="000000"/>
                <w:sz w:val="20"/>
                <w:szCs w:val="20"/>
                <w:lang w:val="en-CA"/>
              </w:rPr>
              <w:t>16.61</w:t>
            </w:r>
          </w:p>
        </w:tc>
        <w:tc>
          <w:tcPr>
            <w:tcW w:w="574" w:type="pct"/>
            <w:tcBorders>
              <w:top w:val="single" w:sz="4" w:space="0" w:color="auto"/>
              <w:left w:val="single" w:sz="4" w:space="0" w:color="auto"/>
              <w:bottom w:val="single" w:sz="4" w:space="0" w:color="auto"/>
              <w:right w:val="single" w:sz="4" w:space="0" w:color="auto"/>
            </w:tcBorders>
          </w:tcPr>
          <w:p w:rsidR="007C43BC" w:rsidRPr="00981C3A" w:rsidRDefault="007C43BC" w:rsidP="009A6AC4">
            <w:pPr>
              <w:widowControl w:val="0"/>
              <w:jc w:val="right"/>
              <w:rPr>
                <w:color w:val="000000"/>
                <w:sz w:val="20"/>
                <w:szCs w:val="20"/>
                <w:lang w:val="en-CA"/>
              </w:rPr>
            </w:pPr>
            <w:r w:rsidRPr="00981C3A">
              <w:rPr>
                <w:color w:val="000000"/>
                <w:sz w:val="20"/>
                <w:szCs w:val="20"/>
                <w:lang w:val="en-CA"/>
              </w:rPr>
              <w:t>15.4</w:t>
            </w:r>
            <w:r w:rsidR="0032185A">
              <w:rPr>
                <w:color w:val="000000"/>
                <w:sz w:val="20"/>
                <w:szCs w:val="20"/>
                <w:lang w:val="en-CA"/>
              </w:rPr>
              <w:t>0</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3BC" w:rsidRPr="00981C3A" w:rsidRDefault="007C43BC" w:rsidP="009A6AC4">
            <w:pPr>
              <w:widowControl w:val="0"/>
              <w:jc w:val="right"/>
              <w:rPr>
                <w:color w:val="000000"/>
                <w:sz w:val="20"/>
                <w:szCs w:val="20"/>
                <w:lang w:val="en-CA"/>
              </w:rPr>
            </w:pPr>
            <w:r w:rsidRPr="00981C3A">
              <w:rPr>
                <w:color w:val="000000" w:themeColor="text1"/>
                <w:sz w:val="20"/>
                <w:szCs w:val="20"/>
                <w:lang w:val="en-CA"/>
              </w:rPr>
              <w:t>20.</w:t>
            </w:r>
            <w:r w:rsidR="0032185A">
              <w:rPr>
                <w:color w:val="000000" w:themeColor="text1"/>
                <w:sz w:val="20"/>
                <w:szCs w:val="20"/>
                <w:lang w:val="en-CA"/>
              </w:rPr>
              <w:t>0</w:t>
            </w:r>
            <w:r w:rsidRPr="00981C3A">
              <w:rPr>
                <w:color w:val="000000" w:themeColor="text1"/>
                <w:sz w:val="20"/>
                <w:szCs w:val="20"/>
                <w:lang w:val="en-CA"/>
              </w:rPr>
              <w:t>0</w:t>
            </w:r>
          </w:p>
        </w:tc>
      </w:tr>
    </w:tbl>
    <w:p w:rsidR="00B62A5A" w:rsidRDefault="00B62A5A" w:rsidP="009A6AC4">
      <w:pPr>
        <w:rPr>
          <w:lang w:val="en-CA"/>
        </w:rPr>
      </w:pPr>
    </w:p>
    <w:p w:rsidR="004811F2" w:rsidRPr="0078332E" w:rsidRDefault="009703F3" w:rsidP="009A6AC4">
      <w:pPr>
        <w:pStyle w:val="Heading1"/>
        <w:rPr>
          <w:lang w:val="en-US"/>
        </w:rPr>
      </w:pPr>
      <w:r>
        <w:rPr>
          <w:lang w:val="en-US"/>
        </w:rPr>
        <w:t xml:space="preserve">The decrease in consumption of HCFC-22 </w:t>
      </w:r>
      <w:r w:rsidR="009A6AC4">
        <w:rPr>
          <w:lang w:val="en-US"/>
        </w:rPr>
        <w:t xml:space="preserve">is </w:t>
      </w:r>
      <w:r>
        <w:rPr>
          <w:lang w:val="en-US"/>
        </w:rPr>
        <w:t>attributed to improved servicing practices and a reduction in t</w:t>
      </w:r>
      <w:r w:rsidR="009C3916" w:rsidRPr="006B2B23">
        <w:rPr>
          <w:lang w:val="en-US"/>
        </w:rPr>
        <w:t>he import of HCFC-22</w:t>
      </w:r>
      <w:r w:rsidR="007C43BC">
        <w:rPr>
          <w:lang w:val="en-US"/>
        </w:rPr>
        <w:t>-</w:t>
      </w:r>
      <w:r w:rsidR="009C3916" w:rsidRPr="006B2B23">
        <w:rPr>
          <w:lang w:val="en-US"/>
        </w:rPr>
        <w:t xml:space="preserve">based equipment </w:t>
      </w:r>
      <w:r>
        <w:rPr>
          <w:lang w:val="en-US"/>
        </w:rPr>
        <w:t xml:space="preserve">since </w:t>
      </w:r>
      <w:r w:rsidR="009C3916" w:rsidRPr="006B2B23">
        <w:rPr>
          <w:lang w:val="en-US"/>
        </w:rPr>
        <w:t>2012</w:t>
      </w:r>
      <w:r>
        <w:rPr>
          <w:lang w:val="en-US"/>
        </w:rPr>
        <w:t xml:space="preserve">. </w:t>
      </w:r>
      <w:r w:rsidR="009A6AC4">
        <w:rPr>
          <w:lang w:val="en-US"/>
        </w:rPr>
        <w:t>In contrast</w:t>
      </w:r>
      <w:r>
        <w:rPr>
          <w:lang w:val="en-US"/>
        </w:rPr>
        <w:t>, t</w:t>
      </w:r>
      <w:r w:rsidR="009C3916" w:rsidRPr="006B2B23">
        <w:rPr>
          <w:lang w:val="en-US"/>
        </w:rPr>
        <w:t xml:space="preserve">he import of </w:t>
      </w:r>
      <w:r>
        <w:rPr>
          <w:lang w:val="en-US"/>
        </w:rPr>
        <w:t>R</w:t>
      </w:r>
      <w:r w:rsidR="009C3916" w:rsidRPr="006B2B23">
        <w:rPr>
          <w:lang w:val="en-US"/>
        </w:rPr>
        <w:t>-410A</w:t>
      </w:r>
      <w:r w:rsidR="00E454E3">
        <w:rPr>
          <w:lang w:val="en-US"/>
        </w:rPr>
        <w:noBreakHyphen/>
      </w:r>
      <w:r w:rsidR="009C3916" w:rsidRPr="006B2B23">
        <w:rPr>
          <w:lang w:val="en-US"/>
        </w:rPr>
        <w:t>based equipment has been increasing.</w:t>
      </w:r>
    </w:p>
    <w:p w:rsidR="00C57806" w:rsidRPr="00D23E0A" w:rsidRDefault="00C57806" w:rsidP="009A6AC4">
      <w:pPr>
        <w:rPr>
          <w:i/>
          <w:lang w:val="en-CA"/>
        </w:rPr>
      </w:pPr>
      <w:r w:rsidRPr="00D23E0A">
        <w:rPr>
          <w:i/>
          <w:lang w:val="en-CA"/>
        </w:rPr>
        <w:t>Country programme (CP) implementation report</w:t>
      </w:r>
    </w:p>
    <w:p w:rsidR="00C57806" w:rsidRPr="00D23E0A" w:rsidRDefault="00C57806" w:rsidP="009A6AC4">
      <w:pPr>
        <w:rPr>
          <w:lang w:val="en-CA"/>
        </w:rPr>
      </w:pPr>
    </w:p>
    <w:p w:rsidR="00C57806" w:rsidRPr="00D23E0A" w:rsidRDefault="00C57806" w:rsidP="009A6AC4">
      <w:pPr>
        <w:pStyle w:val="Heading1"/>
        <w:rPr>
          <w:lang w:val="en-CA"/>
        </w:rPr>
      </w:pPr>
      <w:r w:rsidRPr="00D23E0A">
        <w:rPr>
          <w:lang w:val="en-CA"/>
        </w:rPr>
        <w:t xml:space="preserve">The Government of </w:t>
      </w:r>
      <w:r w:rsidR="0031408C" w:rsidRPr="00D23E0A">
        <w:rPr>
          <w:lang w:val="en-CA"/>
        </w:rPr>
        <w:t>Togo</w:t>
      </w:r>
      <w:r w:rsidRPr="00D23E0A">
        <w:rPr>
          <w:lang w:val="en-CA"/>
        </w:rPr>
        <w:t xml:space="preserve"> reported HCFC sector consumption data under the 2016 CP implementation report which is consistent with the data reported under Article 7</w:t>
      </w:r>
      <w:r w:rsidR="007C43BC">
        <w:rPr>
          <w:lang w:val="en-CA"/>
        </w:rPr>
        <w:t xml:space="preserve"> of the Montreal Protocol</w:t>
      </w:r>
      <w:r w:rsidRPr="00D23E0A">
        <w:rPr>
          <w:lang w:val="en-CA"/>
        </w:rPr>
        <w:t xml:space="preserve">. </w:t>
      </w:r>
    </w:p>
    <w:p w:rsidR="00C57806" w:rsidRPr="00D23E0A" w:rsidRDefault="00C57806" w:rsidP="009A6AC4">
      <w:pPr>
        <w:rPr>
          <w:i/>
          <w:lang w:val="en-CA"/>
        </w:rPr>
      </w:pPr>
      <w:r w:rsidRPr="00D23E0A">
        <w:rPr>
          <w:i/>
          <w:lang w:val="en-CA"/>
        </w:rPr>
        <w:t>Legal framework</w:t>
      </w:r>
    </w:p>
    <w:p w:rsidR="00C57806" w:rsidRPr="00D23E0A" w:rsidRDefault="00C57806" w:rsidP="009A6AC4">
      <w:pPr>
        <w:rPr>
          <w:lang w:val="en-CA"/>
        </w:rPr>
      </w:pPr>
    </w:p>
    <w:p w:rsidR="00A12CCD" w:rsidRPr="00A12CCD" w:rsidRDefault="00A12CCD" w:rsidP="009A6AC4">
      <w:pPr>
        <w:pStyle w:val="Heading1"/>
        <w:rPr>
          <w:rFonts w:eastAsia="SimSun"/>
          <w:lang w:eastAsia="zh-CN"/>
        </w:rPr>
      </w:pPr>
      <w:r w:rsidRPr="00A12CCD">
        <w:rPr>
          <w:lang w:eastAsia="zh-CN"/>
        </w:rPr>
        <w:t>The HCFC licensing and quota system is operating effectively with quotas being established since 2013. The Economic Community of West African States Community sub-regional regulation on HCFC and HCFC-based equipment has been adopted by</w:t>
      </w:r>
      <w:r w:rsidR="007C43BC">
        <w:rPr>
          <w:lang w:eastAsia="zh-CN"/>
        </w:rPr>
        <w:t xml:space="preserve"> the Government of</w:t>
      </w:r>
      <w:r w:rsidRPr="00A12CCD">
        <w:rPr>
          <w:lang w:eastAsia="zh-CN"/>
        </w:rPr>
        <w:t xml:space="preserve"> Togo. In addition, the Government is considering </w:t>
      </w:r>
      <w:r w:rsidR="00BC71BC" w:rsidRPr="00A12CCD">
        <w:rPr>
          <w:lang w:eastAsia="zh-CN"/>
        </w:rPr>
        <w:t>implementing</w:t>
      </w:r>
      <w:r w:rsidR="00090FDA">
        <w:rPr>
          <w:lang w:eastAsia="zh-CN"/>
        </w:rPr>
        <w:t xml:space="preserve"> a ban on the import of HCFC-</w:t>
      </w:r>
      <w:r w:rsidRPr="00A12CCD">
        <w:rPr>
          <w:lang w:eastAsia="zh-CN"/>
        </w:rPr>
        <w:t xml:space="preserve">based equipment. </w:t>
      </w:r>
    </w:p>
    <w:p w:rsidR="00C57806" w:rsidRPr="005C3309" w:rsidRDefault="00C57806" w:rsidP="009A6AC4">
      <w:pPr>
        <w:rPr>
          <w:i/>
          <w:lang w:val="en-CA"/>
        </w:rPr>
      </w:pPr>
      <w:r w:rsidRPr="005C3309">
        <w:rPr>
          <w:i/>
          <w:lang w:val="en-CA"/>
        </w:rPr>
        <w:t>Refrigeration servicing sector</w:t>
      </w:r>
    </w:p>
    <w:p w:rsidR="00C57806" w:rsidRPr="005C3309" w:rsidRDefault="00C57806" w:rsidP="009A6AC4">
      <w:pPr>
        <w:rPr>
          <w:lang w:val="en-CA"/>
        </w:rPr>
      </w:pPr>
    </w:p>
    <w:p w:rsidR="00040ABE" w:rsidRPr="009E405D" w:rsidRDefault="003E1296" w:rsidP="009E405D">
      <w:pPr>
        <w:pStyle w:val="Heading1"/>
        <w:rPr>
          <w:shd w:val="clear" w:color="auto" w:fill="FFFFFF"/>
          <w:lang w:eastAsia="ja-JP"/>
        </w:rPr>
      </w:pPr>
      <w:r w:rsidRPr="009E405D">
        <w:rPr>
          <w:lang w:val="en-CA"/>
        </w:rPr>
        <w:t xml:space="preserve">The following activities </w:t>
      </w:r>
      <w:r w:rsidR="00651D2A" w:rsidRPr="002640FD">
        <w:rPr>
          <w:lang w:val="en-CA"/>
        </w:rPr>
        <w:t>were</w:t>
      </w:r>
      <w:r w:rsidRPr="00B666A8">
        <w:rPr>
          <w:lang w:val="en-CA"/>
        </w:rPr>
        <w:t xml:space="preserve"> implemented during the second tranche of the HPMP:</w:t>
      </w:r>
      <w:r w:rsidR="00742C53" w:rsidRPr="009E405D">
        <w:rPr>
          <w:lang w:val="en-CA"/>
        </w:rPr>
        <w:t xml:space="preserve"> </w:t>
      </w:r>
      <w:r w:rsidR="002D55A5" w:rsidRPr="009E405D">
        <w:rPr>
          <w:shd w:val="clear" w:color="auto" w:fill="FFFFFF"/>
          <w:lang w:eastAsia="ja-JP"/>
        </w:rPr>
        <w:t>25 customs officers</w:t>
      </w:r>
      <w:r w:rsidR="002D55A5" w:rsidRPr="005C3309">
        <w:t xml:space="preserve">, ten environment inspectors and five officers from the Department of Commerce </w:t>
      </w:r>
      <w:r w:rsidR="002D55A5">
        <w:t xml:space="preserve">received training </w:t>
      </w:r>
      <w:r w:rsidR="002D55A5" w:rsidRPr="005C3309">
        <w:t xml:space="preserve">on </w:t>
      </w:r>
      <w:r w:rsidR="002D55A5">
        <w:t xml:space="preserve">the </w:t>
      </w:r>
      <w:r w:rsidR="002D55A5" w:rsidRPr="009E405D">
        <w:rPr>
          <w:shd w:val="clear" w:color="auto" w:fill="FFFFFF"/>
          <w:lang w:eastAsia="ja-JP"/>
        </w:rPr>
        <w:t>identification and control of HCFCs</w:t>
      </w:r>
      <w:r w:rsidR="007241D3" w:rsidRPr="002640FD">
        <w:rPr>
          <w:shd w:val="clear" w:color="auto" w:fill="FFFFFF"/>
          <w:lang w:eastAsia="ja-JP"/>
        </w:rPr>
        <w:t xml:space="preserve">, </w:t>
      </w:r>
      <w:r w:rsidR="00C66AB3" w:rsidRPr="00B666A8">
        <w:rPr>
          <w:shd w:val="clear" w:color="auto" w:fill="FFFFFF"/>
          <w:lang w:eastAsia="ja-JP"/>
        </w:rPr>
        <w:t xml:space="preserve">in </w:t>
      </w:r>
      <w:r w:rsidR="007241D3">
        <w:t xml:space="preserve">particular </w:t>
      </w:r>
      <w:r w:rsidR="007241D3" w:rsidRPr="009E405D">
        <w:rPr>
          <w:shd w:val="clear" w:color="auto" w:fill="FFFFFF"/>
          <w:lang w:eastAsia="ja-JP"/>
        </w:rPr>
        <w:t>new inspection techniques for</w:t>
      </w:r>
      <w:r w:rsidR="007241D3" w:rsidRPr="002640FD">
        <w:rPr>
          <w:shd w:val="clear" w:color="auto" w:fill="FFFFFF"/>
          <w:lang w:eastAsia="ja-JP"/>
        </w:rPr>
        <w:t xml:space="preserve"> HCFCs and HCFC-based equipment</w:t>
      </w:r>
      <w:r w:rsidR="002D55A5" w:rsidRPr="009E405D">
        <w:rPr>
          <w:shd w:val="clear" w:color="auto" w:fill="FFFFFF"/>
          <w:lang w:eastAsia="ja-JP"/>
        </w:rPr>
        <w:t xml:space="preserve"> and </w:t>
      </w:r>
      <w:r w:rsidR="00C66AB3" w:rsidRPr="009E405D">
        <w:rPr>
          <w:shd w:val="clear" w:color="auto" w:fill="FFFFFF"/>
          <w:lang w:eastAsia="ja-JP"/>
        </w:rPr>
        <w:t>monitoring</w:t>
      </w:r>
      <w:r w:rsidR="002D55A5" w:rsidRPr="009E405D">
        <w:rPr>
          <w:shd w:val="clear" w:color="auto" w:fill="FFFFFF"/>
          <w:lang w:eastAsia="ja-JP"/>
        </w:rPr>
        <w:t xml:space="preserve"> of the</w:t>
      </w:r>
      <w:r w:rsidR="00C66AB3" w:rsidRPr="009E405D">
        <w:rPr>
          <w:shd w:val="clear" w:color="auto" w:fill="FFFFFF"/>
          <w:lang w:eastAsia="ja-JP"/>
        </w:rPr>
        <w:t xml:space="preserve"> licensing and</w:t>
      </w:r>
      <w:r w:rsidR="002D55A5" w:rsidRPr="009E405D">
        <w:rPr>
          <w:shd w:val="clear" w:color="auto" w:fill="FFFFFF"/>
          <w:lang w:eastAsia="ja-JP"/>
        </w:rPr>
        <w:t xml:space="preserve"> quota system.</w:t>
      </w:r>
      <w:r w:rsidR="00742C53" w:rsidRPr="009E405D">
        <w:rPr>
          <w:lang w:val="en-CA"/>
        </w:rPr>
        <w:t>165</w:t>
      </w:r>
      <w:r w:rsidR="00D51B1F" w:rsidRPr="009E405D">
        <w:rPr>
          <w:lang w:val="en-CA"/>
        </w:rPr>
        <w:t> </w:t>
      </w:r>
      <w:r w:rsidR="00742C53" w:rsidRPr="009E405D">
        <w:rPr>
          <w:lang w:val="en-CA"/>
        </w:rPr>
        <w:t xml:space="preserve">refrigeration technicians </w:t>
      </w:r>
      <w:r w:rsidR="009A6AC4" w:rsidRPr="009E405D">
        <w:rPr>
          <w:lang w:val="en-CA"/>
        </w:rPr>
        <w:t xml:space="preserve">were trained </w:t>
      </w:r>
      <w:r w:rsidR="00742C53" w:rsidRPr="009E405D">
        <w:rPr>
          <w:lang w:val="en-CA"/>
        </w:rPr>
        <w:t xml:space="preserve">on good refrigeration </w:t>
      </w:r>
      <w:r w:rsidR="009A6AC4" w:rsidRPr="009E405D">
        <w:rPr>
          <w:lang w:val="en-CA"/>
        </w:rPr>
        <w:t xml:space="preserve">service </w:t>
      </w:r>
      <w:r w:rsidR="00742C53" w:rsidRPr="009E405D">
        <w:rPr>
          <w:lang w:val="en-CA"/>
        </w:rPr>
        <w:t>practices</w:t>
      </w:r>
      <w:r w:rsidR="002A2B44" w:rsidRPr="009E405D">
        <w:rPr>
          <w:lang w:val="en-CA"/>
        </w:rPr>
        <w:t>,</w:t>
      </w:r>
      <w:r w:rsidR="009A6AC4" w:rsidRPr="009E405D">
        <w:rPr>
          <w:lang w:val="en-CA"/>
        </w:rPr>
        <w:t xml:space="preserve"> including</w:t>
      </w:r>
      <w:r w:rsidR="00020040" w:rsidRPr="009E405D">
        <w:rPr>
          <w:lang w:val="en-CA"/>
        </w:rPr>
        <w:t xml:space="preserve"> leakage prevention and energy saving practises</w:t>
      </w:r>
      <w:r w:rsidR="00C57000" w:rsidRPr="009E405D">
        <w:rPr>
          <w:lang w:val="en-CA"/>
        </w:rPr>
        <w:t>, and on safe practices for servicing and installing HC-290 RAC equipment</w:t>
      </w:r>
      <w:r w:rsidR="00020040" w:rsidRPr="009E405D">
        <w:rPr>
          <w:lang w:val="en-CA"/>
        </w:rPr>
        <w:t xml:space="preserve">. </w:t>
      </w:r>
      <w:r w:rsidR="002D55A5" w:rsidRPr="009E405D">
        <w:rPr>
          <w:lang w:val="en-CA"/>
        </w:rPr>
        <w:t>Also,</w:t>
      </w:r>
      <w:r w:rsidR="00651D2A" w:rsidRPr="009E405D">
        <w:rPr>
          <w:lang w:val="en-CA"/>
        </w:rPr>
        <w:t xml:space="preserve"> </w:t>
      </w:r>
      <w:r w:rsidR="00651D2A" w:rsidRPr="005C3309">
        <w:t>three</w:t>
      </w:r>
      <w:r w:rsidR="00A673FD">
        <w:t xml:space="preserve"> HC</w:t>
      </w:r>
      <w:r w:rsidR="00E454E3">
        <w:noBreakHyphen/>
      </w:r>
      <w:r w:rsidR="00A673FD">
        <w:t>based</w:t>
      </w:r>
      <w:r w:rsidR="00651D2A" w:rsidRPr="005C3309">
        <w:t xml:space="preserve"> </w:t>
      </w:r>
      <w:r w:rsidR="007D7F76">
        <w:t>air</w:t>
      </w:r>
      <w:r w:rsidR="007D7F76">
        <w:noBreakHyphen/>
        <w:t>conditioning (AC) units</w:t>
      </w:r>
      <w:r w:rsidR="00651D2A" w:rsidRPr="005C3309">
        <w:t xml:space="preserve"> were provided to the training institute for demonstration purposes</w:t>
      </w:r>
      <w:r w:rsidR="00A673FD">
        <w:t xml:space="preserve"> and</w:t>
      </w:r>
      <w:r w:rsidR="00651D2A" w:rsidRPr="005C3309">
        <w:t xml:space="preserve"> a training session on </w:t>
      </w:r>
      <w:r w:rsidR="00A673FD" w:rsidRPr="00A673FD">
        <w:t>the safe installation</w:t>
      </w:r>
      <w:r w:rsidR="00A673FD">
        <w:t xml:space="preserve">, operation and maintenance of </w:t>
      </w:r>
      <w:r w:rsidR="006D5EE6">
        <w:t>HC</w:t>
      </w:r>
      <w:r w:rsidR="000C6850">
        <w:t>-</w:t>
      </w:r>
      <w:r w:rsidR="00A673FD">
        <w:t xml:space="preserve">based AC units </w:t>
      </w:r>
      <w:r w:rsidR="006D5EE6">
        <w:t>was</w:t>
      </w:r>
      <w:r w:rsidR="00A673FD">
        <w:t xml:space="preserve"> held</w:t>
      </w:r>
      <w:r w:rsidR="00A673FD" w:rsidRPr="00A673FD">
        <w:t xml:space="preserve"> </w:t>
      </w:r>
      <w:r w:rsidR="00A673FD" w:rsidRPr="00A673FD">
        <w:lastRenderedPageBreak/>
        <w:t xml:space="preserve">using </w:t>
      </w:r>
      <w:r w:rsidR="00A673FD">
        <w:t>those demonstration</w:t>
      </w:r>
      <w:r w:rsidR="00A673FD" w:rsidRPr="00A673FD">
        <w:t xml:space="preserve"> units</w:t>
      </w:r>
      <w:r w:rsidR="00651D2A" w:rsidRPr="005C3309">
        <w:t xml:space="preserve">; and a survey to select potential beneficiaries </w:t>
      </w:r>
      <w:r w:rsidR="00CC3B5D">
        <w:t xml:space="preserve">of </w:t>
      </w:r>
      <w:r w:rsidR="000C6850">
        <w:t xml:space="preserve">the financial </w:t>
      </w:r>
      <w:r w:rsidR="00CC3B5D">
        <w:t>incentive</w:t>
      </w:r>
      <w:r w:rsidR="000C6850">
        <w:t xml:space="preserve"> programme</w:t>
      </w:r>
      <w:r w:rsidR="00CC3B5D">
        <w:t xml:space="preserve"> to</w:t>
      </w:r>
      <w:r w:rsidR="00651D2A" w:rsidRPr="005C3309">
        <w:t xml:space="preserve"> convert HCFC-22</w:t>
      </w:r>
      <w:r w:rsidR="007C43BC">
        <w:t>-</w:t>
      </w:r>
      <w:r w:rsidR="00651D2A" w:rsidRPr="005C3309">
        <w:t xml:space="preserve">based commercial </w:t>
      </w:r>
      <w:r w:rsidR="002A2B44">
        <w:t xml:space="preserve">facilities, most likely </w:t>
      </w:r>
      <w:r w:rsidR="002D55A5">
        <w:t xml:space="preserve">refrigeration equipment </w:t>
      </w:r>
      <w:r w:rsidR="00E07DE7">
        <w:t>used in cold chambers</w:t>
      </w:r>
      <w:r w:rsidR="002A2B44">
        <w:t>,</w:t>
      </w:r>
      <w:r w:rsidR="00E07DE7">
        <w:t xml:space="preserve"> </w:t>
      </w:r>
      <w:r w:rsidR="00651D2A" w:rsidRPr="005C3309">
        <w:t>to low</w:t>
      </w:r>
      <w:r w:rsidR="007C43BC">
        <w:t>-</w:t>
      </w:r>
      <w:r w:rsidR="007D7F76">
        <w:t>global warming potential (</w:t>
      </w:r>
      <w:r w:rsidR="00651D2A" w:rsidRPr="005C3309">
        <w:t>GWP</w:t>
      </w:r>
      <w:r w:rsidR="007D7F76">
        <w:t>)</w:t>
      </w:r>
      <w:r w:rsidR="00651D2A" w:rsidRPr="005C3309">
        <w:t xml:space="preserve"> </w:t>
      </w:r>
      <w:r w:rsidR="00485DB5">
        <w:t>alternatives</w:t>
      </w:r>
      <w:r w:rsidR="00651D2A" w:rsidRPr="005C3309">
        <w:t xml:space="preserve"> was undertaken in 2016.</w:t>
      </w:r>
      <w:r w:rsidR="009E405D">
        <w:t xml:space="preserve"> The details of the operation of the incentive program</w:t>
      </w:r>
      <w:r w:rsidR="00EE302F">
        <w:t>me</w:t>
      </w:r>
      <w:r w:rsidR="009E405D">
        <w:t xml:space="preserve"> are not yet available but will be based on the selection of the beneficiaries. The goal is to implement socially acceptable instruments and suitable incentive measures </w:t>
      </w:r>
      <w:r w:rsidR="002640FD">
        <w:t>to</w:t>
      </w:r>
      <w:r w:rsidR="009E405D">
        <w:t xml:space="preserve"> encourage the gradual </w:t>
      </w:r>
      <w:r w:rsidR="002640FD">
        <w:t>phase</w:t>
      </w:r>
      <w:r w:rsidR="00EE302F">
        <w:t>-</w:t>
      </w:r>
      <w:r w:rsidR="002640FD">
        <w:t>out</w:t>
      </w:r>
      <w:r w:rsidR="009E405D">
        <w:t xml:space="preserve"> of HCFCs. The </w:t>
      </w:r>
      <w:r w:rsidR="002640FD">
        <w:t>E</w:t>
      </w:r>
      <w:r w:rsidR="009E405D">
        <w:t>nvironmental Department will encourage the importers of HCFCs to accelerate the transition to</w:t>
      </w:r>
      <w:r w:rsidR="002640FD">
        <w:t xml:space="preserve"> alternative refrigerants</w:t>
      </w:r>
      <w:r w:rsidR="009E405D">
        <w:t xml:space="preserve"> by importing the l</w:t>
      </w:r>
      <w:r w:rsidR="002640FD">
        <w:t>atter.</w:t>
      </w:r>
    </w:p>
    <w:p w:rsidR="00C57806" w:rsidRPr="001F60A3" w:rsidRDefault="00C57806" w:rsidP="009A6AC4">
      <w:pPr>
        <w:rPr>
          <w:i/>
          <w:lang w:val="en-CA"/>
        </w:rPr>
      </w:pPr>
      <w:r w:rsidRPr="001F60A3">
        <w:rPr>
          <w:i/>
          <w:lang w:val="en-CA"/>
        </w:rPr>
        <w:t>Project implementation and monitoring unit (PMU)</w:t>
      </w:r>
    </w:p>
    <w:p w:rsidR="00C57806" w:rsidRPr="001F60A3" w:rsidRDefault="00C57806" w:rsidP="009A6AC4">
      <w:pPr>
        <w:rPr>
          <w:lang w:val="en-CA"/>
        </w:rPr>
      </w:pPr>
    </w:p>
    <w:p w:rsidR="00255AE0" w:rsidRPr="001F60A3" w:rsidRDefault="009E6F2D" w:rsidP="009A6AC4">
      <w:pPr>
        <w:pStyle w:val="Heading1"/>
        <w:rPr>
          <w:lang w:val="en-CA"/>
        </w:rPr>
      </w:pPr>
      <w:r w:rsidRPr="001F60A3">
        <w:rPr>
          <w:lang w:val="en-CA"/>
        </w:rPr>
        <w:t xml:space="preserve">The national ozone unit (NOU) monitored the implementation of activities </w:t>
      </w:r>
      <w:r w:rsidR="002806FC" w:rsidRPr="001F60A3">
        <w:rPr>
          <w:lang w:val="en-CA"/>
        </w:rPr>
        <w:t xml:space="preserve">under </w:t>
      </w:r>
      <w:r w:rsidR="002D55A5">
        <w:rPr>
          <w:lang w:val="en-CA"/>
        </w:rPr>
        <w:t xml:space="preserve">the </w:t>
      </w:r>
      <w:r w:rsidR="002806FC" w:rsidRPr="001F60A3">
        <w:rPr>
          <w:lang w:val="en-CA"/>
        </w:rPr>
        <w:t xml:space="preserve">HPMP with the support of two </w:t>
      </w:r>
      <w:r w:rsidRPr="001F60A3">
        <w:rPr>
          <w:lang w:val="en-CA"/>
        </w:rPr>
        <w:t>consultant</w:t>
      </w:r>
      <w:r w:rsidR="002806FC" w:rsidRPr="001F60A3">
        <w:rPr>
          <w:lang w:val="en-CA"/>
        </w:rPr>
        <w:t>s</w:t>
      </w:r>
      <w:r w:rsidRPr="001F60A3">
        <w:rPr>
          <w:lang w:val="en-CA"/>
        </w:rPr>
        <w:t xml:space="preserve">. </w:t>
      </w:r>
    </w:p>
    <w:p w:rsidR="00C57806" w:rsidRPr="00572436" w:rsidRDefault="00C57806" w:rsidP="009A6AC4">
      <w:pPr>
        <w:rPr>
          <w:u w:val="single"/>
          <w:lang w:val="en-CA"/>
        </w:rPr>
      </w:pPr>
      <w:r w:rsidRPr="00572436">
        <w:rPr>
          <w:u w:val="single"/>
          <w:lang w:val="en-CA"/>
        </w:rPr>
        <w:t>Level of fund disbursement</w:t>
      </w:r>
    </w:p>
    <w:p w:rsidR="00C57806" w:rsidRPr="00572436" w:rsidRDefault="00C57806" w:rsidP="009A6AC4">
      <w:pPr>
        <w:rPr>
          <w:lang w:val="en-CA"/>
        </w:rPr>
      </w:pPr>
    </w:p>
    <w:p w:rsidR="00C57806" w:rsidRPr="00572436" w:rsidRDefault="00C57806" w:rsidP="009A6AC4">
      <w:pPr>
        <w:pStyle w:val="Heading1"/>
        <w:rPr>
          <w:lang w:val="en-CA"/>
        </w:rPr>
      </w:pPr>
      <w:r w:rsidRPr="000F6BD5">
        <w:rPr>
          <w:lang w:val="en-CA"/>
        </w:rPr>
        <w:t xml:space="preserve">As of </w:t>
      </w:r>
      <w:r w:rsidR="000972FA" w:rsidRPr="000F6BD5">
        <w:rPr>
          <w:lang w:val="en-CA"/>
        </w:rPr>
        <w:t>May</w:t>
      </w:r>
      <w:r w:rsidR="00006688" w:rsidRPr="000F6BD5">
        <w:rPr>
          <w:lang w:val="en-CA"/>
        </w:rPr>
        <w:t xml:space="preserve"> 2017</w:t>
      </w:r>
      <w:r w:rsidR="002D55A5">
        <w:rPr>
          <w:lang w:val="en-CA"/>
        </w:rPr>
        <w:t>,</w:t>
      </w:r>
      <w:r w:rsidRPr="000F6BD5">
        <w:rPr>
          <w:lang w:val="en-CA"/>
        </w:rPr>
        <w:t xml:space="preserve"> of the </w:t>
      </w:r>
      <w:r w:rsidR="001A2151">
        <w:rPr>
          <w:lang w:val="en-CA"/>
        </w:rPr>
        <w:t>US $</w:t>
      </w:r>
      <w:r w:rsidR="0049232D" w:rsidRPr="000F6BD5">
        <w:rPr>
          <w:lang w:val="en-CA"/>
        </w:rPr>
        <w:t>315,000</w:t>
      </w:r>
      <w:r w:rsidRPr="000F6BD5">
        <w:rPr>
          <w:lang w:val="en-CA"/>
        </w:rPr>
        <w:t xml:space="preserve"> so far approved</w:t>
      </w:r>
      <w:r w:rsidR="00F134E0" w:rsidRPr="000F6BD5">
        <w:rPr>
          <w:lang w:val="en-CA"/>
        </w:rPr>
        <w:t>,</w:t>
      </w:r>
      <w:r w:rsidRPr="000F6BD5">
        <w:rPr>
          <w:lang w:val="en-CA"/>
        </w:rPr>
        <w:t xml:space="preserve"> </w:t>
      </w:r>
      <w:r w:rsidR="001A2151">
        <w:rPr>
          <w:lang w:val="en-CA"/>
        </w:rPr>
        <w:t>US $</w:t>
      </w:r>
      <w:r w:rsidR="000F6BD5" w:rsidRPr="000F6BD5">
        <w:rPr>
          <w:lang w:val="en-CA"/>
        </w:rPr>
        <w:t>290,649</w:t>
      </w:r>
      <w:r w:rsidRPr="00572436">
        <w:rPr>
          <w:lang w:val="en-CA"/>
        </w:rPr>
        <w:t xml:space="preserve"> had been disbursed (</w:t>
      </w:r>
      <w:r w:rsidR="001A2151">
        <w:rPr>
          <w:lang w:val="en-CA"/>
        </w:rPr>
        <w:t>US $</w:t>
      </w:r>
      <w:r w:rsidR="000972FA">
        <w:rPr>
          <w:lang w:val="en-CA"/>
        </w:rPr>
        <w:t>115,000</w:t>
      </w:r>
      <w:r w:rsidRPr="00572436">
        <w:rPr>
          <w:lang w:val="en-CA"/>
        </w:rPr>
        <w:t xml:space="preserve"> for </w:t>
      </w:r>
      <w:r w:rsidR="0078269B">
        <w:rPr>
          <w:lang w:val="en-CA"/>
        </w:rPr>
        <w:t>UN Environment</w:t>
      </w:r>
      <w:r w:rsidRPr="00572436">
        <w:rPr>
          <w:lang w:val="en-CA"/>
        </w:rPr>
        <w:t xml:space="preserve"> and </w:t>
      </w:r>
      <w:r w:rsidR="001A2151">
        <w:rPr>
          <w:lang w:val="en-CA"/>
        </w:rPr>
        <w:t>US $</w:t>
      </w:r>
      <w:r w:rsidR="00A239E5" w:rsidRPr="00A239E5">
        <w:rPr>
          <w:lang w:val="en-CA"/>
        </w:rPr>
        <w:t>175,649</w:t>
      </w:r>
      <w:r w:rsidR="00A239E5">
        <w:rPr>
          <w:lang w:val="en-CA"/>
        </w:rPr>
        <w:t xml:space="preserve"> </w:t>
      </w:r>
      <w:r w:rsidRPr="00572436">
        <w:rPr>
          <w:lang w:val="en-CA"/>
        </w:rPr>
        <w:t xml:space="preserve">for </w:t>
      </w:r>
      <w:r w:rsidR="0049232D">
        <w:rPr>
          <w:lang w:val="en-CA"/>
        </w:rPr>
        <w:t>UNIDO</w:t>
      </w:r>
      <w:r w:rsidRPr="00572436">
        <w:rPr>
          <w:lang w:val="en-CA"/>
        </w:rPr>
        <w:t>)</w:t>
      </w:r>
      <w:r w:rsidR="007C43BC">
        <w:rPr>
          <w:lang w:val="en-CA"/>
        </w:rPr>
        <w:t xml:space="preserve"> as shown in Table 2</w:t>
      </w:r>
      <w:r w:rsidR="00481772">
        <w:rPr>
          <w:lang w:val="en-CA"/>
        </w:rPr>
        <w:t>.</w:t>
      </w:r>
      <w:r w:rsidR="009A6AC4">
        <w:rPr>
          <w:lang w:val="en-CA"/>
        </w:rPr>
        <w:t xml:space="preserve"> </w:t>
      </w:r>
      <w:r w:rsidR="007C43BC">
        <w:rPr>
          <w:lang w:val="en-CA"/>
        </w:rPr>
        <w:t xml:space="preserve">The balance of </w:t>
      </w:r>
      <w:r w:rsidR="001A2151">
        <w:rPr>
          <w:lang w:val="en-CA"/>
        </w:rPr>
        <w:t>US $</w:t>
      </w:r>
      <w:r w:rsidR="00481772">
        <w:rPr>
          <w:lang w:val="en-CA"/>
        </w:rPr>
        <w:t>24,351 will be disbursed during the implementation of the third tranche</w:t>
      </w:r>
      <w:r w:rsidRPr="00572436">
        <w:rPr>
          <w:lang w:val="en-CA"/>
        </w:rPr>
        <w:t xml:space="preserve">. </w:t>
      </w:r>
    </w:p>
    <w:p w:rsidR="00C57806" w:rsidRPr="00572436" w:rsidRDefault="00C57806" w:rsidP="009A6AC4">
      <w:pPr>
        <w:rPr>
          <w:b/>
          <w:lang w:val="en-CA"/>
        </w:rPr>
      </w:pPr>
      <w:r w:rsidRPr="00572436">
        <w:rPr>
          <w:b/>
          <w:lang w:val="en-CA"/>
        </w:rPr>
        <w:t>Table 2. Financial report of stage I of the HPMP for</w:t>
      </w:r>
      <w:r w:rsidR="0049232D">
        <w:rPr>
          <w:b/>
          <w:lang w:val="en-CA"/>
        </w:rPr>
        <w:t xml:space="preserve"> Togo</w:t>
      </w:r>
      <w:r w:rsidRPr="00572436">
        <w:rPr>
          <w:b/>
          <w:lang w:val="en-CA"/>
        </w:rPr>
        <w:t xml:space="preserve"> (</w:t>
      </w:r>
      <w:r w:rsidR="001A2151">
        <w:rPr>
          <w:b/>
          <w:lang w:val="en-CA"/>
        </w:rPr>
        <w:t>US $</w:t>
      </w:r>
      <w:r w:rsidRPr="00572436">
        <w:rPr>
          <w:b/>
          <w:lang w:val="en-CA"/>
        </w:rPr>
        <w:t>)</w:t>
      </w:r>
    </w:p>
    <w:tbl>
      <w:tblPr>
        <w:tblStyle w:val="TableGrid"/>
        <w:tblW w:w="0" w:type="auto"/>
        <w:tblInd w:w="108" w:type="dxa"/>
        <w:tblLook w:val="04A0" w:firstRow="1" w:lastRow="0" w:firstColumn="1" w:lastColumn="0" w:noHBand="0" w:noVBand="1"/>
      </w:tblPr>
      <w:tblGrid>
        <w:gridCol w:w="2160"/>
        <w:gridCol w:w="1080"/>
        <w:gridCol w:w="1260"/>
        <w:gridCol w:w="1126"/>
        <w:gridCol w:w="1282"/>
        <w:gridCol w:w="1278"/>
        <w:gridCol w:w="1282"/>
      </w:tblGrid>
      <w:tr w:rsidR="00C57806" w:rsidRPr="00572436" w:rsidTr="007D7F76">
        <w:tc>
          <w:tcPr>
            <w:tcW w:w="2160" w:type="dxa"/>
            <w:vMerge w:val="restart"/>
          </w:tcPr>
          <w:p w:rsidR="00C57806" w:rsidRPr="00572436" w:rsidRDefault="00C57806" w:rsidP="009A6AC4">
            <w:pPr>
              <w:jc w:val="center"/>
              <w:rPr>
                <w:b/>
                <w:sz w:val="20"/>
                <w:szCs w:val="20"/>
                <w:lang w:val="en-CA"/>
              </w:rPr>
            </w:pPr>
            <w:r w:rsidRPr="00572436">
              <w:rPr>
                <w:b/>
                <w:sz w:val="20"/>
                <w:szCs w:val="20"/>
                <w:lang w:val="en-CA"/>
              </w:rPr>
              <w:t>Agency</w:t>
            </w:r>
          </w:p>
        </w:tc>
        <w:tc>
          <w:tcPr>
            <w:tcW w:w="2340" w:type="dxa"/>
            <w:gridSpan w:val="2"/>
          </w:tcPr>
          <w:p w:rsidR="00C57806" w:rsidRPr="00572436" w:rsidRDefault="00C57806" w:rsidP="009A6AC4">
            <w:pPr>
              <w:jc w:val="center"/>
              <w:rPr>
                <w:b/>
                <w:sz w:val="20"/>
                <w:szCs w:val="20"/>
                <w:lang w:val="en-CA"/>
              </w:rPr>
            </w:pPr>
            <w:r w:rsidRPr="00572436">
              <w:rPr>
                <w:b/>
                <w:sz w:val="20"/>
                <w:szCs w:val="20"/>
                <w:lang w:val="en-CA"/>
              </w:rPr>
              <w:t>First tranche</w:t>
            </w:r>
          </w:p>
        </w:tc>
        <w:tc>
          <w:tcPr>
            <w:tcW w:w="2408" w:type="dxa"/>
            <w:gridSpan w:val="2"/>
          </w:tcPr>
          <w:p w:rsidR="00C57806" w:rsidRPr="00572436" w:rsidRDefault="00C57806" w:rsidP="009A6AC4">
            <w:pPr>
              <w:jc w:val="center"/>
              <w:rPr>
                <w:b/>
                <w:sz w:val="20"/>
                <w:szCs w:val="20"/>
                <w:lang w:val="en-CA"/>
              </w:rPr>
            </w:pPr>
            <w:r w:rsidRPr="00572436">
              <w:rPr>
                <w:b/>
                <w:sz w:val="20"/>
                <w:szCs w:val="20"/>
                <w:lang w:val="en-CA"/>
              </w:rPr>
              <w:t>Second tranche</w:t>
            </w:r>
          </w:p>
        </w:tc>
        <w:tc>
          <w:tcPr>
            <w:tcW w:w="2560" w:type="dxa"/>
            <w:gridSpan w:val="2"/>
          </w:tcPr>
          <w:p w:rsidR="00C57806" w:rsidRPr="00572436" w:rsidRDefault="00C57806" w:rsidP="00EA2FEC">
            <w:pPr>
              <w:jc w:val="center"/>
              <w:rPr>
                <w:b/>
                <w:sz w:val="20"/>
                <w:szCs w:val="20"/>
                <w:lang w:val="en-CA"/>
              </w:rPr>
            </w:pPr>
            <w:r w:rsidRPr="00572436">
              <w:rPr>
                <w:b/>
                <w:sz w:val="20"/>
                <w:szCs w:val="20"/>
                <w:lang w:val="en-CA"/>
              </w:rPr>
              <w:t>Total</w:t>
            </w:r>
          </w:p>
        </w:tc>
      </w:tr>
      <w:tr w:rsidR="00C57806" w:rsidRPr="00572436" w:rsidTr="007D7F76">
        <w:tc>
          <w:tcPr>
            <w:tcW w:w="2160" w:type="dxa"/>
            <w:vMerge/>
          </w:tcPr>
          <w:p w:rsidR="00C57806" w:rsidRPr="00572436" w:rsidRDefault="00C57806" w:rsidP="009A6AC4">
            <w:pPr>
              <w:jc w:val="center"/>
              <w:rPr>
                <w:b/>
                <w:sz w:val="20"/>
                <w:szCs w:val="20"/>
                <w:lang w:val="en-CA"/>
              </w:rPr>
            </w:pPr>
          </w:p>
        </w:tc>
        <w:tc>
          <w:tcPr>
            <w:tcW w:w="1080" w:type="dxa"/>
          </w:tcPr>
          <w:p w:rsidR="00C57806" w:rsidRPr="00572436" w:rsidRDefault="00C57806" w:rsidP="009A6AC4">
            <w:pPr>
              <w:jc w:val="center"/>
              <w:rPr>
                <w:b/>
                <w:sz w:val="20"/>
                <w:szCs w:val="20"/>
                <w:lang w:val="en-CA"/>
              </w:rPr>
            </w:pPr>
            <w:r w:rsidRPr="00572436">
              <w:rPr>
                <w:b/>
                <w:sz w:val="20"/>
                <w:szCs w:val="20"/>
                <w:lang w:val="en-CA"/>
              </w:rPr>
              <w:t>Approved</w:t>
            </w:r>
          </w:p>
        </w:tc>
        <w:tc>
          <w:tcPr>
            <w:tcW w:w="1260" w:type="dxa"/>
          </w:tcPr>
          <w:p w:rsidR="00C57806" w:rsidRPr="00572436" w:rsidRDefault="00C57806" w:rsidP="009A6AC4">
            <w:pPr>
              <w:jc w:val="center"/>
              <w:rPr>
                <w:b/>
                <w:sz w:val="20"/>
                <w:szCs w:val="20"/>
                <w:lang w:val="en-CA"/>
              </w:rPr>
            </w:pPr>
            <w:r w:rsidRPr="00572436">
              <w:rPr>
                <w:b/>
                <w:sz w:val="20"/>
                <w:szCs w:val="20"/>
                <w:lang w:val="en-CA"/>
              </w:rPr>
              <w:t>Disbursed</w:t>
            </w:r>
          </w:p>
        </w:tc>
        <w:tc>
          <w:tcPr>
            <w:tcW w:w="1126" w:type="dxa"/>
          </w:tcPr>
          <w:p w:rsidR="00C57806" w:rsidRPr="00572436" w:rsidRDefault="00C57806" w:rsidP="009A6AC4">
            <w:pPr>
              <w:jc w:val="center"/>
              <w:rPr>
                <w:b/>
                <w:sz w:val="20"/>
                <w:szCs w:val="20"/>
                <w:lang w:val="en-CA"/>
              </w:rPr>
            </w:pPr>
            <w:r w:rsidRPr="00572436">
              <w:rPr>
                <w:b/>
                <w:sz w:val="20"/>
                <w:szCs w:val="20"/>
                <w:lang w:val="en-CA"/>
              </w:rPr>
              <w:t>Approved</w:t>
            </w:r>
          </w:p>
        </w:tc>
        <w:tc>
          <w:tcPr>
            <w:tcW w:w="1282" w:type="dxa"/>
          </w:tcPr>
          <w:p w:rsidR="00C57806" w:rsidRPr="00572436" w:rsidRDefault="00C57806" w:rsidP="009A6AC4">
            <w:pPr>
              <w:jc w:val="center"/>
              <w:rPr>
                <w:b/>
                <w:sz w:val="20"/>
                <w:szCs w:val="20"/>
                <w:lang w:val="en-CA"/>
              </w:rPr>
            </w:pPr>
            <w:r w:rsidRPr="00572436">
              <w:rPr>
                <w:b/>
                <w:sz w:val="20"/>
                <w:szCs w:val="20"/>
                <w:lang w:val="en-CA"/>
              </w:rPr>
              <w:t>Disbursed</w:t>
            </w:r>
          </w:p>
        </w:tc>
        <w:tc>
          <w:tcPr>
            <w:tcW w:w="1278" w:type="dxa"/>
          </w:tcPr>
          <w:p w:rsidR="00C57806" w:rsidRPr="00572436" w:rsidRDefault="00C57806" w:rsidP="009A6AC4">
            <w:pPr>
              <w:jc w:val="center"/>
              <w:rPr>
                <w:b/>
                <w:sz w:val="20"/>
                <w:szCs w:val="20"/>
                <w:lang w:val="en-CA"/>
              </w:rPr>
            </w:pPr>
            <w:r w:rsidRPr="00572436">
              <w:rPr>
                <w:b/>
                <w:sz w:val="20"/>
                <w:szCs w:val="20"/>
                <w:lang w:val="en-CA"/>
              </w:rPr>
              <w:t>Approved</w:t>
            </w:r>
          </w:p>
        </w:tc>
        <w:tc>
          <w:tcPr>
            <w:tcW w:w="1282" w:type="dxa"/>
          </w:tcPr>
          <w:p w:rsidR="00C57806" w:rsidRPr="00572436" w:rsidRDefault="00C57806" w:rsidP="009A6AC4">
            <w:pPr>
              <w:jc w:val="center"/>
              <w:rPr>
                <w:b/>
                <w:sz w:val="20"/>
                <w:szCs w:val="20"/>
                <w:lang w:val="en-CA"/>
              </w:rPr>
            </w:pPr>
            <w:r w:rsidRPr="00572436">
              <w:rPr>
                <w:b/>
                <w:sz w:val="20"/>
                <w:szCs w:val="20"/>
                <w:lang w:val="en-CA"/>
              </w:rPr>
              <w:t>Disbursed</w:t>
            </w:r>
          </w:p>
        </w:tc>
      </w:tr>
      <w:tr w:rsidR="00C57806" w:rsidRPr="0049232D" w:rsidTr="007D7F76">
        <w:tc>
          <w:tcPr>
            <w:tcW w:w="2160" w:type="dxa"/>
          </w:tcPr>
          <w:p w:rsidR="00C57806" w:rsidRPr="0049232D" w:rsidRDefault="0049232D" w:rsidP="009A6AC4">
            <w:pPr>
              <w:jc w:val="left"/>
              <w:rPr>
                <w:sz w:val="20"/>
                <w:szCs w:val="20"/>
                <w:lang w:val="en-CA"/>
              </w:rPr>
            </w:pPr>
            <w:r>
              <w:rPr>
                <w:sz w:val="20"/>
                <w:szCs w:val="20"/>
                <w:lang w:val="en-CA"/>
              </w:rPr>
              <w:t>UN</w:t>
            </w:r>
            <w:r w:rsidR="0078269B">
              <w:rPr>
                <w:sz w:val="20"/>
                <w:szCs w:val="20"/>
                <w:lang w:val="en-CA"/>
              </w:rPr>
              <w:t xml:space="preserve"> Environment</w:t>
            </w:r>
          </w:p>
        </w:tc>
        <w:tc>
          <w:tcPr>
            <w:tcW w:w="1080" w:type="dxa"/>
          </w:tcPr>
          <w:p w:rsidR="00C57806" w:rsidRPr="0049232D" w:rsidRDefault="0049232D" w:rsidP="009A6AC4">
            <w:pPr>
              <w:jc w:val="right"/>
              <w:rPr>
                <w:sz w:val="20"/>
                <w:szCs w:val="20"/>
                <w:lang w:val="en-CA"/>
              </w:rPr>
            </w:pPr>
            <w:r>
              <w:rPr>
                <w:sz w:val="20"/>
                <w:szCs w:val="20"/>
                <w:lang w:val="en-CA"/>
              </w:rPr>
              <w:t>70,000</w:t>
            </w:r>
          </w:p>
        </w:tc>
        <w:tc>
          <w:tcPr>
            <w:tcW w:w="1260" w:type="dxa"/>
          </w:tcPr>
          <w:p w:rsidR="00C57806" w:rsidRPr="0049232D" w:rsidRDefault="00F134E0" w:rsidP="009A6AC4">
            <w:pPr>
              <w:jc w:val="right"/>
              <w:rPr>
                <w:sz w:val="20"/>
                <w:szCs w:val="20"/>
                <w:highlight w:val="cyan"/>
                <w:lang w:val="en-CA"/>
              </w:rPr>
            </w:pPr>
            <w:r w:rsidRPr="00F134E0">
              <w:rPr>
                <w:sz w:val="20"/>
                <w:szCs w:val="20"/>
                <w:lang w:val="en-CA"/>
              </w:rPr>
              <w:t>70,000</w:t>
            </w:r>
          </w:p>
        </w:tc>
        <w:tc>
          <w:tcPr>
            <w:tcW w:w="1126" w:type="dxa"/>
          </w:tcPr>
          <w:p w:rsidR="00C57806" w:rsidRPr="0049232D" w:rsidRDefault="0049232D" w:rsidP="009A6AC4">
            <w:pPr>
              <w:jc w:val="right"/>
              <w:rPr>
                <w:sz w:val="20"/>
                <w:szCs w:val="20"/>
                <w:lang w:val="en-CA"/>
              </w:rPr>
            </w:pPr>
            <w:r>
              <w:rPr>
                <w:sz w:val="20"/>
                <w:szCs w:val="20"/>
                <w:lang w:val="en-CA"/>
              </w:rPr>
              <w:t>45,000</w:t>
            </w:r>
          </w:p>
        </w:tc>
        <w:tc>
          <w:tcPr>
            <w:tcW w:w="1282" w:type="dxa"/>
          </w:tcPr>
          <w:p w:rsidR="00C57806" w:rsidRPr="004F4C68" w:rsidRDefault="000972FA" w:rsidP="009A6AC4">
            <w:pPr>
              <w:jc w:val="right"/>
              <w:rPr>
                <w:sz w:val="20"/>
                <w:szCs w:val="20"/>
                <w:lang w:val="en-CA"/>
              </w:rPr>
            </w:pPr>
            <w:r>
              <w:rPr>
                <w:sz w:val="20"/>
                <w:szCs w:val="20"/>
                <w:lang w:val="en-CA"/>
              </w:rPr>
              <w:t>4</w:t>
            </w:r>
            <w:r w:rsidR="004F4C68" w:rsidRPr="004F4C68">
              <w:rPr>
                <w:sz w:val="20"/>
                <w:szCs w:val="20"/>
                <w:lang w:val="en-CA"/>
              </w:rPr>
              <w:t>5,000</w:t>
            </w:r>
          </w:p>
        </w:tc>
        <w:tc>
          <w:tcPr>
            <w:tcW w:w="1278" w:type="dxa"/>
          </w:tcPr>
          <w:p w:rsidR="00C57806" w:rsidRPr="0049232D" w:rsidRDefault="0049232D" w:rsidP="009A6AC4">
            <w:pPr>
              <w:jc w:val="right"/>
              <w:rPr>
                <w:sz w:val="20"/>
                <w:szCs w:val="20"/>
                <w:lang w:val="en-CA"/>
              </w:rPr>
            </w:pPr>
            <w:r>
              <w:rPr>
                <w:sz w:val="20"/>
                <w:szCs w:val="20"/>
                <w:lang w:val="en-CA"/>
              </w:rPr>
              <w:t>115,000</w:t>
            </w:r>
          </w:p>
        </w:tc>
        <w:tc>
          <w:tcPr>
            <w:tcW w:w="1282" w:type="dxa"/>
          </w:tcPr>
          <w:p w:rsidR="00C57806" w:rsidRPr="0049232D" w:rsidRDefault="000972FA" w:rsidP="009A6AC4">
            <w:pPr>
              <w:jc w:val="right"/>
              <w:rPr>
                <w:sz w:val="20"/>
                <w:szCs w:val="20"/>
                <w:highlight w:val="cyan"/>
                <w:lang w:val="en-CA"/>
              </w:rPr>
            </w:pPr>
            <w:r w:rsidRPr="000972FA">
              <w:rPr>
                <w:sz w:val="20"/>
                <w:szCs w:val="20"/>
                <w:lang w:val="en-CA"/>
              </w:rPr>
              <w:t>115,000</w:t>
            </w:r>
          </w:p>
        </w:tc>
      </w:tr>
      <w:tr w:rsidR="00C57806" w:rsidRPr="00572436" w:rsidTr="007D7F76">
        <w:tc>
          <w:tcPr>
            <w:tcW w:w="2160" w:type="dxa"/>
          </w:tcPr>
          <w:p w:rsidR="00C57806" w:rsidRPr="0049232D" w:rsidRDefault="0049232D" w:rsidP="009A6AC4">
            <w:pPr>
              <w:jc w:val="left"/>
              <w:rPr>
                <w:sz w:val="20"/>
                <w:szCs w:val="20"/>
                <w:lang w:val="en-CA"/>
              </w:rPr>
            </w:pPr>
            <w:r>
              <w:rPr>
                <w:sz w:val="20"/>
                <w:szCs w:val="20"/>
                <w:lang w:val="en-CA"/>
              </w:rPr>
              <w:t>UNIDO</w:t>
            </w:r>
          </w:p>
        </w:tc>
        <w:tc>
          <w:tcPr>
            <w:tcW w:w="1080" w:type="dxa"/>
          </w:tcPr>
          <w:p w:rsidR="00C57806" w:rsidRPr="0049232D" w:rsidRDefault="0049232D" w:rsidP="009A6AC4">
            <w:pPr>
              <w:jc w:val="right"/>
              <w:rPr>
                <w:sz w:val="20"/>
                <w:szCs w:val="20"/>
                <w:lang w:val="en-CA"/>
              </w:rPr>
            </w:pPr>
            <w:r>
              <w:rPr>
                <w:sz w:val="20"/>
                <w:szCs w:val="20"/>
                <w:lang w:val="en-CA"/>
              </w:rPr>
              <w:t>200,000</w:t>
            </w:r>
          </w:p>
        </w:tc>
        <w:tc>
          <w:tcPr>
            <w:tcW w:w="1260" w:type="dxa"/>
          </w:tcPr>
          <w:p w:rsidR="00C57806" w:rsidRPr="0049232D" w:rsidRDefault="000B0E75" w:rsidP="009A6AC4">
            <w:pPr>
              <w:jc w:val="right"/>
              <w:rPr>
                <w:sz w:val="20"/>
                <w:szCs w:val="20"/>
                <w:highlight w:val="cyan"/>
                <w:lang w:val="en-CA"/>
              </w:rPr>
            </w:pPr>
            <w:r w:rsidRPr="000B0E75">
              <w:rPr>
                <w:sz w:val="20"/>
                <w:szCs w:val="20"/>
                <w:lang w:val="en-CA"/>
              </w:rPr>
              <w:t>175,649</w:t>
            </w:r>
          </w:p>
        </w:tc>
        <w:tc>
          <w:tcPr>
            <w:tcW w:w="1126" w:type="dxa"/>
          </w:tcPr>
          <w:p w:rsidR="00C57806" w:rsidRPr="0049232D" w:rsidRDefault="0049232D" w:rsidP="009A6AC4">
            <w:pPr>
              <w:jc w:val="right"/>
              <w:rPr>
                <w:sz w:val="20"/>
                <w:szCs w:val="20"/>
                <w:lang w:val="en-CA"/>
              </w:rPr>
            </w:pPr>
            <w:r>
              <w:rPr>
                <w:sz w:val="20"/>
                <w:szCs w:val="20"/>
                <w:lang w:val="en-CA"/>
              </w:rPr>
              <w:t>0</w:t>
            </w:r>
          </w:p>
        </w:tc>
        <w:tc>
          <w:tcPr>
            <w:tcW w:w="1282" w:type="dxa"/>
          </w:tcPr>
          <w:p w:rsidR="00C57806" w:rsidRPr="004F4C68" w:rsidRDefault="0049232D" w:rsidP="009A6AC4">
            <w:pPr>
              <w:jc w:val="right"/>
              <w:rPr>
                <w:sz w:val="20"/>
                <w:szCs w:val="20"/>
                <w:lang w:val="en-CA"/>
              </w:rPr>
            </w:pPr>
            <w:r w:rsidRPr="004F4C68">
              <w:rPr>
                <w:sz w:val="20"/>
                <w:szCs w:val="20"/>
                <w:lang w:val="en-CA"/>
              </w:rPr>
              <w:t>0</w:t>
            </w:r>
          </w:p>
        </w:tc>
        <w:tc>
          <w:tcPr>
            <w:tcW w:w="1278" w:type="dxa"/>
          </w:tcPr>
          <w:p w:rsidR="00C57806" w:rsidRPr="0049232D" w:rsidRDefault="0049232D" w:rsidP="009A6AC4">
            <w:pPr>
              <w:jc w:val="right"/>
              <w:rPr>
                <w:sz w:val="20"/>
                <w:szCs w:val="20"/>
                <w:lang w:val="en-CA"/>
              </w:rPr>
            </w:pPr>
            <w:r>
              <w:rPr>
                <w:sz w:val="20"/>
                <w:szCs w:val="20"/>
                <w:lang w:val="en-CA"/>
              </w:rPr>
              <w:t>200,000</w:t>
            </w:r>
          </w:p>
        </w:tc>
        <w:tc>
          <w:tcPr>
            <w:tcW w:w="1282" w:type="dxa"/>
          </w:tcPr>
          <w:p w:rsidR="00C57806" w:rsidRPr="0049232D" w:rsidRDefault="000B0E75" w:rsidP="009A6AC4">
            <w:pPr>
              <w:jc w:val="right"/>
              <w:rPr>
                <w:sz w:val="20"/>
                <w:szCs w:val="20"/>
                <w:highlight w:val="cyan"/>
                <w:lang w:val="en-CA"/>
              </w:rPr>
            </w:pPr>
            <w:r w:rsidRPr="000B0E75">
              <w:rPr>
                <w:sz w:val="20"/>
                <w:szCs w:val="20"/>
                <w:lang w:val="en-CA"/>
              </w:rPr>
              <w:t>175,649</w:t>
            </w:r>
          </w:p>
        </w:tc>
      </w:tr>
      <w:tr w:rsidR="00C57806" w:rsidRPr="00572436" w:rsidTr="007D7F76">
        <w:tc>
          <w:tcPr>
            <w:tcW w:w="2160" w:type="dxa"/>
          </w:tcPr>
          <w:p w:rsidR="00C57806" w:rsidRPr="000B0E75" w:rsidRDefault="00C57806" w:rsidP="009A6AC4">
            <w:pPr>
              <w:jc w:val="left"/>
              <w:rPr>
                <w:b/>
                <w:sz w:val="20"/>
                <w:szCs w:val="20"/>
                <w:lang w:val="en-CA"/>
              </w:rPr>
            </w:pPr>
            <w:r w:rsidRPr="000B0E75">
              <w:rPr>
                <w:b/>
                <w:sz w:val="20"/>
                <w:szCs w:val="20"/>
                <w:lang w:val="en-CA"/>
              </w:rPr>
              <w:t>Total</w:t>
            </w:r>
          </w:p>
        </w:tc>
        <w:tc>
          <w:tcPr>
            <w:tcW w:w="1080" w:type="dxa"/>
          </w:tcPr>
          <w:p w:rsidR="00C57806" w:rsidRPr="0049232D" w:rsidRDefault="0049232D" w:rsidP="009A6AC4">
            <w:pPr>
              <w:jc w:val="right"/>
              <w:rPr>
                <w:sz w:val="20"/>
                <w:szCs w:val="20"/>
                <w:lang w:val="en-CA"/>
              </w:rPr>
            </w:pPr>
            <w:r w:rsidRPr="0049232D">
              <w:rPr>
                <w:sz w:val="20"/>
                <w:szCs w:val="20"/>
                <w:lang w:val="en-CA"/>
              </w:rPr>
              <w:t>270,000</w:t>
            </w:r>
          </w:p>
        </w:tc>
        <w:tc>
          <w:tcPr>
            <w:tcW w:w="1260" w:type="dxa"/>
          </w:tcPr>
          <w:p w:rsidR="00C57806" w:rsidRPr="0049232D" w:rsidRDefault="000B0E75" w:rsidP="009A6AC4">
            <w:pPr>
              <w:jc w:val="right"/>
              <w:rPr>
                <w:sz w:val="20"/>
                <w:szCs w:val="20"/>
                <w:highlight w:val="cyan"/>
                <w:lang w:val="en-CA"/>
              </w:rPr>
            </w:pPr>
            <w:r w:rsidRPr="000B0E75">
              <w:rPr>
                <w:sz w:val="20"/>
                <w:szCs w:val="20"/>
                <w:lang w:val="en-CA"/>
              </w:rPr>
              <w:t>245,649</w:t>
            </w:r>
          </w:p>
        </w:tc>
        <w:tc>
          <w:tcPr>
            <w:tcW w:w="1126" w:type="dxa"/>
          </w:tcPr>
          <w:p w:rsidR="00C57806" w:rsidRPr="0049232D" w:rsidRDefault="0049232D" w:rsidP="009A6AC4">
            <w:pPr>
              <w:jc w:val="right"/>
              <w:rPr>
                <w:sz w:val="20"/>
                <w:szCs w:val="20"/>
                <w:lang w:val="en-CA"/>
              </w:rPr>
            </w:pPr>
            <w:r w:rsidRPr="0049232D">
              <w:rPr>
                <w:sz w:val="20"/>
                <w:szCs w:val="20"/>
                <w:lang w:val="en-CA"/>
              </w:rPr>
              <w:t>45,000</w:t>
            </w:r>
          </w:p>
        </w:tc>
        <w:tc>
          <w:tcPr>
            <w:tcW w:w="1282" w:type="dxa"/>
          </w:tcPr>
          <w:p w:rsidR="00C57806" w:rsidRPr="004F4C68" w:rsidRDefault="000972FA" w:rsidP="009A6AC4">
            <w:pPr>
              <w:jc w:val="right"/>
              <w:rPr>
                <w:sz w:val="20"/>
                <w:szCs w:val="20"/>
                <w:lang w:val="en-CA"/>
              </w:rPr>
            </w:pPr>
            <w:r>
              <w:rPr>
                <w:sz w:val="20"/>
                <w:szCs w:val="20"/>
                <w:lang w:val="en-CA"/>
              </w:rPr>
              <w:t>4</w:t>
            </w:r>
            <w:r w:rsidR="004F4C68" w:rsidRPr="004F4C68">
              <w:rPr>
                <w:sz w:val="20"/>
                <w:szCs w:val="20"/>
                <w:lang w:val="en-CA"/>
              </w:rPr>
              <w:t>5,000</w:t>
            </w:r>
          </w:p>
        </w:tc>
        <w:tc>
          <w:tcPr>
            <w:tcW w:w="1278" w:type="dxa"/>
          </w:tcPr>
          <w:p w:rsidR="00C57806" w:rsidRPr="0049232D" w:rsidRDefault="0049232D" w:rsidP="009A6AC4">
            <w:pPr>
              <w:jc w:val="right"/>
              <w:rPr>
                <w:sz w:val="20"/>
                <w:szCs w:val="20"/>
                <w:lang w:val="en-CA"/>
              </w:rPr>
            </w:pPr>
            <w:r>
              <w:rPr>
                <w:sz w:val="20"/>
                <w:szCs w:val="20"/>
                <w:lang w:val="en-CA"/>
              </w:rPr>
              <w:t>315,000</w:t>
            </w:r>
          </w:p>
        </w:tc>
        <w:tc>
          <w:tcPr>
            <w:tcW w:w="1282" w:type="dxa"/>
          </w:tcPr>
          <w:p w:rsidR="00C57806" w:rsidRPr="0049232D" w:rsidRDefault="000B0E75" w:rsidP="009A6AC4">
            <w:pPr>
              <w:jc w:val="right"/>
              <w:rPr>
                <w:sz w:val="20"/>
                <w:szCs w:val="20"/>
                <w:highlight w:val="cyan"/>
                <w:lang w:val="en-CA"/>
              </w:rPr>
            </w:pPr>
            <w:r w:rsidRPr="000B0E75">
              <w:rPr>
                <w:sz w:val="20"/>
                <w:szCs w:val="20"/>
                <w:lang w:val="en-CA"/>
              </w:rPr>
              <w:t>290,649</w:t>
            </w:r>
          </w:p>
        </w:tc>
      </w:tr>
      <w:tr w:rsidR="00C57806" w:rsidRPr="00572436" w:rsidTr="002D55A5">
        <w:tc>
          <w:tcPr>
            <w:tcW w:w="2160" w:type="dxa"/>
            <w:tcMar>
              <w:left w:w="115" w:type="dxa"/>
              <w:right w:w="0" w:type="dxa"/>
            </w:tcMar>
          </w:tcPr>
          <w:p w:rsidR="00C57806" w:rsidRPr="000B0E75" w:rsidRDefault="00C57806" w:rsidP="009A6AC4">
            <w:pPr>
              <w:jc w:val="left"/>
              <w:rPr>
                <w:b/>
                <w:sz w:val="20"/>
                <w:szCs w:val="20"/>
                <w:lang w:val="en-CA"/>
              </w:rPr>
            </w:pPr>
            <w:r w:rsidRPr="000B0E75">
              <w:rPr>
                <w:b/>
                <w:sz w:val="20"/>
                <w:szCs w:val="20"/>
                <w:lang w:val="en-CA"/>
              </w:rPr>
              <w:t>Disbursement rate (%)</w:t>
            </w:r>
          </w:p>
        </w:tc>
        <w:tc>
          <w:tcPr>
            <w:tcW w:w="2340" w:type="dxa"/>
            <w:gridSpan w:val="2"/>
          </w:tcPr>
          <w:p w:rsidR="00C57806" w:rsidRPr="00572436" w:rsidRDefault="000B0E75" w:rsidP="009A6AC4">
            <w:pPr>
              <w:jc w:val="right"/>
              <w:rPr>
                <w:sz w:val="20"/>
                <w:szCs w:val="20"/>
                <w:highlight w:val="cyan"/>
                <w:lang w:val="en-CA"/>
              </w:rPr>
            </w:pPr>
            <w:r w:rsidRPr="000B0E75">
              <w:rPr>
                <w:sz w:val="20"/>
                <w:szCs w:val="20"/>
                <w:lang w:val="en-CA"/>
              </w:rPr>
              <w:t>91</w:t>
            </w:r>
            <w:r w:rsidR="002D55A5">
              <w:rPr>
                <w:sz w:val="20"/>
                <w:szCs w:val="20"/>
                <w:lang w:val="en-CA"/>
              </w:rPr>
              <w:t>.0</w:t>
            </w:r>
          </w:p>
        </w:tc>
        <w:tc>
          <w:tcPr>
            <w:tcW w:w="2408" w:type="dxa"/>
            <w:gridSpan w:val="2"/>
          </w:tcPr>
          <w:p w:rsidR="00C57806" w:rsidRPr="004F4C68" w:rsidRDefault="000972FA" w:rsidP="009A6AC4">
            <w:pPr>
              <w:jc w:val="right"/>
              <w:rPr>
                <w:sz w:val="20"/>
                <w:szCs w:val="20"/>
                <w:lang w:val="en-CA"/>
              </w:rPr>
            </w:pPr>
            <w:r>
              <w:rPr>
                <w:sz w:val="20"/>
                <w:szCs w:val="20"/>
                <w:lang w:val="en-CA"/>
              </w:rPr>
              <w:t>100</w:t>
            </w:r>
            <w:r w:rsidR="002D55A5">
              <w:rPr>
                <w:sz w:val="20"/>
                <w:szCs w:val="20"/>
                <w:lang w:val="en-CA"/>
              </w:rPr>
              <w:t>.0</w:t>
            </w:r>
          </w:p>
        </w:tc>
        <w:tc>
          <w:tcPr>
            <w:tcW w:w="2560" w:type="dxa"/>
            <w:gridSpan w:val="2"/>
          </w:tcPr>
          <w:p w:rsidR="00C57806" w:rsidRPr="00572436" w:rsidRDefault="000B0E75" w:rsidP="009A6AC4">
            <w:pPr>
              <w:jc w:val="right"/>
              <w:rPr>
                <w:sz w:val="20"/>
                <w:szCs w:val="20"/>
                <w:highlight w:val="cyan"/>
                <w:lang w:val="en-CA"/>
              </w:rPr>
            </w:pPr>
            <w:r w:rsidRPr="000B0E75">
              <w:rPr>
                <w:sz w:val="20"/>
                <w:szCs w:val="20"/>
                <w:lang w:val="en-CA"/>
              </w:rPr>
              <w:t>92.3</w:t>
            </w:r>
          </w:p>
        </w:tc>
      </w:tr>
    </w:tbl>
    <w:p w:rsidR="00C57806" w:rsidRPr="00572436" w:rsidRDefault="00C57806" w:rsidP="009A6AC4">
      <w:pPr>
        <w:rPr>
          <w:lang w:val="en-CA"/>
        </w:rPr>
      </w:pPr>
    </w:p>
    <w:p w:rsidR="00C57806" w:rsidRPr="00572436" w:rsidRDefault="00C57806" w:rsidP="009A6AC4">
      <w:pPr>
        <w:rPr>
          <w:u w:val="single"/>
          <w:lang w:val="en-CA"/>
        </w:rPr>
      </w:pPr>
      <w:r w:rsidRPr="00572436">
        <w:rPr>
          <w:u w:val="single"/>
          <w:lang w:val="en-CA"/>
        </w:rPr>
        <w:t>Implementation plan for the</w:t>
      </w:r>
      <w:r w:rsidR="004856C3">
        <w:rPr>
          <w:u w:val="single"/>
          <w:lang w:val="en-CA"/>
        </w:rPr>
        <w:t xml:space="preserve"> third</w:t>
      </w:r>
      <w:r w:rsidRPr="00572436">
        <w:rPr>
          <w:u w:val="single"/>
          <w:lang w:val="en-CA"/>
        </w:rPr>
        <w:t xml:space="preserve"> tranche of the HPMP</w:t>
      </w:r>
    </w:p>
    <w:p w:rsidR="00C57806" w:rsidRPr="00572436" w:rsidRDefault="00C57806" w:rsidP="009A6AC4">
      <w:pPr>
        <w:rPr>
          <w:u w:val="single"/>
          <w:lang w:val="en-CA"/>
        </w:rPr>
      </w:pPr>
    </w:p>
    <w:p w:rsidR="00C57806" w:rsidRPr="00FD5F09" w:rsidRDefault="00C57806" w:rsidP="009A6AC4">
      <w:pPr>
        <w:pStyle w:val="Heading1"/>
        <w:rPr>
          <w:lang w:val="en-CA"/>
        </w:rPr>
      </w:pPr>
      <w:r w:rsidRPr="00FD5F09">
        <w:rPr>
          <w:lang w:val="en-CA"/>
        </w:rPr>
        <w:t>The</w:t>
      </w:r>
      <w:r w:rsidR="004856C3" w:rsidRPr="00FD5F09">
        <w:rPr>
          <w:lang w:val="en-CA"/>
        </w:rPr>
        <w:t xml:space="preserve"> </w:t>
      </w:r>
      <w:r w:rsidR="006134A1">
        <w:rPr>
          <w:lang w:val="en-CA"/>
        </w:rPr>
        <w:t xml:space="preserve">following activities </w:t>
      </w:r>
      <w:r w:rsidRPr="00FD5F09">
        <w:rPr>
          <w:lang w:val="en-CA"/>
        </w:rPr>
        <w:t xml:space="preserve">will be implemented between </w:t>
      </w:r>
      <w:r w:rsidR="003D40C0" w:rsidRPr="00FD5F09">
        <w:rPr>
          <w:lang w:val="en-CA"/>
        </w:rPr>
        <w:t>2017</w:t>
      </w:r>
      <w:r w:rsidRPr="00FD5F09">
        <w:rPr>
          <w:lang w:val="en-CA"/>
        </w:rPr>
        <w:t xml:space="preserve"> and </w:t>
      </w:r>
      <w:r w:rsidR="003D40C0" w:rsidRPr="00FD5F09">
        <w:rPr>
          <w:lang w:val="en-CA"/>
        </w:rPr>
        <w:t>2019</w:t>
      </w:r>
      <w:r w:rsidR="009460A2" w:rsidRPr="00FD5F09">
        <w:rPr>
          <w:lang w:val="en-CA"/>
        </w:rPr>
        <w:t>:</w:t>
      </w:r>
    </w:p>
    <w:p w:rsidR="00F30096" w:rsidRPr="006F7D75" w:rsidRDefault="00F30096" w:rsidP="0032480E">
      <w:pPr>
        <w:pStyle w:val="Heading2"/>
        <w:rPr>
          <w:lang w:val="en-CA"/>
        </w:rPr>
      </w:pPr>
      <w:r w:rsidRPr="00FD5F09">
        <w:rPr>
          <w:lang w:val="en-CA"/>
        </w:rPr>
        <w:t xml:space="preserve">Further training of </w:t>
      </w:r>
      <w:r w:rsidRPr="00FD5F09">
        <w:t xml:space="preserve">150 </w:t>
      </w:r>
      <w:r w:rsidR="001360F0" w:rsidRPr="00FD5F09">
        <w:t>refrigeration</w:t>
      </w:r>
      <w:r w:rsidRPr="00FD5F09">
        <w:t xml:space="preserve"> technicians on good </w:t>
      </w:r>
      <w:r w:rsidR="006134A1">
        <w:t xml:space="preserve">refrigeration service </w:t>
      </w:r>
      <w:r w:rsidRPr="00FD5F09">
        <w:t xml:space="preserve">practices, </w:t>
      </w:r>
      <w:r w:rsidR="006134A1">
        <w:t xml:space="preserve">including </w:t>
      </w:r>
      <w:r w:rsidRPr="00FD5F09">
        <w:t xml:space="preserve">recovery and recycling and safe handling of </w:t>
      </w:r>
      <w:r w:rsidR="00E52877">
        <w:t>HC</w:t>
      </w:r>
      <w:r w:rsidRPr="00FD5F09">
        <w:t xml:space="preserve"> refrigerants</w:t>
      </w:r>
      <w:r w:rsidR="006134A1">
        <w:t>,</w:t>
      </w:r>
      <w:r w:rsidRPr="00FD5F09">
        <w:t xml:space="preserve"> and </w:t>
      </w:r>
      <w:r w:rsidRPr="00FD5F09">
        <w:rPr>
          <w:rFonts w:eastAsia="Calibri"/>
          <w:lang w:eastAsia="ja-JP"/>
        </w:rPr>
        <w:t>upgrad</w:t>
      </w:r>
      <w:r w:rsidR="001360F0" w:rsidRPr="00FD5F09">
        <w:rPr>
          <w:rFonts w:eastAsia="Calibri"/>
          <w:lang w:eastAsia="ja-JP"/>
        </w:rPr>
        <w:t>e</w:t>
      </w:r>
      <w:r w:rsidRPr="00FD5F09">
        <w:rPr>
          <w:rFonts w:eastAsia="Calibri"/>
          <w:lang w:eastAsia="ja-JP"/>
        </w:rPr>
        <w:t xml:space="preserve"> of the training </w:t>
      </w:r>
      <w:r w:rsidRPr="006F7D75">
        <w:rPr>
          <w:rFonts w:eastAsia="Calibri"/>
          <w:lang w:eastAsia="ja-JP"/>
        </w:rPr>
        <w:t>manuals</w:t>
      </w:r>
      <w:r w:rsidR="0032480E">
        <w:rPr>
          <w:rFonts w:eastAsia="Calibri"/>
          <w:lang w:eastAsia="ja-JP"/>
        </w:rPr>
        <w:t xml:space="preserve"> including on</w:t>
      </w:r>
      <w:r w:rsidR="0032480E" w:rsidRPr="0032480E">
        <w:rPr>
          <w:rFonts w:eastAsia="Calibri"/>
          <w:lang w:eastAsia="ja-JP"/>
        </w:rPr>
        <w:t xml:space="preserve"> best practices and techniques in managing and handling </w:t>
      </w:r>
      <w:r w:rsidR="0032480E">
        <w:rPr>
          <w:rFonts w:eastAsia="Calibri"/>
          <w:lang w:eastAsia="ja-JP"/>
        </w:rPr>
        <w:t xml:space="preserve">low-GWP refrigerants </w:t>
      </w:r>
      <w:r w:rsidRPr="006F7D75">
        <w:rPr>
          <w:rFonts w:eastAsia="Calibri"/>
          <w:lang w:eastAsia="ja-JP"/>
        </w:rPr>
        <w:t xml:space="preserve"> </w:t>
      </w:r>
      <w:r w:rsidR="0078269B">
        <w:t>(UN Environment</w:t>
      </w:r>
      <w:r w:rsidR="00227DF9" w:rsidRPr="006F7D75">
        <w:t xml:space="preserve">) </w:t>
      </w:r>
      <w:r w:rsidRPr="006F7D75">
        <w:rPr>
          <w:lang w:val="en-CA"/>
        </w:rPr>
        <w:t>(</w:t>
      </w:r>
      <w:r w:rsidR="001A2151">
        <w:rPr>
          <w:lang w:val="en-CA"/>
        </w:rPr>
        <w:t>US $</w:t>
      </w:r>
      <w:r w:rsidRPr="006F7D75">
        <w:rPr>
          <w:lang w:val="en-CA"/>
        </w:rPr>
        <w:t>25,000);</w:t>
      </w:r>
    </w:p>
    <w:p w:rsidR="008909D0" w:rsidRPr="006F7D75" w:rsidRDefault="008909D0" w:rsidP="00AD44D3">
      <w:pPr>
        <w:pStyle w:val="Heading2"/>
        <w:rPr>
          <w:lang w:val="en-CA"/>
        </w:rPr>
      </w:pPr>
      <w:r w:rsidRPr="006F7D75">
        <w:rPr>
          <w:lang w:val="en-CA"/>
        </w:rPr>
        <w:t xml:space="preserve">Further training of 80 customs and enforcement officers on the identification </w:t>
      </w:r>
      <w:r w:rsidR="005B3DB5">
        <w:rPr>
          <w:lang w:val="en-CA"/>
        </w:rPr>
        <w:t>of</w:t>
      </w:r>
      <w:r w:rsidR="005B3DB5" w:rsidRPr="005B3DB5">
        <w:rPr>
          <w:lang w:val="en-CA"/>
        </w:rPr>
        <w:t xml:space="preserve"> HCFCs, HFCs, </w:t>
      </w:r>
      <w:r w:rsidR="005B3DB5">
        <w:rPr>
          <w:lang w:val="en-CA"/>
        </w:rPr>
        <w:t>HCs</w:t>
      </w:r>
      <w:r w:rsidR="005B3DB5" w:rsidRPr="005B3DB5">
        <w:rPr>
          <w:lang w:val="en-CA"/>
        </w:rPr>
        <w:t xml:space="preserve"> or </w:t>
      </w:r>
      <w:r w:rsidR="00AD44D3">
        <w:rPr>
          <w:lang w:val="en-CA"/>
        </w:rPr>
        <w:t xml:space="preserve">their </w:t>
      </w:r>
      <w:r w:rsidR="005B3DB5" w:rsidRPr="005B3DB5">
        <w:rPr>
          <w:lang w:val="en-CA"/>
        </w:rPr>
        <w:t xml:space="preserve">mixtures </w:t>
      </w:r>
      <w:r w:rsidRPr="006F7D75">
        <w:rPr>
          <w:lang w:val="en-CA"/>
        </w:rPr>
        <w:t xml:space="preserve">and </w:t>
      </w:r>
      <w:r w:rsidR="00AD44D3" w:rsidRPr="00AD44D3">
        <w:t xml:space="preserve"> </w:t>
      </w:r>
      <w:r w:rsidR="00AD44D3" w:rsidRPr="00AD44D3">
        <w:rPr>
          <w:lang w:val="en-CA"/>
        </w:rPr>
        <w:t xml:space="preserve">on the licensing and quota system </w:t>
      </w:r>
      <w:r w:rsidR="00AD44D3">
        <w:rPr>
          <w:lang w:val="en-CA"/>
        </w:rPr>
        <w:t xml:space="preserve">to </w:t>
      </w:r>
      <w:r w:rsidR="005B3DB5">
        <w:rPr>
          <w:lang w:val="en-CA"/>
        </w:rPr>
        <w:t xml:space="preserve">control illegal </w:t>
      </w:r>
      <w:r w:rsidR="00AD44D3">
        <w:rPr>
          <w:lang w:val="en-CA"/>
        </w:rPr>
        <w:t xml:space="preserve">ODS </w:t>
      </w:r>
      <w:r w:rsidR="005B3DB5">
        <w:rPr>
          <w:lang w:val="en-CA"/>
        </w:rPr>
        <w:t>trade</w:t>
      </w:r>
      <w:r w:rsidR="00227DF9" w:rsidRPr="006F7D75">
        <w:rPr>
          <w:lang w:val="en-CA"/>
        </w:rPr>
        <w:t xml:space="preserve"> </w:t>
      </w:r>
      <w:r w:rsidR="0078269B">
        <w:t>(UN Environment</w:t>
      </w:r>
      <w:r w:rsidR="00227DF9" w:rsidRPr="006F7D75">
        <w:t xml:space="preserve">) </w:t>
      </w:r>
      <w:r w:rsidRPr="006F7D75">
        <w:rPr>
          <w:lang w:val="en-CA"/>
        </w:rPr>
        <w:t>(</w:t>
      </w:r>
      <w:r w:rsidR="001A2151">
        <w:rPr>
          <w:lang w:val="en-CA"/>
        </w:rPr>
        <w:t>US $</w:t>
      </w:r>
      <w:r w:rsidRPr="006F7D75">
        <w:rPr>
          <w:lang w:val="en-CA"/>
        </w:rPr>
        <w:t>25,000);</w:t>
      </w:r>
    </w:p>
    <w:p w:rsidR="00AA4968" w:rsidRPr="00787584" w:rsidRDefault="009633FC" w:rsidP="003B459D">
      <w:pPr>
        <w:pStyle w:val="Heading2"/>
        <w:rPr>
          <w:lang w:val="en-CA"/>
        </w:rPr>
      </w:pPr>
      <w:r>
        <w:rPr>
          <w:lang w:val="en-CA"/>
        </w:rPr>
        <w:t>Payment of</w:t>
      </w:r>
      <w:r w:rsidR="00D43CE2" w:rsidRPr="006F7D75">
        <w:rPr>
          <w:lang w:val="en-CA"/>
        </w:rPr>
        <w:t xml:space="preserve"> incentives </w:t>
      </w:r>
      <w:r w:rsidR="00340EC7" w:rsidRPr="006F7D75">
        <w:t xml:space="preserve">to two or three commercial facilities to convert refrigeration </w:t>
      </w:r>
      <w:r w:rsidR="00340EC7" w:rsidRPr="00787584">
        <w:t>systems</w:t>
      </w:r>
      <w:r w:rsidR="007448A0">
        <w:t xml:space="preserve"> from HCFC-22 to low-</w:t>
      </w:r>
      <w:r w:rsidR="005B03A7" w:rsidRPr="00787584">
        <w:t>GWP alternative</w:t>
      </w:r>
      <w:r w:rsidR="007A3762" w:rsidRPr="00787584">
        <w:t xml:space="preserve"> (</w:t>
      </w:r>
      <w:r w:rsidR="001A2151">
        <w:t>US $</w:t>
      </w:r>
      <w:r w:rsidR="007A3762" w:rsidRPr="00787584">
        <w:t>90,000)</w:t>
      </w:r>
      <w:r w:rsidR="00340EC7" w:rsidRPr="00787584">
        <w:t xml:space="preserve">; </w:t>
      </w:r>
      <w:r w:rsidR="00340EC7" w:rsidRPr="00787584">
        <w:rPr>
          <w:szCs w:val="24"/>
        </w:rPr>
        <w:t xml:space="preserve">procurement </w:t>
      </w:r>
      <w:r w:rsidR="006C3F99" w:rsidRPr="00787584">
        <w:rPr>
          <w:szCs w:val="24"/>
        </w:rPr>
        <w:t xml:space="preserve">of </w:t>
      </w:r>
      <w:r w:rsidR="00DA7316" w:rsidRPr="00787584">
        <w:rPr>
          <w:szCs w:val="24"/>
        </w:rPr>
        <w:t xml:space="preserve">additional </w:t>
      </w:r>
      <w:r w:rsidR="00B03DDE">
        <w:rPr>
          <w:szCs w:val="24"/>
        </w:rPr>
        <w:t xml:space="preserve">refrigeration and </w:t>
      </w:r>
      <w:r w:rsidR="007D7F76">
        <w:rPr>
          <w:szCs w:val="24"/>
        </w:rPr>
        <w:t>AC</w:t>
      </w:r>
      <w:r w:rsidR="00DA7316" w:rsidRPr="00787584">
        <w:rPr>
          <w:szCs w:val="24"/>
        </w:rPr>
        <w:t xml:space="preserve"> equipment</w:t>
      </w:r>
      <w:r w:rsidR="00E51AD3">
        <w:rPr>
          <w:szCs w:val="24"/>
        </w:rPr>
        <w:t>, including refrigerant analysers, recovery machine</w:t>
      </w:r>
      <w:r w:rsidR="00B86EBE">
        <w:rPr>
          <w:szCs w:val="24"/>
        </w:rPr>
        <w:t xml:space="preserve">s and cylinders, </w:t>
      </w:r>
      <w:r w:rsidR="00E51AD3">
        <w:rPr>
          <w:szCs w:val="24"/>
        </w:rPr>
        <w:t>leak detectors</w:t>
      </w:r>
      <w:r w:rsidR="00B86EBE">
        <w:rPr>
          <w:szCs w:val="24"/>
        </w:rPr>
        <w:t>, vacuum pumps</w:t>
      </w:r>
      <w:r w:rsidR="00E51AD3">
        <w:rPr>
          <w:szCs w:val="24"/>
        </w:rPr>
        <w:t xml:space="preserve"> and other tools</w:t>
      </w:r>
      <w:r w:rsidR="006C3F99" w:rsidRPr="00787584">
        <w:rPr>
          <w:szCs w:val="24"/>
        </w:rPr>
        <w:t xml:space="preserve"> (</w:t>
      </w:r>
      <w:r w:rsidR="001A2151">
        <w:rPr>
          <w:szCs w:val="24"/>
        </w:rPr>
        <w:t>US $</w:t>
      </w:r>
      <w:r w:rsidR="006C3F99" w:rsidRPr="00787584">
        <w:rPr>
          <w:szCs w:val="24"/>
        </w:rPr>
        <w:t>30,000)</w:t>
      </w:r>
      <w:r w:rsidR="00340EC7" w:rsidRPr="00787584">
        <w:rPr>
          <w:szCs w:val="24"/>
        </w:rPr>
        <w:t xml:space="preserve">; and </w:t>
      </w:r>
      <w:r w:rsidR="004134FA" w:rsidRPr="00787584">
        <w:t>development</w:t>
      </w:r>
      <w:r w:rsidR="00340EC7" w:rsidRPr="00787584">
        <w:t xml:space="preserve"> of guidelines</w:t>
      </w:r>
      <w:r w:rsidR="00CA0D71">
        <w:t xml:space="preserve">, taking into account international experience, </w:t>
      </w:r>
      <w:r w:rsidR="00340EC7" w:rsidRPr="00787584">
        <w:t xml:space="preserve">for </w:t>
      </w:r>
      <w:r w:rsidR="00590237">
        <w:t>installation and servicing</w:t>
      </w:r>
      <w:r w:rsidR="00590237" w:rsidRPr="00590237">
        <w:t xml:space="preserve"> </w:t>
      </w:r>
      <w:r w:rsidR="007448A0">
        <w:t>of HC</w:t>
      </w:r>
      <w:r w:rsidR="00340EC7" w:rsidRPr="00787584">
        <w:t>-290</w:t>
      </w:r>
      <w:r w:rsidR="007C43BC">
        <w:t>-</w:t>
      </w:r>
      <w:r w:rsidR="00590237">
        <w:t>based equipment</w:t>
      </w:r>
      <w:r w:rsidR="003905F2">
        <w:t>,</w:t>
      </w:r>
      <w:r w:rsidR="003B459D" w:rsidRPr="003B459D">
        <w:t xml:space="preserve"> </w:t>
      </w:r>
      <w:r w:rsidR="003B459D">
        <w:t>including</w:t>
      </w:r>
      <w:r w:rsidR="003B459D" w:rsidRPr="003B459D">
        <w:t xml:space="preserve"> maximum </w:t>
      </w:r>
      <w:r w:rsidR="00717DC4">
        <w:t xml:space="preserve">refrigerant </w:t>
      </w:r>
      <w:r w:rsidR="003B459D" w:rsidRPr="003B459D">
        <w:t xml:space="preserve">charge, room area limits, and specific requirements for </w:t>
      </w:r>
      <w:r w:rsidR="00CA0D71">
        <w:t>AC</w:t>
      </w:r>
      <w:r w:rsidR="003B459D" w:rsidRPr="003B459D">
        <w:t xml:space="preserve"> equipment operating with HCs</w:t>
      </w:r>
      <w:r w:rsidR="00CA0D71">
        <w:t xml:space="preserve"> </w:t>
      </w:r>
      <w:r w:rsidR="00340EC7" w:rsidRPr="00787584">
        <w:t>and replacem</w:t>
      </w:r>
      <w:r w:rsidR="007448A0">
        <w:t xml:space="preserve">ent of </w:t>
      </w:r>
      <w:r w:rsidR="00236FC8">
        <w:t xml:space="preserve"> the air-conditioning equipment</w:t>
      </w:r>
      <w:r w:rsidR="0047159E">
        <w:t xml:space="preserve"> in a government owned or commercial building</w:t>
      </w:r>
      <w:r w:rsidR="00236FC8">
        <w:t xml:space="preserve"> </w:t>
      </w:r>
      <w:r w:rsidR="007448A0">
        <w:t xml:space="preserve">in Togo with </w:t>
      </w:r>
      <w:r w:rsidR="00E217AA">
        <w:t xml:space="preserve">approximately </w:t>
      </w:r>
      <w:r w:rsidR="0047159E">
        <w:t xml:space="preserve">40 to 50 </w:t>
      </w:r>
      <w:r w:rsidR="007448A0">
        <w:t>HC</w:t>
      </w:r>
      <w:r w:rsidR="007D7F76">
        <w:noBreakHyphen/>
      </w:r>
      <w:r w:rsidR="00340EC7" w:rsidRPr="00787584">
        <w:t xml:space="preserve">290 </w:t>
      </w:r>
      <w:r w:rsidR="007D7F76">
        <w:t>AC</w:t>
      </w:r>
      <w:r w:rsidR="00B03DDE">
        <w:t xml:space="preserve"> units</w:t>
      </w:r>
      <w:r w:rsidR="0047159E">
        <w:t xml:space="preserve"> purchased from previously used suppliers in China and India</w:t>
      </w:r>
      <w:r w:rsidR="009422FA" w:rsidRPr="00787584">
        <w:t xml:space="preserve"> </w:t>
      </w:r>
      <w:r w:rsidR="009D6FD3">
        <w:t xml:space="preserve">(UNIDO) </w:t>
      </w:r>
      <w:r w:rsidR="009422FA" w:rsidRPr="00787584">
        <w:rPr>
          <w:szCs w:val="24"/>
        </w:rPr>
        <w:t>(</w:t>
      </w:r>
      <w:r w:rsidR="001A2151">
        <w:rPr>
          <w:szCs w:val="24"/>
        </w:rPr>
        <w:t>US $</w:t>
      </w:r>
      <w:r w:rsidR="009422FA" w:rsidRPr="00787584">
        <w:rPr>
          <w:szCs w:val="24"/>
        </w:rPr>
        <w:t>30,000)</w:t>
      </w:r>
      <w:r w:rsidR="00AA4968" w:rsidRPr="00787584">
        <w:t>; and</w:t>
      </w:r>
    </w:p>
    <w:p w:rsidR="0047159E" w:rsidRPr="00F80B7A" w:rsidRDefault="00A34BD1" w:rsidP="003B459D">
      <w:pPr>
        <w:pStyle w:val="Heading2"/>
        <w:rPr>
          <w:szCs w:val="24"/>
        </w:rPr>
      </w:pPr>
      <w:r w:rsidRPr="00787584">
        <w:rPr>
          <w:szCs w:val="24"/>
        </w:rPr>
        <w:t xml:space="preserve">Monitoring and evaluation of the </w:t>
      </w:r>
      <w:r w:rsidR="0078269B">
        <w:rPr>
          <w:szCs w:val="24"/>
        </w:rPr>
        <w:t>implementation of the HPMP (UN Environment</w:t>
      </w:r>
      <w:r w:rsidRPr="00787584">
        <w:rPr>
          <w:szCs w:val="24"/>
        </w:rPr>
        <w:t>) (</w:t>
      </w:r>
      <w:r w:rsidR="001A2151">
        <w:rPr>
          <w:szCs w:val="24"/>
        </w:rPr>
        <w:t>US $</w:t>
      </w:r>
      <w:r w:rsidRPr="00787584">
        <w:rPr>
          <w:szCs w:val="24"/>
        </w:rPr>
        <w:t>12,000).</w:t>
      </w:r>
    </w:p>
    <w:p w:rsidR="00C57806" w:rsidRPr="00572436" w:rsidRDefault="00C57806" w:rsidP="009A6AC4">
      <w:pPr>
        <w:keepNext/>
        <w:keepLines/>
        <w:jc w:val="center"/>
        <w:rPr>
          <w:b/>
          <w:lang w:val="en-CA"/>
        </w:rPr>
      </w:pPr>
      <w:r w:rsidRPr="00572436">
        <w:rPr>
          <w:b/>
          <w:lang w:val="en-CA"/>
        </w:rPr>
        <w:lastRenderedPageBreak/>
        <w:t>SECRETARIAT’S COMMENTS AND RECOMMENDATION</w:t>
      </w:r>
    </w:p>
    <w:p w:rsidR="00C57806" w:rsidRPr="00572436" w:rsidRDefault="00C57806" w:rsidP="009A6AC4">
      <w:pPr>
        <w:keepNext/>
        <w:keepLines/>
        <w:jc w:val="center"/>
        <w:rPr>
          <w:b/>
          <w:lang w:val="en-CA"/>
        </w:rPr>
      </w:pPr>
    </w:p>
    <w:p w:rsidR="00C57806" w:rsidRPr="00572436" w:rsidRDefault="00C57806" w:rsidP="009A6AC4">
      <w:pPr>
        <w:keepNext/>
        <w:keepLines/>
        <w:rPr>
          <w:b/>
          <w:lang w:val="en-CA"/>
        </w:rPr>
      </w:pPr>
      <w:r w:rsidRPr="00572436">
        <w:rPr>
          <w:b/>
          <w:lang w:val="en-CA"/>
        </w:rPr>
        <w:t>COMMENTS</w:t>
      </w:r>
    </w:p>
    <w:p w:rsidR="00C57806" w:rsidRPr="00572436" w:rsidRDefault="00C57806" w:rsidP="009A6AC4">
      <w:pPr>
        <w:keepNext/>
        <w:keepLines/>
        <w:rPr>
          <w:lang w:val="en-CA"/>
        </w:rPr>
      </w:pPr>
    </w:p>
    <w:p w:rsidR="00C57806" w:rsidRPr="00572436" w:rsidRDefault="00C57806" w:rsidP="009A6AC4">
      <w:pPr>
        <w:keepNext/>
        <w:keepLines/>
        <w:rPr>
          <w:u w:val="single"/>
          <w:lang w:val="en-CA"/>
        </w:rPr>
      </w:pPr>
      <w:r w:rsidRPr="00572436">
        <w:rPr>
          <w:u w:val="single"/>
          <w:lang w:val="en-CA"/>
        </w:rPr>
        <w:t xml:space="preserve">Progress report on the implementation of the </w:t>
      </w:r>
      <w:r w:rsidR="004856C3">
        <w:rPr>
          <w:u w:val="single"/>
          <w:lang w:val="en-CA"/>
        </w:rPr>
        <w:t>second</w:t>
      </w:r>
      <w:r w:rsidRPr="00572436">
        <w:rPr>
          <w:u w:val="single"/>
          <w:lang w:val="en-CA"/>
        </w:rPr>
        <w:t xml:space="preserve"> tranche of the HPMP</w:t>
      </w:r>
    </w:p>
    <w:p w:rsidR="00C57806" w:rsidRDefault="00C57806" w:rsidP="009A6AC4">
      <w:pPr>
        <w:keepNext/>
        <w:keepLines/>
        <w:rPr>
          <w:lang w:val="en-CA"/>
        </w:rPr>
      </w:pPr>
    </w:p>
    <w:p w:rsidR="000B1F68" w:rsidRPr="00E454E3" w:rsidRDefault="000B1F68" w:rsidP="009A6AC4">
      <w:pPr>
        <w:pStyle w:val="Heading1"/>
        <w:keepNext/>
        <w:keepLines/>
        <w:rPr>
          <w:lang w:val="en-CA"/>
        </w:rPr>
      </w:pPr>
      <w:r w:rsidRPr="00C96D60">
        <w:rPr>
          <w:lang w:val="en-CA"/>
        </w:rPr>
        <w:t xml:space="preserve">The request for the third tranche </w:t>
      </w:r>
      <w:r w:rsidR="00236FC8">
        <w:rPr>
          <w:lang w:val="en-CA"/>
        </w:rPr>
        <w:t xml:space="preserve">of the HPMP </w:t>
      </w:r>
      <w:r w:rsidR="00EB0FC7">
        <w:rPr>
          <w:lang w:val="en-CA"/>
        </w:rPr>
        <w:t>was expected to be</w:t>
      </w:r>
      <w:r w:rsidR="00236FC8">
        <w:rPr>
          <w:lang w:val="en-CA"/>
        </w:rPr>
        <w:t xml:space="preserve"> submitted in 2016. However, the submission </w:t>
      </w:r>
      <w:r w:rsidRPr="00C96D60">
        <w:rPr>
          <w:lang w:val="en-CA"/>
        </w:rPr>
        <w:t xml:space="preserve">was delayed due to changes at the NOU </w:t>
      </w:r>
      <w:r w:rsidR="00236FC8">
        <w:rPr>
          <w:lang w:val="en-CA"/>
        </w:rPr>
        <w:t xml:space="preserve">with the </w:t>
      </w:r>
      <w:r w:rsidR="00236FC8" w:rsidRPr="00C96D60">
        <w:rPr>
          <w:lang w:val="en-CA"/>
        </w:rPr>
        <w:t>appoint</w:t>
      </w:r>
      <w:r w:rsidR="00236FC8">
        <w:rPr>
          <w:lang w:val="en-CA"/>
        </w:rPr>
        <w:t>ment of the new staff</w:t>
      </w:r>
      <w:r w:rsidR="00236FC8" w:rsidRPr="00C96D60">
        <w:rPr>
          <w:lang w:val="en-CA"/>
        </w:rPr>
        <w:t xml:space="preserve"> </w:t>
      </w:r>
      <w:r w:rsidRPr="00C96D60">
        <w:rPr>
          <w:lang w:val="en-CA"/>
        </w:rPr>
        <w:t>in April</w:t>
      </w:r>
      <w:r w:rsidR="00E454E3">
        <w:rPr>
          <w:lang w:val="en-CA"/>
        </w:rPr>
        <w:t> </w:t>
      </w:r>
      <w:r w:rsidRPr="00C96D60">
        <w:rPr>
          <w:lang w:val="en-CA"/>
        </w:rPr>
        <w:t>2016</w:t>
      </w:r>
      <w:r w:rsidRPr="00E454E3">
        <w:rPr>
          <w:lang w:val="en-CA"/>
        </w:rPr>
        <w:t xml:space="preserve">. </w:t>
      </w:r>
      <w:r w:rsidR="00236FC8" w:rsidRPr="00E454E3">
        <w:rPr>
          <w:lang w:val="en-CA"/>
        </w:rPr>
        <w:t>Despite the delay in the submission, the Government, with the assistance of the implementing agency, was able to continue implementing activities resulting in reductions of HCFC-22 consumption below the allowable levels.</w:t>
      </w:r>
    </w:p>
    <w:p w:rsidR="00C57806" w:rsidRPr="00572436" w:rsidRDefault="00C57806" w:rsidP="009A6AC4">
      <w:pPr>
        <w:rPr>
          <w:i/>
          <w:lang w:val="en-CA"/>
        </w:rPr>
      </w:pPr>
      <w:r w:rsidRPr="00572436">
        <w:rPr>
          <w:i/>
          <w:lang w:val="en-CA"/>
        </w:rPr>
        <w:t>Legal framework</w:t>
      </w:r>
    </w:p>
    <w:p w:rsidR="00C57806" w:rsidRPr="00572436" w:rsidRDefault="00C57806" w:rsidP="009A6AC4">
      <w:pPr>
        <w:rPr>
          <w:lang w:val="en-CA"/>
        </w:rPr>
      </w:pPr>
    </w:p>
    <w:p w:rsidR="009C3916" w:rsidRPr="006E10FF" w:rsidRDefault="009C3916" w:rsidP="009A6AC4">
      <w:pPr>
        <w:pStyle w:val="Heading1"/>
        <w:rPr>
          <w:lang w:val="en-CA"/>
        </w:rPr>
      </w:pPr>
      <w:r w:rsidRPr="006E10FF">
        <w:rPr>
          <w:lang w:val="en-CA"/>
        </w:rPr>
        <w:t>The Government of Togo has already issued HCFC import quotas for 2017 at 15.2</w:t>
      </w:r>
      <w:r w:rsidR="00D51B1F">
        <w:rPr>
          <w:lang w:val="en-CA"/>
        </w:rPr>
        <w:t> </w:t>
      </w:r>
      <w:r w:rsidRPr="006E10FF">
        <w:rPr>
          <w:lang w:val="en-CA"/>
        </w:rPr>
        <w:t>ODP tonnes</w:t>
      </w:r>
      <w:r w:rsidR="00C62125">
        <w:rPr>
          <w:lang w:val="en-CA"/>
        </w:rPr>
        <w:t>, which are 2.8 ODP tonnes below the allowable level of consumption under the Montreal Protocol</w:t>
      </w:r>
      <w:r w:rsidRPr="006E10FF">
        <w:rPr>
          <w:lang w:val="en-CA"/>
        </w:rPr>
        <w:t xml:space="preserve">. </w:t>
      </w:r>
    </w:p>
    <w:p w:rsidR="00C57806" w:rsidRPr="00572436" w:rsidRDefault="00C57806" w:rsidP="009A6AC4">
      <w:pPr>
        <w:rPr>
          <w:i/>
          <w:lang w:val="en-CA"/>
        </w:rPr>
      </w:pPr>
      <w:r w:rsidRPr="00572436">
        <w:rPr>
          <w:i/>
          <w:lang w:val="en-CA"/>
        </w:rPr>
        <w:t>Refrigeration servicing sector</w:t>
      </w:r>
    </w:p>
    <w:p w:rsidR="00C57806" w:rsidRPr="00572436" w:rsidRDefault="00C57806" w:rsidP="009A6AC4">
      <w:pPr>
        <w:rPr>
          <w:lang w:val="en-CA"/>
        </w:rPr>
      </w:pPr>
    </w:p>
    <w:p w:rsidR="009C3916" w:rsidRPr="006E10FF" w:rsidRDefault="009C3916" w:rsidP="00717DC4">
      <w:pPr>
        <w:pStyle w:val="Heading1"/>
        <w:rPr>
          <w:lang w:val="en-CA"/>
        </w:rPr>
      </w:pPr>
      <w:r w:rsidRPr="006E10FF">
        <w:rPr>
          <w:lang w:val="en-CA"/>
        </w:rPr>
        <w:t xml:space="preserve">Noting that </w:t>
      </w:r>
      <w:r w:rsidR="007448A0">
        <w:rPr>
          <w:lang w:val="en-CA"/>
        </w:rPr>
        <w:t xml:space="preserve">the </w:t>
      </w:r>
      <w:r w:rsidRPr="006E10FF">
        <w:rPr>
          <w:lang w:val="en-CA"/>
        </w:rPr>
        <w:t xml:space="preserve">HPMP includes training </w:t>
      </w:r>
      <w:r w:rsidR="00C62125">
        <w:rPr>
          <w:lang w:val="en-CA"/>
        </w:rPr>
        <w:t>programmes for refrigeration technicians in the use of flammable refrigerants</w:t>
      </w:r>
      <w:r w:rsidR="0044070E">
        <w:rPr>
          <w:lang w:val="en-CA"/>
        </w:rPr>
        <w:t xml:space="preserve"> (HC)</w:t>
      </w:r>
      <w:r w:rsidR="00C62125">
        <w:rPr>
          <w:lang w:val="en-CA"/>
        </w:rPr>
        <w:t xml:space="preserve"> and </w:t>
      </w:r>
      <w:r w:rsidR="00C57000">
        <w:rPr>
          <w:lang w:val="en-CA"/>
        </w:rPr>
        <w:t>that</w:t>
      </w:r>
      <w:r w:rsidR="00C62125">
        <w:rPr>
          <w:lang w:val="en-CA"/>
        </w:rPr>
        <w:t xml:space="preserve"> </w:t>
      </w:r>
      <w:r w:rsidRPr="006E10FF">
        <w:rPr>
          <w:lang w:val="en-CA"/>
        </w:rPr>
        <w:t>retrofitting</w:t>
      </w:r>
      <w:r w:rsidR="00C62125">
        <w:rPr>
          <w:lang w:val="en-CA"/>
        </w:rPr>
        <w:t xml:space="preserve"> of HCFC-22-based refrigeration and air-conditioning equipment</w:t>
      </w:r>
      <w:r w:rsidR="00C57000">
        <w:rPr>
          <w:lang w:val="en-CA"/>
        </w:rPr>
        <w:t xml:space="preserve"> was occurring in the country</w:t>
      </w:r>
      <w:r w:rsidRPr="006E10FF">
        <w:rPr>
          <w:lang w:val="en-CA"/>
        </w:rPr>
        <w:t xml:space="preserve">, the Secretariat enquired whether </w:t>
      </w:r>
      <w:r w:rsidR="00C62125">
        <w:rPr>
          <w:lang w:val="en-CA"/>
        </w:rPr>
        <w:t xml:space="preserve">equipment was being </w:t>
      </w:r>
      <w:r w:rsidRPr="006E10FF">
        <w:rPr>
          <w:lang w:val="en-CA"/>
        </w:rPr>
        <w:t>retrofit</w:t>
      </w:r>
      <w:r w:rsidR="00C62125">
        <w:rPr>
          <w:lang w:val="en-CA"/>
        </w:rPr>
        <w:t>ted</w:t>
      </w:r>
      <w:r w:rsidRPr="006E10FF">
        <w:rPr>
          <w:lang w:val="en-CA"/>
        </w:rPr>
        <w:t xml:space="preserve"> to flammable or toxic refrigerants and </w:t>
      </w:r>
      <w:r w:rsidR="00C62125">
        <w:rPr>
          <w:lang w:val="en-CA"/>
        </w:rPr>
        <w:t xml:space="preserve">whether the Government was being informed on </w:t>
      </w:r>
      <w:r w:rsidRPr="006E10FF">
        <w:rPr>
          <w:lang w:val="en-CA"/>
        </w:rPr>
        <w:t>the relevant decisions of the E</w:t>
      </w:r>
      <w:r w:rsidR="00B64C14" w:rsidRPr="006E10FF">
        <w:rPr>
          <w:lang w:val="en-CA"/>
        </w:rPr>
        <w:t>xecutive Committee on retrofits</w:t>
      </w:r>
      <w:r w:rsidR="00151E64">
        <w:rPr>
          <w:lang w:val="en-CA"/>
        </w:rPr>
        <w:t>.</w:t>
      </w:r>
      <w:r w:rsidR="00E52877" w:rsidRPr="006E10FF">
        <w:rPr>
          <w:rStyle w:val="FootnoteReference"/>
          <w:lang w:val="en-CA"/>
        </w:rPr>
        <w:footnoteReference w:id="2"/>
      </w:r>
      <w:r w:rsidR="0078269B">
        <w:rPr>
          <w:lang w:val="en-CA"/>
        </w:rPr>
        <w:t xml:space="preserve"> UN Environment</w:t>
      </w:r>
      <w:r w:rsidRPr="006E10FF">
        <w:rPr>
          <w:lang w:val="en-CA"/>
        </w:rPr>
        <w:t xml:space="preserve"> confirmed that the Government is </w:t>
      </w:r>
      <w:r w:rsidR="00C62125">
        <w:rPr>
          <w:lang w:val="en-CA"/>
        </w:rPr>
        <w:t xml:space="preserve">fully </w:t>
      </w:r>
      <w:r w:rsidRPr="006E10FF">
        <w:rPr>
          <w:lang w:val="en-CA"/>
        </w:rPr>
        <w:t>aware of th</w:t>
      </w:r>
      <w:r w:rsidR="00C62125">
        <w:rPr>
          <w:lang w:val="en-CA"/>
        </w:rPr>
        <w:t>os</w:t>
      </w:r>
      <w:r w:rsidRPr="006E10FF">
        <w:rPr>
          <w:lang w:val="en-CA"/>
        </w:rPr>
        <w:t>e decisions</w:t>
      </w:r>
      <w:r w:rsidR="00E52877" w:rsidRPr="006E10FF">
        <w:rPr>
          <w:lang w:val="en-CA"/>
        </w:rPr>
        <w:t xml:space="preserve">, and </w:t>
      </w:r>
      <w:r w:rsidR="00C62125">
        <w:rPr>
          <w:lang w:val="en-CA"/>
        </w:rPr>
        <w:t xml:space="preserve">confirmed </w:t>
      </w:r>
      <w:r w:rsidR="00151E64">
        <w:rPr>
          <w:lang w:val="en-CA"/>
        </w:rPr>
        <w:t>that</w:t>
      </w:r>
      <w:r w:rsidR="00C62125">
        <w:rPr>
          <w:lang w:val="en-CA"/>
        </w:rPr>
        <w:t xml:space="preserve"> no equipment has been </w:t>
      </w:r>
      <w:r w:rsidRPr="006E10FF">
        <w:rPr>
          <w:lang w:val="en-CA"/>
        </w:rPr>
        <w:t>retrofi</w:t>
      </w:r>
      <w:r w:rsidR="0078269B">
        <w:rPr>
          <w:lang w:val="en-CA"/>
        </w:rPr>
        <w:t>t</w:t>
      </w:r>
      <w:r w:rsidR="0044070E">
        <w:rPr>
          <w:lang w:val="en-CA"/>
        </w:rPr>
        <w:t>ted</w:t>
      </w:r>
      <w:r w:rsidR="0078269B">
        <w:rPr>
          <w:lang w:val="en-CA"/>
        </w:rPr>
        <w:t xml:space="preserve"> to HCs within </w:t>
      </w:r>
      <w:r w:rsidR="00DC72F1">
        <w:rPr>
          <w:lang w:val="en-CA"/>
        </w:rPr>
        <w:t xml:space="preserve">the </w:t>
      </w:r>
      <w:r w:rsidR="0078269B">
        <w:rPr>
          <w:lang w:val="en-CA"/>
        </w:rPr>
        <w:t>HPMP</w:t>
      </w:r>
      <w:r w:rsidR="00C62125">
        <w:rPr>
          <w:lang w:val="en-CA"/>
        </w:rPr>
        <w:t>. Moreover,</w:t>
      </w:r>
      <w:r w:rsidR="0078269B">
        <w:rPr>
          <w:lang w:val="en-CA"/>
        </w:rPr>
        <w:t xml:space="preserve"> UN Environment</w:t>
      </w:r>
      <w:r w:rsidRPr="006E10FF">
        <w:rPr>
          <w:lang w:val="en-CA"/>
        </w:rPr>
        <w:t xml:space="preserve"> </w:t>
      </w:r>
      <w:r w:rsidR="00C62125">
        <w:rPr>
          <w:lang w:val="en-CA"/>
        </w:rPr>
        <w:t xml:space="preserve">stated that </w:t>
      </w:r>
      <w:r w:rsidR="00FD6215">
        <w:rPr>
          <w:lang w:val="en-CA"/>
        </w:rPr>
        <w:t xml:space="preserve">it was not </w:t>
      </w:r>
      <w:r w:rsidRPr="006E10FF">
        <w:rPr>
          <w:lang w:val="en-CA"/>
        </w:rPr>
        <w:t>promoting retrofitting to flammable or toxic refrigerants and associated servicing</w:t>
      </w:r>
      <w:r w:rsidR="00FD6215">
        <w:rPr>
          <w:lang w:val="en-CA"/>
        </w:rPr>
        <w:t xml:space="preserve"> practices</w:t>
      </w:r>
      <w:r w:rsidRPr="006E10FF">
        <w:rPr>
          <w:lang w:val="en-CA"/>
        </w:rPr>
        <w:t xml:space="preserve">. The country </w:t>
      </w:r>
      <w:r w:rsidR="00FD6215">
        <w:rPr>
          <w:lang w:val="en-CA"/>
        </w:rPr>
        <w:t xml:space="preserve">has </w:t>
      </w:r>
      <w:r w:rsidRPr="006E10FF">
        <w:rPr>
          <w:lang w:val="en-CA"/>
        </w:rPr>
        <w:t>identified some HC</w:t>
      </w:r>
      <w:r w:rsidR="00D51B1F">
        <w:rPr>
          <w:lang w:val="en-CA"/>
        </w:rPr>
        <w:noBreakHyphen/>
      </w:r>
      <w:r w:rsidRPr="006E10FF">
        <w:rPr>
          <w:lang w:val="en-CA"/>
        </w:rPr>
        <w:t xml:space="preserve">based equipment </w:t>
      </w:r>
      <w:r w:rsidR="00FD6215">
        <w:rPr>
          <w:lang w:val="en-CA"/>
        </w:rPr>
        <w:t xml:space="preserve">in operation </w:t>
      </w:r>
      <w:r w:rsidRPr="006E10FF">
        <w:rPr>
          <w:lang w:val="en-CA"/>
        </w:rPr>
        <w:t xml:space="preserve">and </w:t>
      </w:r>
      <w:r w:rsidR="00FD6215">
        <w:rPr>
          <w:lang w:val="en-CA"/>
        </w:rPr>
        <w:t xml:space="preserve">therefore considered relevant to </w:t>
      </w:r>
      <w:r w:rsidR="00FD6215" w:rsidRPr="006E10FF">
        <w:rPr>
          <w:lang w:val="en-CA"/>
        </w:rPr>
        <w:t>promot</w:t>
      </w:r>
      <w:r w:rsidR="00FD6215">
        <w:rPr>
          <w:lang w:val="en-CA"/>
        </w:rPr>
        <w:t xml:space="preserve">e </w:t>
      </w:r>
      <w:r w:rsidR="00E52877" w:rsidRPr="006E10FF">
        <w:rPr>
          <w:lang w:val="en-CA"/>
        </w:rPr>
        <w:t xml:space="preserve">safe handling of HC </w:t>
      </w:r>
      <w:r w:rsidRPr="006E10FF">
        <w:rPr>
          <w:lang w:val="en-CA"/>
        </w:rPr>
        <w:t>refrigerants during the refrigeration training</w:t>
      </w:r>
      <w:r w:rsidR="00FD6215">
        <w:rPr>
          <w:lang w:val="en-CA"/>
        </w:rPr>
        <w:t xml:space="preserve"> workshops</w:t>
      </w:r>
      <w:r w:rsidRPr="006E10FF">
        <w:rPr>
          <w:lang w:val="en-CA"/>
        </w:rPr>
        <w:t xml:space="preserve">. </w:t>
      </w:r>
      <w:r w:rsidR="00C57000">
        <w:rPr>
          <w:lang w:val="en-CA"/>
        </w:rPr>
        <w:t>UN Environment is not associated with retrofit</w:t>
      </w:r>
      <w:r w:rsidR="00C57000" w:rsidRPr="00C57000">
        <w:rPr>
          <w:lang w:val="en-CA"/>
        </w:rPr>
        <w:t xml:space="preserve"> training and activities, </w:t>
      </w:r>
      <w:r w:rsidR="00C57000">
        <w:rPr>
          <w:lang w:val="en-CA"/>
        </w:rPr>
        <w:t xml:space="preserve">which the </w:t>
      </w:r>
      <w:r w:rsidR="00717DC4" w:rsidRPr="00717DC4">
        <w:rPr>
          <w:lang w:val="en-CA"/>
        </w:rPr>
        <w:t>As</w:t>
      </w:r>
      <w:r w:rsidR="006C0964">
        <w:rPr>
          <w:lang w:val="en-CA"/>
        </w:rPr>
        <w:t>sociation of Refrigeration T</w:t>
      </w:r>
      <w:r w:rsidR="00717DC4" w:rsidRPr="00717DC4">
        <w:rPr>
          <w:lang w:val="en-CA"/>
        </w:rPr>
        <w:t>echnicians of Togo (AFRITO</w:t>
      </w:r>
      <w:r w:rsidR="00717DC4">
        <w:rPr>
          <w:lang w:val="en-CA"/>
        </w:rPr>
        <w:t>)</w:t>
      </w:r>
      <w:r w:rsidR="00717DC4" w:rsidRPr="00717DC4">
        <w:rPr>
          <w:lang w:val="en-CA"/>
        </w:rPr>
        <w:t xml:space="preserve"> </w:t>
      </w:r>
      <w:r w:rsidR="00C57000" w:rsidRPr="00C57000">
        <w:rPr>
          <w:lang w:val="en-CA"/>
        </w:rPr>
        <w:t xml:space="preserve">is doing it at its own risks, </w:t>
      </w:r>
      <w:r w:rsidR="00C57000">
        <w:rPr>
          <w:lang w:val="en-CA"/>
        </w:rPr>
        <w:t>and no funds from the HPMP are being used for that purpose. UN Environment is working with the NOU to raise awareness of the dangers associated with retrofitting equipment with flammable refrigerants that is not designed for that purpose.</w:t>
      </w:r>
    </w:p>
    <w:p w:rsidR="0098132F" w:rsidRPr="006E10FF" w:rsidRDefault="009C3916" w:rsidP="009A6AC4">
      <w:pPr>
        <w:pStyle w:val="Heading1"/>
        <w:rPr>
          <w:lang w:val="en-CA"/>
        </w:rPr>
      </w:pPr>
      <w:r w:rsidRPr="006E10FF">
        <w:rPr>
          <w:lang w:val="en-CA"/>
        </w:rPr>
        <w:t xml:space="preserve">In responding to the Secretariat’s </w:t>
      </w:r>
      <w:r w:rsidR="000E52B4" w:rsidRPr="006E10FF">
        <w:rPr>
          <w:lang w:val="en-CA"/>
        </w:rPr>
        <w:t>question</w:t>
      </w:r>
      <w:r w:rsidRPr="006E10FF">
        <w:rPr>
          <w:lang w:val="en-CA"/>
        </w:rPr>
        <w:t xml:space="preserve"> on the availability and p</w:t>
      </w:r>
      <w:r w:rsidR="0078269B">
        <w:rPr>
          <w:lang w:val="en-CA"/>
        </w:rPr>
        <w:t>rices of HCFC alternatives, UN Environment</w:t>
      </w:r>
      <w:r w:rsidRPr="006E10FF">
        <w:rPr>
          <w:lang w:val="en-CA"/>
        </w:rPr>
        <w:t xml:space="preserve"> indicated that </w:t>
      </w:r>
      <w:r w:rsidR="00FD6215">
        <w:rPr>
          <w:lang w:val="en-CA"/>
        </w:rPr>
        <w:t xml:space="preserve">the average price of </w:t>
      </w:r>
      <w:r w:rsidRPr="006E10FF">
        <w:rPr>
          <w:lang w:val="en-CA"/>
        </w:rPr>
        <w:t>R-404A, R-407C and R-410A</w:t>
      </w:r>
      <w:r w:rsidR="00FD6215">
        <w:rPr>
          <w:lang w:val="en-CA"/>
        </w:rPr>
        <w:t xml:space="preserve"> is </w:t>
      </w:r>
      <w:r w:rsidR="001A2151">
        <w:rPr>
          <w:lang w:val="en-CA"/>
        </w:rPr>
        <w:t>US $</w:t>
      </w:r>
      <w:r w:rsidR="000E52B4" w:rsidRPr="006E10FF">
        <w:rPr>
          <w:lang w:val="en-CA"/>
        </w:rPr>
        <w:t>14</w:t>
      </w:r>
      <w:r w:rsidR="00FD6215">
        <w:rPr>
          <w:lang w:val="en-CA"/>
        </w:rPr>
        <w:t>.0</w:t>
      </w:r>
      <w:r w:rsidRPr="006E10FF">
        <w:rPr>
          <w:lang w:val="en-CA"/>
        </w:rPr>
        <w:t>/kg</w:t>
      </w:r>
      <w:r w:rsidR="00FD6215">
        <w:rPr>
          <w:lang w:val="en-CA"/>
        </w:rPr>
        <w:t>;</w:t>
      </w:r>
      <w:r w:rsidRPr="006E10FF">
        <w:rPr>
          <w:lang w:val="en-CA"/>
        </w:rPr>
        <w:t xml:space="preserve"> R</w:t>
      </w:r>
      <w:r w:rsidR="00E454E3">
        <w:rPr>
          <w:lang w:val="en-CA"/>
        </w:rPr>
        <w:noBreakHyphen/>
      </w:r>
      <w:r w:rsidRPr="006E10FF">
        <w:rPr>
          <w:lang w:val="en-CA"/>
        </w:rPr>
        <w:t>134a</w:t>
      </w:r>
      <w:r w:rsidR="00FD6215">
        <w:rPr>
          <w:lang w:val="en-CA"/>
        </w:rPr>
        <w:t xml:space="preserve"> is </w:t>
      </w:r>
      <w:r w:rsidR="001A2151">
        <w:rPr>
          <w:lang w:val="en-CA"/>
        </w:rPr>
        <w:t>US $</w:t>
      </w:r>
      <w:r w:rsidR="000E52B4" w:rsidRPr="006E10FF">
        <w:rPr>
          <w:lang w:val="en-CA"/>
        </w:rPr>
        <w:t>10</w:t>
      </w:r>
      <w:r w:rsidR="00FD6215">
        <w:rPr>
          <w:lang w:val="en-CA"/>
        </w:rPr>
        <w:t>.0</w:t>
      </w:r>
      <w:r w:rsidRPr="006E10FF">
        <w:rPr>
          <w:lang w:val="en-CA"/>
        </w:rPr>
        <w:t>/kg</w:t>
      </w:r>
      <w:r w:rsidR="00FD6215">
        <w:rPr>
          <w:lang w:val="en-CA"/>
        </w:rPr>
        <w:t>;</w:t>
      </w:r>
      <w:r w:rsidRPr="006E10FF">
        <w:rPr>
          <w:lang w:val="en-CA"/>
        </w:rPr>
        <w:t xml:space="preserve"> and R-600a</w:t>
      </w:r>
      <w:r w:rsidR="00FD6215">
        <w:rPr>
          <w:lang w:val="en-CA"/>
        </w:rPr>
        <w:t xml:space="preserve"> is </w:t>
      </w:r>
      <w:r w:rsidR="001A2151">
        <w:rPr>
          <w:lang w:val="en-CA"/>
        </w:rPr>
        <w:t>US $</w:t>
      </w:r>
      <w:r w:rsidRPr="006E10FF">
        <w:rPr>
          <w:lang w:val="en-CA"/>
        </w:rPr>
        <w:t>6.5/kg</w:t>
      </w:r>
      <w:r w:rsidR="0098132F" w:rsidRPr="006E10FF">
        <w:rPr>
          <w:lang w:val="en-CA"/>
        </w:rPr>
        <w:t>.</w:t>
      </w:r>
    </w:p>
    <w:p w:rsidR="00FF6377" w:rsidRPr="00FF6377" w:rsidRDefault="00FF6377" w:rsidP="009A6AC4">
      <w:pPr>
        <w:rPr>
          <w:u w:val="single"/>
          <w:lang w:val="en-CA"/>
        </w:rPr>
      </w:pPr>
      <w:r w:rsidRPr="00572436">
        <w:rPr>
          <w:u w:val="single"/>
          <w:lang w:val="en-CA"/>
        </w:rPr>
        <w:t>Implementation plan for the</w:t>
      </w:r>
      <w:r>
        <w:rPr>
          <w:u w:val="single"/>
          <w:lang w:val="en-CA"/>
        </w:rPr>
        <w:t xml:space="preserve"> third</w:t>
      </w:r>
      <w:r w:rsidRPr="00572436">
        <w:rPr>
          <w:u w:val="single"/>
          <w:lang w:val="en-CA"/>
        </w:rPr>
        <w:t xml:space="preserve"> tranche of the HPMP</w:t>
      </w:r>
    </w:p>
    <w:p w:rsidR="00FF6377" w:rsidRPr="00361CFD" w:rsidRDefault="00FF6377" w:rsidP="009A6AC4">
      <w:pPr>
        <w:rPr>
          <w:highlight w:val="green"/>
          <w:lang w:val="en-CA"/>
        </w:rPr>
      </w:pPr>
    </w:p>
    <w:p w:rsidR="00EA0C94" w:rsidRPr="007D29F9" w:rsidRDefault="00EA0C94" w:rsidP="009A6AC4">
      <w:pPr>
        <w:pStyle w:val="Heading1"/>
        <w:rPr>
          <w:lang w:val="en-CA"/>
        </w:rPr>
      </w:pPr>
      <w:r w:rsidRPr="00361CFD">
        <w:rPr>
          <w:lang w:val="en-CA"/>
        </w:rPr>
        <w:t xml:space="preserve">On the incentives programme, </w:t>
      </w:r>
      <w:r w:rsidR="00FF6377" w:rsidRPr="00361CFD">
        <w:rPr>
          <w:lang w:val="en-CA"/>
        </w:rPr>
        <w:t xml:space="preserve">UNIDO </w:t>
      </w:r>
      <w:r w:rsidRPr="00361CFD">
        <w:rPr>
          <w:lang w:val="en-CA"/>
        </w:rPr>
        <w:t>informed</w:t>
      </w:r>
      <w:r w:rsidR="00361CFD" w:rsidRPr="00361CFD">
        <w:rPr>
          <w:lang w:val="en-CA"/>
        </w:rPr>
        <w:t xml:space="preserve"> that </w:t>
      </w:r>
      <w:r w:rsidR="00E07DE7">
        <w:rPr>
          <w:lang w:val="en-CA"/>
        </w:rPr>
        <w:t>the</w:t>
      </w:r>
      <w:r w:rsidR="000818AF">
        <w:rPr>
          <w:lang w:val="en-CA"/>
        </w:rPr>
        <w:t xml:space="preserve"> </w:t>
      </w:r>
      <w:r w:rsidRPr="00361CFD">
        <w:t xml:space="preserve">detailed technical assessment of </w:t>
      </w:r>
      <w:r w:rsidR="00E07DE7">
        <w:t xml:space="preserve">the </w:t>
      </w:r>
      <w:r w:rsidRPr="00361CFD">
        <w:t>beneficiar</w:t>
      </w:r>
      <w:r w:rsidR="00E07DE7">
        <w:t xml:space="preserve">ies that have already been identified is underway. Although the </w:t>
      </w:r>
      <w:r w:rsidRPr="00361CFD">
        <w:t xml:space="preserve">replacement technology </w:t>
      </w:r>
      <w:r w:rsidR="00E07DE7">
        <w:t xml:space="preserve">has not yet been selected, </w:t>
      </w:r>
      <w:r w:rsidR="00E07DE7" w:rsidRPr="00E502F2">
        <w:rPr>
          <w:lang w:val="en-CA"/>
        </w:rPr>
        <w:t>CO</w:t>
      </w:r>
      <w:r w:rsidR="00E07DE7" w:rsidRPr="00E502F2">
        <w:rPr>
          <w:vertAlign w:val="subscript"/>
          <w:lang w:val="en-CA"/>
        </w:rPr>
        <w:t>2</w:t>
      </w:r>
      <w:r w:rsidR="00E07DE7">
        <w:t xml:space="preserve"> and hydrocarbon-based technologies are among the most prominent technologies given that m</w:t>
      </w:r>
      <w:r w:rsidRPr="00361CFD">
        <w:t xml:space="preserve">ost of the potential beneficiaries are </w:t>
      </w:r>
      <w:r w:rsidR="008B73C4" w:rsidRPr="00361CFD">
        <w:t>cold-room</w:t>
      </w:r>
      <w:r w:rsidRPr="00361CFD">
        <w:t xml:space="preserve"> applications.</w:t>
      </w:r>
      <w:r w:rsidR="00484A7B" w:rsidRPr="00484A7B">
        <w:t xml:space="preserve"> </w:t>
      </w:r>
      <w:r w:rsidR="0081008C">
        <w:t>The low-GWP technology would be selected once the final beneficiaries are determined.</w:t>
      </w:r>
    </w:p>
    <w:p w:rsidR="00765A45" w:rsidRPr="00DA41D6" w:rsidRDefault="009638B1" w:rsidP="009638B1">
      <w:pPr>
        <w:pStyle w:val="Heading1"/>
        <w:rPr>
          <w:lang w:val="en-CA"/>
        </w:rPr>
      </w:pPr>
      <w:r w:rsidRPr="009638B1">
        <w:rPr>
          <w:lang w:val="en-CA"/>
        </w:rPr>
        <w:t xml:space="preserve">With regard to the sustainability of the training programme for technicians, </w:t>
      </w:r>
      <w:r w:rsidRPr="000022EF">
        <w:rPr>
          <w:lang w:val="en-CA"/>
        </w:rPr>
        <w:t xml:space="preserve">collaborations and partnerships with the </w:t>
      </w:r>
      <w:r w:rsidR="00DA41D6">
        <w:rPr>
          <w:lang w:val="en-CA"/>
        </w:rPr>
        <w:t xml:space="preserve">refrigeration association and </w:t>
      </w:r>
      <w:r w:rsidRPr="000022EF">
        <w:rPr>
          <w:lang w:val="en-CA"/>
        </w:rPr>
        <w:t>training</w:t>
      </w:r>
      <w:r w:rsidRPr="00DA41D6">
        <w:rPr>
          <w:lang w:val="en-CA"/>
        </w:rPr>
        <w:t xml:space="preserve"> institute to implement technician training programmes</w:t>
      </w:r>
      <w:r w:rsidR="00DA41D6">
        <w:rPr>
          <w:lang w:val="en-CA"/>
        </w:rPr>
        <w:t>, and the</w:t>
      </w:r>
      <w:r w:rsidRPr="00DA41D6">
        <w:rPr>
          <w:lang w:val="en-CA"/>
        </w:rPr>
        <w:t xml:space="preserve"> larger number of technicians </w:t>
      </w:r>
      <w:r w:rsidR="00DA41D6">
        <w:rPr>
          <w:lang w:val="en-CA"/>
        </w:rPr>
        <w:t xml:space="preserve">that </w:t>
      </w:r>
      <w:r w:rsidRPr="00DA41D6">
        <w:rPr>
          <w:lang w:val="en-CA"/>
        </w:rPr>
        <w:t>will gain awareness on good refrigeration practices</w:t>
      </w:r>
      <w:r w:rsidR="00DA41D6" w:rsidRPr="00DA41D6">
        <w:rPr>
          <w:lang w:val="en-CA"/>
        </w:rPr>
        <w:t xml:space="preserve"> through the HPMP activities</w:t>
      </w:r>
      <w:r w:rsidR="00DA41D6">
        <w:rPr>
          <w:lang w:val="en-CA"/>
        </w:rPr>
        <w:t xml:space="preserve"> will </w:t>
      </w:r>
      <w:r w:rsidRPr="00DA41D6">
        <w:rPr>
          <w:lang w:val="en-CA"/>
        </w:rPr>
        <w:t>contribut</w:t>
      </w:r>
      <w:r w:rsidR="00DA41D6">
        <w:rPr>
          <w:lang w:val="en-CA"/>
        </w:rPr>
        <w:t>e</w:t>
      </w:r>
      <w:r w:rsidRPr="00DA41D6">
        <w:rPr>
          <w:lang w:val="en-CA"/>
        </w:rPr>
        <w:t xml:space="preserve"> to the sustainability of the training programme</w:t>
      </w:r>
      <w:r>
        <w:rPr>
          <w:lang w:val="en-CA"/>
        </w:rPr>
        <w:t>.</w:t>
      </w:r>
    </w:p>
    <w:p w:rsidR="00C57806" w:rsidRPr="006E10FF" w:rsidRDefault="00C57806" w:rsidP="009A6AC4">
      <w:pPr>
        <w:keepNext/>
        <w:keepLines/>
        <w:rPr>
          <w:u w:val="single"/>
          <w:lang w:val="en-CA"/>
        </w:rPr>
      </w:pPr>
      <w:r w:rsidRPr="006E10FF">
        <w:rPr>
          <w:u w:val="single"/>
          <w:lang w:val="en-CA"/>
        </w:rPr>
        <w:lastRenderedPageBreak/>
        <w:t xml:space="preserve">Conclusion </w:t>
      </w:r>
    </w:p>
    <w:p w:rsidR="00C57806" w:rsidRPr="006E10FF" w:rsidRDefault="00C57806" w:rsidP="009A6AC4">
      <w:pPr>
        <w:keepNext/>
        <w:keepLines/>
        <w:rPr>
          <w:lang w:val="en-CA"/>
        </w:rPr>
      </w:pPr>
    </w:p>
    <w:p w:rsidR="004565D8" w:rsidRPr="004565D8" w:rsidRDefault="00C822D7" w:rsidP="004565D8">
      <w:pPr>
        <w:pStyle w:val="Heading1"/>
      </w:pPr>
      <w:r w:rsidRPr="006E10FF">
        <w:rPr>
          <w:lang w:val="en-CA"/>
        </w:rPr>
        <w:t>The Secretariat notes that</w:t>
      </w:r>
      <w:r w:rsidR="004565D8" w:rsidRPr="004565D8">
        <w:rPr>
          <w:lang w:val="en-CA"/>
        </w:rPr>
        <w:t xml:space="preserve"> </w:t>
      </w:r>
      <w:r w:rsidR="004565D8">
        <w:rPr>
          <w:lang w:val="en-CA"/>
        </w:rPr>
        <w:t xml:space="preserve">the HCFC </w:t>
      </w:r>
      <w:r w:rsidR="004565D8" w:rsidRPr="00B722A3">
        <w:rPr>
          <w:lang w:val="en-CA"/>
        </w:rPr>
        <w:t>consumption in 2016</w:t>
      </w:r>
      <w:r w:rsidR="004565D8">
        <w:rPr>
          <w:lang w:val="en-CA"/>
        </w:rPr>
        <w:t xml:space="preserve"> was 23 per cent below the HCFC baseline for compliance</w:t>
      </w:r>
      <w:r w:rsidR="00EA2FEC" w:rsidRPr="00EA2FEC">
        <w:rPr>
          <w:lang w:val="en-CA"/>
        </w:rPr>
        <w:t xml:space="preserve"> </w:t>
      </w:r>
      <w:r w:rsidR="00EA2FEC">
        <w:rPr>
          <w:lang w:val="en-CA"/>
        </w:rPr>
        <w:t>and 14 per cent below the maximum allowable consumption in the Agreement with the Executive Committee for 2016</w:t>
      </w:r>
      <w:r w:rsidR="004565D8">
        <w:rPr>
          <w:lang w:val="en-CA"/>
        </w:rPr>
        <w:t xml:space="preserve">, that </w:t>
      </w:r>
      <w:r w:rsidRPr="006E10FF">
        <w:rPr>
          <w:lang w:val="en-CA"/>
        </w:rPr>
        <w:t>an enforceable system of licensing and quotas for HCFC imports is in place</w:t>
      </w:r>
      <w:r w:rsidR="004565D8">
        <w:rPr>
          <w:lang w:val="en-CA"/>
        </w:rPr>
        <w:t>,</w:t>
      </w:r>
      <w:r w:rsidRPr="006E10FF">
        <w:rPr>
          <w:lang w:val="en-CA"/>
        </w:rPr>
        <w:t xml:space="preserve"> and that the quota issue</w:t>
      </w:r>
      <w:r w:rsidR="0004183F" w:rsidRPr="006E10FF">
        <w:rPr>
          <w:lang w:val="en-CA"/>
        </w:rPr>
        <w:t>d</w:t>
      </w:r>
      <w:r w:rsidRPr="006E10FF">
        <w:rPr>
          <w:lang w:val="en-CA"/>
        </w:rPr>
        <w:t xml:space="preserve"> for 201</w:t>
      </w:r>
      <w:r w:rsidR="0004183F" w:rsidRPr="006E10FF">
        <w:rPr>
          <w:lang w:val="en-CA"/>
        </w:rPr>
        <w:t>7</w:t>
      </w:r>
      <w:r w:rsidRPr="006E10FF">
        <w:rPr>
          <w:lang w:val="en-CA"/>
        </w:rPr>
        <w:t xml:space="preserve"> is below the allowable lev</w:t>
      </w:r>
      <w:r w:rsidR="00C81D61" w:rsidRPr="006E10FF">
        <w:rPr>
          <w:lang w:val="en-CA"/>
        </w:rPr>
        <w:t xml:space="preserve">el </w:t>
      </w:r>
      <w:r w:rsidR="004565D8">
        <w:rPr>
          <w:lang w:val="en-CA"/>
        </w:rPr>
        <w:t xml:space="preserve">of consumption </w:t>
      </w:r>
      <w:r w:rsidR="00C81D61" w:rsidRPr="006E10FF">
        <w:rPr>
          <w:lang w:val="en-CA"/>
        </w:rPr>
        <w:t>under the Montreal Protocol. Despite the delay in submission</w:t>
      </w:r>
      <w:r w:rsidR="00A41AA1" w:rsidRPr="00A41AA1">
        <w:t xml:space="preserve"> </w:t>
      </w:r>
      <w:r w:rsidR="00A41AA1" w:rsidRPr="00A41AA1">
        <w:rPr>
          <w:lang w:val="en-CA"/>
        </w:rPr>
        <w:t>of the request for the third tranche</w:t>
      </w:r>
      <w:r w:rsidR="00C81D61" w:rsidRPr="006E10FF">
        <w:rPr>
          <w:lang w:val="en-CA"/>
        </w:rPr>
        <w:t xml:space="preserve">, the </w:t>
      </w:r>
      <w:r w:rsidRPr="006E10FF">
        <w:rPr>
          <w:lang w:val="en-CA"/>
        </w:rPr>
        <w:t>implementa</w:t>
      </w:r>
      <w:r w:rsidR="007C43BC">
        <w:rPr>
          <w:lang w:val="en-CA"/>
        </w:rPr>
        <w:t>tion of the HPMP is progressing</w:t>
      </w:r>
      <w:r w:rsidR="00151E64">
        <w:rPr>
          <w:lang w:val="en-CA"/>
        </w:rPr>
        <w:t>,</w:t>
      </w:r>
      <w:r w:rsidR="000B766D">
        <w:rPr>
          <w:lang w:val="en-CA"/>
        </w:rPr>
        <w:t xml:space="preserve"> </w:t>
      </w:r>
      <w:r w:rsidR="00C81D61" w:rsidRPr="006E10FF">
        <w:rPr>
          <w:lang w:val="en-CA"/>
        </w:rPr>
        <w:t xml:space="preserve">with the further training of refrigerating technicians </w:t>
      </w:r>
      <w:r w:rsidR="000B766D">
        <w:rPr>
          <w:lang w:val="en-CA"/>
        </w:rPr>
        <w:t>and custom</w:t>
      </w:r>
      <w:r w:rsidR="00357290">
        <w:rPr>
          <w:lang w:val="en-CA"/>
        </w:rPr>
        <w:t>s</w:t>
      </w:r>
      <w:r w:rsidR="000B766D">
        <w:rPr>
          <w:lang w:val="en-CA"/>
        </w:rPr>
        <w:t xml:space="preserve"> and enforcement officers </w:t>
      </w:r>
      <w:r w:rsidR="00C81D61" w:rsidRPr="006E10FF">
        <w:rPr>
          <w:lang w:val="en-CA"/>
        </w:rPr>
        <w:t xml:space="preserve">held and equipment distributed to the training institute for demonstration purposes. </w:t>
      </w:r>
      <w:r w:rsidR="006C0964">
        <w:rPr>
          <w:lang w:val="en-CA"/>
        </w:rPr>
        <w:t>Confirmation from the implementing agency was received</w:t>
      </w:r>
      <w:r w:rsidR="00EE302F">
        <w:rPr>
          <w:lang w:val="en-CA"/>
        </w:rPr>
        <w:t xml:space="preserve"> indicating</w:t>
      </w:r>
      <w:r w:rsidR="006C0964">
        <w:rPr>
          <w:lang w:val="en-CA"/>
        </w:rPr>
        <w:t xml:space="preserve"> that t</w:t>
      </w:r>
      <w:r w:rsidR="00C704F9">
        <w:rPr>
          <w:lang w:val="en-CA"/>
        </w:rPr>
        <w:t xml:space="preserve">he HPMP is not supporting the retrofit of HCFC-22-based equipment to flammable alternatives. </w:t>
      </w:r>
      <w:r w:rsidR="006E10FF" w:rsidRPr="006E10FF">
        <w:rPr>
          <w:lang w:val="en-CA"/>
        </w:rPr>
        <w:t>The level of disbursement is</w:t>
      </w:r>
      <w:r w:rsidR="006E10FF">
        <w:rPr>
          <w:lang w:val="en-CA"/>
        </w:rPr>
        <w:t xml:space="preserve"> </w:t>
      </w:r>
      <w:r w:rsidR="006E10FF" w:rsidRPr="001818A7">
        <w:rPr>
          <w:lang w:val="en-CA"/>
        </w:rPr>
        <w:t xml:space="preserve">at </w:t>
      </w:r>
      <w:r w:rsidR="001818A7" w:rsidRPr="001818A7">
        <w:rPr>
          <w:lang w:val="en-CA"/>
        </w:rPr>
        <w:t>92.3</w:t>
      </w:r>
      <w:r w:rsidR="004C6B51">
        <w:rPr>
          <w:lang w:val="en-CA"/>
        </w:rPr>
        <w:t> </w:t>
      </w:r>
      <w:r w:rsidR="001818A7" w:rsidRPr="001818A7">
        <w:rPr>
          <w:lang w:val="en-CA"/>
        </w:rPr>
        <w:t>per</w:t>
      </w:r>
      <w:r w:rsidR="001818A7">
        <w:rPr>
          <w:lang w:val="en-CA"/>
        </w:rPr>
        <w:t xml:space="preserve"> cent</w:t>
      </w:r>
      <w:r w:rsidR="006E10FF">
        <w:t>, and the activities so far implemented and those planned under the third tranche will further strengthen the servicing sector</w:t>
      </w:r>
      <w:r w:rsidR="000022EF">
        <w:t xml:space="preserve"> and ensure its long-term sustainability,</w:t>
      </w:r>
      <w:r w:rsidR="006E10FF">
        <w:t xml:space="preserve"> and continue to help enable the country to meet its compliance obligations under the Protocol.</w:t>
      </w:r>
    </w:p>
    <w:p w:rsidR="00C57806" w:rsidRPr="00572436" w:rsidRDefault="00C57806" w:rsidP="009A6AC4">
      <w:pPr>
        <w:rPr>
          <w:lang w:val="en-CA"/>
        </w:rPr>
      </w:pPr>
      <w:r w:rsidRPr="00572436">
        <w:rPr>
          <w:b/>
          <w:lang w:val="en-CA"/>
        </w:rPr>
        <w:t>RECOMMENDATION</w:t>
      </w:r>
      <w:r w:rsidRPr="00572436">
        <w:rPr>
          <w:lang w:val="en-CA"/>
        </w:rPr>
        <w:t xml:space="preserve"> </w:t>
      </w:r>
    </w:p>
    <w:p w:rsidR="00C57806" w:rsidRPr="00572436" w:rsidRDefault="00C57806" w:rsidP="009A6AC4">
      <w:pPr>
        <w:rPr>
          <w:lang w:val="en-CA"/>
        </w:rPr>
      </w:pPr>
    </w:p>
    <w:p w:rsidR="00C57806" w:rsidRPr="00C822D7" w:rsidRDefault="00C57806" w:rsidP="009A6AC4">
      <w:pPr>
        <w:pStyle w:val="Heading1"/>
        <w:rPr>
          <w:lang w:val="en-CA"/>
        </w:rPr>
      </w:pPr>
      <w:r w:rsidRPr="00C822D7">
        <w:rPr>
          <w:lang w:val="en-CA"/>
        </w:rPr>
        <w:t>The Fund Secretariat recommends that the Executive Committee</w:t>
      </w:r>
      <w:r w:rsidR="00C822D7" w:rsidRPr="00C822D7">
        <w:rPr>
          <w:lang w:val="en-CA"/>
        </w:rPr>
        <w:t xml:space="preserve"> t</w:t>
      </w:r>
      <w:r w:rsidRPr="00C822D7">
        <w:rPr>
          <w:lang w:val="en-CA"/>
        </w:rPr>
        <w:t xml:space="preserve">akes note of the progress report on the implementation of the </w:t>
      </w:r>
      <w:r w:rsidR="00C822D7">
        <w:rPr>
          <w:lang w:val="en-CA"/>
        </w:rPr>
        <w:t>second</w:t>
      </w:r>
      <w:r w:rsidRPr="00C822D7">
        <w:rPr>
          <w:lang w:val="en-CA"/>
        </w:rPr>
        <w:t xml:space="preserve"> tranche of stage I of the HCFC phase-out management plan of (HPMP) for</w:t>
      </w:r>
      <w:r w:rsidR="00C822D7">
        <w:rPr>
          <w:lang w:val="en-CA"/>
        </w:rPr>
        <w:t xml:space="preserve"> Togo</w:t>
      </w:r>
      <w:r w:rsidRPr="00C822D7">
        <w:rPr>
          <w:lang w:val="en-CA"/>
        </w:rPr>
        <w:t xml:space="preserve">; </w:t>
      </w:r>
      <w:r w:rsidR="00C822D7">
        <w:rPr>
          <w:lang w:val="en-CA"/>
        </w:rPr>
        <w:t xml:space="preserve">and </w:t>
      </w:r>
      <w:r w:rsidRPr="00C822D7">
        <w:rPr>
          <w:lang w:val="en-CA"/>
        </w:rPr>
        <w:t>further recommends blanket approval of the</w:t>
      </w:r>
      <w:r w:rsidR="00C822D7">
        <w:rPr>
          <w:lang w:val="en-CA"/>
        </w:rPr>
        <w:t xml:space="preserve"> third</w:t>
      </w:r>
      <w:r w:rsidRPr="00C822D7">
        <w:rPr>
          <w:lang w:val="en-CA"/>
        </w:rPr>
        <w:t xml:space="preserve"> tranche of stage I of the HPMP for</w:t>
      </w:r>
      <w:r w:rsidR="00C822D7">
        <w:rPr>
          <w:lang w:val="en-CA"/>
        </w:rPr>
        <w:t xml:space="preserve"> Togo</w:t>
      </w:r>
      <w:r w:rsidRPr="00C822D7">
        <w:rPr>
          <w:lang w:val="en-CA"/>
        </w:rPr>
        <w:t>, and the corresponding 2017</w:t>
      </w:r>
      <w:r w:rsidR="00C822D7">
        <w:rPr>
          <w:lang w:val="en-CA"/>
        </w:rPr>
        <w:t>-20</w:t>
      </w:r>
      <w:r w:rsidR="000609C5">
        <w:rPr>
          <w:lang w:val="en-CA"/>
        </w:rPr>
        <w:t>19</w:t>
      </w:r>
      <w:r w:rsidRPr="00C822D7">
        <w:rPr>
          <w:lang w:val="en-CA"/>
        </w:rPr>
        <w:t xml:space="preserve"> tranche implementation plan, at the funding level</w:t>
      </w:r>
      <w:r w:rsidRPr="00C822D7">
        <w:rPr>
          <w:sz w:val="20"/>
          <w:szCs w:val="20"/>
          <w:lang w:val="en-CA"/>
        </w:rPr>
        <w:t>s</w:t>
      </w:r>
      <w:r w:rsidRPr="00C822D7">
        <w:rPr>
          <w:lang w:val="en-CA"/>
        </w:rPr>
        <w:t xml:space="preserve"> shown in the table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C57806" w:rsidRPr="007D7F76" w:rsidTr="00FD3DC2">
        <w:tc>
          <w:tcPr>
            <w:tcW w:w="540" w:type="dxa"/>
          </w:tcPr>
          <w:p w:rsidR="00C57806" w:rsidRPr="007D7F76" w:rsidRDefault="00C57806" w:rsidP="009A6AC4">
            <w:pPr>
              <w:jc w:val="center"/>
              <w:rPr>
                <w:b/>
                <w:bCs/>
                <w:sz w:val="20"/>
                <w:szCs w:val="20"/>
                <w:lang w:val="en-CA"/>
              </w:rPr>
            </w:pPr>
          </w:p>
        </w:tc>
        <w:tc>
          <w:tcPr>
            <w:tcW w:w="4320" w:type="dxa"/>
          </w:tcPr>
          <w:p w:rsidR="00C57806" w:rsidRPr="007D7F76" w:rsidRDefault="00C57806" w:rsidP="009A6AC4">
            <w:pPr>
              <w:jc w:val="center"/>
              <w:rPr>
                <w:b/>
                <w:bCs/>
                <w:sz w:val="20"/>
                <w:szCs w:val="20"/>
                <w:lang w:val="en-CA"/>
              </w:rPr>
            </w:pPr>
            <w:r w:rsidRPr="007D7F76">
              <w:rPr>
                <w:b/>
                <w:bCs/>
                <w:sz w:val="20"/>
                <w:szCs w:val="20"/>
                <w:lang w:val="en-CA"/>
              </w:rPr>
              <w:t>Project title</w:t>
            </w:r>
          </w:p>
        </w:tc>
        <w:tc>
          <w:tcPr>
            <w:tcW w:w="1620" w:type="dxa"/>
            <w:tcMar>
              <w:left w:w="29" w:type="dxa"/>
              <w:right w:w="29" w:type="dxa"/>
            </w:tcMar>
          </w:tcPr>
          <w:p w:rsidR="00C57806" w:rsidRPr="007D7F76" w:rsidRDefault="00C57806" w:rsidP="009A6AC4">
            <w:pPr>
              <w:jc w:val="center"/>
              <w:rPr>
                <w:b/>
                <w:bCs/>
                <w:sz w:val="20"/>
                <w:szCs w:val="20"/>
                <w:lang w:val="en-CA"/>
              </w:rPr>
            </w:pPr>
            <w:r w:rsidRPr="007D7F76">
              <w:rPr>
                <w:b/>
                <w:bCs/>
                <w:sz w:val="20"/>
                <w:szCs w:val="20"/>
                <w:lang w:val="en-CA"/>
              </w:rPr>
              <w:t>Project funding (</w:t>
            </w:r>
            <w:r w:rsidR="001A2151">
              <w:rPr>
                <w:b/>
                <w:bCs/>
                <w:sz w:val="20"/>
                <w:szCs w:val="20"/>
                <w:lang w:val="en-CA"/>
              </w:rPr>
              <w:t>US $</w:t>
            </w:r>
            <w:r w:rsidRPr="007D7F76">
              <w:rPr>
                <w:b/>
                <w:bCs/>
                <w:sz w:val="20"/>
                <w:szCs w:val="20"/>
                <w:lang w:val="en-CA"/>
              </w:rPr>
              <w:t>)</w:t>
            </w:r>
          </w:p>
        </w:tc>
        <w:tc>
          <w:tcPr>
            <w:tcW w:w="1380" w:type="dxa"/>
            <w:tcMar>
              <w:left w:w="29" w:type="dxa"/>
              <w:right w:w="29" w:type="dxa"/>
            </w:tcMar>
          </w:tcPr>
          <w:p w:rsidR="00C57806" w:rsidRPr="007D7F76" w:rsidRDefault="00C57806" w:rsidP="009A6AC4">
            <w:pPr>
              <w:jc w:val="center"/>
              <w:rPr>
                <w:b/>
                <w:bCs/>
                <w:sz w:val="20"/>
                <w:szCs w:val="20"/>
                <w:lang w:val="en-CA"/>
              </w:rPr>
            </w:pPr>
            <w:r w:rsidRPr="007D7F76">
              <w:rPr>
                <w:b/>
                <w:bCs/>
                <w:sz w:val="20"/>
                <w:szCs w:val="20"/>
                <w:lang w:val="en-CA"/>
              </w:rPr>
              <w:t>Support cost (</w:t>
            </w:r>
            <w:r w:rsidR="001A2151">
              <w:rPr>
                <w:b/>
                <w:bCs/>
                <w:sz w:val="20"/>
                <w:szCs w:val="20"/>
                <w:lang w:val="en-CA"/>
              </w:rPr>
              <w:t>US $</w:t>
            </w:r>
            <w:r w:rsidRPr="007D7F76">
              <w:rPr>
                <w:b/>
                <w:bCs/>
                <w:sz w:val="20"/>
                <w:szCs w:val="20"/>
                <w:lang w:val="en-CA"/>
              </w:rPr>
              <w:t>)</w:t>
            </w:r>
          </w:p>
        </w:tc>
        <w:tc>
          <w:tcPr>
            <w:tcW w:w="1590" w:type="dxa"/>
            <w:tcMar>
              <w:left w:w="29" w:type="dxa"/>
              <w:right w:w="29" w:type="dxa"/>
            </w:tcMar>
          </w:tcPr>
          <w:p w:rsidR="00C57806" w:rsidRPr="007D7F76" w:rsidRDefault="00C57806" w:rsidP="009A6AC4">
            <w:pPr>
              <w:jc w:val="center"/>
              <w:rPr>
                <w:b/>
                <w:bCs/>
                <w:sz w:val="20"/>
                <w:szCs w:val="20"/>
                <w:lang w:val="en-CA"/>
              </w:rPr>
            </w:pPr>
            <w:r w:rsidRPr="007D7F76">
              <w:rPr>
                <w:b/>
                <w:bCs/>
                <w:sz w:val="20"/>
                <w:szCs w:val="20"/>
                <w:lang w:val="en-CA"/>
              </w:rPr>
              <w:t>Implementing agency</w:t>
            </w:r>
          </w:p>
        </w:tc>
      </w:tr>
      <w:tr w:rsidR="00C57806" w:rsidRPr="007D7F76" w:rsidTr="00FD3DC2">
        <w:tc>
          <w:tcPr>
            <w:tcW w:w="540" w:type="dxa"/>
          </w:tcPr>
          <w:p w:rsidR="00C57806" w:rsidRPr="007D7F76" w:rsidRDefault="00C57806" w:rsidP="009A6AC4">
            <w:pPr>
              <w:rPr>
                <w:sz w:val="20"/>
                <w:szCs w:val="20"/>
                <w:lang w:val="en-CA"/>
              </w:rPr>
            </w:pPr>
            <w:r w:rsidRPr="007D7F76">
              <w:rPr>
                <w:sz w:val="20"/>
                <w:szCs w:val="20"/>
                <w:lang w:val="en-CA"/>
              </w:rPr>
              <w:t>(a)</w:t>
            </w:r>
          </w:p>
        </w:tc>
        <w:tc>
          <w:tcPr>
            <w:tcW w:w="4320" w:type="dxa"/>
          </w:tcPr>
          <w:p w:rsidR="00C57806" w:rsidRPr="007D7F76" w:rsidRDefault="00C57806" w:rsidP="009A6AC4">
            <w:pPr>
              <w:rPr>
                <w:sz w:val="20"/>
                <w:szCs w:val="20"/>
                <w:lang w:val="en-CA"/>
              </w:rPr>
            </w:pPr>
            <w:r w:rsidRPr="007D7F76">
              <w:rPr>
                <w:sz w:val="20"/>
                <w:szCs w:val="20"/>
                <w:lang w:val="en-CA"/>
              </w:rPr>
              <w:t xml:space="preserve">HCFC phase-out management plan (stage I, </w:t>
            </w:r>
            <w:r w:rsidR="00C822D7" w:rsidRPr="007D7F76">
              <w:rPr>
                <w:sz w:val="20"/>
                <w:szCs w:val="20"/>
                <w:lang w:val="en-CA"/>
              </w:rPr>
              <w:t>third</w:t>
            </w:r>
            <w:r w:rsidRPr="007D7F76">
              <w:rPr>
                <w:sz w:val="20"/>
                <w:szCs w:val="20"/>
                <w:lang w:val="en-CA"/>
              </w:rPr>
              <w:t xml:space="preserve"> tranche)</w:t>
            </w:r>
          </w:p>
        </w:tc>
        <w:tc>
          <w:tcPr>
            <w:tcW w:w="1620" w:type="dxa"/>
          </w:tcPr>
          <w:p w:rsidR="00C57806" w:rsidRPr="007D7F76" w:rsidRDefault="00C822D7" w:rsidP="009A6AC4">
            <w:pPr>
              <w:jc w:val="right"/>
              <w:rPr>
                <w:sz w:val="20"/>
                <w:szCs w:val="20"/>
                <w:lang w:val="en-CA"/>
              </w:rPr>
            </w:pPr>
            <w:r w:rsidRPr="007D7F76">
              <w:rPr>
                <w:sz w:val="20"/>
                <w:szCs w:val="20"/>
                <w:lang w:val="en-CA"/>
              </w:rPr>
              <w:t>62,000</w:t>
            </w:r>
          </w:p>
        </w:tc>
        <w:tc>
          <w:tcPr>
            <w:tcW w:w="1380" w:type="dxa"/>
          </w:tcPr>
          <w:p w:rsidR="00C57806" w:rsidRPr="007D7F76" w:rsidRDefault="00C822D7" w:rsidP="009A6AC4">
            <w:pPr>
              <w:jc w:val="right"/>
              <w:rPr>
                <w:sz w:val="20"/>
                <w:szCs w:val="20"/>
                <w:lang w:val="en-CA"/>
              </w:rPr>
            </w:pPr>
            <w:r w:rsidRPr="007D7F76">
              <w:rPr>
                <w:sz w:val="20"/>
                <w:szCs w:val="20"/>
                <w:lang w:val="en-CA"/>
              </w:rPr>
              <w:t>8,060</w:t>
            </w:r>
          </w:p>
        </w:tc>
        <w:tc>
          <w:tcPr>
            <w:tcW w:w="1590" w:type="dxa"/>
          </w:tcPr>
          <w:p w:rsidR="00C57806" w:rsidRPr="007D7F76" w:rsidRDefault="00C822D7" w:rsidP="009A6AC4">
            <w:pPr>
              <w:jc w:val="center"/>
              <w:rPr>
                <w:sz w:val="20"/>
                <w:szCs w:val="20"/>
                <w:lang w:val="en-CA"/>
              </w:rPr>
            </w:pPr>
            <w:r w:rsidRPr="007D7F76">
              <w:rPr>
                <w:sz w:val="20"/>
                <w:szCs w:val="20"/>
                <w:lang w:val="en-CA"/>
              </w:rPr>
              <w:t>UN</w:t>
            </w:r>
            <w:r w:rsidR="0078269B" w:rsidRPr="007D7F76">
              <w:rPr>
                <w:sz w:val="20"/>
                <w:szCs w:val="20"/>
                <w:lang w:val="en-CA"/>
              </w:rPr>
              <w:t xml:space="preserve"> Environment</w:t>
            </w:r>
          </w:p>
        </w:tc>
      </w:tr>
      <w:tr w:rsidR="00C57806" w:rsidRPr="007D7F76" w:rsidTr="00FD3DC2">
        <w:tc>
          <w:tcPr>
            <w:tcW w:w="540" w:type="dxa"/>
          </w:tcPr>
          <w:p w:rsidR="00C57806" w:rsidRPr="007D7F76" w:rsidRDefault="00C57806" w:rsidP="009A6AC4">
            <w:pPr>
              <w:rPr>
                <w:sz w:val="20"/>
                <w:szCs w:val="20"/>
                <w:lang w:val="en-CA"/>
              </w:rPr>
            </w:pPr>
            <w:r w:rsidRPr="007D7F76">
              <w:rPr>
                <w:sz w:val="20"/>
                <w:szCs w:val="20"/>
                <w:lang w:val="en-CA"/>
              </w:rPr>
              <w:t>(b)</w:t>
            </w:r>
          </w:p>
        </w:tc>
        <w:tc>
          <w:tcPr>
            <w:tcW w:w="4320" w:type="dxa"/>
          </w:tcPr>
          <w:p w:rsidR="00C57806" w:rsidRPr="007D7F76" w:rsidRDefault="00C57806" w:rsidP="009A6AC4">
            <w:pPr>
              <w:rPr>
                <w:sz w:val="20"/>
                <w:szCs w:val="20"/>
                <w:lang w:val="en-CA"/>
              </w:rPr>
            </w:pPr>
            <w:r w:rsidRPr="007D7F76">
              <w:rPr>
                <w:sz w:val="20"/>
                <w:szCs w:val="20"/>
                <w:lang w:val="en-CA"/>
              </w:rPr>
              <w:t xml:space="preserve">HCFC phase-out management plan (stage I, </w:t>
            </w:r>
            <w:r w:rsidR="00C822D7" w:rsidRPr="007D7F76">
              <w:rPr>
                <w:sz w:val="20"/>
                <w:szCs w:val="20"/>
                <w:lang w:val="en-CA"/>
              </w:rPr>
              <w:t>third</w:t>
            </w:r>
            <w:r w:rsidRPr="007D7F76">
              <w:rPr>
                <w:sz w:val="20"/>
                <w:szCs w:val="20"/>
                <w:lang w:val="en-CA"/>
              </w:rPr>
              <w:t xml:space="preserve"> tranche)</w:t>
            </w:r>
          </w:p>
        </w:tc>
        <w:tc>
          <w:tcPr>
            <w:tcW w:w="1620" w:type="dxa"/>
          </w:tcPr>
          <w:p w:rsidR="00C57806" w:rsidRPr="007D7F76" w:rsidRDefault="00C822D7" w:rsidP="009A6AC4">
            <w:pPr>
              <w:jc w:val="right"/>
              <w:rPr>
                <w:sz w:val="20"/>
                <w:szCs w:val="20"/>
                <w:lang w:val="en-CA"/>
              </w:rPr>
            </w:pPr>
            <w:r w:rsidRPr="007D7F76">
              <w:rPr>
                <w:sz w:val="20"/>
                <w:szCs w:val="20"/>
                <w:lang w:val="en-CA"/>
              </w:rPr>
              <w:t>150,000</w:t>
            </w:r>
          </w:p>
        </w:tc>
        <w:tc>
          <w:tcPr>
            <w:tcW w:w="1380" w:type="dxa"/>
          </w:tcPr>
          <w:p w:rsidR="00C57806" w:rsidRPr="007D7F76" w:rsidRDefault="00C822D7" w:rsidP="009A6AC4">
            <w:pPr>
              <w:jc w:val="right"/>
              <w:rPr>
                <w:sz w:val="20"/>
                <w:szCs w:val="20"/>
                <w:lang w:val="en-CA"/>
              </w:rPr>
            </w:pPr>
            <w:r w:rsidRPr="007D7F76">
              <w:rPr>
                <w:sz w:val="20"/>
                <w:szCs w:val="20"/>
                <w:lang w:val="en-CA"/>
              </w:rPr>
              <w:t>11,250</w:t>
            </w:r>
          </w:p>
        </w:tc>
        <w:tc>
          <w:tcPr>
            <w:tcW w:w="1590" w:type="dxa"/>
          </w:tcPr>
          <w:p w:rsidR="00C57806" w:rsidRPr="007D7F76" w:rsidRDefault="00C822D7" w:rsidP="009A6AC4">
            <w:pPr>
              <w:jc w:val="center"/>
              <w:rPr>
                <w:sz w:val="20"/>
                <w:szCs w:val="20"/>
                <w:lang w:val="en-CA"/>
              </w:rPr>
            </w:pPr>
            <w:r w:rsidRPr="007D7F76">
              <w:rPr>
                <w:sz w:val="20"/>
                <w:szCs w:val="20"/>
                <w:lang w:val="en-CA"/>
              </w:rPr>
              <w:t>UNIDO</w:t>
            </w:r>
          </w:p>
        </w:tc>
      </w:tr>
    </w:tbl>
    <w:p w:rsidR="00C57806" w:rsidRDefault="00C5780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p>
    <w:p w:rsidR="00F47356" w:rsidRDefault="00F47356" w:rsidP="009A6AC4">
      <w:pPr>
        <w:rPr>
          <w:lang w:val="en-C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Tr="00FD3DC2">
        <w:tc>
          <w:tcPr>
            <w:tcW w:w="1915" w:type="dxa"/>
          </w:tcPr>
          <w:p w:rsidR="00E85409" w:rsidRDefault="00E85409" w:rsidP="009A6AC4"/>
          <w:p w:rsidR="004565D8" w:rsidRDefault="004565D8" w:rsidP="009A6AC4"/>
        </w:tc>
        <w:tc>
          <w:tcPr>
            <w:tcW w:w="1915" w:type="dxa"/>
          </w:tcPr>
          <w:p w:rsidR="00E85409" w:rsidRDefault="00E85409" w:rsidP="009A6AC4"/>
        </w:tc>
        <w:tc>
          <w:tcPr>
            <w:tcW w:w="1915" w:type="dxa"/>
            <w:tcBorders>
              <w:bottom w:val="single" w:sz="4" w:space="0" w:color="auto"/>
            </w:tcBorders>
          </w:tcPr>
          <w:p w:rsidR="00E85409" w:rsidRDefault="00E85409" w:rsidP="009A6AC4"/>
        </w:tc>
        <w:tc>
          <w:tcPr>
            <w:tcW w:w="1915" w:type="dxa"/>
          </w:tcPr>
          <w:p w:rsidR="00E85409" w:rsidRDefault="00E85409" w:rsidP="009A6AC4"/>
        </w:tc>
        <w:tc>
          <w:tcPr>
            <w:tcW w:w="1916" w:type="dxa"/>
          </w:tcPr>
          <w:p w:rsidR="00E85409" w:rsidRDefault="00E85409" w:rsidP="009A6AC4"/>
        </w:tc>
      </w:tr>
    </w:tbl>
    <w:p w:rsidR="00E85409" w:rsidRPr="00B04161" w:rsidRDefault="00E85409" w:rsidP="009A6AC4">
      <w:pPr>
        <w:rPr>
          <w:lang w:val="en-CA"/>
        </w:rPr>
      </w:pPr>
    </w:p>
    <w:sectPr w:rsidR="00E85409" w:rsidRPr="00B04161"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5CC4C4" w15:done="0"/>
  <w15:commentEx w15:paraId="7F43F9AD" w15:done="0"/>
  <w15:commentEx w15:paraId="1D1F3E69" w15:done="0"/>
  <w15:commentEx w15:paraId="1A99E57A" w15:done="0"/>
  <w15:commentEx w15:paraId="3640ACDF" w15:done="0"/>
  <w15:commentEx w15:paraId="542057A0" w15:done="0"/>
  <w15:commentEx w15:paraId="6F79B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A4" w:rsidRDefault="00A34DA4" w:rsidP="004A504B">
      <w:r>
        <w:separator/>
      </w:r>
    </w:p>
  </w:endnote>
  <w:endnote w:type="continuationSeparator" w:id="0">
    <w:p w:rsidR="00A34DA4" w:rsidRDefault="00A34DA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92" w:rsidRPr="0033525D" w:rsidRDefault="00BC5F92">
    <w:pPr>
      <w:jc w:val="center"/>
    </w:pPr>
    <w:r>
      <w:fldChar w:fldCharType="begin"/>
    </w:r>
    <w:r>
      <w:instrText xml:space="preserve"> PAGE </w:instrText>
    </w:r>
    <w:r>
      <w:fldChar w:fldCharType="separate"/>
    </w:r>
    <w:r w:rsidR="00D26D8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92" w:rsidRPr="0033525D" w:rsidRDefault="00BC5F92">
    <w:pPr>
      <w:jc w:val="center"/>
    </w:pPr>
    <w:r>
      <w:fldChar w:fldCharType="begin"/>
    </w:r>
    <w:r>
      <w:instrText xml:space="preserve"> PAGE </w:instrText>
    </w:r>
    <w:r>
      <w:fldChar w:fldCharType="separate"/>
    </w:r>
    <w:r w:rsidR="00D26D87">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92" w:rsidRDefault="00BC5F92"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BC5F92" w:rsidRDefault="00BC5F92"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A4" w:rsidRDefault="00A34DA4" w:rsidP="004A504B">
      <w:r>
        <w:separator/>
      </w:r>
    </w:p>
  </w:footnote>
  <w:footnote w:type="continuationSeparator" w:id="0">
    <w:p w:rsidR="00A34DA4" w:rsidRDefault="00A34DA4" w:rsidP="004A504B">
      <w:r>
        <w:continuationSeparator/>
      </w:r>
    </w:p>
  </w:footnote>
  <w:footnote w:id="1">
    <w:p w:rsidR="00BC5F92" w:rsidRPr="006F3F2C" w:rsidRDefault="00BC5F92" w:rsidP="006E7D06">
      <w:pPr>
        <w:rPr>
          <w:sz w:val="20"/>
          <w:szCs w:val="20"/>
          <w:lang w:val="en-CA"/>
        </w:rPr>
      </w:pPr>
      <w:r w:rsidRPr="004C0D25">
        <w:rPr>
          <w:rStyle w:val="FootnoteReference"/>
        </w:rPr>
        <w:footnoteRef/>
      </w:r>
      <w:r w:rsidRPr="004C0D25">
        <w:t xml:space="preserve"> </w:t>
      </w:r>
      <w:r w:rsidRPr="006F3F2C">
        <w:rPr>
          <w:sz w:val="20"/>
          <w:szCs w:val="20"/>
          <w:lang w:val="en-CA"/>
        </w:rPr>
        <w:t>As per the letter of 10 May 2017 from the Ministère de L’Environnement et des Ressources Forestières of Togo to the Secretariat.</w:t>
      </w:r>
    </w:p>
  </w:footnote>
  <w:footnote w:id="2">
    <w:p w:rsidR="00BC5F92" w:rsidRPr="00E52877" w:rsidRDefault="00BC5F92">
      <w:pPr>
        <w:pStyle w:val="FootnoteText"/>
        <w:rPr>
          <w:lang w:val="en-US"/>
        </w:rPr>
      </w:pPr>
      <w:r>
        <w:rPr>
          <w:rStyle w:val="FootnoteReference"/>
        </w:rPr>
        <w:footnoteRef/>
      </w:r>
      <w:r>
        <w:t xml:space="preserve"> </w:t>
      </w:r>
      <w:r>
        <w:rPr>
          <w:lang w:val="en-US"/>
        </w:rPr>
        <w:t>Decisions 72/17 and 73/34.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92" w:rsidRPr="0033525D" w:rsidRDefault="00D26D87">
    <w:r>
      <w:fldChar w:fldCharType="begin"/>
    </w:r>
    <w:r>
      <w:instrText xml:space="preserve"> DOCPROPERTY "Document number"  \* MERGEFORMAT </w:instrText>
    </w:r>
    <w:r>
      <w:fldChar w:fldCharType="separate"/>
    </w:r>
    <w:r>
      <w:t>UNEP/OzL.Pro/ExCom/79/42</w:t>
    </w:r>
    <w:r>
      <w:fldChar w:fldCharType="end"/>
    </w:r>
  </w:p>
  <w:p w:rsidR="00BC5F92" w:rsidRPr="0033525D" w:rsidRDefault="00BC5F92"/>
  <w:p w:rsidR="00BC5F92" w:rsidRPr="0033525D" w:rsidRDefault="00BC5F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92" w:rsidRPr="0033525D" w:rsidRDefault="00D26D87">
    <w:pPr>
      <w:jc w:val="right"/>
    </w:pPr>
    <w:r>
      <w:fldChar w:fldCharType="begin"/>
    </w:r>
    <w:r>
      <w:instrText xml:space="preserve"> DOCPROPERTY "Document number"  \* MERGEFORMAT </w:instrText>
    </w:r>
    <w:r>
      <w:fldChar w:fldCharType="separate"/>
    </w:r>
    <w:r>
      <w:t>UNEP/OzL.Pro/ExCom/79/42</w:t>
    </w:r>
    <w:r>
      <w:fldChar w:fldCharType="end"/>
    </w:r>
  </w:p>
  <w:p w:rsidR="00BC5F92" w:rsidRPr="0033525D" w:rsidRDefault="00BC5F92"/>
  <w:p w:rsidR="00BC5F92" w:rsidRPr="0033525D" w:rsidRDefault="00BC5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025056EC"/>
    <w:multiLevelType w:val="hybridMultilevel"/>
    <w:tmpl w:val="1BDA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00553B"/>
    <w:multiLevelType w:val="hybridMultilevel"/>
    <w:tmpl w:val="093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2"/>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Daneau">
    <w15:presenceInfo w15:providerId="Windows Live" w15:userId="61603dec7e064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revisionView w:markup="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6F"/>
    <w:rsid w:val="00000FED"/>
    <w:rsid w:val="00001936"/>
    <w:rsid w:val="000022EF"/>
    <w:rsid w:val="0000434E"/>
    <w:rsid w:val="00006688"/>
    <w:rsid w:val="00013074"/>
    <w:rsid w:val="00016BC9"/>
    <w:rsid w:val="00017845"/>
    <w:rsid w:val="00020040"/>
    <w:rsid w:val="000211A9"/>
    <w:rsid w:val="00024B26"/>
    <w:rsid w:val="00031260"/>
    <w:rsid w:val="0003681A"/>
    <w:rsid w:val="00040ABE"/>
    <w:rsid w:val="0004183F"/>
    <w:rsid w:val="000609C5"/>
    <w:rsid w:val="00061EC2"/>
    <w:rsid w:val="00076D88"/>
    <w:rsid w:val="00080ED0"/>
    <w:rsid w:val="000818AF"/>
    <w:rsid w:val="00085B8F"/>
    <w:rsid w:val="00090481"/>
    <w:rsid w:val="00090FDA"/>
    <w:rsid w:val="000972FA"/>
    <w:rsid w:val="000A0EBF"/>
    <w:rsid w:val="000A5A5E"/>
    <w:rsid w:val="000A6C26"/>
    <w:rsid w:val="000B0E75"/>
    <w:rsid w:val="000B1F68"/>
    <w:rsid w:val="000B766D"/>
    <w:rsid w:val="000C6850"/>
    <w:rsid w:val="000D7D63"/>
    <w:rsid w:val="000E07BC"/>
    <w:rsid w:val="000E52B4"/>
    <w:rsid w:val="000F0E2D"/>
    <w:rsid w:val="000F1CD4"/>
    <w:rsid w:val="000F4103"/>
    <w:rsid w:val="000F6BD5"/>
    <w:rsid w:val="000F70A7"/>
    <w:rsid w:val="0010102E"/>
    <w:rsid w:val="00113692"/>
    <w:rsid w:val="0012373C"/>
    <w:rsid w:val="00135980"/>
    <w:rsid w:val="001360F0"/>
    <w:rsid w:val="001361BC"/>
    <w:rsid w:val="00151E64"/>
    <w:rsid w:val="00164719"/>
    <w:rsid w:val="00166FC4"/>
    <w:rsid w:val="001677AC"/>
    <w:rsid w:val="00171A70"/>
    <w:rsid w:val="001804EA"/>
    <w:rsid w:val="001818A7"/>
    <w:rsid w:val="00187167"/>
    <w:rsid w:val="00190A61"/>
    <w:rsid w:val="001A2151"/>
    <w:rsid w:val="001A3342"/>
    <w:rsid w:val="001A3E3D"/>
    <w:rsid w:val="001A7049"/>
    <w:rsid w:val="001B1E40"/>
    <w:rsid w:val="001B3946"/>
    <w:rsid w:val="001B3FA9"/>
    <w:rsid w:val="001B65B4"/>
    <w:rsid w:val="001C764E"/>
    <w:rsid w:val="001D25CD"/>
    <w:rsid w:val="001E1052"/>
    <w:rsid w:val="001E21B1"/>
    <w:rsid w:val="001E2F93"/>
    <w:rsid w:val="001E61E5"/>
    <w:rsid w:val="001F2159"/>
    <w:rsid w:val="001F60A3"/>
    <w:rsid w:val="00202B73"/>
    <w:rsid w:val="00214863"/>
    <w:rsid w:val="002156B4"/>
    <w:rsid w:val="00220DB1"/>
    <w:rsid w:val="00227DF9"/>
    <w:rsid w:val="00236B1B"/>
    <w:rsid w:val="00236FC8"/>
    <w:rsid w:val="00240BB3"/>
    <w:rsid w:val="00240FE0"/>
    <w:rsid w:val="00244AC2"/>
    <w:rsid w:val="00250176"/>
    <w:rsid w:val="00253222"/>
    <w:rsid w:val="002551E0"/>
    <w:rsid w:val="00255AE0"/>
    <w:rsid w:val="002607AC"/>
    <w:rsid w:val="002624CF"/>
    <w:rsid w:val="00262847"/>
    <w:rsid w:val="002640FD"/>
    <w:rsid w:val="002806FC"/>
    <w:rsid w:val="00281BB2"/>
    <w:rsid w:val="002936B4"/>
    <w:rsid w:val="002A2B44"/>
    <w:rsid w:val="002B6812"/>
    <w:rsid w:val="002B72E9"/>
    <w:rsid w:val="002C7998"/>
    <w:rsid w:val="002D55A5"/>
    <w:rsid w:val="002F1E53"/>
    <w:rsid w:val="002F2CAA"/>
    <w:rsid w:val="0031330E"/>
    <w:rsid w:val="00313CDB"/>
    <w:rsid w:val="0031408C"/>
    <w:rsid w:val="0032185A"/>
    <w:rsid w:val="0032480E"/>
    <w:rsid w:val="003273FD"/>
    <w:rsid w:val="003306E1"/>
    <w:rsid w:val="003320E4"/>
    <w:rsid w:val="00332970"/>
    <w:rsid w:val="0033525D"/>
    <w:rsid w:val="00340EC7"/>
    <w:rsid w:val="003414F3"/>
    <w:rsid w:val="0035613E"/>
    <w:rsid w:val="00357290"/>
    <w:rsid w:val="00361CFD"/>
    <w:rsid w:val="00363EE9"/>
    <w:rsid w:val="00376128"/>
    <w:rsid w:val="0037742E"/>
    <w:rsid w:val="0038245A"/>
    <w:rsid w:val="00385A0B"/>
    <w:rsid w:val="003905F2"/>
    <w:rsid w:val="0039337A"/>
    <w:rsid w:val="003944CB"/>
    <w:rsid w:val="0039737C"/>
    <w:rsid w:val="003A3189"/>
    <w:rsid w:val="003B2319"/>
    <w:rsid w:val="003B459D"/>
    <w:rsid w:val="003B569D"/>
    <w:rsid w:val="003C3C0E"/>
    <w:rsid w:val="003C4549"/>
    <w:rsid w:val="003D40C0"/>
    <w:rsid w:val="003D4FAC"/>
    <w:rsid w:val="003E1296"/>
    <w:rsid w:val="003E7906"/>
    <w:rsid w:val="003F3C50"/>
    <w:rsid w:val="00406A6A"/>
    <w:rsid w:val="00406B22"/>
    <w:rsid w:val="00407C32"/>
    <w:rsid w:val="004134FA"/>
    <w:rsid w:val="00422343"/>
    <w:rsid w:val="004269E4"/>
    <w:rsid w:val="004328A7"/>
    <w:rsid w:val="004339A9"/>
    <w:rsid w:val="00434C74"/>
    <w:rsid w:val="0044070E"/>
    <w:rsid w:val="004464DC"/>
    <w:rsid w:val="004565D8"/>
    <w:rsid w:val="00456EB4"/>
    <w:rsid w:val="004701B8"/>
    <w:rsid w:val="0047090C"/>
    <w:rsid w:val="0047159E"/>
    <w:rsid w:val="004718F3"/>
    <w:rsid w:val="00475040"/>
    <w:rsid w:val="004811F2"/>
    <w:rsid w:val="00481772"/>
    <w:rsid w:val="00482805"/>
    <w:rsid w:val="00484A7B"/>
    <w:rsid w:val="00485583"/>
    <w:rsid w:val="004856C3"/>
    <w:rsid w:val="00485DB5"/>
    <w:rsid w:val="0049232D"/>
    <w:rsid w:val="004925A6"/>
    <w:rsid w:val="00492FCF"/>
    <w:rsid w:val="00493D40"/>
    <w:rsid w:val="004967B6"/>
    <w:rsid w:val="004A33BA"/>
    <w:rsid w:val="004A504B"/>
    <w:rsid w:val="004A6911"/>
    <w:rsid w:val="004B54E0"/>
    <w:rsid w:val="004B5A04"/>
    <w:rsid w:val="004B7384"/>
    <w:rsid w:val="004C0D25"/>
    <w:rsid w:val="004C4269"/>
    <w:rsid w:val="004C69DA"/>
    <w:rsid w:val="004C6B51"/>
    <w:rsid w:val="004D4AD2"/>
    <w:rsid w:val="004D6236"/>
    <w:rsid w:val="004E4DBB"/>
    <w:rsid w:val="004E4E41"/>
    <w:rsid w:val="004E7F9C"/>
    <w:rsid w:val="004F0673"/>
    <w:rsid w:val="004F3493"/>
    <w:rsid w:val="004F3F59"/>
    <w:rsid w:val="004F4C68"/>
    <w:rsid w:val="004F5143"/>
    <w:rsid w:val="004F7F83"/>
    <w:rsid w:val="00503120"/>
    <w:rsid w:val="0051214F"/>
    <w:rsid w:val="00512B09"/>
    <w:rsid w:val="00531396"/>
    <w:rsid w:val="0053649F"/>
    <w:rsid w:val="005371D0"/>
    <w:rsid w:val="00553210"/>
    <w:rsid w:val="00555209"/>
    <w:rsid w:val="00555D75"/>
    <w:rsid w:val="005606E3"/>
    <w:rsid w:val="00560DF0"/>
    <w:rsid w:val="0056759C"/>
    <w:rsid w:val="00590237"/>
    <w:rsid w:val="00593C48"/>
    <w:rsid w:val="0059513E"/>
    <w:rsid w:val="005B03A7"/>
    <w:rsid w:val="005B3DB5"/>
    <w:rsid w:val="005B48FF"/>
    <w:rsid w:val="005B50D6"/>
    <w:rsid w:val="005C291F"/>
    <w:rsid w:val="005C3309"/>
    <w:rsid w:val="005D22E6"/>
    <w:rsid w:val="005E3F9B"/>
    <w:rsid w:val="00604236"/>
    <w:rsid w:val="00604C15"/>
    <w:rsid w:val="006134A1"/>
    <w:rsid w:val="00615209"/>
    <w:rsid w:val="006158D5"/>
    <w:rsid w:val="00625D83"/>
    <w:rsid w:val="00651D2A"/>
    <w:rsid w:val="006623E7"/>
    <w:rsid w:val="00662B80"/>
    <w:rsid w:val="00681E46"/>
    <w:rsid w:val="006852C7"/>
    <w:rsid w:val="006A7F5C"/>
    <w:rsid w:val="006B2B23"/>
    <w:rsid w:val="006C0964"/>
    <w:rsid w:val="006C1727"/>
    <w:rsid w:val="006C2BA2"/>
    <w:rsid w:val="006C32FD"/>
    <w:rsid w:val="006C39CE"/>
    <w:rsid w:val="006C3F99"/>
    <w:rsid w:val="006C4144"/>
    <w:rsid w:val="006D0DA0"/>
    <w:rsid w:val="006D0FCC"/>
    <w:rsid w:val="006D5EE6"/>
    <w:rsid w:val="006E10FF"/>
    <w:rsid w:val="006E1FC3"/>
    <w:rsid w:val="006E30AF"/>
    <w:rsid w:val="006E7D06"/>
    <w:rsid w:val="006F3F2C"/>
    <w:rsid w:val="006F7D75"/>
    <w:rsid w:val="0070616B"/>
    <w:rsid w:val="00706FDA"/>
    <w:rsid w:val="00711F9A"/>
    <w:rsid w:val="00713810"/>
    <w:rsid w:val="00717DC4"/>
    <w:rsid w:val="007241D3"/>
    <w:rsid w:val="007303A5"/>
    <w:rsid w:val="00730B3E"/>
    <w:rsid w:val="007318DF"/>
    <w:rsid w:val="0073420B"/>
    <w:rsid w:val="00742C53"/>
    <w:rsid w:val="007448A0"/>
    <w:rsid w:val="0074760E"/>
    <w:rsid w:val="00747C4F"/>
    <w:rsid w:val="007516BE"/>
    <w:rsid w:val="00754ABA"/>
    <w:rsid w:val="00765A45"/>
    <w:rsid w:val="00766A55"/>
    <w:rsid w:val="0078269B"/>
    <w:rsid w:val="0078332E"/>
    <w:rsid w:val="007860A4"/>
    <w:rsid w:val="00787584"/>
    <w:rsid w:val="007A1546"/>
    <w:rsid w:val="007A228C"/>
    <w:rsid w:val="007A368E"/>
    <w:rsid w:val="007A3762"/>
    <w:rsid w:val="007A5868"/>
    <w:rsid w:val="007B04CE"/>
    <w:rsid w:val="007B0DC5"/>
    <w:rsid w:val="007B62B2"/>
    <w:rsid w:val="007B6871"/>
    <w:rsid w:val="007B7A2F"/>
    <w:rsid w:val="007C3D33"/>
    <w:rsid w:val="007C43BC"/>
    <w:rsid w:val="007C5652"/>
    <w:rsid w:val="007D294A"/>
    <w:rsid w:val="007D29F9"/>
    <w:rsid w:val="007D2B79"/>
    <w:rsid w:val="007D47D2"/>
    <w:rsid w:val="007D6EC0"/>
    <w:rsid w:val="007D7E1D"/>
    <w:rsid w:val="007D7F76"/>
    <w:rsid w:val="0080233B"/>
    <w:rsid w:val="0081008C"/>
    <w:rsid w:val="00831979"/>
    <w:rsid w:val="00833C38"/>
    <w:rsid w:val="00835E73"/>
    <w:rsid w:val="00842A78"/>
    <w:rsid w:val="00851352"/>
    <w:rsid w:val="008520B5"/>
    <w:rsid w:val="00863230"/>
    <w:rsid w:val="008717D8"/>
    <w:rsid w:val="0087215C"/>
    <w:rsid w:val="008721B7"/>
    <w:rsid w:val="00880314"/>
    <w:rsid w:val="008875FE"/>
    <w:rsid w:val="00887F8E"/>
    <w:rsid w:val="008909D0"/>
    <w:rsid w:val="00896234"/>
    <w:rsid w:val="00897E43"/>
    <w:rsid w:val="008B73C4"/>
    <w:rsid w:val="008C01C2"/>
    <w:rsid w:val="008C5738"/>
    <w:rsid w:val="008C7EAD"/>
    <w:rsid w:val="008D0CFE"/>
    <w:rsid w:val="008D414C"/>
    <w:rsid w:val="008D4557"/>
    <w:rsid w:val="008D50BA"/>
    <w:rsid w:val="008D6152"/>
    <w:rsid w:val="008F03C7"/>
    <w:rsid w:val="008F0F81"/>
    <w:rsid w:val="008F1389"/>
    <w:rsid w:val="008F27BF"/>
    <w:rsid w:val="00923540"/>
    <w:rsid w:val="00926767"/>
    <w:rsid w:val="009361D5"/>
    <w:rsid w:val="009422FA"/>
    <w:rsid w:val="009428A4"/>
    <w:rsid w:val="009460A2"/>
    <w:rsid w:val="00960B3B"/>
    <w:rsid w:val="009633FC"/>
    <w:rsid w:val="009638B1"/>
    <w:rsid w:val="009659F4"/>
    <w:rsid w:val="009703F3"/>
    <w:rsid w:val="00970D60"/>
    <w:rsid w:val="009714F9"/>
    <w:rsid w:val="00981063"/>
    <w:rsid w:val="0098132F"/>
    <w:rsid w:val="00981C3A"/>
    <w:rsid w:val="009960E5"/>
    <w:rsid w:val="00996806"/>
    <w:rsid w:val="009A0523"/>
    <w:rsid w:val="009A6AC4"/>
    <w:rsid w:val="009A7ADC"/>
    <w:rsid w:val="009C0ED2"/>
    <w:rsid w:val="009C19B7"/>
    <w:rsid w:val="009C3916"/>
    <w:rsid w:val="009D6FD3"/>
    <w:rsid w:val="009D7C51"/>
    <w:rsid w:val="009E405D"/>
    <w:rsid w:val="009E6F2D"/>
    <w:rsid w:val="009F36BF"/>
    <w:rsid w:val="009F665B"/>
    <w:rsid w:val="00A06CC3"/>
    <w:rsid w:val="00A111B6"/>
    <w:rsid w:val="00A12CCD"/>
    <w:rsid w:val="00A13AEF"/>
    <w:rsid w:val="00A161A3"/>
    <w:rsid w:val="00A20CD4"/>
    <w:rsid w:val="00A239E5"/>
    <w:rsid w:val="00A24179"/>
    <w:rsid w:val="00A26D27"/>
    <w:rsid w:val="00A316B8"/>
    <w:rsid w:val="00A3218C"/>
    <w:rsid w:val="00A34BD1"/>
    <w:rsid w:val="00A34DA4"/>
    <w:rsid w:val="00A3742C"/>
    <w:rsid w:val="00A376EE"/>
    <w:rsid w:val="00A41AA1"/>
    <w:rsid w:val="00A42A99"/>
    <w:rsid w:val="00A5151A"/>
    <w:rsid w:val="00A54F67"/>
    <w:rsid w:val="00A57E0A"/>
    <w:rsid w:val="00A60592"/>
    <w:rsid w:val="00A673FD"/>
    <w:rsid w:val="00A823F6"/>
    <w:rsid w:val="00A832B9"/>
    <w:rsid w:val="00A85E72"/>
    <w:rsid w:val="00AA0A89"/>
    <w:rsid w:val="00AA4968"/>
    <w:rsid w:val="00AA6429"/>
    <w:rsid w:val="00AC01AA"/>
    <w:rsid w:val="00AC4F72"/>
    <w:rsid w:val="00AD44D3"/>
    <w:rsid w:val="00AD4DBC"/>
    <w:rsid w:val="00AF378C"/>
    <w:rsid w:val="00AF741A"/>
    <w:rsid w:val="00B01ADB"/>
    <w:rsid w:val="00B03DDE"/>
    <w:rsid w:val="00B04161"/>
    <w:rsid w:val="00B056F9"/>
    <w:rsid w:val="00B11E3D"/>
    <w:rsid w:val="00B17E82"/>
    <w:rsid w:val="00B249C4"/>
    <w:rsid w:val="00B4575A"/>
    <w:rsid w:val="00B45850"/>
    <w:rsid w:val="00B52F39"/>
    <w:rsid w:val="00B575BA"/>
    <w:rsid w:val="00B60958"/>
    <w:rsid w:val="00B62A5A"/>
    <w:rsid w:val="00B64C14"/>
    <w:rsid w:val="00B666A8"/>
    <w:rsid w:val="00B66EE5"/>
    <w:rsid w:val="00B70C0B"/>
    <w:rsid w:val="00B722A3"/>
    <w:rsid w:val="00B72508"/>
    <w:rsid w:val="00B76429"/>
    <w:rsid w:val="00B86EBE"/>
    <w:rsid w:val="00B956D4"/>
    <w:rsid w:val="00B97446"/>
    <w:rsid w:val="00BA7432"/>
    <w:rsid w:val="00BB0D06"/>
    <w:rsid w:val="00BC1AA0"/>
    <w:rsid w:val="00BC2495"/>
    <w:rsid w:val="00BC34A9"/>
    <w:rsid w:val="00BC5F92"/>
    <w:rsid w:val="00BC71BC"/>
    <w:rsid w:val="00BC7EB9"/>
    <w:rsid w:val="00BD2643"/>
    <w:rsid w:val="00BD56B1"/>
    <w:rsid w:val="00BD6558"/>
    <w:rsid w:val="00BE193B"/>
    <w:rsid w:val="00BE50B3"/>
    <w:rsid w:val="00BE5338"/>
    <w:rsid w:val="00BF3022"/>
    <w:rsid w:val="00BF3214"/>
    <w:rsid w:val="00BF37B5"/>
    <w:rsid w:val="00BF53FA"/>
    <w:rsid w:val="00C15867"/>
    <w:rsid w:val="00C2296D"/>
    <w:rsid w:val="00C23155"/>
    <w:rsid w:val="00C36480"/>
    <w:rsid w:val="00C40C41"/>
    <w:rsid w:val="00C45885"/>
    <w:rsid w:val="00C50F22"/>
    <w:rsid w:val="00C57000"/>
    <w:rsid w:val="00C57806"/>
    <w:rsid w:val="00C57971"/>
    <w:rsid w:val="00C60B57"/>
    <w:rsid w:val="00C60D80"/>
    <w:rsid w:val="00C61881"/>
    <w:rsid w:val="00C62125"/>
    <w:rsid w:val="00C64D17"/>
    <w:rsid w:val="00C66AB3"/>
    <w:rsid w:val="00C704F9"/>
    <w:rsid w:val="00C74418"/>
    <w:rsid w:val="00C75214"/>
    <w:rsid w:val="00C76BA4"/>
    <w:rsid w:val="00C81D61"/>
    <w:rsid w:val="00C822D7"/>
    <w:rsid w:val="00C83A48"/>
    <w:rsid w:val="00C85865"/>
    <w:rsid w:val="00C85E85"/>
    <w:rsid w:val="00C96D60"/>
    <w:rsid w:val="00CA0D71"/>
    <w:rsid w:val="00CA2EAE"/>
    <w:rsid w:val="00CA4AC1"/>
    <w:rsid w:val="00CB0316"/>
    <w:rsid w:val="00CB0B11"/>
    <w:rsid w:val="00CB5354"/>
    <w:rsid w:val="00CC3B5D"/>
    <w:rsid w:val="00CC6A14"/>
    <w:rsid w:val="00CC70A3"/>
    <w:rsid w:val="00CD4442"/>
    <w:rsid w:val="00CD53C3"/>
    <w:rsid w:val="00CD574E"/>
    <w:rsid w:val="00CE4C22"/>
    <w:rsid w:val="00CF41EC"/>
    <w:rsid w:val="00CF5D04"/>
    <w:rsid w:val="00D04DE4"/>
    <w:rsid w:val="00D063F1"/>
    <w:rsid w:val="00D14F22"/>
    <w:rsid w:val="00D23E0A"/>
    <w:rsid w:val="00D26D87"/>
    <w:rsid w:val="00D43CE2"/>
    <w:rsid w:val="00D43ECE"/>
    <w:rsid w:val="00D51B1F"/>
    <w:rsid w:val="00D57918"/>
    <w:rsid w:val="00D73DC6"/>
    <w:rsid w:val="00D74C1A"/>
    <w:rsid w:val="00D754C1"/>
    <w:rsid w:val="00D77A35"/>
    <w:rsid w:val="00D81B3E"/>
    <w:rsid w:val="00D820DD"/>
    <w:rsid w:val="00D837D4"/>
    <w:rsid w:val="00D84240"/>
    <w:rsid w:val="00D8668D"/>
    <w:rsid w:val="00D90C70"/>
    <w:rsid w:val="00D90E49"/>
    <w:rsid w:val="00D90EC3"/>
    <w:rsid w:val="00D969DE"/>
    <w:rsid w:val="00DA41D6"/>
    <w:rsid w:val="00DA54CE"/>
    <w:rsid w:val="00DA7316"/>
    <w:rsid w:val="00DB290F"/>
    <w:rsid w:val="00DC6A10"/>
    <w:rsid w:val="00DC72F1"/>
    <w:rsid w:val="00DE657E"/>
    <w:rsid w:val="00DF0BBE"/>
    <w:rsid w:val="00DF4704"/>
    <w:rsid w:val="00E024AA"/>
    <w:rsid w:val="00E07DE7"/>
    <w:rsid w:val="00E20A02"/>
    <w:rsid w:val="00E217AA"/>
    <w:rsid w:val="00E250F1"/>
    <w:rsid w:val="00E27D0A"/>
    <w:rsid w:val="00E30463"/>
    <w:rsid w:val="00E3550D"/>
    <w:rsid w:val="00E359EA"/>
    <w:rsid w:val="00E41EF2"/>
    <w:rsid w:val="00E454E3"/>
    <w:rsid w:val="00E51AD3"/>
    <w:rsid w:val="00E52877"/>
    <w:rsid w:val="00E54876"/>
    <w:rsid w:val="00E614E0"/>
    <w:rsid w:val="00E677B3"/>
    <w:rsid w:val="00E73F7F"/>
    <w:rsid w:val="00E85409"/>
    <w:rsid w:val="00E97413"/>
    <w:rsid w:val="00EA0C94"/>
    <w:rsid w:val="00EA2FEC"/>
    <w:rsid w:val="00EA429F"/>
    <w:rsid w:val="00EA4F9E"/>
    <w:rsid w:val="00EA63CA"/>
    <w:rsid w:val="00EA6D3B"/>
    <w:rsid w:val="00EA795A"/>
    <w:rsid w:val="00EB00AD"/>
    <w:rsid w:val="00EB0B28"/>
    <w:rsid w:val="00EB0FC7"/>
    <w:rsid w:val="00EB136C"/>
    <w:rsid w:val="00EB480E"/>
    <w:rsid w:val="00EB5EC6"/>
    <w:rsid w:val="00EB7FC9"/>
    <w:rsid w:val="00ED27E8"/>
    <w:rsid w:val="00ED7137"/>
    <w:rsid w:val="00EE19FB"/>
    <w:rsid w:val="00EE302F"/>
    <w:rsid w:val="00EF5512"/>
    <w:rsid w:val="00F134E0"/>
    <w:rsid w:val="00F204AF"/>
    <w:rsid w:val="00F21088"/>
    <w:rsid w:val="00F21F64"/>
    <w:rsid w:val="00F24E75"/>
    <w:rsid w:val="00F30096"/>
    <w:rsid w:val="00F327E7"/>
    <w:rsid w:val="00F34C38"/>
    <w:rsid w:val="00F352C0"/>
    <w:rsid w:val="00F35746"/>
    <w:rsid w:val="00F447C7"/>
    <w:rsid w:val="00F47356"/>
    <w:rsid w:val="00F554A9"/>
    <w:rsid w:val="00F716FD"/>
    <w:rsid w:val="00F73A6F"/>
    <w:rsid w:val="00F80355"/>
    <w:rsid w:val="00F80B7A"/>
    <w:rsid w:val="00F85B18"/>
    <w:rsid w:val="00F86B8C"/>
    <w:rsid w:val="00FA696A"/>
    <w:rsid w:val="00FB0C81"/>
    <w:rsid w:val="00FB1862"/>
    <w:rsid w:val="00FB1EB5"/>
    <w:rsid w:val="00FC2200"/>
    <w:rsid w:val="00FC2540"/>
    <w:rsid w:val="00FD3DC2"/>
    <w:rsid w:val="00FD5F09"/>
    <w:rsid w:val="00FD6215"/>
    <w:rsid w:val="00FE117A"/>
    <w:rsid w:val="00FE6AB0"/>
    <w:rsid w:val="00FF0204"/>
    <w:rsid w:val="00FF08C5"/>
    <w:rsid w:val="00FF3AED"/>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407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C57806"/>
    <w:rPr>
      <w:sz w:val="22"/>
      <w:szCs w:val="22"/>
      <w:lang w:val="en-GB"/>
    </w:rPr>
  </w:style>
  <w:style w:type="paragraph" w:styleId="FootnoteText">
    <w:name w:val="footnote text"/>
    <w:basedOn w:val="Normal"/>
    <w:link w:val="FootnoteTextChar"/>
    <w:uiPriority w:val="99"/>
    <w:semiHidden/>
    <w:unhideWhenUsed/>
    <w:rsid w:val="006E7D06"/>
    <w:rPr>
      <w:sz w:val="20"/>
      <w:szCs w:val="20"/>
    </w:rPr>
  </w:style>
  <w:style w:type="character" w:customStyle="1" w:styleId="FootnoteTextChar">
    <w:name w:val="Footnote Text Char"/>
    <w:basedOn w:val="DefaultParagraphFont"/>
    <w:link w:val="FootnoteText"/>
    <w:uiPriority w:val="99"/>
    <w:semiHidden/>
    <w:rsid w:val="006E7D06"/>
    <w:rPr>
      <w:lang w:val="en-GB"/>
    </w:rPr>
  </w:style>
  <w:style w:type="character" w:styleId="FootnoteReference">
    <w:name w:val="footnote reference"/>
    <w:basedOn w:val="DefaultParagraphFont"/>
    <w:uiPriority w:val="99"/>
    <w:semiHidden/>
    <w:unhideWhenUsed/>
    <w:rsid w:val="006E7D06"/>
    <w:rPr>
      <w:vertAlign w:val="superscript"/>
    </w:rPr>
  </w:style>
  <w:style w:type="paragraph" w:styleId="ListParagraph">
    <w:name w:val="List Paragraph"/>
    <w:basedOn w:val="Normal"/>
    <w:uiPriority w:val="34"/>
    <w:qFormat/>
    <w:rsid w:val="0040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47239">
      <w:bodyDiv w:val="1"/>
      <w:marLeft w:val="0"/>
      <w:marRight w:val="0"/>
      <w:marTop w:val="0"/>
      <w:marBottom w:val="0"/>
      <w:divBdr>
        <w:top w:val="none" w:sz="0" w:space="0" w:color="auto"/>
        <w:left w:val="none" w:sz="0" w:space="0" w:color="auto"/>
        <w:bottom w:val="none" w:sz="0" w:space="0" w:color="auto"/>
        <w:right w:val="none" w:sz="0" w:space="0" w:color="auto"/>
      </w:divBdr>
    </w:div>
    <w:div w:id="1648900175">
      <w:bodyDiv w:val="1"/>
      <w:marLeft w:val="0"/>
      <w:marRight w:val="0"/>
      <w:marTop w:val="0"/>
      <w:marBottom w:val="0"/>
      <w:divBdr>
        <w:top w:val="none" w:sz="0" w:space="0" w:color="auto"/>
        <w:left w:val="none" w:sz="0" w:space="0" w:color="auto"/>
        <w:bottom w:val="none" w:sz="0" w:space="0" w:color="auto"/>
        <w:right w:val="none" w:sz="0" w:space="0" w:color="auto"/>
      </w:divBdr>
    </w:div>
    <w:div w:id="168285048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UNEP/OzL.Pro/ExCom/79/42</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3BC77-452E-4750-BEBD-A9A753EE7F69}"/>
</file>

<file path=customXml/itemProps2.xml><?xml version="1.0" encoding="utf-8"?>
<ds:datastoreItem xmlns:ds="http://schemas.openxmlformats.org/officeDocument/2006/customXml" ds:itemID="{E253B7BA-BA77-46F0-9A5D-650D2BCD26F9}"/>
</file>

<file path=customXml/itemProps3.xml><?xml version="1.0" encoding="utf-8"?>
<ds:datastoreItem xmlns:ds="http://schemas.openxmlformats.org/officeDocument/2006/customXml" ds:itemID="{662EE60E-3C6A-4E6C-AB5A-8BB42156920E}"/>
</file>

<file path=customXml/itemProps4.xml><?xml version="1.0" encoding="utf-8"?>
<ds:datastoreItem xmlns:ds="http://schemas.openxmlformats.org/officeDocument/2006/customXml" ds:itemID="{DA9E6D38-BF45-418B-AE25-72E1456AD5F3}"/>
</file>

<file path=docProps/app.xml><?xml version="1.0" encoding="utf-8"?>
<Properties xmlns="http://schemas.openxmlformats.org/officeDocument/2006/extended-properties" xmlns:vt="http://schemas.openxmlformats.org/officeDocument/2006/docPropsVTypes">
  <Template>Eec79G</Template>
  <TotalTime>13</TotalTime>
  <Pages>6</Pages>
  <Words>2051</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Project proposal: Togo</vt:lpstr>
    </vt:vector>
  </TitlesOfParts>
  <Company>UNMFS</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Togo</dc:title>
  <dc:subject>79th ExCom</dc:subject>
  <dc:creator>Patricia Chau</dc:creator>
  <dc:description>FSM</dc:description>
  <cp:lastModifiedBy>Patricia Chau</cp:lastModifiedBy>
  <cp:revision>14</cp:revision>
  <cp:lastPrinted>2017-06-06T13:45:00Z</cp:lastPrinted>
  <dcterms:created xsi:type="dcterms:W3CDTF">2017-06-05T20:47:00Z</dcterms:created>
  <dcterms:modified xsi:type="dcterms:W3CDTF">2017-06-06T13:45:00Z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UNEP/OzL.Pro/ExCom/79/42</vt:lpwstr>
  </property>
  <property fmtid="{D5CDD505-2E9C-101B-9397-08002B2CF9AE}" pid="3" name="Revision date">
    <vt:lpwstr>6/6/2017</vt:lpwstr>
  </property>
  <property fmtid="{D5CDD505-2E9C-101B-9397-08002B2CF9AE}" pid="4" name="ContentTypeId">
    <vt:lpwstr>0x01010004C6732A9FE91B4FBB477FDF99EB5849</vt:lpwstr>
  </property>
</Properties>
</file>