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A27A71" w:rsidTr="00E0480C">
        <w:trPr>
          <w:trHeight w:val="720"/>
        </w:trPr>
        <w:tc>
          <w:tcPr>
            <w:tcW w:w="5490" w:type="dxa"/>
            <w:gridSpan w:val="2"/>
            <w:tcBorders>
              <w:bottom w:val="single" w:sz="18" w:space="0" w:color="auto"/>
            </w:tcBorders>
          </w:tcPr>
          <w:p w:rsidR="00C15867" w:rsidRPr="00A27A71" w:rsidRDefault="00C15867" w:rsidP="00E0480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A27A71">
              <w:rPr>
                <w:rFonts w:ascii="Univers" w:hAnsi="Univers"/>
                <w:b/>
                <w:sz w:val="28"/>
                <w:szCs w:val="28"/>
              </w:rPr>
              <w:t>UNITED</w:t>
            </w:r>
            <w:r w:rsidRPr="00A27A71">
              <w:rPr>
                <w:rFonts w:ascii="Univers" w:hAnsi="Univers"/>
                <w:b/>
                <w:sz w:val="28"/>
                <w:szCs w:val="28"/>
              </w:rPr>
              <w:br/>
              <w:t>NATIONS</w:t>
            </w:r>
          </w:p>
        </w:tc>
        <w:tc>
          <w:tcPr>
            <w:tcW w:w="4590" w:type="dxa"/>
            <w:tcBorders>
              <w:bottom w:val="single" w:sz="18" w:space="0" w:color="auto"/>
            </w:tcBorders>
          </w:tcPr>
          <w:p w:rsidR="00C15867" w:rsidRPr="00A27A71" w:rsidRDefault="00C15867" w:rsidP="00E0480C">
            <w:pPr>
              <w:jc w:val="right"/>
              <w:rPr>
                <w:sz w:val="52"/>
                <w:szCs w:val="52"/>
              </w:rPr>
            </w:pPr>
            <w:r w:rsidRPr="00A27A71">
              <w:rPr>
                <w:rFonts w:ascii="Univers Bold" w:hAnsi="Univers Bold"/>
                <w:b/>
                <w:sz w:val="72"/>
              </w:rPr>
              <w:t>EP</w:t>
            </w:r>
          </w:p>
        </w:tc>
      </w:tr>
      <w:tr w:rsidR="00C15867" w:rsidRPr="00A27A71" w:rsidTr="00E04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A27A71" w:rsidRDefault="00C15867" w:rsidP="00E0480C">
            <w:pPr>
              <w:spacing w:before="120"/>
            </w:pPr>
            <w:r w:rsidRPr="00A27A71">
              <w:rPr>
                <w:noProof/>
                <w:lang w:val="en-CA" w:eastAsia="en-CA"/>
              </w:rPr>
              <w:drawing>
                <wp:anchor distT="0" distB="0" distL="114300" distR="114300" simplePos="0" relativeHeight="251660288" behindDoc="0" locked="0" layoutInCell="1" allowOverlap="1" wp14:anchorId="1A8F429B" wp14:editId="04FAF3B4">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A27A71">
              <w:rPr>
                <w:noProof/>
                <w:lang w:val="en-CA" w:eastAsia="en-CA"/>
              </w:rPr>
              <w:drawing>
                <wp:anchor distT="0" distB="0" distL="114300" distR="114300" simplePos="0" relativeHeight="251661312" behindDoc="1" locked="0" layoutInCell="0" allowOverlap="1" wp14:anchorId="2A63E721" wp14:editId="55A6B34E">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A27A71" w:rsidRDefault="00C15867" w:rsidP="00E0480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A27A71">
              <w:rPr>
                <w:rFonts w:ascii="Univers" w:hAnsi="Univers"/>
                <w:b/>
                <w:sz w:val="32"/>
              </w:rPr>
              <w:t>United Nations</w:t>
            </w:r>
          </w:p>
          <w:p w:rsidR="00C15867" w:rsidRPr="00A27A71" w:rsidRDefault="00C15867" w:rsidP="00E0480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A27A71">
              <w:rPr>
                <w:rFonts w:ascii="Univers" w:hAnsi="Univers"/>
                <w:b/>
                <w:sz w:val="32"/>
              </w:rPr>
              <w:t>Environment</w:t>
            </w:r>
          </w:p>
          <w:p w:rsidR="00C15867" w:rsidRPr="00A27A71" w:rsidRDefault="00C15867" w:rsidP="00E0480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A27A71">
              <w:rPr>
                <w:rFonts w:ascii="Univers" w:hAnsi="Univers"/>
                <w:b/>
                <w:sz w:val="32"/>
              </w:rPr>
              <w:t>Programme</w:t>
            </w:r>
          </w:p>
          <w:p w:rsidR="00C15867" w:rsidRPr="00A27A71" w:rsidRDefault="00C15867" w:rsidP="00E0480C">
            <w:pPr>
              <w:spacing w:before="720"/>
              <w:ind w:left="158"/>
            </w:pPr>
          </w:p>
        </w:tc>
        <w:tc>
          <w:tcPr>
            <w:tcW w:w="4590" w:type="dxa"/>
            <w:tcBorders>
              <w:top w:val="nil"/>
              <w:left w:val="nil"/>
              <w:bottom w:val="single" w:sz="36" w:space="0" w:color="auto"/>
              <w:right w:val="nil"/>
            </w:tcBorders>
          </w:tcPr>
          <w:p w:rsidR="00C15867" w:rsidRPr="00A27A71" w:rsidRDefault="00C15867" w:rsidP="00E0480C">
            <w:r w:rsidRPr="00A27A71">
              <w:t>Distr.</w:t>
            </w:r>
          </w:p>
          <w:p w:rsidR="00923540" w:rsidRPr="00A27A71" w:rsidRDefault="00923540" w:rsidP="00923540">
            <w:r w:rsidRPr="00A27A71">
              <w:t>GENERAL</w:t>
            </w:r>
          </w:p>
          <w:p w:rsidR="00C15867" w:rsidRPr="00A27A71" w:rsidRDefault="00C15867" w:rsidP="00E0480C"/>
          <w:p w:rsidR="00C15867" w:rsidRPr="00A27A71" w:rsidRDefault="00C15867" w:rsidP="00E0480C"/>
          <w:p w:rsidR="00C15867" w:rsidRPr="00A27A71" w:rsidRDefault="0014049E" w:rsidP="00E0480C">
            <w:fldSimple w:instr=" DOCPROPERTY &quot;Document number&quot;  \* MERGEFORMAT ">
              <w:r w:rsidR="00B77D27" w:rsidRPr="00A27A71">
                <w:t>UNEP/OzL.Pro/ExCom/79/32</w:t>
              </w:r>
            </w:fldSimple>
          </w:p>
          <w:p w:rsidR="00C15867" w:rsidRPr="00A27A71" w:rsidRDefault="00BC2495" w:rsidP="00E0480C">
            <w:r w:rsidRPr="00A27A71">
              <w:fldChar w:fldCharType="begin"/>
            </w:r>
            <w:r w:rsidR="00851352" w:rsidRPr="00A27A71">
              <w:instrText xml:space="preserve"> DOCPROPERTY "Revision date" \@ "d MMMM YYYY"  \* MERGEFORMAT </w:instrText>
            </w:r>
            <w:r w:rsidRPr="00A27A71">
              <w:fldChar w:fldCharType="separate"/>
            </w:r>
            <w:r w:rsidR="00F76143">
              <w:t>16 June 2017</w:t>
            </w:r>
            <w:r w:rsidRPr="00A27A71">
              <w:fldChar w:fldCharType="end"/>
            </w:r>
          </w:p>
          <w:p w:rsidR="00C15867" w:rsidRPr="00A27A71" w:rsidRDefault="00C15867" w:rsidP="00E0480C">
            <w:pPr>
              <w:rPr>
                <w:caps/>
              </w:rPr>
            </w:pPr>
          </w:p>
          <w:p w:rsidR="00C15867" w:rsidRPr="00A27A71" w:rsidRDefault="00C15867" w:rsidP="00E0480C">
            <w:r w:rsidRPr="00A27A71">
              <w:t>ORIGINAL: ENGLISH</w:t>
            </w:r>
          </w:p>
        </w:tc>
      </w:tr>
    </w:tbl>
    <w:p w:rsidR="00BF3022" w:rsidRPr="00A27A71" w:rsidRDefault="00C15867" w:rsidP="00BF3022">
      <w:pPr>
        <w:jc w:val="left"/>
      </w:pPr>
      <w:r w:rsidRPr="00A27A71">
        <w:t>EXECUTIVE COMMITTEE OF</w:t>
      </w:r>
      <w:r w:rsidRPr="00A27A71">
        <w:br/>
        <w:t xml:space="preserve">  THE MULTILATERAL FUND FOR THE</w:t>
      </w:r>
      <w:r w:rsidRPr="00A27A71">
        <w:br/>
        <w:t xml:space="preserve">  IMPLEMENTATION OF THE MONTREAL PROTOCOL</w:t>
      </w:r>
      <w:r w:rsidRPr="00A27A71">
        <w:br/>
      </w:r>
      <w:r w:rsidR="00BF3022" w:rsidRPr="00A27A71">
        <w:t>Seventy-</w:t>
      </w:r>
      <w:r w:rsidR="00214863" w:rsidRPr="00A27A71">
        <w:t>nin</w:t>
      </w:r>
      <w:r w:rsidR="00831979" w:rsidRPr="00A27A71">
        <w:t xml:space="preserve">th </w:t>
      </w:r>
      <w:r w:rsidR="00BF3022" w:rsidRPr="00A27A71">
        <w:t>Meeting</w:t>
      </w:r>
    </w:p>
    <w:p w:rsidR="009960E5" w:rsidRPr="00A27A71" w:rsidRDefault="00214863" w:rsidP="00BF3022">
      <w:pPr>
        <w:jc w:val="left"/>
      </w:pPr>
      <w:r w:rsidRPr="00A27A71">
        <w:t>Bangkok</w:t>
      </w:r>
      <w:r w:rsidR="00BF3022" w:rsidRPr="00A27A71">
        <w:t xml:space="preserve">, </w:t>
      </w:r>
      <w:r w:rsidRPr="00A27A71">
        <w:t>3</w:t>
      </w:r>
      <w:r w:rsidR="00BF3022" w:rsidRPr="00A27A71">
        <w:t xml:space="preserve">-7 </w:t>
      </w:r>
      <w:r w:rsidRPr="00A27A71">
        <w:t>July</w:t>
      </w:r>
      <w:r w:rsidR="00BF3022" w:rsidRPr="00A27A71">
        <w:t xml:space="preserve"> 2017 </w:t>
      </w:r>
    </w:p>
    <w:p w:rsidR="00C15867" w:rsidRPr="00A27A71" w:rsidRDefault="00C15867" w:rsidP="009960E5">
      <w:pPr>
        <w:jc w:val="left"/>
      </w:pPr>
    </w:p>
    <w:p w:rsidR="00C15867" w:rsidRPr="00A27A71" w:rsidRDefault="00C15867" w:rsidP="00C15867">
      <w:pPr>
        <w:pStyle w:val="Heading3"/>
        <w:numPr>
          <w:ilvl w:val="0"/>
          <w:numId w:val="0"/>
        </w:numPr>
        <w:spacing w:after="0"/>
      </w:pPr>
    </w:p>
    <w:p w:rsidR="004E7F9C" w:rsidRPr="00A27A71" w:rsidRDefault="004E7F9C" w:rsidP="004E7F9C">
      <w:pPr>
        <w:pStyle w:val="Title1"/>
      </w:pPr>
    </w:p>
    <w:p w:rsidR="004E7F9C" w:rsidRPr="00A27A71" w:rsidRDefault="004E7F9C" w:rsidP="004E7F9C">
      <w:pPr>
        <w:pStyle w:val="Title1"/>
      </w:pPr>
    </w:p>
    <w:p w:rsidR="00C905D9" w:rsidRPr="00A27A71" w:rsidRDefault="00C905D9" w:rsidP="00C905D9">
      <w:pPr>
        <w:jc w:val="center"/>
        <w:rPr>
          <w:b/>
        </w:rPr>
      </w:pPr>
      <w:r w:rsidRPr="00A27A71">
        <w:rPr>
          <w:b/>
        </w:rPr>
        <w:t xml:space="preserve">PROJECT PROPOSAL:  </w:t>
      </w:r>
      <w:r w:rsidR="00E0480C" w:rsidRPr="00A27A71">
        <w:rPr>
          <w:b/>
        </w:rPr>
        <w:t>EGYPT</w:t>
      </w:r>
    </w:p>
    <w:p w:rsidR="00C905D9" w:rsidRPr="00A27A71" w:rsidRDefault="00C905D9" w:rsidP="00C905D9"/>
    <w:p w:rsidR="00C905D9" w:rsidRPr="00A27A71" w:rsidRDefault="00C905D9" w:rsidP="00501F30">
      <w:pPr>
        <w:tabs>
          <w:tab w:val="left" w:pos="6136"/>
        </w:tabs>
      </w:pPr>
    </w:p>
    <w:p w:rsidR="00C905D9" w:rsidRPr="00A27A71" w:rsidRDefault="00C905D9" w:rsidP="00C905D9">
      <w:pPr>
        <w:ind w:firstLine="720"/>
      </w:pPr>
      <w:r w:rsidRPr="00A27A71">
        <w:t xml:space="preserve">This document consists of the comments and recommendation of the Secretariat on the following project proposal: </w:t>
      </w:r>
    </w:p>
    <w:p w:rsidR="00C905D9" w:rsidRPr="00A27A71" w:rsidRDefault="00C905D9" w:rsidP="00C905D9"/>
    <w:p w:rsidR="00C905D9" w:rsidRPr="00A27A71" w:rsidRDefault="00C905D9" w:rsidP="00C905D9">
      <w:pPr>
        <w:rPr>
          <w:u w:val="single"/>
        </w:rPr>
      </w:pPr>
      <w:r w:rsidRPr="00A27A71">
        <w:rPr>
          <w:u w:val="single"/>
        </w:rPr>
        <w:t>Phase-out</w:t>
      </w:r>
    </w:p>
    <w:p w:rsidR="00C905D9" w:rsidRPr="00A27A71" w:rsidRDefault="00C905D9" w:rsidP="00C905D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240"/>
      </w:tblGrid>
      <w:tr w:rsidR="00C905D9" w:rsidRPr="00A27A71" w:rsidTr="00974B36">
        <w:tc>
          <w:tcPr>
            <w:tcW w:w="6228" w:type="dxa"/>
          </w:tcPr>
          <w:p w:rsidR="00C905D9" w:rsidRPr="00A27A71" w:rsidRDefault="00C905D9" w:rsidP="00E0480C">
            <w:pPr>
              <w:numPr>
                <w:ilvl w:val="0"/>
                <w:numId w:val="21"/>
              </w:numPr>
              <w:contextualSpacing/>
            </w:pPr>
            <w:r w:rsidRPr="00A27A71">
              <w:t>HCFC phase-out management plan (</w:t>
            </w:r>
            <w:r w:rsidR="007F53A9" w:rsidRPr="00A27A71">
              <w:t>stage </w:t>
            </w:r>
            <w:r w:rsidRPr="00A27A71">
              <w:t>II, first tranche)</w:t>
            </w:r>
          </w:p>
        </w:tc>
        <w:tc>
          <w:tcPr>
            <w:tcW w:w="3240" w:type="dxa"/>
          </w:tcPr>
          <w:p w:rsidR="00C905D9" w:rsidRPr="00A27A71" w:rsidRDefault="00E0480C" w:rsidP="0032368B">
            <w:pPr>
              <w:jc w:val="right"/>
              <w:rPr>
                <w:b/>
              </w:rPr>
            </w:pPr>
            <w:r w:rsidRPr="00A27A71">
              <w:t xml:space="preserve">UNIDO, UNDP, </w:t>
            </w:r>
            <w:r w:rsidR="00E61A05" w:rsidRPr="00A27A71">
              <w:t>UN</w:t>
            </w:r>
            <w:r w:rsidR="0032368B" w:rsidRPr="00A27A71">
              <w:t> Environment</w:t>
            </w:r>
            <w:r w:rsidRPr="00A27A71">
              <w:t>, Government of Germany</w:t>
            </w:r>
          </w:p>
        </w:tc>
      </w:tr>
    </w:tbl>
    <w:p w:rsidR="00C905D9" w:rsidRPr="00A27A71" w:rsidRDefault="00C905D9" w:rsidP="00C905D9"/>
    <w:p w:rsidR="00C905D9" w:rsidRPr="00A27A71" w:rsidRDefault="00C905D9" w:rsidP="00C905D9"/>
    <w:p w:rsidR="00C905D9" w:rsidRPr="00A27A71" w:rsidRDefault="00C905D9" w:rsidP="00C905D9"/>
    <w:p w:rsidR="00C905D9" w:rsidRPr="00A27A71" w:rsidRDefault="00C905D9" w:rsidP="00C905D9"/>
    <w:p w:rsidR="00C905D9" w:rsidRPr="00A27A71" w:rsidRDefault="00C905D9" w:rsidP="00C905D9">
      <w:r w:rsidRPr="00A27A71">
        <w:br w:type="page"/>
      </w:r>
    </w:p>
    <w:p w:rsidR="00C905D9" w:rsidRPr="00A27A71" w:rsidRDefault="00C905D9" w:rsidP="00C905D9"/>
    <w:p w:rsidR="00FD26A0" w:rsidRPr="00A27A71" w:rsidRDefault="00FD26A0" w:rsidP="00FD26A0">
      <w:pPr>
        <w:spacing w:after="80"/>
        <w:jc w:val="center"/>
        <w:rPr>
          <w:b/>
          <w:sz w:val="24"/>
        </w:rPr>
      </w:pPr>
      <w:r w:rsidRPr="00A27A71">
        <w:rPr>
          <w:b/>
          <w:sz w:val="24"/>
        </w:rPr>
        <w:t>PROJECT EVALUATION SHEET – MULTI-YEAR PROJECTS</w:t>
      </w:r>
    </w:p>
    <w:p w:rsidR="00FD26A0" w:rsidRPr="00A27A71" w:rsidRDefault="00FD26A0" w:rsidP="00FD26A0">
      <w:pPr>
        <w:spacing w:after="80"/>
        <w:jc w:val="center"/>
        <w:rPr>
          <w:b/>
          <w:sz w:val="24"/>
        </w:rPr>
      </w:pPr>
      <w:r w:rsidRPr="00A27A71">
        <w:rPr>
          <w:b/>
          <w:sz w:val="24"/>
        </w:rPr>
        <w:t>Egypt</w:t>
      </w:r>
    </w:p>
    <w:p w:rsidR="00FD26A0" w:rsidRPr="00A27A71" w:rsidRDefault="00FD26A0" w:rsidP="00FD26A0">
      <w:pPr>
        <w:spacing w:after="80"/>
        <w:jc w:val="center"/>
      </w:pPr>
    </w:p>
    <w:tbl>
      <w:tblPr>
        <w:tblStyle w:val="TableGrid"/>
        <w:tblW w:w="1000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000"/>
        <w:gridCol w:w="5000"/>
      </w:tblGrid>
      <w:tr w:rsidR="00FD26A0" w:rsidRPr="00A27A71" w:rsidTr="00B77D27">
        <w:trPr>
          <w:trHeight w:val="240"/>
          <w:jc w:val="center"/>
        </w:trPr>
        <w:tc>
          <w:tcPr>
            <w:tcW w:w="4788" w:type="dxa"/>
            <w:shd w:val="clear" w:color="auto" w:fill="auto"/>
          </w:tcPr>
          <w:p w:rsidR="00FD26A0" w:rsidRPr="00A27A71" w:rsidRDefault="00FD26A0" w:rsidP="00B77D27">
            <w:pPr>
              <w:spacing w:after="80"/>
              <w:jc w:val="left"/>
              <w:rPr>
                <w:b/>
                <w:sz w:val="18"/>
                <w:szCs w:val="18"/>
              </w:rPr>
            </w:pPr>
            <w:r w:rsidRPr="00A27A71">
              <w:rPr>
                <w:b/>
                <w:sz w:val="18"/>
                <w:szCs w:val="18"/>
              </w:rPr>
              <w:t>(I) PROJECT TITLE</w:t>
            </w:r>
          </w:p>
        </w:tc>
        <w:tc>
          <w:tcPr>
            <w:tcW w:w="4788" w:type="dxa"/>
            <w:shd w:val="clear" w:color="auto" w:fill="auto"/>
          </w:tcPr>
          <w:p w:rsidR="00FD26A0" w:rsidRPr="00A27A71" w:rsidRDefault="00FD26A0" w:rsidP="00B77D27">
            <w:pPr>
              <w:spacing w:after="80"/>
              <w:jc w:val="center"/>
              <w:rPr>
                <w:b/>
                <w:sz w:val="18"/>
                <w:szCs w:val="18"/>
              </w:rPr>
            </w:pPr>
            <w:r w:rsidRPr="00A27A71">
              <w:rPr>
                <w:b/>
                <w:sz w:val="18"/>
                <w:szCs w:val="18"/>
              </w:rPr>
              <w:t>AGENCY</w:t>
            </w:r>
          </w:p>
        </w:tc>
      </w:tr>
      <w:tr w:rsidR="00FD26A0" w:rsidRPr="00A27A71" w:rsidTr="00B77D27">
        <w:trPr>
          <w:trHeight w:val="240"/>
          <w:jc w:val="center"/>
        </w:trPr>
        <w:tc>
          <w:tcPr>
            <w:tcW w:w="4788" w:type="dxa"/>
            <w:shd w:val="clear" w:color="auto" w:fill="auto"/>
          </w:tcPr>
          <w:p w:rsidR="00FD26A0" w:rsidRPr="00A27A71" w:rsidRDefault="00FD26A0" w:rsidP="00B77D27">
            <w:pPr>
              <w:spacing w:after="80"/>
              <w:jc w:val="center"/>
              <w:rPr>
                <w:sz w:val="18"/>
                <w:szCs w:val="18"/>
              </w:rPr>
            </w:pPr>
            <w:r w:rsidRPr="00A27A71">
              <w:rPr>
                <w:sz w:val="18"/>
                <w:szCs w:val="18"/>
              </w:rPr>
              <w:t>HCFC phase-out plan (Stage II)</w:t>
            </w:r>
          </w:p>
        </w:tc>
        <w:tc>
          <w:tcPr>
            <w:tcW w:w="4788" w:type="dxa"/>
            <w:shd w:val="clear" w:color="auto" w:fill="auto"/>
          </w:tcPr>
          <w:p w:rsidR="00FD26A0" w:rsidRPr="00A27A71" w:rsidRDefault="00FD26A0" w:rsidP="00B77D27">
            <w:pPr>
              <w:spacing w:after="80"/>
              <w:jc w:val="center"/>
              <w:rPr>
                <w:sz w:val="18"/>
                <w:szCs w:val="18"/>
              </w:rPr>
            </w:pPr>
            <w:r w:rsidRPr="00A27A71">
              <w:rPr>
                <w:sz w:val="18"/>
              </w:rPr>
              <w:t>UNIDO (lead), UNDP, UN Environment, Germany</w:t>
            </w:r>
          </w:p>
        </w:tc>
      </w:tr>
    </w:tbl>
    <w:p w:rsidR="00FD26A0" w:rsidRPr="00A27A71" w:rsidRDefault="00FD26A0" w:rsidP="00FD26A0">
      <w:pPr>
        <w:spacing w:after="60"/>
        <w:jc w:val="center"/>
      </w:pPr>
    </w:p>
    <w:tbl>
      <w:tblPr>
        <w:tblStyle w:val="TableGrid"/>
        <w:tblW w:w="1000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FD26A0" w:rsidRPr="00A27A71" w:rsidTr="00B77D27">
        <w:trPr>
          <w:trHeight w:val="240"/>
          <w:jc w:val="center"/>
        </w:trPr>
        <w:tc>
          <w:tcPr>
            <w:tcW w:w="5200" w:type="dxa"/>
            <w:shd w:val="clear" w:color="auto" w:fill="auto"/>
          </w:tcPr>
          <w:p w:rsidR="00FD26A0" w:rsidRPr="00A27A71" w:rsidRDefault="00FD26A0" w:rsidP="00B77D27">
            <w:pPr>
              <w:spacing w:after="60"/>
              <w:jc w:val="left"/>
              <w:rPr>
                <w:b/>
                <w:sz w:val="18"/>
              </w:rPr>
            </w:pPr>
            <w:r w:rsidRPr="00A27A71">
              <w:rPr>
                <w:b/>
                <w:sz w:val="18"/>
              </w:rPr>
              <w:t>(II) LATEST ARTICLE 7 DATA (Annex C Group l)</w:t>
            </w:r>
          </w:p>
        </w:tc>
        <w:tc>
          <w:tcPr>
            <w:tcW w:w="2400" w:type="dxa"/>
            <w:shd w:val="clear" w:color="auto" w:fill="auto"/>
          </w:tcPr>
          <w:p w:rsidR="00FD26A0" w:rsidRPr="00A27A71" w:rsidRDefault="00FD26A0" w:rsidP="00B77D27">
            <w:pPr>
              <w:spacing w:after="60"/>
              <w:jc w:val="center"/>
              <w:rPr>
                <w:sz w:val="18"/>
              </w:rPr>
            </w:pPr>
            <w:r w:rsidRPr="00A27A71">
              <w:rPr>
                <w:sz w:val="18"/>
              </w:rPr>
              <w:t>Year: 2016</w:t>
            </w:r>
          </w:p>
        </w:tc>
        <w:tc>
          <w:tcPr>
            <w:tcW w:w="2400" w:type="dxa"/>
            <w:shd w:val="clear" w:color="auto" w:fill="auto"/>
          </w:tcPr>
          <w:p w:rsidR="00FD26A0" w:rsidRPr="00A27A71" w:rsidRDefault="00FD26A0" w:rsidP="00B77D27">
            <w:pPr>
              <w:spacing w:after="60"/>
              <w:jc w:val="right"/>
              <w:rPr>
                <w:sz w:val="18"/>
              </w:rPr>
            </w:pPr>
            <w:r w:rsidRPr="00A27A71">
              <w:rPr>
                <w:sz w:val="18"/>
              </w:rPr>
              <w:t>346.5 (ODP tonnes)</w:t>
            </w:r>
          </w:p>
        </w:tc>
      </w:tr>
    </w:tbl>
    <w:p w:rsidR="00FD26A0" w:rsidRPr="00A27A71" w:rsidRDefault="00FD26A0" w:rsidP="00FD26A0">
      <w:pPr>
        <w:spacing w:after="60"/>
        <w:jc w:val="center"/>
      </w:pPr>
    </w:p>
    <w:tbl>
      <w:tblPr>
        <w:tblStyle w:val="TableGrid"/>
        <w:tblW w:w="1000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627"/>
        <w:gridCol w:w="997"/>
        <w:gridCol w:w="1286"/>
        <w:gridCol w:w="906"/>
        <w:gridCol w:w="767"/>
        <w:gridCol w:w="1041"/>
        <w:gridCol w:w="676"/>
        <w:gridCol w:w="1714"/>
      </w:tblGrid>
      <w:tr w:rsidR="00FD26A0" w:rsidRPr="00A27A71" w:rsidTr="00B77D27">
        <w:trPr>
          <w:trHeight w:val="240"/>
          <w:jc w:val="center"/>
        </w:trPr>
        <w:tc>
          <w:tcPr>
            <w:tcW w:w="0" w:type="auto"/>
            <w:gridSpan w:val="8"/>
            <w:shd w:val="clear" w:color="auto" w:fill="auto"/>
          </w:tcPr>
          <w:p w:rsidR="00FD26A0" w:rsidRPr="00A27A71" w:rsidRDefault="00FD26A0" w:rsidP="00B77D27">
            <w:pPr>
              <w:spacing w:after="60"/>
              <w:jc w:val="left"/>
              <w:rPr>
                <w:b/>
                <w:sz w:val="18"/>
              </w:rPr>
            </w:pPr>
            <w:r w:rsidRPr="00A27A71">
              <w:rPr>
                <w:b/>
                <w:sz w:val="18"/>
              </w:rPr>
              <w:t>(III) LATEST COUNTRY PROGRAMME SECTORAL DATA (ODP tonnes)</w:t>
            </w:r>
          </w:p>
        </w:tc>
        <w:tc>
          <w:tcPr>
            <w:tcW w:w="0" w:type="auto"/>
            <w:gridSpan w:val="2"/>
            <w:shd w:val="clear" w:color="auto" w:fill="auto"/>
          </w:tcPr>
          <w:p w:rsidR="00FD26A0" w:rsidRPr="00A27A71" w:rsidRDefault="00FD26A0" w:rsidP="00B77D27">
            <w:pPr>
              <w:spacing w:after="60"/>
              <w:jc w:val="right"/>
              <w:rPr>
                <w:b/>
                <w:sz w:val="18"/>
              </w:rPr>
            </w:pPr>
            <w:r w:rsidRPr="00A27A71">
              <w:rPr>
                <w:b/>
                <w:sz w:val="18"/>
              </w:rPr>
              <w:t>Year: 2016</w:t>
            </w:r>
          </w:p>
        </w:tc>
      </w:tr>
      <w:tr w:rsidR="00FD26A0" w:rsidRPr="00A27A71" w:rsidTr="00B77D27">
        <w:trPr>
          <w:trHeight w:val="240"/>
          <w:jc w:val="center"/>
        </w:trPr>
        <w:tc>
          <w:tcPr>
            <w:tcW w:w="0" w:type="auto"/>
            <w:shd w:val="clear" w:color="auto" w:fill="auto"/>
          </w:tcPr>
          <w:p w:rsidR="00FD26A0" w:rsidRPr="00A27A71" w:rsidRDefault="00FD26A0" w:rsidP="00B77D27">
            <w:pPr>
              <w:spacing w:after="60"/>
              <w:jc w:val="center"/>
              <w:rPr>
                <w:sz w:val="18"/>
              </w:rPr>
            </w:pPr>
            <w:r w:rsidRPr="00A27A71">
              <w:rPr>
                <w:sz w:val="18"/>
              </w:rPr>
              <w:t>Chemical</w:t>
            </w:r>
          </w:p>
        </w:tc>
        <w:tc>
          <w:tcPr>
            <w:tcW w:w="0" w:type="auto"/>
            <w:shd w:val="clear" w:color="auto" w:fill="auto"/>
          </w:tcPr>
          <w:p w:rsidR="00FD26A0" w:rsidRPr="00A27A71" w:rsidRDefault="00FD26A0" w:rsidP="00B77D27">
            <w:pPr>
              <w:spacing w:after="60"/>
              <w:jc w:val="center"/>
              <w:rPr>
                <w:sz w:val="18"/>
              </w:rPr>
            </w:pPr>
            <w:r w:rsidRPr="00A27A71">
              <w:rPr>
                <w:sz w:val="18"/>
              </w:rPr>
              <w:t>Aerosol</w:t>
            </w:r>
          </w:p>
        </w:tc>
        <w:tc>
          <w:tcPr>
            <w:tcW w:w="0" w:type="auto"/>
            <w:shd w:val="clear" w:color="auto" w:fill="auto"/>
          </w:tcPr>
          <w:p w:rsidR="00FD26A0" w:rsidRPr="00A27A71" w:rsidRDefault="00FD26A0" w:rsidP="00B77D27">
            <w:pPr>
              <w:spacing w:after="60"/>
              <w:jc w:val="center"/>
              <w:rPr>
                <w:sz w:val="18"/>
              </w:rPr>
            </w:pPr>
            <w:r w:rsidRPr="00A27A71">
              <w:rPr>
                <w:sz w:val="18"/>
              </w:rPr>
              <w:t>Foam</w:t>
            </w:r>
          </w:p>
        </w:tc>
        <w:tc>
          <w:tcPr>
            <w:tcW w:w="0" w:type="auto"/>
            <w:shd w:val="clear" w:color="auto" w:fill="auto"/>
          </w:tcPr>
          <w:p w:rsidR="00FD26A0" w:rsidRPr="00A27A71" w:rsidRDefault="00FD26A0" w:rsidP="00B77D27">
            <w:pPr>
              <w:spacing w:after="60"/>
              <w:jc w:val="center"/>
              <w:rPr>
                <w:sz w:val="18"/>
              </w:rPr>
            </w:pPr>
            <w:r w:rsidRPr="00A27A71">
              <w:rPr>
                <w:sz w:val="18"/>
              </w:rPr>
              <w:t>Fire fighting</w:t>
            </w:r>
          </w:p>
        </w:tc>
        <w:tc>
          <w:tcPr>
            <w:tcW w:w="0" w:type="auto"/>
            <w:gridSpan w:val="2"/>
            <w:shd w:val="clear" w:color="auto" w:fill="auto"/>
          </w:tcPr>
          <w:p w:rsidR="00FD26A0" w:rsidRPr="00A27A71" w:rsidRDefault="00FD26A0" w:rsidP="00B77D27">
            <w:pPr>
              <w:spacing w:after="60"/>
              <w:jc w:val="center"/>
              <w:rPr>
                <w:sz w:val="18"/>
              </w:rPr>
            </w:pPr>
            <w:r w:rsidRPr="00A27A71">
              <w:rPr>
                <w:sz w:val="18"/>
              </w:rPr>
              <w:t>Refrigeration</w:t>
            </w:r>
          </w:p>
        </w:tc>
        <w:tc>
          <w:tcPr>
            <w:tcW w:w="0" w:type="auto"/>
            <w:shd w:val="clear" w:color="auto" w:fill="auto"/>
          </w:tcPr>
          <w:p w:rsidR="00FD26A0" w:rsidRPr="00A27A71" w:rsidRDefault="00FD26A0" w:rsidP="00B77D27">
            <w:pPr>
              <w:spacing w:after="60"/>
              <w:jc w:val="center"/>
              <w:rPr>
                <w:sz w:val="18"/>
              </w:rPr>
            </w:pPr>
            <w:r w:rsidRPr="00A27A71">
              <w:rPr>
                <w:sz w:val="18"/>
              </w:rPr>
              <w:t>Solvent</w:t>
            </w:r>
          </w:p>
        </w:tc>
        <w:tc>
          <w:tcPr>
            <w:tcW w:w="0" w:type="auto"/>
            <w:shd w:val="clear" w:color="auto" w:fill="auto"/>
          </w:tcPr>
          <w:p w:rsidR="00FD26A0" w:rsidRPr="00A27A71" w:rsidRDefault="00FD26A0" w:rsidP="00B77D27">
            <w:pPr>
              <w:spacing w:after="60"/>
              <w:jc w:val="center"/>
              <w:rPr>
                <w:sz w:val="18"/>
              </w:rPr>
            </w:pPr>
            <w:r w:rsidRPr="00A27A71">
              <w:rPr>
                <w:sz w:val="18"/>
              </w:rPr>
              <w:t>Process agent</w:t>
            </w:r>
          </w:p>
        </w:tc>
        <w:tc>
          <w:tcPr>
            <w:tcW w:w="0" w:type="auto"/>
            <w:shd w:val="clear" w:color="auto" w:fill="auto"/>
          </w:tcPr>
          <w:p w:rsidR="00FD26A0" w:rsidRPr="00A27A71" w:rsidRDefault="00FD26A0" w:rsidP="00B77D27">
            <w:pPr>
              <w:spacing w:after="60"/>
              <w:jc w:val="center"/>
              <w:rPr>
                <w:sz w:val="18"/>
              </w:rPr>
            </w:pPr>
            <w:r w:rsidRPr="00A27A71">
              <w:rPr>
                <w:sz w:val="18"/>
              </w:rPr>
              <w:t>Lab use</w:t>
            </w:r>
          </w:p>
        </w:tc>
        <w:tc>
          <w:tcPr>
            <w:tcW w:w="0" w:type="auto"/>
            <w:shd w:val="clear" w:color="auto" w:fill="auto"/>
          </w:tcPr>
          <w:p w:rsidR="00FD26A0" w:rsidRPr="00A27A71" w:rsidRDefault="00FD26A0" w:rsidP="00B77D27">
            <w:pPr>
              <w:spacing w:after="60"/>
              <w:jc w:val="center"/>
              <w:rPr>
                <w:sz w:val="18"/>
              </w:rPr>
            </w:pPr>
            <w:r w:rsidRPr="00A27A71">
              <w:rPr>
                <w:sz w:val="18"/>
              </w:rPr>
              <w:t>Total sector consumption</w:t>
            </w:r>
          </w:p>
        </w:tc>
      </w:tr>
      <w:tr w:rsidR="00FD26A0" w:rsidRPr="00A27A71" w:rsidTr="00B77D27">
        <w:trPr>
          <w:trHeight w:val="240"/>
          <w:jc w:val="center"/>
        </w:trPr>
        <w:tc>
          <w:tcPr>
            <w:tcW w:w="0" w:type="auto"/>
            <w:gridSpan w:val="4"/>
            <w:shd w:val="clear" w:color="auto" w:fill="auto"/>
          </w:tcPr>
          <w:p w:rsidR="00FD26A0" w:rsidRPr="00A27A71" w:rsidRDefault="00FD26A0" w:rsidP="00B77D27">
            <w:pPr>
              <w:spacing w:after="60"/>
              <w:jc w:val="center"/>
              <w:rPr>
                <w:sz w:val="18"/>
              </w:rPr>
            </w:pPr>
            <w:r w:rsidRPr="00A27A71">
              <w:rPr>
                <w:sz w:val="18"/>
              </w:rPr>
              <w:t xml:space="preserve"> </w:t>
            </w:r>
          </w:p>
        </w:tc>
        <w:tc>
          <w:tcPr>
            <w:tcW w:w="0" w:type="auto"/>
            <w:shd w:val="clear" w:color="auto" w:fill="auto"/>
          </w:tcPr>
          <w:p w:rsidR="00FD26A0" w:rsidRPr="00A27A71" w:rsidRDefault="00FD26A0" w:rsidP="00B77D27">
            <w:pPr>
              <w:spacing w:after="60"/>
              <w:jc w:val="center"/>
              <w:rPr>
                <w:sz w:val="18"/>
              </w:rPr>
            </w:pPr>
            <w:r w:rsidRPr="00A27A71">
              <w:rPr>
                <w:sz w:val="18"/>
              </w:rPr>
              <w:t>Manufacturing</w:t>
            </w:r>
          </w:p>
        </w:tc>
        <w:tc>
          <w:tcPr>
            <w:tcW w:w="0" w:type="auto"/>
            <w:shd w:val="clear" w:color="auto" w:fill="auto"/>
          </w:tcPr>
          <w:p w:rsidR="00FD26A0" w:rsidRPr="00A27A71" w:rsidRDefault="00FD26A0" w:rsidP="00B77D27">
            <w:pPr>
              <w:spacing w:after="60"/>
              <w:jc w:val="center"/>
              <w:rPr>
                <w:sz w:val="18"/>
              </w:rPr>
            </w:pPr>
            <w:r w:rsidRPr="00A27A71">
              <w:rPr>
                <w:sz w:val="18"/>
              </w:rPr>
              <w:t>Servicing</w:t>
            </w:r>
          </w:p>
        </w:tc>
        <w:tc>
          <w:tcPr>
            <w:tcW w:w="0" w:type="auto"/>
            <w:gridSpan w:val="4"/>
            <w:shd w:val="clear" w:color="auto" w:fill="auto"/>
          </w:tcPr>
          <w:p w:rsidR="00FD26A0" w:rsidRPr="00A27A71" w:rsidRDefault="00FD26A0" w:rsidP="00B77D27">
            <w:pPr>
              <w:spacing w:after="60"/>
              <w:jc w:val="center"/>
              <w:rPr>
                <w:sz w:val="18"/>
              </w:rPr>
            </w:pPr>
          </w:p>
        </w:tc>
      </w:tr>
      <w:tr w:rsidR="00FD26A0" w:rsidRPr="00A27A71" w:rsidTr="00B77D27">
        <w:trPr>
          <w:trHeight w:val="240"/>
          <w:jc w:val="center"/>
        </w:trPr>
        <w:tc>
          <w:tcPr>
            <w:tcW w:w="1200" w:type="dxa"/>
            <w:tcBorders>
              <w:bottom w:val="single" w:sz="4" w:space="0" w:color="5F497A" w:themeColor="accent4" w:themeShade="BF"/>
            </w:tcBorders>
            <w:shd w:val="clear" w:color="auto" w:fill="auto"/>
          </w:tcPr>
          <w:p w:rsidR="00FD26A0" w:rsidRPr="00A27A71" w:rsidRDefault="00FD26A0" w:rsidP="00B77D27">
            <w:pPr>
              <w:spacing w:after="60"/>
              <w:jc w:val="left"/>
              <w:rPr>
                <w:sz w:val="18"/>
              </w:rPr>
            </w:pPr>
            <w:r w:rsidRPr="00A27A71">
              <w:rPr>
                <w:sz w:val="18"/>
              </w:rPr>
              <w:t>HCFC-22</w:t>
            </w:r>
          </w:p>
        </w:tc>
        <w:tc>
          <w:tcPr>
            <w:tcW w:w="0" w:type="auto"/>
            <w:tcBorders>
              <w:bottom w:val="single" w:sz="4" w:space="0" w:color="5F497A" w:themeColor="accent4" w:themeShade="BF"/>
            </w:tcBorders>
            <w:shd w:val="clear" w:color="auto" w:fill="auto"/>
          </w:tcPr>
          <w:p w:rsidR="00FD26A0" w:rsidRPr="00A27A71" w:rsidRDefault="00FD26A0" w:rsidP="00B77D27">
            <w:pPr>
              <w:spacing w:after="60"/>
              <w:jc w:val="right"/>
              <w:rPr>
                <w:sz w:val="18"/>
              </w:rPr>
            </w:pPr>
          </w:p>
        </w:tc>
        <w:tc>
          <w:tcPr>
            <w:tcW w:w="0" w:type="auto"/>
            <w:tcBorders>
              <w:bottom w:val="single" w:sz="4" w:space="0" w:color="5F497A" w:themeColor="accent4" w:themeShade="BF"/>
            </w:tcBorders>
            <w:shd w:val="clear" w:color="auto" w:fill="auto"/>
          </w:tcPr>
          <w:p w:rsidR="00FD26A0" w:rsidRPr="00A27A71" w:rsidRDefault="00FD26A0" w:rsidP="00B77D27">
            <w:pPr>
              <w:spacing w:after="60"/>
              <w:jc w:val="right"/>
              <w:rPr>
                <w:sz w:val="18"/>
              </w:rPr>
            </w:pPr>
            <w:r w:rsidRPr="00A27A71">
              <w:rPr>
                <w:sz w:val="18"/>
              </w:rPr>
              <w:t>30.7</w:t>
            </w:r>
          </w:p>
        </w:tc>
        <w:tc>
          <w:tcPr>
            <w:tcW w:w="0" w:type="auto"/>
            <w:tcBorders>
              <w:bottom w:val="single" w:sz="4" w:space="0" w:color="5F497A" w:themeColor="accent4" w:themeShade="BF"/>
            </w:tcBorders>
            <w:shd w:val="clear" w:color="auto" w:fill="auto"/>
          </w:tcPr>
          <w:p w:rsidR="00FD26A0" w:rsidRPr="00A27A71" w:rsidRDefault="00FD26A0" w:rsidP="00B77D27">
            <w:pPr>
              <w:spacing w:after="60"/>
              <w:jc w:val="right"/>
              <w:rPr>
                <w:sz w:val="18"/>
              </w:rPr>
            </w:pPr>
          </w:p>
        </w:tc>
        <w:tc>
          <w:tcPr>
            <w:tcW w:w="0" w:type="auto"/>
            <w:tcBorders>
              <w:bottom w:val="single" w:sz="4" w:space="0" w:color="5F497A" w:themeColor="accent4" w:themeShade="BF"/>
            </w:tcBorders>
            <w:shd w:val="clear" w:color="auto" w:fill="auto"/>
          </w:tcPr>
          <w:p w:rsidR="00FD26A0" w:rsidRPr="00A27A71" w:rsidRDefault="00FD26A0" w:rsidP="00B77D27">
            <w:pPr>
              <w:spacing w:after="60"/>
              <w:jc w:val="right"/>
              <w:rPr>
                <w:sz w:val="18"/>
              </w:rPr>
            </w:pPr>
            <w:r w:rsidRPr="00A27A71">
              <w:rPr>
                <w:sz w:val="18"/>
              </w:rPr>
              <w:t>104.9</w:t>
            </w:r>
          </w:p>
        </w:tc>
        <w:tc>
          <w:tcPr>
            <w:tcW w:w="0" w:type="auto"/>
            <w:tcBorders>
              <w:bottom w:val="single" w:sz="4" w:space="0" w:color="5F497A" w:themeColor="accent4" w:themeShade="BF"/>
            </w:tcBorders>
            <w:shd w:val="clear" w:color="auto" w:fill="auto"/>
          </w:tcPr>
          <w:p w:rsidR="00FD26A0" w:rsidRPr="00A27A71" w:rsidRDefault="00FD26A0" w:rsidP="00B77D27">
            <w:pPr>
              <w:spacing w:after="60"/>
              <w:jc w:val="right"/>
              <w:rPr>
                <w:sz w:val="18"/>
              </w:rPr>
            </w:pPr>
            <w:r w:rsidRPr="00A27A71">
              <w:rPr>
                <w:sz w:val="18"/>
              </w:rPr>
              <w:t>126.6</w:t>
            </w:r>
          </w:p>
        </w:tc>
        <w:tc>
          <w:tcPr>
            <w:tcW w:w="0" w:type="auto"/>
            <w:tcBorders>
              <w:bottom w:val="single" w:sz="4" w:space="0" w:color="5F497A" w:themeColor="accent4" w:themeShade="BF"/>
            </w:tcBorders>
            <w:shd w:val="clear" w:color="auto" w:fill="auto"/>
          </w:tcPr>
          <w:p w:rsidR="00FD26A0" w:rsidRPr="00A27A71" w:rsidRDefault="00FD26A0" w:rsidP="00B77D27">
            <w:pPr>
              <w:spacing w:after="60"/>
              <w:jc w:val="right"/>
              <w:rPr>
                <w:sz w:val="18"/>
              </w:rPr>
            </w:pPr>
          </w:p>
        </w:tc>
        <w:tc>
          <w:tcPr>
            <w:tcW w:w="0" w:type="auto"/>
            <w:tcBorders>
              <w:bottom w:val="single" w:sz="4" w:space="0" w:color="5F497A" w:themeColor="accent4" w:themeShade="BF"/>
            </w:tcBorders>
            <w:shd w:val="clear" w:color="auto" w:fill="auto"/>
          </w:tcPr>
          <w:p w:rsidR="00FD26A0" w:rsidRPr="00A27A71" w:rsidRDefault="00FD26A0" w:rsidP="00B77D27">
            <w:pPr>
              <w:spacing w:after="60"/>
              <w:jc w:val="right"/>
              <w:rPr>
                <w:sz w:val="18"/>
              </w:rPr>
            </w:pPr>
          </w:p>
        </w:tc>
        <w:tc>
          <w:tcPr>
            <w:tcW w:w="0" w:type="auto"/>
            <w:tcBorders>
              <w:bottom w:val="single" w:sz="4" w:space="0" w:color="5F497A" w:themeColor="accent4" w:themeShade="BF"/>
            </w:tcBorders>
            <w:shd w:val="clear" w:color="auto" w:fill="auto"/>
          </w:tcPr>
          <w:p w:rsidR="00FD26A0" w:rsidRPr="00A27A71" w:rsidRDefault="00FD26A0" w:rsidP="00B77D27">
            <w:pPr>
              <w:spacing w:after="60"/>
              <w:jc w:val="right"/>
              <w:rPr>
                <w:sz w:val="18"/>
              </w:rPr>
            </w:pPr>
          </w:p>
        </w:tc>
        <w:tc>
          <w:tcPr>
            <w:tcW w:w="0" w:type="auto"/>
            <w:tcBorders>
              <w:bottom w:val="single" w:sz="4" w:space="0" w:color="5F497A" w:themeColor="accent4" w:themeShade="BF"/>
            </w:tcBorders>
            <w:shd w:val="clear" w:color="auto" w:fill="auto"/>
          </w:tcPr>
          <w:p w:rsidR="00FD26A0" w:rsidRPr="00A27A71" w:rsidRDefault="00FD26A0" w:rsidP="00B77D27">
            <w:pPr>
              <w:spacing w:after="60"/>
              <w:jc w:val="right"/>
              <w:rPr>
                <w:sz w:val="18"/>
              </w:rPr>
            </w:pPr>
            <w:r w:rsidRPr="00A27A71">
              <w:rPr>
                <w:sz w:val="18"/>
              </w:rPr>
              <w:t>262.2</w:t>
            </w:r>
          </w:p>
        </w:tc>
      </w:tr>
      <w:tr w:rsidR="00FD26A0" w:rsidRPr="00A27A71" w:rsidTr="00B7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jc w:val="center"/>
        </w:trPr>
        <w:tc>
          <w:tcPr>
            <w:tcW w:w="120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left"/>
              <w:rPr>
                <w:sz w:val="18"/>
              </w:rPr>
            </w:pPr>
            <w:r w:rsidRPr="00A27A71">
              <w:rPr>
                <w:sz w:val="18"/>
              </w:rPr>
              <w:t>HCFC-123</w:t>
            </w: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r w:rsidRPr="00A27A71">
              <w:rPr>
                <w:sz w:val="18"/>
              </w:rPr>
              <w:t>0.1</w:t>
            </w: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bottom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r w:rsidRPr="00A27A71">
              <w:rPr>
                <w:sz w:val="18"/>
              </w:rPr>
              <w:t>0.1</w:t>
            </w:r>
          </w:p>
        </w:tc>
      </w:tr>
      <w:tr w:rsidR="00FD26A0" w:rsidRPr="00A27A71" w:rsidTr="00B7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jc w:val="center"/>
        </w:trPr>
        <w:tc>
          <w:tcPr>
            <w:tcW w:w="120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left"/>
              <w:rPr>
                <w:sz w:val="18"/>
              </w:rPr>
            </w:pPr>
            <w:r w:rsidRPr="00A27A71">
              <w:rPr>
                <w:sz w:val="18"/>
              </w:rPr>
              <w:t>HCFC-124</w:t>
            </w: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r>
      <w:tr w:rsidR="00FD26A0" w:rsidRPr="00A27A71" w:rsidTr="00B7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jc w:val="center"/>
        </w:trPr>
        <w:tc>
          <w:tcPr>
            <w:tcW w:w="120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left"/>
              <w:rPr>
                <w:sz w:val="18"/>
              </w:rPr>
            </w:pPr>
            <w:r w:rsidRPr="00A27A71">
              <w:rPr>
                <w:sz w:val="18"/>
              </w:rPr>
              <w:t>HCFC-141b</w:t>
            </w: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r w:rsidRPr="00A27A71">
              <w:rPr>
                <w:sz w:val="18"/>
              </w:rPr>
              <w:t>80.5</w:t>
            </w: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r w:rsidRPr="00A27A71">
              <w:rPr>
                <w:sz w:val="18"/>
              </w:rPr>
              <w:t>80.5</w:t>
            </w:r>
          </w:p>
        </w:tc>
      </w:tr>
      <w:tr w:rsidR="00FD26A0" w:rsidRPr="00A27A71" w:rsidTr="00B7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jc w:val="center"/>
        </w:trPr>
        <w:tc>
          <w:tcPr>
            <w:tcW w:w="120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left"/>
              <w:rPr>
                <w:sz w:val="18"/>
              </w:rPr>
            </w:pPr>
            <w:r w:rsidRPr="00A27A71">
              <w:rPr>
                <w:sz w:val="18"/>
              </w:rPr>
              <w:t>HCFC-142b</w:t>
            </w: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r w:rsidRPr="00A27A71">
              <w:rPr>
                <w:sz w:val="18"/>
              </w:rPr>
              <w:t>1.6</w:t>
            </w: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r w:rsidRPr="00A27A71">
              <w:rPr>
                <w:sz w:val="18"/>
              </w:rPr>
              <w:t>2.2</w:t>
            </w: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r w:rsidRPr="00A27A71">
              <w:rPr>
                <w:sz w:val="18"/>
              </w:rPr>
              <w:t>3.</w:t>
            </w:r>
            <w:r w:rsidR="00415312" w:rsidRPr="00A27A71">
              <w:rPr>
                <w:sz w:val="18"/>
              </w:rPr>
              <w:t>8</w:t>
            </w:r>
          </w:p>
        </w:tc>
      </w:tr>
      <w:tr w:rsidR="00FD26A0" w:rsidRPr="00A27A71" w:rsidTr="00B7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120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left"/>
              <w:rPr>
                <w:sz w:val="18"/>
              </w:rPr>
            </w:pPr>
            <w:r w:rsidRPr="00A27A71">
              <w:rPr>
                <w:sz w:val="18"/>
              </w:rPr>
              <w:t>HCFC-141b in imported pre-blended polyol</w:t>
            </w: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r w:rsidRPr="00A27A71">
              <w:rPr>
                <w:sz w:val="18"/>
              </w:rPr>
              <w:t>19.6</w:t>
            </w: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FD26A0" w:rsidRPr="00A27A71" w:rsidRDefault="00FD26A0" w:rsidP="00B77D27">
            <w:pPr>
              <w:spacing w:after="60"/>
              <w:jc w:val="right"/>
              <w:rPr>
                <w:sz w:val="18"/>
              </w:rPr>
            </w:pPr>
            <w:r w:rsidRPr="00A27A71">
              <w:rPr>
                <w:sz w:val="18"/>
              </w:rPr>
              <w:t>19.6</w:t>
            </w:r>
          </w:p>
        </w:tc>
      </w:tr>
    </w:tbl>
    <w:p w:rsidR="00FD26A0" w:rsidRPr="00A27A71" w:rsidRDefault="00FD26A0" w:rsidP="00FD26A0">
      <w:pPr>
        <w:spacing w:after="60"/>
      </w:pPr>
    </w:p>
    <w:tbl>
      <w:tblPr>
        <w:tblStyle w:val="TableGrid"/>
        <w:tblW w:w="1000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48"/>
        <w:gridCol w:w="1022"/>
        <w:gridCol w:w="5408"/>
        <w:gridCol w:w="1022"/>
      </w:tblGrid>
      <w:tr w:rsidR="00FD26A0" w:rsidRPr="00A27A71" w:rsidTr="00B77D27">
        <w:trPr>
          <w:trHeight w:val="240"/>
          <w:jc w:val="center"/>
        </w:trPr>
        <w:tc>
          <w:tcPr>
            <w:tcW w:w="0" w:type="auto"/>
            <w:gridSpan w:val="4"/>
            <w:shd w:val="clear" w:color="auto" w:fill="auto"/>
          </w:tcPr>
          <w:p w:rsidR="00FD26A0" w:rsidRPr="00A27A71" w:rsidRDefault="00FD26A0" w:rsidP="00B77D27">
            <w:pPr>
              <w:spacing w:after="60"/>
              <w:jc w:val="left"/>
              <w:rPr>
                <w:b/>
                <w:sz w:val="18"/>
              </w:rPr>
            </w:pPr>
            <w:r w:rsidRPr="00A27A71">
              <w:rPr>
                <w:b/>
                <w:sz w:val="18"/>
              </w:rPr>
              <w:t>(IV) CONSUMPTION DATA (ODP tonnes)</w:t>
            </w:r>
          </w:p>
        </w:tc>
      </w:tr>
      <w:tr w:rsidR="00FD26A0" w:rsidRPr="00A27A71" w:rsidTr="00B77D27">
        <w:trPr>
          <w:trHeight w:val="240"/>
          <w:jc w:val="center"/>
        </w:trPr>
        <w:tc>
          <w:tcPr>
            <w:tcW w:w="0" w:type="auto"/>
            <w:shd w:val="clear" w:color="auto" w:fill="auto"/>
          </w:tcPr>
          <w:p w:rsidR="00FD26A0" w:rsidRPr="00A27A71" w:rsidRDefault="00FD26A0" w:rsidP="00B77D27">
            <w:pPr>
              <w:spacing w:after="60"/>
              <w:jc w:val="center"/>
              <w:rPr>
                <w:sz w:val="18"/>
              </w:rPr>
            </w:pPr>
            <w:r w:rsidRPr="00A27A71">
              <w:rPr>
                <w:sz w:val="18"/>
              </w:rPr>
              <w:t>2009 - 2010 baseline:</w:t>
            </w:r>
          </w:p>
        </w:tc>
        <w:tc>
          <w:tcPr>
            <w:tcW w:w="0" w:type="auto"/>
            <w:shd w:val="clear" w:color="auto" w:fill="auto"/>
          </w:tcPr>
          <w:p w:rsidR="00FD26A0" w:rsidRPr="00A27A71" w:rsidRDefault="00FD26A0" w:rsidP="00B77D27">
            <w:pPr>
              <w:spacing w:after="60"/>
              <w:jc w:val="right"/>
              <w:rPr>
                <w:sz w:val="18"/>
              </w:rPr>
            </w:pPr>
            <w:r w:rsidRPr="00A27A71">
              <w:rPr>
                <w:sz w:val="18"/>
              </w:rPr>
              <w:t>386.3</w:t>
            </w:r>
          </w:p>
        </w:tc>
        <w:tc>
          <w:tcPr>
            <w:tcW w:w="0" w:type="auto"/>
            <w:shd w:val="clear" w:color="auto" w:fill="auto"/>
          </w:tcPr>
          <w:p w:rsidR="00FD26A0" w:rsidRPr="00A27A71" w:rsidRDefault="00FD26A0" w:rsidP="00B77D27">
            <w:pPr>
              <w:spacing w:after="60"/>
              <w:jc w:val="center"/>
              <w:rPr>
                <w:sz w:val="18"/>
              </w:rPr>
            </w:pPr>
            <w:r w:rsidRPr="00A27A71">
              <w:rPr>
                <w:sz w:val="18"/>
              </w:rPr>
              <w:t>Starting point for sustained aggregate reductions:</w:t>
            </w:r>
          </w:p>
        </w:tc>
        <w:tc>
          <w:tcPr>
            <w:tcW w:w="0" w:type="auto"/>
            <w:shd w:val="clear" w:color="auto" w:fill="auto"/>
          </w:tcPr>
          <w:p w:rsidR="00FD26A0" w:rsidRPr="00A27A71" w:rsidRDefault="00FD26A0" w:rsidP="00B77D27">
            <w:pPr>
              <w:spacing w:after="60"/>
              <w:jc w:val="right"/>
              <w:rPr>
                <w:sz w:val="18"/>
              </w:rPr>
            </w:pPr>
            <w:r w:rsidRPr="00A27A71">
              <w:rPr>
                <w:sz w:val="18"/>
              </w:rPr>
              <w:t>484.61</w:t>
            </w:r>
          </w:p>
        </w:tc>
      </w:tr>
      <w:tr w:rsidR="00FD26A0" w:rsidRPr="00A27A71" w:rsidTr="00B77D27">
        <w:trPr>
          <w:trHeight w:val="240"/>
          <w:jc w:val="center"/>
        </w:trPr>
        <w:tc>
          <w:tcPr>
            <w:tcW w:w="0" w:type="auto"/>
            <w:gridSpan w:val="4"/>
            <w:shd w:val="clear" w:color="auto" w:fill="auto"/>
          </w:tcPr>
          <w:p w:rsidR="00FD26A0" w:rsidRPr="00A27A71" w:rsidRDefault="00FD26A0" w:rsidP="00B77D27">
            <w:pPr>
              <w:spacing w:after="60"/>
              <w:jc w:val="center"/>
              <w:rPr>
                <w:b/>
                <w:sz w:val="18"/>
              </w:rPr>
            </w:pPr>
            <w:r w:rsidRPr="00A27A71">
              <w:rPr>
                <w:b/>
                <w:sz w:val="18"/>
              </w:rPr>
              <w:t>CONSUMPTION ELIGIBLE FOR FUNDING (ODP tonnes)</w:t>
            </w:r>
          </w:p>
        </w:tc>
      </w:tr>
      <w:tr w:rsidR="00FD26A0" w:rsidRPr="00A27A71" w:rsidTr="00B77D27">
        <w:trPr>
          <w:trHeight w:val="240"/>
          <w:jc w:val="center"/>
        </w:trPr>
        <w:tc>
          <w:tcPr>
            <w:tcW w:w="0" w:type="auto"/>
            <w:shd w:val="clear" w:color="auto" w:fill="auto"/>
          </w:tcPr>
          <w:p w:rsidR="00FD26A0" w:rsidRPr="00A27A71" w:rsidRDefault="00FD26A0" w:rsidP="00B77D27">
            <w:pPr>
              <w:spacing w:after="60"/>
              <w:jc w:val="center"/>
              <w:rPr>
                <w:sz w:val="18"/>
              </w:rPr>
            </w:pPr>
            <w:r w:rsidRPr="00A27A71">
              <w:rPr>
                <w:sz w:val="18"/>
              </w:rPr>
              <w:t>Already approved:</w:t>
            </w:r>
          </w:p>
        </w:tc>
        <w:tc>
          <w:tcPr>
            <w:tcW w:w="0" w:type="auto"/>
            <w:shd w:val="clear" w:color="auto" w:fill="auto"/>
          </w:tcPr>
          <w:p w:rsidR="00FD26A0" w:rsidRPr="00A27A71" w:rsidRDefault="00FD26A0" w:rsidP="00B77D27">
            <w:pPr>
              <w:spacing w:after="60"/>
              <w:jc w:val="right"/>
              <w:rPr>
                <w:sz w:val="18"/>
              </w:rPr>
            </w:pPr>
            <w:r w:rsidRPr="00A27A71">
              <w:rPr>
                <w:sz w:val="18"/>
              </w:rPr>
              <w:t>174.00</w:t>
            </w:r>
          </w:p>
        </w:tc>
        <w:tc>
          <w:tcPr>
            <w:tcW w:w="0" w:type="auto"/>
            <w:shd w:val="clear" w:color="auto" w:fill="auto"/>
          </w:tcPr>
          <w:p w:rsidR="00FD26A0" w:rsidRPr="00A27A71" w:rsidRDefault="00FD26A0" w:rsidP="00B77D27">
            <w:pPr>
              <w:spacing w:after="60"/>
              <w:jc w:val="center"/>
              <w:rPr>
                <w:sz w:val="18"/>
              </w:rPr>
            </w:pPr>
            <w:r w:rsidRPr="00A27A71">
              <w:rPr>
                <w:sz w:val="18"/>
              </w:rPr>
              <w:t>Remaining:</w:t>
            </w:r>
          </w:p>
        </w:tc>
        <w:tc>
          <w:tcPr>
            <w:tcW w:w="0" w:type="auto"/>
            <w:shd w:val="clear" w:color="auto" w:fill="auto"/>
          </w:tcPr>
          <w:p w:rsidR="00FD26A0" w:rsidRPr="00A27A71" w:rsidRDefault="00FD26A0" w:rsidP="00B77D27">
            <w:pPr>
              <w:spacing w:after="60"/>
              <w:jc w:val="right"/>
              <w:rPr>
                <w:sz w:val="18"/>
              </w:rPr>
            </w:pPr>
            <w:r w:rsidRPr="00A27A71">
              <w:rPr>
                <w:sz w:val="18"/>
              </w:rPr>
              <w:t>310.61</w:t>
            </w:r>
          </w:p>
        </w:tc>
      </w:tr>
    </w:tbl>
    <w:p w:rsidR="00FD26A0" w:rsidRPr="00A27A71" w:rsidRDefault="00FD26A0" w:rsidP="00FD26A0">
      <w:pPr>
        <w:spacing w:after="60"/>
        <w:jc w:val="center"/>
      </w:pPr>
    </w:p>
    <w:tbl>
      <w:tblPr>
        <w:tblStyle w:val="TableGrid"/>
        <w:tblW w:w="1000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716"/>
        <w:gridCol w:w="2395"/>
        <w:gridCol w:w="972"/>
        <w:gridCol w:w="973"/>
        <w:gridCol w:w="973"/>
        <w:gridCol w:w="972"/>
        <w:gridCol w:w="973"/>
        <w:gridCol w:w="1026"/>
      </w:tblGrid>
      <w:tr w:rsidR="00FD26A0" w:rsidRPr="00A27A71" w:rsidTr="00B77D27">
        <w:trPr>
          <w:trHeight w:val="240"/>
          <w:jc w:val="center"/>
        </w:trPr>
        <w:tc>
          <w:tcPr>
            <w:tcW w:w="4158" w:type="dxa"/>
            <w:gridSpan w:val="2"/>
            <w:shd w:val="clear" w:color="auto" w:fill="auto"/>
          </w:tcPr>
          <w:p w:rsidR="00FD26A0" w:rsidRPr="00A27A71" w:rsidRDefault="00FD26A0" w:rsidP="00B77D27">
            <w:pPr>
              <w:spacing w:after="60"/>
              <w:jc w:val="left"/>
              <w:rPr>
                <w:b/>
                <w:sz w:val="18"/>
              </w:rPr>
            </w:pPr>
            <w:r w:rsidRPr="00A27A71">
              <w:rPr>
                <w:b/>
                <w:sz w:val="18"/>
              </w:rPr>
              <w:t>(V) BUSINESS PLAN</w:t>
            </w:r>
          </w:p>
        </w:tc>
        <w:tc>
          <w:tcPr>
            <w:tcW w:w="973" w:type="dxa"/>
            <w:shd w:val="clear" w:color="auto" w:fill="auto"/>
          </w:tcPr>
          <w:p w:rsidR="00FD26A0" w:rsidRPr="00A27A71" w:rsidRDefault="00FD26A0" w:rsidP="00B77D27">
            <w:pPr>
              <w:spacing w:after="60"/>
              <w:jc w:val="center"/>
              <w:rPr>
                <w:b/>
                <w:sz w:val="18"/>
              </w:rPr>
            </w:pPr>
            <w:r w:rsidRPr="00A27A71">
              <w:rPr>
                <w:b/>
                <w:sz w:val="18"/>
              </w:rPr>
              <w:t>2017</w:t>
            </w:r>
          </w:p>
        </w:tc>
        <w:tc>
          <w:tcPr>
            <w:tcW w:w="974" w:type="dxa"/>
            <w:shd w:val="clear" w:color="auto" w:fill="auto"/>
          </w:tcPr>
          <w:p w:rsidR="00FD26A0" w:rsidRPr="00A27A71" w:rsidRDefault="00FD26A0" w:rsidP="00B77D27">
            <w:pPr>
              <w:spacing w:after="60"/>
              <w:jc w:val="center"/>
              <w:rPr>
                <w:b/>
                <w:sz w:val="18"/>
              </w:rPr>
            </w:pPr>
            <w:r w:rsidRPr="00A27A71">
              <w:rPr>
                <w:b/>
                <w:sz w:val="18"/>
              </w:rPr>
              <w:t>2018</w:t>
            </w:r>
          </w:p>
        </w:tc>
        <w:tc>
          <w:tcPr>
            <w:tcW w:w="974" w:type="dxa"/>
            <w:shd w:val="clear" w:color="auto" w:fill="auto"/>
          </w:tcPr>
          <w:p w:rsidR="00FD26A0" w:rsidRPr="00A27A71" w:rsidRDefault="00FD26A0" w:rsidP="00B77D27">
            <w:pPr>
              <w:spacing w:after="60"/>
              <w:jc w:val="center"/>
              <w:rPr>
                <w:b/>
                <w:sz w:val="18"/>
              </w:rPr>
            </w:pPr>
            <w:r w:rsidRPr="00A27A71">
              <w:rPr>
                <w:b/>
                <w:sz w:val="18"/>
              </w:rPr>
              <w:t>2019</w:t>
            </w:r>
          </w:p>
        </w:tc>
        <w:tc>
          <w:tcPr>
            <w:tcW w:w="973" w:type="dxa"/>
            <w:shd w:val="clear" w:color="auto" w:fill="auto"/>
          </w:tcPr>
          <w:p w:rsidR="00FD26A0" w:rsidRPr="00A27A71" w:rsidRDefault="00FD26A0" w:rsidP="00B77D27">
            <w:pPr>
              <w:spacing w:after="60"/>
              <w:jc w:val="center"/>
              <w:rPr>
                <w:b/>
                <w:sz w:val="18"/>
              </w:rPr>
            </w:pPr>
            <w:r w:rsidRPr="00A27A71">
              <w:rPr>
                <w:b/>
                <w:sz w:val="18"/>
              </w:rPr>
              <w:t>2020</w:t>
            </w:r>
          </w:p>
        </w:tc>
        <w:tc>
          <w:tcPr>
            <w:tcW w:w="974" w:type="dxa"/>
            <w:shd w:val="clear" w:color="auto" w:fill="auto"/>
          </w:tcPr>
          <w:p w:rsidR="00FD26A0" w:rsidRPr="00A27A71" w:rsidRDefault="00FD26A0" w:rsidP="00B77D27">
            <w:pPr>
              <w:spacing w:after="60"/>
              <w:jc w:val="center"/>
              <w:rPr>
                <w:b/>
                <w:sz w:val="18"/>
              </w:rPr>
            </w:pPr>
            <w:r w:rsidRPr="00A27A71">
              <w:rPr>
                <w:b/>
                <w:sz w:val="18"/>
              </w:rPr>
              <w:t>After 2020</w:t>
            </w:r>
          </w:p>
        </w:tc>
        <w:tc>
          <w:tcPr>
            <w:tcW w:w="974" w:type="dxa"/>
            <w:shd w:val="clear" w:color="auto" w:fill="auto"/>
          </w:tcPr>
          <w:p w:rsidR="00FD26A0" w:rsidRPr="00A27A71" w:rsidRDefault="00FD26A0" w:rsidP="00B77D27">
            <w:pPr>
              <w:spacing w:after="60"/>
              <w:jc w:val="center"/>
              <w:rPr>
                <w:b/>
                <w:sz w:val="18"/>
              </w:rPr>
            </w:pPr>
            <w:r w:rsidRPr="00A27A71">
              <w:rPr>
                <w:b/>
                <w:sz w:val="18"/>
              </w:rPr>
              <w:t>Total</w:t>
            </w:r>
          </w:p>
        </w:tc>
      </w:tr>
      <w:tr w:rsidR="00FD26A0" w:rsidRPr="00A27A71" w:rsidTr="00B77D27">
        <w:trPr>
          <w:trHeight w:val="240"/>
          <w:jc w:val="center"/>
        </w:trPr>
        <w:tc>
          <w:tcPr>
            <w:tcW w:w="1728" w:type="dxa"/>
            <w:vMerge w:val="restart"/>
            <w:shd w:val="clear" w:color="auto" w:fill="auto"/>
          </w:tcPr>
          <w:p w:rsidR="00FD26A0" w:rsidRPr="00A27A71" w:rsidRDefault="00FD26A0" w:rsidP="00B77D27">
            <w:pPr>
              <w:spacing w:after="60"/>
              <w:jc w:val="center"/>
              <w:rPr>
                <w:sz w:val="18"/>
              </w:rPr>
            </w:pPr>
            <w:r w:rsidRPr="00A27A71">
              <w:rPr>
                <w:sz w:val="18"/>
              </w:rPr>
              <w:t>UNIDO</w:t>
            </w:r>
          </w:p>
        </w:tc>
        <w:tc>
          <w:tcPr>
            <w:tcW w:w="2430" w:type="dxa"/>
            <w:shd w:val="clear" w:color="auto" w:fill="auto"/>
          </w:tcPr>
          <w:p w:rsidR="00FD26A0" w:rsidRPr="00A27A71" w:rsidRDefault="00FD26A0" w:rsidP="00B77D27">
            <w:pPr>
              <w:spacing w:after="60"/>
              <w:jc w:val="left"/>
              <w:rPr>
                <w:sz w:val="18"/>
              </w:rPr>
            </w:pPr>
            <w:r w:rsidRPr="00A27A71">
              <w:rPr>
                <w:sz w:val="18"/>
              </w:rPr>
              <w:t>ODS phase-out (ODP tonnes)</w:t>
            </w:r>
          </w:p>
        </w:tc>
        <w:tc>
          <w:tcPr>
            <w:tcW w:w="973" w:type="dxa"/>
            <w:shd w:val="clear" w:color="auto" w:fill="auto"/>
          </w:tcPr>
          <w:p w:rsidR="00FD26A0" w:rsidRPr="00A27A71" w:rsidRDefault="004F6983" w:rsidP="00B77D27">
            <w:pPr>
              <w:spacing w:after="60"/>
              <w:jc w:val="right"/>
              <w:rPr>
                <w:sz w:val="18"/>
              </w:rPr>
            </w:pPr>
            <w:r w:rsidRPr="00A27A71">
              <w:rPr>
                <w:sz w:val="18"/>
              </w:rPr>
              <w:t>0</w:t>
            </w:r>
          </w:p>
        </w:tc>
        <w:tc>
          <w:tcPr>
            <w:tcW w:w="974" w:type="dxa"/>
            <w:shd w:val="clear" w:color="auto" w:fill="auto"/>
          </w:tcPr>
          <w:p w:rsidR="00FD26A0" w:rsidRPr="00A27A71" w:rsidRDefault="004F6983" w:rsidP="00B77D27">
            <w:pPr>
              <w:spacing w:after="60"/>
              <w:jc w:val="right"/>
              <w:rPr>
                <w:sz w:val="18"/>
              </w:rPr>
            </w:pPr>
            <w:r w:rsidRPr="00A27A71">
              <w:rPr>
                <w:sz w:val="18"/>
              </w:rPr>
              <w:t>50.87</w:t>
            </w:r>
          </w:p>
        </w:tc>
        <w:tc>
          <w:tcPr>
            <w:tcW w:w="974" w:type="dxa"/>
            <w:shd w:val="clear" w:color="auto" w:fill="auto"/>
          </w:tcPr>
          <w:p w:rsidR="00FD26A0" w:rsidRPr="00A27A71" w:rsidRDefault="004F6983" w:rsidP="00B77D27">
            <w:pPr>
              <w:spacing w:after="60"/>
              <w:jc w:val="right"/>
              <w:rPr>
                <w:sz w:val="18"/>
              </w:rPr>
            </w:pPr>
            <w:r w:rsidRPr="00A27A71">
              <w:rPr>
                <w:sz w:val="18"/>
              </w:rPr>
              <w:t>0</w:t>
            </w:r>
          </w:p>
        </w:tc>
        <w:tc>
          <w:tcPr>
            <w:tcW w:w="973" w:type="dxa"/>
            <w:shd w:val="clear" w:color="auto" w:fill="auto"/>
          </w:tcPr>
          <w:p w:rsidR="00FD26A0" w:rsidRPr="00A27A71" w:rsidRDefault="004F6983" w:rsidP="00B77D27">
            <w:pPr>
              <w:spacing w:after="60"/>
              <w:jc w:val="right"/>
              <w:rPr>
                <w:sz w:val="18"/>
              </w:rPr>
            </w:pPr>
            <w:r w:rsidRPr="00A27A71">
              <w:rPr>
                <w:sz w:val="18"/>
              </w:rPr>
              <w:t>20.01</w:t>
            </w:r>
          </w:p>
        </w:tc>
        <w:tc>
          <w:tcPr>
            <w:tcW w:w="974" w:type="dxa"/>
            <w:shd w:val="clear" w:color="auto" w:fill="auto"/>
          </w:tcPr>
          <w:p w:rsidR="00FD26A0" w:rsidRPr="00A27A71" w:rsidRDefault="004F6983" w:rsidP="00B77D27">
            <w:pPr>
              <w:spacing w:after="60"/>
              <w:jc w:val="right"/>
              <w:rPr>
                <w:sz w:val="18"/>
              </w:rPr>
            </w:pPr>
            <w:r w:rsidRPr="00A27A71">
              <w:rPr>
                <w:sz w:val="18"/>
              </w:rPr>
              <w:t>36.46</w:t>
            </w:r>
          </w:p>
        </w:tc>
        <w:tc>
          <w:tcPr>
            <w:tcW w:w="974" w:type="dxa"/>
            <w:shd w:val="clear" w:color="auto" w:fill="auto"/>
          </w:tcPr>
          <w:p w:rsidR="00FD26A0" w:rsidRPr="00A27A71" w:rsidRDefault="004F6983" w:rsidP="00B77D27">
            <w:pPr>
              <w:spacing w:after="60"/>
              <w:jc w:val="right"/>
              <w:rPr>
                <w:sz w:val="18"/>
              </w:rPr>
            </w:pPr>
            <w:r w:rsidRPr="00A27A71">
              <w:rPr>
                <w:sz w:val="18"/>
              </w:rPr>
              <w:fldChar w:fldCharType="begin"/>
            </w:r>
            <w:r w:rsidRPr="00A27A71">
              <w:rPr>
                <w:sz w:val="18"/>
              </w:rPr>
              <w:instrText xml:space="preserve"> =SUM(LEFT) </w:instrText>
            </w:r>
            <w:r w:rsidRPr="00A27A71">
              <w:rPr>
                <w:sz w:val="18"/>
              </w:rPr>
              <w:fldChar w:fldCharType="separate"/>
            </w:r>
            <w:r w:rsidRPr="00A27A71">
              <w:rPr>
                <w:noProof/>
                <w:sz w:val="18"/>
              </w:rPr>
              <w:t>107.34</w:t>
            </w:r>
            <w:r w:rsidRPr="00A27A71">
              <w:rPr>
                <w:sz w:val="18"/>
              </w:rPr>
              <w:fldChar w:fldCharType="end"/>
            </w:r>
          </w:p>
        </w:tc>
      </w:tr>
      <w:tr w:rsidR="00FD26A0" w:rsidRPr="00A27A71" w:rsidTr="00B77D27">
        <w:trPr>
          <w:trHeight w:val="240"/>
          <w:jc w:val="center"/>
        </w:trPr>
        <w:tc>
          <w:tcPr>
            <w:tcW w:w="1728" w:type="dxa"/>
            <w:vMerge/>
            <w:shd w:val="clear" w:color="auto" w:fill="auto"/>
          </w:tcPr>
          <w:p w:rsidR="00FD26A0" w:rsidRPr="00A27A71" w:rsidRDefault="00FD26A0" w:rsidP="00B77D27">
            <w:pPr>
              <w:spacing w:after="60"/>
              <w:jc w:val="center"/>
              <w:rPr>
                <w:sz w:val="18"/>
              </w:rPr>
            </w:pPr>
          </w:p>
        </w:tc>
        <w:tc>
          <w:tcPr>
            <w:tcW w:w="2430" w:type="dxa"/>
            <w:shd w:val="clear" w:color="auto" w:fill="auto"/>
          </w:tcPr>
          <w:p w:rsidR="00FD26A0" w:rsidRPr="00A27A71" w:rsidRDefault="00FD26A0" w:rsidP="00B77D27">
            <w:pPr>
              <w:spacing w:after="60"/>
              <w:jc w:val="left"/>
              <w:rPr>
                <w:sz w:val="18"/>
              </w:rPr>
            </w:pPr>
            <w:r w:rsidRPr="00A27A71">
              <w:rPr>
                <w:sz w:val="18"/>
              </w:rPr>
              <w:t>Funding (</w:t>
            </w:r>
            <w:r w:rsidR="0013662C" w:rsidRPr="00A27A71">
              <w:rPr>
                <w:sz w:val="18"/>
              </w:rPr>
              <w:t>US $</w:t>
            </w:r>
            <w:r w:rsidRPr="00A27A71">
              <w:rPr>
                <w:sz w:val="18"/>
              </w:rPr>
              <w:t>)</w:t>
            </w:r>
          </w:p>
        </w:tc>
        <w:tc>
          <w:tcPr>
            <w:tcW w:w="973" w:type="dxa"/>
            <w:shd w:val="clear" w:color="auto" w:fill="auto"/>
          </w:tcPr>
          <w:p w:rsidR="00FD26A0" w:rsidRPr="00A27A71" w:rsidRDefault="004F6983" w:rsidP="00B77D27">
            <w:pPr>
              <w:spacing w:after="60"/>
              <w:jc w:val="right"/>
              <w:rPr>
                <w:sz w:val="18"/>
              </w:rPr>
            </w:pPr>
            <w:r w:rsidRPr="00A27A71">
              <w:rPr>
                <w:sz w:val="18"/>
              </w:rPr>
              <w:t>0</w:t>
            </w:r>
          </w:p>
        </w:tc>
        <w:tc>
          <w:tcPr>
            <w:tcW w:w="974" w:type="dxa"/>
            <w:shd w:val="clear" w:color="auto" w:fill="auto"/>
          </w:tcPr>
          <w:p w:rsidR="00FD26A0" w:rsidRPr="00A27A71" w:rsidRDefault="004F6983" w:rsidP="00B77D27">
            <w:pPr>
              <w:spacing w:after="60"/>
              <w:jc w:val="right"/>
              <w:rPr>
                <w:sz w:val="18"/>
              </w:rPr>
            </w:pPr>
            <w:r w:rsidRPr="00A27A71">
              <w:rPr>
                <w:sz w:val="18"/>
              </w:rPr>
              <w:t>7,197,85</w:t>
            </w:r>
            <w:r w:rsidR="00F76143">
              <w:rPr>
                <w:sz w:val="18"/>
              </w:rPr>
              <w:t>5</w:t>
            </w:r>
          </w:p>
        </w:tc>
        <w:tc>
          <w:tcPr>
            <w:tcW w:w="974" w:type="dxa"/>
            <w:shd w:val="clear" w:color="auto" w:fill="auto"/>
          </w:tcPr>
          <w:p w:rsidR="00FD26A0" w:rsidRPr="00A27A71" w:rsidRDefault="004F6983" w:rsidP="00B77D27">
            <w:pPr>
              <w:spacing w:after="60"/>
              <w:jc w:val="right"/>
              <w:rPr>
                <w:sz w:val="18"/>
              </w:rPr>
            </w:pPr>
            <w:r w:rsidRPr="00A27A71">
              <w:rPr>
                <w:sz w:val="18"/>
              </w:rPr>
              <w:t>0</w:t>
            </w:r>
          </w:p>
        </w:tc>
        <w:tc>
          <w:tcPr>
            <w:tcW w:w="973" w:type="dxa"/>
            <w:shd w:val="clear" w:color="auto" w:fill="auto"/>
          </w:tcPr>
          <w:p w:rsidR="00FD26A0" w:rsidRPr="00A27A71" w:rsidRDefault="004F6983" w:rsidP="00B77D27">
            <w:pPr>
              <w:spacing w:after="60"/>
              <w:jc w:val="right"/>
              <w:rPr>
                <w:sz w:val="18"/>
              </w:rPr>
            </w:pPr>
            <w:r w:rsidRPr="00A27A71">
              <w:rPr>
                <w:sz w:val="18"/>
              </w:rPr>
              <w:t>2,770,011</w:t>
            </w:r>
          </w:p>
        </w:tc>
        <w:tc>
          <w:tcPr>
            <w:tcW w:w="974" w:type="dxa"/>
            <w:shd w:val="clear" w:color="auto" w:fill="auto"/>
          </w:tcPr>
          <w:p w:rsidR="00FD26A0" w:rsidRPr="00A27A71" w:rsidRDefault="004F6983" w:rsidP="00B77D27">
            <w:pPr>
              <w:spacing w:after="60"/>
              <w:jc w:val="right"/>
              <w:rPr>
                <w:sz w:val="18"/>
              </w:rPr>
            </w:pPr>
            <w:r w:rsidRPr="00A27A71">
              <w:rPr>
                <w:sz w:val="18"/>
              </w:rPr>
              <w:t>4,858,567</w:t>
            </w:r>
          </w:p>
        </w:tc>
        <w:tc>
          <w:tcPr>
            <w:tcW w:w="974" w:type="dxa"/>
            <w:shd w:val="clear" w:color="auto" w:fill="auto"/>
          </w:tcPr>
          <w:p w:rsidR="00FD26A0" w:rsidRPr="00A27A71" w:rsidRDefault="00F76143" w:rsidP="00B77D27">
            <w:pPr>
              <w:spacing w:after="60"/>
              <w:jc w:val="right"/>
              <w:rPr>
                <w:sz w:val="18"/>
              </w:rPr>
            </w:pPr>
            <w:r>
              <w:rPr>
                <w:sz w:val="18"/>
              </w:rPr>
              <w:fldChar w:fldCharType="begin"/>
            </w:r>
            <w:r>
              <w:rPr>
                <w:sz w:val="18"/>
              </w:rPr>
              <w:instrText xml:space="preserve"> =SUM(left) </w:instrText>
            </w:r>
            <w:r>
              <w:rPr>
                <w:sz w:val="18"/>
              </w:rPr>
              <w:fldChar w:fldCharType="separate"/>
            </w:r>
            <w:r>
              <w:rPr>
                <w:noProof/>
                <w:sz w:val="18"/>
              </w:rPr>
              <w:t>14,826,433</w:t>
            </w:r>
            <w:r>
              <w:rPr>
                <w:sz w:val="18"/>
              </w:rPr>
              <w:fldChar w:fldCharType="end"/>
            </w:r>
          </w:p>
        </w:tc>
      </w:tr>
      <w:tr w:rsidR="00FD26A0" w:rsidRPr="00A27A71" w:rsidTr="00B77D27">
        <w:trPr>
          <w:trHeight w:val="240"/>
          <w:jc w:val="center"/>
        </w:trPr>
        <w:tc>
          <w:tcPr>
            <w:tcW w:w="1728" w:type="dxa"/>
            <w:vMerge w:val="restart"/>
            <w:shd w:val="clear" w:color="auto" w:fill="auto"/>
          </w:tcPr>
          <w:p w:rsidR="00FD26A0" w:rsidRPr="00A27A71" w:rsidRDefault="00FD26A0" w:rsidP="00B77D27">
            <w:pPr>
              <w:spacing w:after="60"/>
              <w:jc w:val="center"/>
              <w:rPr>
                <w:sz w:val="18"/>
              </w:rPr>
            </w:pPr>
            <w:r w:rsidRPr="00A27A71">
              <w:rPr>
                <w:sz w:val="18"/>
              </w:rPr>
              <w:t>UNDP</w:t>
            </w:r>
          </w:p>
        </w:tc>
        <w:tc>
          <w:tcPr>
            <w:tcW w:w="2430" w:type="dxa"/>
            <w:shd w:val="clear" w:color="auto" w:fill="auto"/>
          </w:tcPr>
          <w:p w:rsidR="00FD26A0" w:rsidRPr="00A27A71" w:rsidRDefault="00FD26A0" w:rsidP="00B77D27">
            <w:pPr>
              <w:spacing w:after="60"/>
              <w:jc w:val="left"/>
              <w:rPr>
                <w:sz w:val="18"/>
              </w:rPr>
            </w:pPr>
            <w:r w:rsidRPr="00A27A71">
              <w:rPr>
                <w:sz w:val="18"/>
              </w:rPr>
              <w:t>ODS phase-out (ODP tonnes)</w:t>
            </w:r>
          </w:p>
        </w:tc>
        <w:tc>
          <w:tcPr>
            <w:tcW w:w="973" w:type="dxa"/>
            <w:shd w:val="clear" w:color="auto" w:fill="auto"/>
          </w:tcPr>
          <w:p w:rsidR="00FD26A0" w:rsidRPr="00A27A71" w:rsidRDefault="004F6983" w:rsidP="00B77D27">
            <w:pPr>
              <w:spacing w:after="60"/>
              <w:jc w:val="right"/>
              <w:rPr>
                <w:sz w:val="18"/>
              </w:rPr>
            </w:pPr>
            <w:r w:rsidRPr="00A27A71">
              <w:rPr>
                <w:sz w:val="18"/>
              </w:rPr>
              <w:t>27.91</w:t>
            </w:r>
          </w:p>
        </w:tc>
        <w:tc>
          <w:tcPr>
            <w:tcW w:w="974" w:type="dxa"/>
            <w:shd w:val="clear" w:color="auto" w:fill="auto"/>
          </w:tcPr>
          <w:p w:rsidR="00FD26A0" w:rsidRPr="00A27A71" w:rsidRDefault="004F6983" w:rsidP="00B77D27">
            <w:pPr>
              <w:spacing w:after="60"/>
              <w:jc w:val="right"/>
              <w:rPr>
                <w:sz w:val="18"/>
              </w:rPr>
            </w:pPr>
            <w:r w:rsidRPr="00A27A71">
              <w:rPr>
                <w:sz w:val="18"/>
              </w:rPr>
              <w:t>0</w:t>
            </w:r>
          </w:p>
        </w:tc>
        <w:tc>
          <w:tcPr>
            <w:tcW w:w="974" w:type="dxa"/>
            <w:shd w:val="clear" w:color="auto" w:fill="auto"/>
          </w:tcPr>
          <w:p w:rsidR="00FD26A0" w:rsidRPr="00A27A71" w:rsidRDefault="004F6983" w:rsidP="00B77D27">
            <w:pPr>
              <w:spacing w:after="60"/>
              <w:jc w:val="right"/>
              <w:rPr>
                <w:sz w:val="18"/>
              </w:rPr>
            </w:pPr>
            <w:r w:rsidRPr="00A27A71">
              <w:rPr>
                <w:sz w:val="18"/>
              </w:rPr>
              <w:t>57.36</w:t>
            </w:r>
          </w:p>
        </w:tc>
        <w:tc>
          <w:tcPr>
            <w:tcW w:w="973" w:type="dxa"/>
            <w:shd w:val="clear" w:color="auto" w:fill="auto"/>
          </w:tcPr>
          <w:p w:rsidR="00FD26A0" w:rsidRPr="00A27A71" w:rsidRDefault="004F6983" w:rsidP="00B77D27">
            <w:pPr>
              <w:spacing w:after="60"/>
              <w:jc w:val="right"/>
              <w:rPr>
                <w:sz w:val="18"/>
              </w:rPr>
            </w:pPr>
            <w:r w:rsidRPr="00A27A71">
              <w:rPr>
                <w:sz w:val="18"/>
              </w:rPr>
              <w:t>0</w:t>
            </w:r>
          </w:p>
        </w:tc>
        <w:tc>
          <w:tcPr>
            <w:tcW w:w="974" w:type="dxa"/>
            <w:shd w:val="clear" w:color="auto" w:fill="auto"/>
          </w:tcPr>
          <w:p w:rsidR="00FD26A0" w:rsidRPr="00A27A71" w:rsidRDefault="004F6983" w:rsidP="00B77D27">
            <w:pPr>
              <w:spacing w:after="60"/>
              <w:jc w:val="right"/>
              <w:rPr>
                <w:sz w:val="18"/>
              </w:rPr>
            </w:pPr>
            <w:r w:rsidRPr="00A27A71">
              <w:rPr>
                <w:sz w:val="18"/>
              </w:rPr>
              <w:t>18.63</w:t>
            </w:r>
          </w:p>
        </w:tc>
        <w:tc>
          <w:tcPr>
            <w:tcW w:w="974" w:type="dxa"/>
            <w:shd w:val="clear" w:color="auto" w:fill="auto"/>
          </w:tcPr>
          <w:p w:rsidR="00FD26A0" w:rsidRPr="00A27A71" w:rsidRDefault="004F6983" w:rsidP="00B77D27">
            <w:pPr>
              <w:spacing w:after="60"/>
              <w:jc w:val="right"/>
              <w:rPr>
                <w:sz w:val="18"/>
              </w:rPr>
            </w:pPr>
            <w:r w:rsidRPr="00A27A71">
              <w:rPr>
                <w:sz w:val="18"/>
              </w:rPr>
              <w:fldChar w:fldCharType="begin"/>
            </w:r>
            <w:r w:rsidRPr="00A27A71">
              <w:rPr>
                <w:sz w:val="18"/>
              </w:rPr>
              <w:instrText xml:space="preserve"> =SUM(left) </w:instrText>
            </w:r>
            <w:r w:rsidRPr="00A27A71">
              <w:rPr>
                <w:sz w:val="18"/>
              </w:rPr>
              <w:fldChar w:fldCharType="separate"/>
            </w:r>
            <w:r w:rsidRPr="00A27A71">
              <w:rPr>
                <w:noProof/>
                <w:sz w:val="18"/>
              </w:rPr>
              <w:t>103.9</w:t>
            </w:r>
            <w:r w:rsidRPr="00A27A71">
              <w:rPr>
                <w:sz w:val="18"/>
              </w:rPr>
              <w:fldChar w:fldCharType="end"/>
            </w:r>
          </w:p>
        </w:tc>
      </w:tr>
      <w:tr w:rsidR="00FD26A0" w:rsidRPr="00A27A71" w:rsidTr="00B77D27">
        <w:trPr>
          <w:trHeight w:val="240"/>
          <w:jc w:val="center"/>
        </w:trPr>
        <w:tc>
          <w:tcPr>
            <w:tcW w:w="1728" w:type="dxa"/>
            <w:vMerge/>
            <w:shd w:val="clear" w:color="auto" w:fill="auto"/>
          </w:tcPr>
          <w:p w:rsidR="00FD26A0" w:rsidRPr="00A27A71" w:rsidRDefault="00FD26A0" w:rsidP="00B77D27">
            <w:pPr>
              <w:spacing w:after="60"/>
              <w:jc w:val="center"/>
              <w:rPr>
                <w:sz w:val="18"/>
              </w:rPr>
            </w:pPr>
          </w:p>
        </w:tc>
        <w:tc>
          <w:tcPr>
            <w:tcW w:w="2430" w:type="dxa"/>
            <w:shd w:val="clear" w:color="auto" w:fill="auto"/>
          </w:tcPr>
          <w:p w:rsidR="00FD26A0" w:rsidRPr="00A27A71" w:rsidRDefault="00FD26A0" w:rsidP="00B77D27">
            <w:pPr>
              <w:spacing w:after="60"/>
              <w:jc w:val="left"/>
              <w:rPr>
                <w:sz w:val="18"/>
              </w:rPr>
            </w:pPr>
            <w:r w:rsidRPr="00A27A71">
              <w:rPr>
                <w:sz w:val="18"/>
              </w:rPr>
              <w:t>Funding (</w:t>
            </w:r>
            <w:r w:rsidR="0013662C" w:rsidRPr="00A27A71">
              <w:rPr>
                <w:sz w:val="18"/>
              </w:rPr>
              <w:t>US $</w:t>
            </w:r>
            <w:r w:rsidRPr="00A27A71">
              <w:rPr>
                <w:sz w:val="18"/>
              </w:rPr>
              <w:t>)</w:t>
            </w:r>
          </w:p>
        </w:tc>
        <w:tc>
          <w:tcPr>
            <w:tcW w:w="973" w:type="dxa"/>
            <w:shd w:val="clear" w:color="auto" w:fill="auto"/>
          </w:tcPr>
          <w:p w:rsidR="00FD26A0" w:rsidRPr="00A27A71" w:rsidRDefault="004F6983" w:rsidP="00F76143">
            <w:pPr>
              <w:spacing w:after="60"/>
              <w:jc w:val="right"/>
              <w:rPr>
                <w:sz w:val="18"/>
              </w:rPr>
            </w:pPr>
            <w:r w:rsidRPr="00A27A71">
              <w:rPr>
                <w:sz w:val="18"/>
              </w:rPr>
              <w:t>2,250,</w:t>
            </w:r>
            <w:r w:rsidR="00F76143">
              <w:rPr>
                <w:sz w:val="18"/>
              </w:rPr>
              <w:t>424</w:t>
            </w:r>
          </w:p>
        </w:tc>
        <w:tc>
          <w:tcPr>
            <w:tcW w:w="974" w:type="dxa"/>
            <w:shd w:val="clear" w:color="auto" w:fill="auto"/>
          </w:tcPr>
          <w:p w:rsidR="00FD26A0" w:rsidRPr="00A27A71" w:rsidRDefault="004F6983" w:rsidP="00B77D27">
            <w:pPr>
              <w:spacing w:after="60"/>
              <w:jc w:val="right"/>
              <w:rPr>
                <w:sz w:val="18"/>
              </w:rPr>
            </w:pPr>
            <w:r w:rsidRPr="00A27A71">
              <w:rPr>
                <w:sz w:val="18"/>
              </w:rPr>
              <w:t>0</w:t>
            </w:r>
          </w:p>
        </w:tc>
        <w:tc>
          <w:tcPr>
            <w:tcW w:w="974" w:type="dxa"/>
            <w:shd w:val="clear" w:color="auto" w:fill="auto"/>
          </w:tcPr>
          <w:p w:rsidR="00FD26A0" w:rsidRPr="00A27A71" w:rsidRDefault="004F6983" w:rsidP="00C61BE6">
            <w:pPr>
              <w:spacing w:after="60"/>
              <w:jc w:val="right"/>
              <w:rPr>
                <w:sz w:val="18"/>
              </w:rPr>
            </w:pPr>
            <w:r w:rsidRPr="00A27A71">
              <w:rPr>
                <w:sz w:val="18"/>
              </w:rPr>
              <w:t>4</w:t>
            </w:r>
            <w:r w:rsidR="00C61BE6" w:rsidRPr="00A27A71">
              <w:rPr>
                <w:sz w:val="18"/>
              </w:rPr>
              <w:t>,</w:t>
            </w:r>
            <w:r w:rsidRPr="00A27A71">
              <w:rPr>
                <w:sz w:val="18"/>
              </w:rPr>
              <w:t>321</w:t>
            </w:r>
            <w:r w:rsidR="00C61BE6" w:rsidRPr="00A27A71">
              <w:rPr>
                <w:sz w:val="18"/>
              </w:rPr>
              <w:t>,</w:t>
            </w:r>
            <w:r w:rsidR="00F76143">
              <w:rPr>
                <w:sz w:val="18"/>
              </w:rPr>
              <w:t>9</w:t>
            </w:r>
            <w:r w:rsidRPr="00A27A71">
              <w:rPr>
                <w:sz w:val="18"/>
              </w:rPr>
              <w:t>65</w:t>
            </w:r>
          </w:p>
        </w:tc>
        <w:tc>
          <w:tcPr>
            <w:tcW w:w="973" w:type="dxa"/>
            <w:shd w:val="clear" w:color="auto" w:fill="auto"/>
          </w:tcPr>
          <w:p w:rsidR="00FD26A0" w:rsidRPr="00A27A71" w:rsidRDefault="004F6983" w:rsidP="00B77D27">
            <w:pPr>
              <w:spacing w:after="60"/>
              <w:jc w:val="right"/>
              <w:rPr>
                <w:sz w:val="18"/>
              </w:rPr>
            </w:pPr>
            <w:r w:rsidRPr="00A27A71">
              <w:rPr>
                <w:sz w:val="18"/>
              </w:rPr>
              <w:t>0</w:t>
            </w:r>
          </w:p>
        </w:tc>
        <w:tc>
          <w:tcPr>
            <w:tcW w:w="974" w:type="dxa"/>
            <w:shd w:val="clear" w:color="auto" w:fill="auto"/>
          </w:tcPr>
          <w:p w:rsidR="00FD26A0" w:rsidRPr="00A27A71" w:rsidRDefault="004F6983" w:rsidP="00B77D27">
            <w:pPr>
              <w:spacing w:after="60"/>
              <w:jc w:val="right"/>
              <w:rPr>
                <w:sz w:val="18"/>
              </w:rPr>
            </w:pPr>
            <w:r w:rsidRPr="00A27A71">
              <w:rPr>
                <w:sz w:val="18"/>
              </w:rPr>
              <w:t>1,502,280</w:t>
            </w:r>
          </w:p>
        </w:tc>
        <w:tc>
          <w:tcPr>
            <w:tcW w:w="974" w:type="dxa"/>
            <w:shd w:val="clear" w:color="auto" w:fill="auto"/>
          </w:tcPr>
          <w:p w:rsidR="00FD26A0" w:rsidRPr="00A27A71" w:rsidRDefault="00F76143" w:rsidP="00B77D27">
            <w:pPr>
              <w:spacing w:after="60"/>
              <w:jc w:val="right"/>
              <w:rPr>
                <w:sz w:val="18"/>
              </w:rPr>
            </w:pPr>
            <w:r>
              <w:rPr>
                <w:sz w:val="18"/>
              </w:rPr>
              <w:fldChar w:fldCharType="begin"/>
            </w:r>
            <w:r>
              <w:rPr>
                <w:sz w:val="18"/>
              </w:rPr>
              <w:instrText xml:space="preserve"> =SUM(left) </w:instrText>
            </w:r>
            <w:r>
              <w:rPr>
                <w:sz w:val="18"/>
              </w:rPr>
              <w:fldChar w:fldCharType="separate"/>
            </w:r>
            <w:r>
              <w:rPr>
                <w:noProof/>
                <w:sz w:val="18"/>
              </w:rPr>
              <w:t>8,074,669</w:t>
            </w:r>
            <w:r>
              <w:rPr>
                <w:sz w:val="18"/>
              </w:rPr>
              <w:fldChar w:fldCharType="end"/>
            </w:r>
          </w:p>
        </w:tc>
      </w:tr>
      <w:tr w:rsidR="00FD26A0" w:rsidRPr="00A27A71" w:rsidTr="00B77D27">
        <w:trPr>
          <w:trHeight w:val="240"/>
          <w:jc w:val="center"/>
        </w:trPr>
        <w:tc>
          <w:tcPr>
            <w:tcW w:w="1728" w:type="dxa"/>
            <w:vMerge w:val="restart"/>
            <w:shd w:val="clear" w:color="auto" w:fill="auto"/>
          </w:tcPr>
          <w:p w:rsidR="00FD26A0" w:rsidRPr="00A27A71" w:rsidRDefault="00FD26A0" w:rsidP="00B77D27">
            <w:pPr>
              <w:spacing w:after="60"/>
              <w:jc w:val="center"/>
              <w:rPr>
                <w:sz w:val="18"/>
              </w:rPr>
            </w:pPr>
            <w:r w:rsidRPr="00A27A71">
              <w:rPr>
                <w:sz w:val="18"/>
              </w:rPr>
              <w:t>UN Environment</w:t>
            </w:r>
          </w:p>
        </w:tc>
        <w:tc>
          <w:tcPr>
            <w:tcW w:w="2430" w:type="dxa"/>
            <w:shd w:val="clear" w:color="auto" w:fill="auto"/>
          </w:tcPr>
          <w:p w:rsidR="00FD26A0" w:rsidRPr="00A27A71" w:rsidRDefault="00FD26A0" w:rsidP="00B77D27">
            <w:pPr>
              <w:spacing w:after="60"/>
              <w:jc w:val="left"/>
              <w:rPr>
                <w:sz w:val="18"/>
              </w:rPr>
            </w:pPr>
            <w:r w:rsidRPr="00A27A71">
              <w:rPr>
                <w:sz w:val="18"/>
              </w:rPr>
              <w:t>ODS phase-out (ODP tonnes)</w:t>
            </w:r>
          </w:p>
        </w:tc>
        <w:tc>
          <w:tcPr>
            <w:tcW w:w="973" w:type="dxa"/>
            <w:shd w:val="clear" w:color="auto" w:fill="auto"/>
          </w:tcPr>
          <w:p w:rsidR="00FD26A0" w:rsidRPr="00A27A71" w:rsidRDefault="004F6983" w:rsidP="00B77D27">
            <w:pPr>
              <w:spacing w:after="60"/>
              <w:jc w:val="right"/>
              <w:rPr>
                <w:sz w:val="18"/>
              </w:rPr>
            </w:pPr>
            <w:r w:rsidRPr="00A27A71">
              <w:rPr>
                <w:sz w:val="18"/>
              </w:rPr>
              <w:t>0</w:t>
            </w:r>
          </w:p>
        </w:tc>
        <w:tc>
          <w:tcPr>
            <w:tcW w:w="974" w:type="dxa"/>
            <w:shd w:val="clear" w:color="auto" w:fill="auto"/>
          </w:tcPr>
          <w:p w:rsidR="00FD26A0" w:rsidRPr="00A27A71" w:rsidRDefault="004F6983" w:rsidP="00B77D27">
            <w:pPr>
              <w:spacing w:after="60"/>
              <w:jc w:val="right"/>
              <w:rPr>
                <w:sz w:val="18"/>
              </w:rPr>
            </w:pPr>
            <w:r w:rsidRPr="00A27A71">
              <w:rPr>
                <w:sz w:val="18"/>
              </w:rPr>
              <w:t>4.0</w:t>
            </w:r>
          </w:p>
        </w:tc>
        <w:tc>
          <w:tcPr>
            <w:tcW w:w="974" w:type="dxa"/>
            <w:shd w:val="clear" w:color="auto" w:fill="auto"/>
          </w:tcPr>
          <w:p w:rsidR="00FD26A0" w:rsidRPr="00A27A71" w:rsidRDefault="004F6983" w:rsidP="00B77D27">
            <w:pPr>
              <w:spacing w:after="60"/>
              <w:jc w:val="right"/>
              <w:rPr>
                <w:sz w:val="18"/>
              </w:rPr>
            </w:pPr>
            <w:r w:rsidRPr="00A27A71">
              <w:rPr>
                <w:sz w:val="18"/>
              </w:rPr>
              <w:t>8.0</w:t>
            </w:r>
          </w:p>
        </w:tc>
        <w:tc>
          <w:tcPr>
            <w:tcW w:w="973" w:type="dxa"/>
            <w:shd w:val="clear" w:color="auto" w:fill="auto"/>
          </w:tcPr>
          <w:p w:rsidR="00FD26A0" w:rsidRPr="00A27A71" w:rsidRDefault="004F6983" w:rsidP="00B77D27">
            <w:pPr>
              <w:spacing w:after="60"/>
              <w:jc w:val="right"/>
              <w:rPr>
                <w:sz w:val="18"/>
              </w:rPr>
            </w:pPr>
            <w:r w:rsidRPr="00A27A71">
              <w:rPr>
                <w:sz w:val="18"/>
              </w:rPr>
              <w:t>2.0</w:t>
            </w:r>
          </w:p>
        </w:tc>
        <w:tc>
          <w:tcPr>
            <w:tcW w:w="974" w:type="dxa"/>
            <w:shd w:val="clear" w:color="auto" w:fill="auto"/>
          </w:tcPr>
          <w:p w:rsidR="00FD26A0" w:rsidRPr="00A27A71" w:rsidRDefault="004F6983" w:rsidP="00B77D27">
            <w:pPr>
              <w:spacing w:after="60"/>
              <w:jc w:val="right"/>
              <w:rPr>
                <w:sz w:val="18"/>
              </w:rPr>
            </w:pPr>
            <w:r w:rsidRPr="00A27A71">
              <w:rPr>
                <w:sz w:val="18"/>
              </w:rPr>
              <w:t>4.0</w:t>
            </w:r>
          </w:p>
        </w:tc>
        <w:tc>
          <w:tcPr>
            <w:tcW w:w="974" w:type="dxa"/>
            <w:shd w:val="clear" w:color="auto" w:fill="auto"/>
          </w:tcPr>
          <w:p w:rsidR="00FD26A0" w:rsidRPr="00A27A71" w:rsidRDefault="004F6983" w:rsidP="00B77D27">
            <w:pPr>
              <w:spacing w:after="60"/>
              <w:jc w:val="right"/>
              <w:rPr>
                <w:sz w:val="18"/>
              </w:rPr>
            </w:pPr>
            <w:r w:rsidRPr="00A27A71">
              <w:rPr>
                <w:sz w:val="18"/>
              </w:rPr>
              <w:fldChar w:fldCharType="begin"/>
            </w:r>
            <w:r w:rsidRPr="00A27A71">
              <w:rPr>
                <w:sz w:val="18"/>
              </w:rPr>
              <w:instrText xml:space="preserve"> =SUM(left) </w:instrText>
            </w:r>
            <w:r w:rsidRPr="00A27A71">
              <w:rPr>
                <w:sz w:val="18"/>
              </w:rPr>
              <w:fldChar w:fldCharType="separate"/>
            </w:r>
            <w:r w:rsidRPr="00A27A71">
              <w:rPr>
                <w:noProof/>
                <w:sz w:val="18"/>
              </w:rPr>
              <w:t>18</w:t>
            </w:r>
            <w:r w:rsidRPr="00A27A71">
              <w:rPr>
                <w:sz w:val="18"/>
              </w:rPr>
              <w:fldChar w:fldCharType="end"/>
            </w:r>
            <w:r w:rsidRPr="00A27A71">
              <w:rPr>
                <w:sz w:val="18"/>
              </w:rPr>
              <w:t>.0</w:t>
            </w:r>
          </w:p>
        </w:tc>
      </w:tr>
      <w:tr w:rsidR="00FD26A0" w:rsidRPr="00A27A71" w:rsidTr="00B77D27">
        <w:trPr>
          <w:trHeight w:val="240"/>
          <w:jc w:val="center"/>
        </w:trPr>
        <w:tc>
          <w:tcPr>
            <w:tcW w:w="1728" w:type="dxa"/>
            <w:vMerge/>
            <w:shd w:val="clear" w:color="auto" w:fill="auto"/>
          </w:tcPr>
          <w:p w:rsidR="00FD26A0" w:rsidRPr="00A27A71" w:rsidRDefault="00FD26A0" w:rsidP="00B77D27">
            <w:pPr>
              <w:spacing w:after="60"/>
              <w:jc w:val="center"/>
              <w:rPr>
                <w:sz w:val="18"/>
              </w:rPr>
            </w:pPr>
          </w:p>
        </w:tc>
        <w:tc>
          <w:tcPr>
            <w:tcW w:w="2430" w:type="dxa"/>
            <w:shd w:val="clear" w:color="auto" w:fill="auto"/>
          </w:tcPr>
          <w:p w:rsidR="00FD26A0" w:rsidRPr="00A27A71" w:rsidRDefault="00FD26A0" w:rsidP="00B77D27">
            <w:pPr>
              <w:spacing w:after="60"/>
              <w:jc w:val="left"/>
              <w:rPr>
                <w:sz w:val="18"/>
              </w:rPr>
            </w:pPr>
            <w:r w:rsidRPr="00A27A71">
              <w:rPr>
                <w:sz w:val="18"/>
              </w:rPr>
              <w:t>Funding (</w:t>
            </w:r>
            <w:r w:rsidR="0013662C" w:rsidRPr="00A27A71">
              <w:rPr>
                <w:sz w:val="18"/>
              </w:rPr>
              <w:t>US $</w:t>
            </w:r>
            <w:r w:rsidRPr="00A27A71">
              <w:rPr>
                <w:sz w:val="18"/>
              </w:rPr>
              <w:t>)</w:t>
            </w:r>
          </w:p>
        </w:tc>
        <w:tc>
          <w:tcPr>
            <w:tcW w:w="973" w:type="dxa"/>
            <w:shd w:val="clear" w:color="auto" w:fill="auto"/>
          </w:tcPr>
          <w:p w:rsidR="00FD26A0" w:rsidRPr="00A27A71" w:rsidRDefault="004F6983" w:rsidP="00B77D27">
            <w:pPr>
              <w:spacing w:after="60"/>
              <w:jc w:val="right"/>
              <w:rPr>
                <w:sz w:val="18"/>
              </w:rPr>
            </w:pPr>
            <w:r w:rsidRPr="00A27A71">
              <w:rPr>
                <w:sz w:val="18"/>
              </w:rPr>
              <w:t>0</w:t>
            </w:r>
          </w:p>
        </w:tc>
        <w:tc>
          <w:tcPr>
            <w:tcW w:w="974" w:type="dxa"/>
            <w:shd w:val="clear" w:color="auto" w:fill="auto"/>
          </w:tcPr>
          <w:p w:rsidR="00FD26A0" w:rsidRPr="00A27A71" w:rsidRDefault="004F6983" w:rsidP="00B77D27">
            <w:pPr>
              <w:spacing w:after="60"/>
              <w:jc w:val="right"/>
              <w:rPr>
                <w:sz w:val="18"/>
              </w:rPr>
            </w:pPr>
            <w:r w:rsidRPr="00A27A71">
              <w:rPr>
                <w:sz w:val="18"/>
              </w:rPr>
              <w:t>394,473</w:t>
            </w:r>
          </w:p>
        </w:tc>
        <w:tc>
          <w:tcPr>
            <w:tcW w:w="974" w:type="dxa"/>
            <w:shd w:val="clear" w:color="auto" w:fill="auto"/>
          </w:tcPr>
          <w:p w:rsidR="00FD26A0" w:rsidRPr="00A27A71" w:rsidRDefault="004F6983" w:rsidP="00B77D27">
            <w:pPr>
              <w:spacing w:after="60"/>
              <w:jc w:val="right"/>
              <w:rPr>
                <w:sz w:val="18"/>
              </w:rPr>
            </w:pPr>
            <w:r w:rsidRPr="00A27A71">
              <w:rPr>
                <w:sz w:val="18"/>
              </w:rPr>
              <w:t>0</w:t>
            </w:r>
          </w:p>
        </w:tc>
        <w:tc>
          <w:tcPr>
            <w:tcW w:w="973" w:type="dxa"/>
            <w:shd w:val="clear" w:color="auto" w:fill="auto"/>
          </w:tcPr>
          <w:p w:rsidR="00FD26A0" w:rsidRPr="00A27A71" w:rsidRDefault="004F6983" w:rsidP="00B77D27">
            <w:pPr>
              <w:spacing w:after="60"/>
              <w:jc w:val="right"/>
              <w:rPr>
                <w:sz w:val="18"/>
              </w:rPr>
            </w:pPr>
            <w:r w:rsidRPr="00A27A71">
              <w:rPr>
                <w:sz w:val="18"/>
              </w:rPr>
              <w:t>197,236</w:t>
            </w:r>
          </w:p>
        </w:tc>
        <w:tc>
          <w:tcPr>
            <w:tcW w:w="974" w:type="dxa"/>
            <w:shd w:val="clear" w:color="auto" w:fill="auto"/>
          </w:tcPr>
          <w:p w:rsidR="00FD26A0" w:rsidRPr="00A27A71" w:rsidRDefault="004F6983" w:rsidP="00B77D27">
            <w:pPr>
              <w:spacing w:after="60"/>
              <w:jc w:val="right"/>
              <w:rPr>
                <w:sz w:val="18"/>
              </w:rPr>
            </w:pPr>
            <w:r w:rsidRPr="00A27A71">
              <w:rPr>
                <w:sz w:val="18"/>
              </w:rPr>
              <w:t>394,473</w:t>
            </w:r>
          </w:p>
        </w:tc>
        <w:tc>
          <w:tcPr>
            <w:tcW w:w="974" w:type="dxa"/>
            <w:shd w:val="clear" w:color="auto" w:fill="auto"/>
          </w:tcPr>
          <w:p w:rsidR="00FD26A0" w:rsidRPr="00A27A71" w:rsidRDefault="004F6983" w:rsidP="00B77D27">
            <w:pPr>
              <w:spacing w:after="60"/>
              <w:jc w:val="right"/>
              <w:rPr>
                <w:sz w:val="18"/>
              </w:rPr>
            </w:pPr>
            <w:r w:rsidRPr="00A27A71">
              <w:rPr>
                <w:sz w:val="18"/>
              </w:rPr>
              <w:fldChar w:fldCharType="begin"/>
            </w:r>
            <w:r w:rsidRPr="00A27A71">
              <w:rPr>
                <w:sz w:val="18"/>
              </w:rPr>
              <w:instrText xml:space="preserve"> =SUM(left) </w:instrText>
            </w:r>
            <w:r w:rsidRPr="00A27A71">
              <w:rPr>
                <w:sz w:val="18"/>
              </w:rPr>
              <w:fldChar w:fldCharType="separate"/>
            </w:r>
            <w:r w:rsidRPr="00A27A71">
              <w:rPr>
                <w:noProof/>
                <w:sz w:val="18"/>
              </w:rPr>
              <w:t>986,182</w:t>
            </w:r>
            <w:r w:rsidRPr="00A27A71">
              <w:rPr>
                <w:sz w:val="18"/>
              </w:rPr>
              <w:fldChar w:fldCharType="end"/>
            </w:r>
          </w:p>
        </w:tc>
      </w:tr>
      <w:tr w:rsidR="00FD26A0" w:rsidRPr="00A27A71" w:rsidTr="00B77D27">
        <w:trPr>
          <w:trHeight w:val="240"/>
          <w:jc w:val="center"/>
        </w:trPr>
        <w:tc>
          <w:tcPr>
            <w:tcW w:w="1728" w:type="dxa"/>
            <w:vMerge w:val="restart"/>
            <w:shd w:val="clear" w:color="auto" w:fill="auto"/>
          </w:tcPr>
          <w:p w:rsidR="00FD26A0" w:rsidRPr="00A27A71" w:rsidRDefault="00FD26A0" w:rsidP="00B77D27">
            <w:pPr>
              <w:spacing w:after="60"/>
              <w:jc w:val="center"/>
              <w:rPr>
                <w:sz w:val="18"/>
              </w:rPr>
            </w:pPr>
            <w:r w:rsidRPr="00A27A71">
              <w:rPr>
                <w:sz w:val="18"/>
              </w:rPr>
              <w:t>Germany</w:t>
            </w:r>
          </w:p>
        </w:tc>
        <w:tc>
          <w:tcPr>
            <w:tcW w:w="2430" w:type="dxa"/>
            <w:shd w:val="clear" w:color="auto" w:fill="auto"/>
          </w:tcPr>
          <w:p w:rsidR="00FD26A0" w:rsidRPr="00A27A71" w:rsidRDefault="00FD26A0" w:rsidP="00B77D27">
            <w:pPr>
              <w:spacing w:after="60"/>
              <w:jc w:val="left"/>
              <w:rPr>
                <w:sz w:val="18"/>
              </w:rPr>
            </w:pPr>
            <w:r w:rsidRPr="00A27A71">
              <w:rPr>
                <w:sz w:val="18"/>
              </w:rPr>
              <w:t>ODS phase-out (ODP tonnes)</w:t>
            </w:r>
          </w:p>
        </w:tc>
        <w:tc>
          <w:tcPr>
            <w:tcW w:w="973" w:type="dxa"/>
            <w:shd w:val="clear" w:color="auto" w:fill="auto"/>
          </w:tcPr>
          <w:p w:rsidR="00FD26A0" w:rsidRPr="00A27A71" w:rsidRDefault="004F6983" w:rsidP="00B77D27">
            <w:pPr>
              <w:spacing w:after="60"/>
              <w:jc w:val="right"/>
              <w:rPr>
                <w:sz w:val="18"/>
              </w:rPr>
            </w:pPr>
            <w:r w:rsidRPr="00A27A71">
              <w:rPr>
                <w:sz w:val="18"/>
              </w:rPr>
              <w:t>0</w:t>
            </w:r>
          </w:p>
        </w:tc>
        <w:tc>
          <w:tcPr>
            <w:tcW w:w="974" w:type="dxa"/>
            <w:shd w:val="clear" w:color="auto" w:fill="auto"/>
          </w:tcPr>
          <w:p w:rsidR="00FD26A0" w:rsidRPr="00A27A71" w:rsidRDefault="004F6983" w:rsidP="00B77D27">
            <w:pPr>
              <w:spacing w:after="60"/>
              <w:jc w:val="right"/>
              <w:rPr>
                <w:sz w:val="18"/>
              </w:rPr>
            </w:pPr>
            <w:r w:rsidRPr="00A27A71">
              <w:rPr>
                <w:sz w:val="18"/>
              </w:rPr>
              <w:t>4.0</w:t>
            </w:r>
          </w:p>
        </w:tc>
        <w:tc>
          <w:tcPr>
            <w:tcW w:w="974" w:type="dxa"/>
            <w:shd w:val="clear" w:color="auto" w:fill="auto"/>
          </w:tcPr>
          <w:p w:rsidR="00FD26A0" w:rsidRPr="00A27A71" w:rsidRDefault="004F6983" w:rsidP="00B77D27">
            <w:pPr>
              <w:spacing w:after="60"/>
              <w:jc w:val="right"/>
              <w:rPr>
                <w:sz w:val="18"/>
              </w:rPr>
            </w:pPr>
            <w:r w:rsidRPr="00A27A71">
              <w:rPr>
                <w:sz w:val="18"/>
              </w:rPr>
              <w:t>0</w:t>
            </w:r>
          </w:p>
        </w:tc>
        <w:tc>
          <w:tcPr>
            <w:tcW w:w="973" w:type="dxa"/>
            <w:shd w:val="clear" w:color="auto" w:fill="auto"/>
          </w:tcPr>
          <w:p w:rsidR="00FD26A0" w:rsidRPr="00A27A71" w:rsidRDefault="004F6983" w:rsidP="00B77D27">
            <w:pPr>
              <w:spacing w:after="60"/>
              <w:jc w:val="right"/>
              <w:rPr>
                <w:sz w:val="18"/>
              </w:rPr>
            </w:pPr>
            <w:r w:rsidRPr="00A27A71">
              <w:rPr>
                <w:sz w:val="18"/>
              </w:rPr>
              <w:t>0</w:t>
            </w:r>
          </w:p>
        </w:tc>
        <w:tc>
          <w:tcPr>
            <w:tcW w:w="974" w:type="dxa"/>
            <w:shd w:val="clear" w:color="auto" w:fill="auto"/>
          </w:tcPr>
          <w:p w:rsidR="00FD26A0" w:rsidRPr="00A27A71" w:rsidRDefault="004F6983" w:rsidP="00B77D27">
            <w:pPr>
              <w:spacing w:after="60"/>
              <w:jc w:val="right"/>
              <w:rPr>
                <w:sz w:val="18"/>
              </w:rPr>
            </w:pPr>
            <w:r w:rsidRPr="00A27A71">
              <w:rPr>
                <w:sz w:val="18"/>
              </w:rPr>
              <w:t>0</w:t>
            </w:r>
          </w:p>
        </w:tc>
        <w:tc>
          <w:tcPr>
            <w:tcW w:w="974" w:type="dxa"/>
            <w:shd w:val="clear" w:color="auto" w:fill="auto"/>
          </w:tcPr>
          <w:p w:rsidR="00FD26A0" w:rsidRPr="00A27A71" w:rsidRDefault="004F6983" w:rsidP="00B77D27">
            <w:pPr>
              <w:spacing w:after="60"/>
              <w:jc w:val="right"/>
              <w:rPr>
                <w:sz w:val="18"/>
              </w:rPr>
            </w:pPr>
            <w:r w:rsidRPr="00A27A71">
              <w:rPr>
                <w:sz w:val="18"/>
              </w:rPr>
              <w:fldChar w:fldCharType="begin"/>
            </w:r>
            <w:r w:rsidRPr="00A27A71">
              <w:rPr>
                <w:sz w:val="18"/>
              </w:rPr>
              <w:instrText xml:space="preserve"> =SUM(left) </w:instrText>
            </w:r>
            <w:r w:rsidRPr="00A27A71">
              <w:rPr>
                <w:sz w:val="18"/>
              </w:rPr>
              <w:fldChar w:fldCharType="separate"/>
            </w:r>
            <w:r w:rsidRPr="00A27A71">
              <w:rPr>
                <w:noProof/>
                <w:sz w:val="18"/>
              </w:rPr>
              <w:t>4</w:t>
            </w:r>
            <w:r w:rsidRPr="00A27A71">
              <w:rPr>
                <w:sz w:val="18"/>
              </w:rPr>
              <w:fldChar w:fldCharType="end"/>
            </w:r>
            <w:r w:rsidRPr="00A27A71">
              <w:rPr>
                <w:sz w:val="18"/>
              </w:rPr>
              <w:t>.0</w:t>
            </w:r>
          </w:p>
        </w:tc>
      </w:tr>
      <w:tr w:rsidR="00FD26A0" w:rsidRPr="00A27A71" w:rsidTr="00B77D27">
        <w:trPr>
          <w:trHeight w:val="240"/>
          <w:jc w:val="center"/>
        </w:trPr>
        <w:tc>
          <w:tcPr>
            <w:tcW w:w="1728" w:type="dxa"/>
            <w:vMerge/>
            <w:shd w:val="clear" w:color="auto" w:fill="auto"/>
          </w:tcPr>
          <w:p w:rsidR="00FD26A0" w:rsidRPr="00A27A71" w:rsidRDefault="00FD26A0" w:rsidP="00B77D27">
            <w:pPr>
              <w:spacing w:after="60"/>
              <w:jc w:val="center"/>
              <w:rPr>
                <w:sz w:val="18"/>
              </w:rPr>
            </w:pPr>
          </w:p>
        </w:tc>
        <w:tc>
          <w:tcPr>
            <w:tcW w:w="2430" w:type="dxa"/>
            <w:shd w:val="clear" w:color="auto" w:fill="auto"/>
          </w:tcPr>
          <w:p w:rsidR="00FD26A0" w:rsidRPr="00A27A71" w:rsidRDefault="00FD26A0" w:rsidP="00B77D27">
            <w:pPr>
              <w:spacing w:after="60"/>
              <w:jc w:val="left"/>
              <w:rPr>
                <w:sz w:val="18"/>
              </w:rPr>
            </w:pPr>
            <w:r w:rsidRPr="00A27A71">
              <w:rPr>
                <w:sz w:val="18"/>
              </w:rPr>
              <w:t>Funding (</w:t>
            </w:r>
            <w:r w:rsidR="0013662C" w:rsidRPr="00A27A71">
              <w:rPr>
                <w:sz w:val="18"/>
              </w:rPr>
              <w:t>US $</w:t>
            </w:r>
            <w:r w:rsidRPr="00A27A71">
              <w:rPr>
                <w:sz w:val="18"/>
              </w:rPr>
              <w:t>)</w:t>
            </w:r>
          </w:p>
        </w:tc>
        <w:tc>
          <w:tcPr>
            <w:tcW w:w="973" w:type="dxa"/>
            <w:shd w:val="clear" w:color="auto" w:fill="auto"/>
          </w:tcPr>
          <w:p w:rsidR="00FD26A0" w:rsidRPr="00A27A71" w:rsidRDefault="004F6983" w:rsidP="00B77D27">
            <w:pPr>
              <w:spacing w:after="60"/>
              <w:jc w:val="right"/>
              <w:rPr>
                <w:sz w:val="18"/>
              </w:rPr>
            </w:pPr>
            <w:r w:rsidRPr="00A27A71">
              <w:rPr>
                <w:sz w:val="18"/>
              </w:rPr>
              <w:t>0</w:t>
            </w:r>
          </w:p>
        </w:tc>
        <w:tc>
          <w:tcPr>
            <w:tcW w:w="974" w:type="dxa"/>
            <w:shd w:val="clear" w:color="auto" w:fill="auto"/>
          </w:tcPr>
          <w:p w:rsidR="00FD26A0" w:rsidRPr="00A27A71" w:rsidRDefault="004F6983" w:rsidP="00B77D27">
            <w:pPr>
              <w:spacing w:after="60"/>
              <w:jc w:val="right"/>
              <w:rPr>
                <w:sz w:val="18"/>
              </w:rPr>
            </w:pPr>
            <w:r w:rsidRPr="00A27A71">
              <w:rPr>
                <w:sz w:val="18"/>
              </w:rPr>
              <w:t>200,000</w:t>
            </w:r>
          </w:p>
        </w:tc>
        <w:tc>
          <w:tcPr>
            <w:tcW w:w="974" w:type="dxa"/>
            <w:shd w:val="clear" w:color="auto" w:fill="auto"/>
          </w:tcPr>
          <w:p w:rsidR="00FD26A0" w:rsidRPr="00A27A71" w:rsidRDefault="004F6983" w:rsidP="00B77D27">
            <w:pPr>
              <w:spacing w:after="60"/>
              <w:jc w:val="right"/>
              <w:rPr>
                <w:sz w:val="18"/>
              </w:rPr>
            </w:pPr>
            <w:r w:rsidRPr="00A27A71">
              <w:rPr>
                <w:sz w:val="18"/>
              </w:rPr>
              <w:t>0</w:t>
            </w:r>
          </w:p>
        </w:tc>
        <w:tc>
          <w:tcPr>
            <w:tcW w:w="973" w:type="dxa"/>
            <w:shd w:val="clear" w:color="auto" w:fill="auto"/>
          </w:tcPr>
          <w:p w:rsidR="00FD26A0" w:rsidRPr="00A27A71" w:rsidRDefault="004F6983" w:rsidP="00B77D27">
            <w:pPr>
              <w:spacing w:after="60"/>
              <w:jc w:val="right"/>
              <w:rPr>
                <w:sz w:val="18"/>
              </w:rPr>
            </w:pPr>
            <w:r w:rsidRPr="00A27A71">
              <w:rPr>
                <w:sz w:val="18"/>
              </w:rPr>
              <w:t>0</w:t>
            </w:r>
          </w:p>
        </w:tc>
        <w:tc>
          <w:tcPr>
            <w:tcW w:w="974" w:type="dxa"/>
            <w:shd w:val="clear" w:color="auto" w:fill="auto"/>
          </w:tcPr>
          <w:p w:rsidR="00FD26A0" w:rsidRPr="00A27A71" w:rsidRDefault="004F6983" w:rsidP="00B77D27">
            <w:pPr>
              <w:spacing w:after="60"/>
              <w:jc w:val="right"/>
              <w:rPr>
                <w:sz w:val="18"/>
              </w:rPr>
            </w:pPr>
            <w:r w:rsidRPr="00A27A71">
              <w:rPr>
                <w:sz w:val="18"/>
              </w:rPr>
              <w:t>0</w:t>
            </w:r>
          </w:p>
        </w:tc>
        <w:tc>
          <w:tcPr>
            <w:tcW w:w="974" w:type="dxa"/>
            <w:shd w:val="clear" w:color="auto" w:fill="auto"/>
          </w:tcPr>
          <w:p w:rsidR="00FD26A0" w:rsidRPr="00A27A71" w:rsidRDefault="004F6983" w:rsidP="00B77D27">
            <w:pPr>
              <w:spacing w:after="60"/>
              <w:jc w:val="right"/>
              <w:rPr>
                <w:sz w:val="18"/>
              </w:rPr>
            </w:pPr>
            <w:r w:rsidRPr="00A27A71">
              <w:rPr>
                <w:sz w:val="18"/>
              </w:rPr>
              <w:fldChar w:fldCharType="begin"/>
            </w:r>
            <w:r w:rsidRPr="00A27A71">
              <w:rPr>
                <w:sz w:val="18"/>
              </w:rPr>
              <w:instrText xml:space="preserve"> =SUM(left) </w:instrText>
            </w:r>
            <w:r w:rsidRPr="00A27A71">
              <w:rPr>
                <w:sz w:val="18"/>
              </w:rPr>
              <w:fldChar w:fldCharType="separate"/>
            </w:r>
            <w:r w:rsidRPr="00A27A71">
              <w:rPr>
                <w:noProof/>
                <w:sz w:val="18"/>
              </w:rPr>
              <w:t>200,000</w:t>
            </w:r>
            <w:r w:rsidRPr="00A27A71">
              <w:rPr>
                <w:sz w:val="18"/>
              </w:rPr>
              <w:fldChar w:fldCharType="end"/>
            </w:r>
          </w:p>
        </w:tc>
      </w:tr>
    </w:tbl>
    <w:p w:rsidR="00FD26A0" w:rsidRPr="00A27A71" w:rsidRDefault="00FD26A0" w:rsidP="00FD26A0">
      <w:pPr>
        <w:spacing w:after="60"/>
        <w:jc w:val="center"/>
      </w:pPr>
    </w:p>
    <w:p w:rsidR="00FD26A0" w:rsidRPr="00A27A71" w:rsidRDefault="00FD26A0" w:rsidP="00FD26A0">
      <w:pPr>
        <w:jc w:val="left"/>
      </w:pPr>
      <w:r w:rsidRPr="00A27A71">
        <w:br w:type="page"/>
      </w:r>
    </w:p>
    <w:p w:rsidR="00FD26A0" w:rsidRPr="00A27A71" w:rsidRDefault="00FD26A0" w:rsidP="00FD26A0">
      <w:pPr>
        <w:spacing w:after="60"/>
      </w:pPr>
    </w:p>
    <w:tbl>
      <w:tblPr>
        <w:tblStyle w:val="TableGrid"/>
        <w:tblW w:w="11272" w:type="dxa"/>
        <w:jc w:val="center"/>
        <w:tblInd w:w="583"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06"/>
        <w:gridCol w:w="1156"/>
        <w:gridCol w:w="831"/>
        <w:gridCol w:w="936"/>
        <w:gridCol w:w="728"/>
        <w:gridCol w:w="936"/>
        <w:gridCol w:w="777"/>
        <w:gridCol w:w="801"/>
        <w:gridCol w:w="741"/>
        <w:gridCol w:w="801"/>
        <w:gridCol w:w="744"/>
        <w:gridCol w:w="889"/>
        <w:gridCol w:w="1026"/>
      </w:tblGrid>
      <w:tr w:rsidR="002212C9" w:rsidRPr="00A27A71" w:rsidTr="0069138E">
        <w:trPr>
          <w:jc w:val="center"/>
        </w:trPr>
        <w:tc>
          <w:tcPr>
            <w:tcW w:w="2900" w:type="dxa"/>
            <w:gridSpan w:val="3"/>
            <w:shd w:val="clear" w:color="auto" w:fill="auto"/>
          </w:tcPr>
          <w:p w:rsidR="002212C9" w:rsidRPr="00A27A71" w:rsidRDefault="002212C9" w:rsidP="00B77D27">
            <w:pPr>
              <w:spacing w:after="60"/>
              <w:jc w:val="left"/>
              <w:rPr>
                <w:b/>
                <w:sz w:val="18"/>
                <w:szCs w:val="18"/>
              </w:rPr>
            </w:pPr>
            <w:r w:rsidRPr="00A27A71">
              <w:rPr>
                <w:b/>
                <w:sz w:val="18"/>
                <w:szCs w:val="18"/>
              </w:rPr>
              <w:t>(VI) PROJECT DATA</w:t>
            </w:r>
          </w:p>
        </w:tc>
        <w:tc>
          <w:tcPr>
            <w:tcW w:w="936" w:type="dxa"/>
            <w:shd w:val="clear" w:color="auto" w:fill="auto"/>
          </w:tcPr>
          <w:p w:rsidR="002212C9" w:rsidRPr="00A27A71" w:rsidRDefault="002212C9" w:rsidP="00B77D27">
            <w:pPr>
              <w:spacing w:after="60"/>
              <w:jc w:val="center"/>
              <w:rPr>
                <w:b/>
                <w:sz w:val="18"/>
                <w:szCs w:val="18"/>
              </w:rPr>
            </w:pPr>
            <w:r w:rsidRPr="00A27A71">
              <w:rPr>
                <w:b/>
                <w:sz w:val="18"/>
                <w:szCs w:val="18"/>
              </w:rPr>
              <w:t>2017</w:t>
            </w:r>
          </w:p>
        </w:tc>
        <w:tc>
          <w:tcPr>
            <w:tcW w:w="730" w:type="dxa"/>
            <w:shd w:val="clear" w:color="auto" w:fill="auto"/>
          </w:tcPr>
          <w:p w:rsidR="002212C9" w:rsidRPr="00A27A71" w:rsidRDefault="002212C9" w:rsidP="00B77D27">
            <w:pPr>
              <w:spacing w:after="60"/>
              <w:jc w:val="center"/>
              <w:rPr>
                <w:b/>
                <w:sz w:val="18"/>
                <w:szCs w:val="18"/>
              </w:rPr>
            </w:pPr>
            <w:r w:rsidRPr="00A27A71">
              <w:rPr>
                <w:b/>
                <w:sz w:val="18"/>
                <w:szCs w:val="18"/>
              </w:rPr>
              <w:t>2018</w:t>
            </w:r>
          </w:p>
        </w:tc>
        <w:tc>
          <w:tcPr>
            <w:tcW w:w="936" w:type="dxa"/>
            <w:shd w:val="clear" w:color="auto" w:fill="auto"/>
          </w:tcPr>
          <w:p w:rsidR="002212C9" w:rsidRPr="00A27A71" w:rsidRDefault="002212C9" w:rsidP="00B77D27">
            <w:pPr>
              <w:spacing w:after="60"/>
              <w:jc w:val="center"/>
              <w:rPr>
                <w:b/>
                <w:sz w:val="18"/>
                <w:szCs w:val="18"/>
              </w:rPr>
            </w:pPr>
            <w:r w:rsidRPr="00A27A71">
              <w:rPr>
                <w:b/>
                <w:sz w:val="18"/>
                <w:szCs w:val="18"/>
              </w:rPr>
              <w:t>2019</w:t>
            </w:r>
          </w:p>
        </w:tc>
        <w:tc>
          <w:tcPr>
            <w:tcW w:w="785" w:type="dxa"/>
            <w:shd w:val="clear" w:color="auto" w:fill="auto"/>
          </w:tcPr>
          <w:p w:rsidR="002212C9" w:rsidRPr="00A27A71" w:rsidRDefault="002212C9" w:rsidP="00B77D27">
            <w:pPr>
              <w:spacing w:after="60"/>
              <w:jc w:val="center"/>
              <w:rPr>
                <w:b/>
                <w:sz w:val="18"/>
                <w:szCs w:val="18"/>
              </w:rPr>
            </w:pPr>
            <w:r w:rsidRPr="00A27A71">
              <w:rPr>
                <w:b/>
                <w:sz w:val="18"/>
                <w:szCs w:val="18"/>
              </w:rPr>
              <w:t>2020</w:t>
            </w:r>
          </w:p>
        </w:tc>
        <w:tc>
          <w:tcPr>
            <w:tcW w:w="801" w:type="dxa"/>
            <w:shd w:val="clear" w:color="auto" w:fill="auto"/>
          </w:tcPr>
          <w:p w:rsidR="002212C9" w:rsidRPr="00A27A71" w:rsidRDefault="002212C9" w:rsidP="00B77D27">
            <w:pPr>
              <w:spacing w:after="60"/>
              <w:jc w:val="center"/>
              <w:rPr>
                <w:b/>
                <w:sz w:val="18"/>
                <w:szCs w:val="18"/>
              </w:rPr>
            </w:pPr>
            <w:r w:rsidRPr="00A27A71">
              <w:rPr>
                <w:b/>
                <w:sz w:val="18"/>
                <w:szCs w:val="18"/>
              </w:rPr>
              <w:t>2021</w:t>
            </w:r>
          </w:p>
        </w:tc>
        <w:tc>
          <w:tcPr>
            <w:tcW w:w="745" w:type="dxa"/>
            <w:shd w:val="clear" w:color="auto" w:fill="auto"/>
          </w:tcPr>
          <w:p w:rsidR="002212C9" w:rsidRPr="00A27A71" w:rsidRDefault="002212C9" w:rsidP="00B77D27">
            <w:pPr>
              <w:spacing w:after="60"/>
              <w:jc w:val="center"/>
              <w:rPr>
                <w:b/>
                <w:sz w:val="18"/>
                <w:szCs w:val="18"/>
              </w:rPr>
            </w:pPr>
            <w:r w:rsidRPr="00A27A71">
              <w:rPr>
                <w:b/>
                <w:sz w:val="18"/>
                <w:szCs w:val="18"/>
              </w:rPr>
              <w:t>2022</w:t>
            </w:r>
          </w:p>
        </w:tc>
        <w:tc>
          <w:tcPr>
            <w:tcW w:w="801" w:type="dxa"/>
          </w:tcPr>
          <w:p w:rsidR="002212C9" w:rsidRPr="00A27A71" w:rsidRDefault="002212C9" w:rsidP="00B77D27">
            <w:pPr>
              <w:spacing w:after="60"/>
              <w:jc w:val="center"/>
              <w:rPr>
                <w:b/>
                <w:sz w:val="18"/>
                <w:szCs w:val="18"/>
              </w:rPr>
            </w:pPr>
            <w:r w:rsidRPr="00A27A71">
              <w:rPr>
                <w:b/>
                <w:sz w:val="18"/>
                <w:szCs w:val="18"/>
              </w:rPr>
              <w:t>2023</w:t>
            </w:r>
          </w:p>
        </w:tc>
        <w:tc>
          <w:tcPr>
            <w:tcW w:w="748" w:type="dxa"/>
          </w:tcPr>
          <w:p w:rsidR="002212C9" w:rsidRPr="00A27A71" w:rsidRDefault="002212C9" w:rsidP="00B77D27">
            <w:pPr>
              <w:spacing w:after="60"/>
              <w:jc w:val="center"/>
              <w:rPr>
                <w:b/>
                <w:sz w:val="18"/>
                <w:szCs w:val="18"/>
              </w:rPr>
            </w:pPr>
            <w:r w:rsidRPr="00A27A71">
              <w:rPr>
                <w:b/>
                <w:sz w:val="18"/>
                <w:szCs w:val="18"/>
              </w:rPr>
              <w:t>2024</w:t>
            </w:r>
          </w:p>
        </w:tc>
        <w:tc>
          <w:tcPr>
            <w:tcW w:w="900" w:type="dxa"/>
          </w:tcPr>
          <w:p w:rsidR="002212C9" w:rsidRPr="00A27A71" w:rsidRDefault="002212C9" w:rsidP="00B77D27">
            <w:pPr>
              <w:spacing w:after="60"/>
              <w:jc w:val="center"/>
              <w:rPr>
                <w:b/>
                <w:sz w:val="18"/>
                <w:szCs w:val="18"/>
              </w:rPr>
            </w:pPr>
            <w:r w:rsidRPr="00A27A71">
              <w:rPr>
                <w:b/>
                <w:sz w:val="18"/>
                <w:szCs w:val="18"/>
              </w:rPr>
              <w:t>2025</w:t>
            </w:r>
          </w:p>
        </w:tc>
        <w:tc>
          <w:tcPr>
            <w:tcW w:w="990" w:type="dxa"/>
            <w:shd w:val="clear" w:color="auto" w:fill="auto"/>
          </w:tcPr>
          <w:p w:rsidR="002212C9" w:rsidRPr="00A27A71" w:rsidRDefault="002212C9" w:rsidP="00B77D27">
            <w:pPr>
              <w:spacing w:after="60"/>
              <w:jc w:val="center"/>
              <w:rPr>
                <w:b/>
                <w:sz w:val="18"/>
                <w:szCs w:val="18"/>
              </w:rPr>
            </w:pPr>
            <w:r w:rsidRPr="00A27A71">
              <w:rPr>
                <w:b/>
                <w:sz w:val="18"/>
                <w:szCs w:val="18"/>
              </w:rPr>
              <w:t>Total</w:t>
            </w:r>
          </w:p>
        </w:tc>
      </w:tr>
      <w:tr w:rsidR="002212C9" w:rsidRPr="00A27A71" w:rsidTr="0069138E">
        <w:trPr>
          <w:trHeight w:val="359"/>
          <w:jc w:val="center"/>
        </w:trPr>
        <w:tc>
          <w:tcPr>
            <w:tcW w:w="2900" w:type="dxa"/>
            <w:gridSpan w:val="3"/>
            <w:shd w:val="clear" w:color="auto" w:fill="auto"/>
          </w:tcPr>
          <w:p w:rsidR="002212C9" w:rsidRPr="00A27A71" w:rsidRDefault="002212C9" w:rsidP="00B77D27">
            <w:pPr>
              <w:spacing w:after="60"/>
              <w:jc w:val="left"/>
              <w:rPr>
                <w:sz w:val="18"/>
                <w:szCs w:val="18"/>
              </w:rPr>
            </w:pPr>
            <w:r w:rsidRPr="00A27A71">
              <w:rPr>
                <w:sz w:val="18"/>
                <w:szCs w:val="18"/>
              </w:rPr>
              <w:t>Montreal Protocol consumption limits</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347.64</w:t>
            </w:r>
          </w:p>
        </w:tc>
        <w:tc>
          <w:tcPr>
            <w:tcW w:w="730" w:type="dxa"/>
            <w:shd w:val="clear" w:color="auto" w:fill="auto"/>
          </w:tcPr>
          <w:p w:rsidR="002212C9" w:rsidRPr="00A27A71" w:rsidRDefault="002212C9" w:rsidP="0069138E">
            <w:pPr>
              <w:jc w:val="right"/>
              <w:rPr>
                <w:color w:val="000000"/>
                <w:sz w:val="18"/>
                <w:szCs w:val="18"/>
              </w:rPr>
            </w:pPr>
            <w:r w:rsidRPr="00A27A71">
              <w:rPr>
                <w:color w:val="000000"/>
                <w:sz w:val="18"/>
                <w:szCs w:val="18"/>
              </w:rPr>
              <w:t>347.64</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347.64</w:t>
            </w:r>
          </w:p>
        </w:tc>
        <w:tc>
          <w:tcPr>
            <w:tcW w:w="785" w:type="dxa"/>
            <w:shd w:val="clear" w:color="auto" w:fill="auto"/>
          </w:tcPr>
          <w:p w:rsidR="002212C9" w:rsidRPr="00A27A71" w:rsidRDefault="002212C9" w:rsidP="0069138E">
            <w:pPr>
              <w:jc w:val="right"/>
              <w:rPr>
                <w:color w:val="000000"/>
                <w:sz w:val="18"/>
                <w:szCs w:val="18"/>
              </w:rPr>
            </w:pPr>
            <w:r w:rsidRPr="00A27A71">
              <w:rPr>
                <w:color w:val="000000"/>
                <w:sz w:val="18"/>
                <w:szCs w:val="18"/>
              </w:rPr>
              <w:t>251.08</w:t>
            </w:r>
          </w:p>
        </w:tc>
        <w:tc>
          <w:tcPr>
            <w:tcW w:w="801" w:type="dxa"/>
            <w:shd w:val="clear" w:color="auto" w:fill="auto"/>
          </w:tcPr>
          <w:p w:rsidR="002212C9" w:rsidRPr="00A27A71" w:rsidRDefault="002212C9" w:rsidP="0069138E">
            <w:pPr>
              <w:jc w:val="right"/>
              <w:rPr>
                <w:sz w:val="18"/>
                <w:szCs w:val="18"/>
              </w:rPr>
            </w:pPr>
            <w:r w:rsidRPr="00A27A71">
              <w:rPr>
                <w:color w:val="000000"/>
                <w:sz w:val="18"/>
                <w:szCs w:val="18"/>
              </w:rPr>
              <w:t>251.08</w:t>
            </w:r>
          </w:p>
        </w:tc>
        <w:tc>
          <w:tcPr>
            <w:tcW w:w="745" w:type="dxa"/>
            <w:shd w:val="clear" w:color="auto" w:fill="auto"/>
          </w:tcPr>
          <w:p w:rsidR="002212C9" w:rsidRPr="00A27A71" w:rsidRDefault="002212C9" w:rsidP="0069138E">
            <w:pPr>
              <w:jc w:val="right"/>
              <w:rPr>
                <w:sz w:val="18"/>
                <w:szCs w:val="18"/>
              </w:rPr>
            </w:pPr>
            <w:r w:rsidRPr="00A27A71">
              <w:rPr>
                <w:color w:val="000000"/>
                <w:sz w:val="18"/>
                <w:szCs w:val="18"/>
              </w:rPr>
              <w:t>251.08</w:t>
            </w:r>
          </w:p>
        </w:tc>
        <w:tc>
          <w:tcPr>
            <w:tcW w:w="801" w:type="dxa"/>
          </w:tcPr>
          <w:p w:rsidR="002212C9" w:rsidRPr="00A27A71" w:rsidRDefault="002212C9" w:rsidP="0069138E">
            <w:pPr>
              <w:jc w:val="right"/>
              <w:rPr>
                <w:sz w:val="18"/>
                <w:szCs w:val="18"/>
              </w:rPr>
            </w:pPr>
            <w:r w:rsidRPr="00A27A71">
              <w:rPr>
                <w:color w:val="000000"/>
                <w:sz w:val="18"/>
                <w:szCs w:val="18"/>
              </w:rPr>
              <w:t>251.08</w:t>
            </w:r>
          </w:p>
        </w:tc>
        <w:tc>
          <w:tcPr>
            <w:tcW w:w="748" w:type="dxa"/>
          </w:tcPr>
          <w:p w:rsidR="002212C9" w:rsidRPr="00A27A71" w:rsidRDefault="002212C9" w:rsidP="0069138E">
            <w:pPr>
              <w:jc w:val="right"/>
              <w:rPr>
                <w:sz w:val="18"/>
                <w:szCs w:val="18"/>
              </w:rPr>
            </w:pPr>
            <w:r w:rsidRPr="00A27A71">
              <w:rPr>
                <w:color w:val="000000"/>
                <w:sz w:val="18"/>
                <w:szCs w:val="18"/>
              </w:rPr>
              <w:t>251.08</w:t>
            </w:r>
          </w:p>
        </w:tc>
        <w:tc>
          <w:tcPr>
            <w:tcW w:w="900" w:type="dxa"/>
          </w:tcPr>
          <w:p w:rsidR="002212C9" w:rsidRPr="00A27A71" w:rsidRDefault="002212C9" w:rsidP="0069138E">
            <w:pPr>
              <w:jc w:val="right"/>
              <w:rPr>
                <w:color w:val="000000"/>
                <w:sz w:val="18"/>
                <w:szCs w:val="18"/>
              </w:rPr>
            </w:pPr>
            <w:r w:rsidRPr="00A27A71">
              <w:rPr>
                <w:color w:val="000000"/>
                <w:sz w:val="18"/>
                <w:szCs w:val="18"/>
              </w:rPr>
              <w:t>125.54</w:t>
            </w:r>
          </w:p>
        </w:tc>
        <w:tc>
          <w:tcPr>
            <w:tcW w:w="990" w:type="dxa"/>
            <w:shd w:val="clear" w:color="auto" w:fill="auto"/>
          </w:tcPr>
          <w:p w:rsidR="002212C9" w:rsidRPr="00A27A71" w:rsidRDefault="002212C9" w:rsidP="0069138E">
            <w:pPr>
              <w:jc w:val="right"/>
              <w:rPr>
                <w:color w:val="000000"/>
                <w:sz w:val="18"/>
                <w:szCs w:val="18"/>
              </w:rPr>
            </w:pPr>
            <w:r w:rsidRPr="00A27A71">
              <w:rPr>
                <w:color w:val="000000"/>
                <w:sz w:val="18"/>
                <w:szCs w:val="18"/>
              </w:rPr>
              <w:t>n/a</w:t>
            </w:r>
          </w:p>
        </w:tc>
      </w:tr>
      <w:tr w:rsidR="002212C9" w:rsidRPr="00A27A71" w:rsidTr="0069138E">
        <w:trPr>
          <w:jc w:val="center"/>
        </w:trPr>
        <w:tc>
          <w:tcPr>
            <w:tcW w:w="2900" w:type="dxa"/>
            <w:gridSpan w:val="3"/>
            <w:shd w:val="clear" w:color="auto" w:fill="auto"/>
          </w:tcPr>
          <w:p w:rsidR="002212C9" w:rsidRPr="00A27A71" w:rsidRDefault="002212C9" w:rsidP="00B77D27">
            <w:pPr>
              <w:spacing w:after="60"/>
              <w:jc w:val="left"/>
              <w:rPr>
                <w:sz w:val="18"/>
                <w:szCs w:val="18"/>
              </w:rPr>
            </w:pPr>
            <w:r w:rsidRPr="00A27A71">
              <w:rPr>
                <w:sz w:val="18"/>
                <w:szCs w:val="18"/>
              </w:rPr>
              <w:t>Maximum allowable consumption (ODP tonnes)</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347.64</w:t>
            </w:r>
          </w:p>
        </w:tc>
        <w:tc>
          <w:tcPr>
            <w:tcW w:w="730" w:type="dxa"/>
            <w:shd w:val="clear" w:color="auto" w:fill="auto"/>
          </w:tcPr>
          <w:p w:rsidR="002212C9" w:rsidRPr="00A27A71" w:rsidRDefault="002212C9" w:rsidP="0069138E">
            <w:pPr>
              <w:jc w:val="right"/>
              <w:rPr>
                <w:color w:val="000000"/>
                <w:sz w:val="18"/>
                <w:szCs w:val="18"/>
              </w:rPr>
            </w:pPr>
            <w:r w:rsidRPr="00A27A71">
              <w:rPr>
                <w:color w:val="000000"/>
                <w:sz w:val="18"/>
                <w:szCs w:val="18"/>
              </w:rPr>
              <w:t>289.70</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289.70</w:t>
            </w:r>
          </w:p>
        </w:tc>
        <w:tc>
          <w:tcPr>
            <w:tcW w:w="785" w:type="dxa"/>
            <w:shd w:val="clear" w:color="auto" w:fill="auto"/>
          </w:tcPr>
          <w:p w:rsidR="002212C9" w:rsidRPr="00A27A71" w:rsidRDefault="002212C9" w:rsidP="0069138E">
            <w:pPr>
              <w:jc w:val="right"/>
              <w:rPr>
                <w:sz w:val="18"/>
                <w:szCs w:val="18"/>
              </w:rPr>
            </w:pPr>
            <w:r w:rsidRPr="00A27A71">
              <w:rPr>
                <w:color w:val="000000"/>
                <w:sz w:val="18"/>
                <w:szCs w:val="18"/>
              </w:rPr>
              <w:t>251.08</w:t>
            </w:r>
          </w:p>
        </w:tc>
        <w:tc>
          <w:tcPr>
            <w:tcW w:w="801" w:type="dxa"/>
            <w:shd w:val="clear" w:color="auto" w:fill="auto"/>
          </w:tcPr>
          <w:p w:rsidR="002212C9" w:rsidRPr="00A27A71" w:rsidRDefault="002212C9" w:rsidP="0069138E">
            <w:pPr>
              <w:jc w:val="right"/>
              <w:rPr>
                <w:sz w:val="18"/>
                <w:szCs w:val="18"/>
              </w:rPr>
            </w:pPr>
            <w:r w:rsidRPr="00A27A71">
              <w:rPr>
                <w:color w:val="000000"/>
                <w:sz w:val="18"/>
                <w:szCs w:val="18"/>
              </w:rPr>
              <w:t>251.08</w:t>
            </w:r>
          </w:p>
        </w:tc>
        <w:tc>
          <w:tcPr>
            <w:tcW w:w="745" w:type="dxa"/>
            <w:shd w:val="clear" w:color="auto" w:fill="auto"/>
          </w:tcPr>
          <w:p w:rsidR="002212C9" w:rsidRPr="00A27A71" w:rsidRDefault="002212C9" w:rsidP="0069138E">
            <w:pPr>
              <w:jc w:val="right"/>
              <w:rPr>
                <w:sz w:val="18"/>
                <w:szCs w:val="18"/>
              </w:rPr>
            </w:pPr>
            <w:r w:rsidRPr="00A27A71">
              <w:rPr>
                <w:color w:val="000000"/>
                <w:sz w:val="18"/>
                <w:szCs w:val="18"/>
              </w:rPr>
              <w:t>251.08</w:t>
            </w:r>
          </w:p>
        </w:tc>
        <w:tc>
          <w:tcPr>
            <w:tcW w:w="801" w:type="dxa"/>
          </w:tcPr>
          <w:p w:rsidR="002212C9" w:rsidRPr="00A27A71" w:rsidRDefault="002212C9" w:rsidP="0069138E">
            <w:pPr>
              <w:jc w:val="right"/>
              <w:rPr>
                <w:sz w:val="18"/>
                <w:szCs w:val="18"/>
              </w:rPr>
            </w:pPr>
            <w:r w:rsidRPr="00A27A71">
              <w:rPr>
                <w:color w:val="000000"/>
                <w:sz w:val="18"/>
                <w:szCs w:val="18"/>
              </w:rPr>
              <w:t>251.08</w:t>
            </w:r>
          </w:p>
        </w:tc>
        <w:tc>
          <w:tcPr>
            <w:tcW w:w="748" w:type="dxa"/>
          </w:tcPr>
          <w:p w:rsidR="002212C9" w:rsidRPr="00A27A71" w:rsidRDefault="002212C9" w:rsidP="0069138E">
            <w:pPr>
              <w:jc w:val="right"/>
              <w:rPr>
                <w:sz w:val="18"/>
                <w:szCs w:val="18"/>
              </w:rPr>
            </w:pPr>
            <w:r w:rsidRPr="00A27A71">
              <w:rPr>
                <w:color w:val="000000"/>
                <w:sz w:val="18"/>
                <w:szCs w:val="18"/>
              </w:rPr>
              <w:t>251.08</w:t>
            </w:r>
          </w:p>
        </w:tc>
        <w:tc>
          <w:tcPr>
            <w:tcW w:w="900" w:type="dxa"/>
          </w:tcPr>
          <w:p w:rsidR="002212C9" w:rsidRPr="00A27A71" w:rsidRDefault="002212C9" w:rsidP="0069138E">
            <w:pPr>
              <w:jc w:val="right"/>
              <w:rPr>
                <w:color w:val="000000"/>
                <w:sz w:val="18"/>
                <w:szCs w:val="18"/>
              </w:rPr>
            </w:pPr>
            <w:r w:rsidRPr="00A27A71">
              <w:rPr>
                <w:color w:val="000000"/>
                <w:sz w:val="18"/>
                <w:szCs w:val="18"/>
              </w:rPr>
              <w:t>125.54</w:t>
            </w:r>
          </w:p>
        </w:tc>
        <w:tc>
          <w:tcPr>
            <w:tcW w:w="990" w:type="dxa"/>
            <w:shd w:val="clear" w:color="auto" w:fill="auto"/>
          </w:tcPr>
          <w:p w:rsidR="002212C9" w:rsidRPr="00A27A71" w:rsidRDefault="002212C9" w:rsidP="0069138E">
            <w:pPr>
              <w:jc w:val="right"/>
              <w:rPr>
                <w:color w:val="000000"/>
                <w:sz w:val="18"/>
                <w:szCs w:val="18"/>
              </w:rPr>
            </w:pPr>
            <w:r w:rsidRPr="00A27A71">
              <w:rPr>
                <w:color w:val="000000"/>
                <w:sz w:val="18"/>
                <w:szCs w:val="18"/>
              </w:rPr>
              <w:t>n/a</w:t>
            </w:r>
          </w:p>
        </w:tc>
      </w:tr>
      <w:tr w:rsidR="002212C9" w:rsidRPr="00A27A71" w:rsidTr="0069138E">
        <w:trPr>
          <w:jc w:val="center"/>
        </w:trPr>
        <w:tc>
          <w:tcPr>
            <w:tcW w:w="906" w:type="dxa"/>
            <w:vMerge w:val="restart"/>
            <w:shd w:val="clear" w:color="auto" w:fill="auto"/>
          </w:tcPr>
          <w:p w:rsidR="002212C9" w:rsidRPr="00A27A71" w:rsidRDefault="002212C9" w:rsidP="00B77D27">
            <w:pPr>
              <w:spacing w:after="60"/>
              <w:jc w:val="left"/>
              <w:rPr>
                <w:sz w:val="18"/>
                <w:szCs w:val="18"/>
              </w:rPr>
            </w:pPr>
            <w:r w:rsidRPr="00A27A71">
              <w:rPr>
                <w:sz w:val="18"/>
                <w:szCs w:val="18"/>
              </w:rPr>
              <w:t>Project costs requested in principle (US $)</w:t>
            </w:r>
          </w:p>
        </w:tc>
        <w:tc>
          <w:tcPr>
            <w:tcW w:w="1157" w:type="dxa"/>
            <w:vMerge w:val="restart"/>
            <w:shd w:val="clear" w:color="auto" w:fill="auto"/>
          </w:tcPr>
          <w:p w:rsidR="002212C9" w:rsidRPr="00A27A71" w:rsidRDefault="002212C9" w:rsidP="002212C9">
            <w:pPr>
              <w:spacing w:after="60"/>
              <w:jc w:val="center"/>
              <w:rPr>
                <w:sz w:val="18"/>
                <w:szCs w:val="18"/>
              </w:rPr>
            </w:pPr>
            <w:r w:rsidRPr="00A27A71">
              <w:rPr>
                <w:sz w:val="18"/>
                <w:szCs w:val="18"/>
              </w:rPr>
              <w:t>UNIDO</w:t>
            </w:r>
          </w:p>
        </w:tc>
        <w:tc>
          <w:tcPr>
            <w:tcW w:w="837" w:type="dxa"/>
            <w:shd w:val="clear" w:color="auto" w:fill="auto"/>
          </w:tcPr>
          <w:p w:rsidR="002212C9" w:rsidRPr="00A27A71" w:rsidRDefault="002212C9" w:rsidP="00B77D27">
            <w:pPr>
              <w:spacing w:after="60"/>
              <w:jc w:val="left"/>
              <w:rPr>
                <w:sz w:val="18"/>
                <w:szCs w:val="18"/>
              </w:rPr>
            </w:pPr>
            <w:r w:rsidRPr="00A27A71">
              <w:rPr>
                <w:sz w:val="18"/>
                <w:szCs w:val="18"/>
              </w:rPr>
              <w:t>Project costs</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3,921,047</w:t>
            </w:r>
          </w:p>
        </w:tc>
        <w:tc>
          <w:tcPr>
            <w:tcW w:w="730"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1,073,714</w:t>
            </w:r>
          </w:p>
        </w:tc>
        <w:tc>
          <w:tcPr>
            <w:tcW w:w="78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shd w:val="clear" w:color="auto" w:fill="auto"/>
          </w:tcPr>
          <w:p w:rsidR="002212C9" w:rsidRPr="00A27A71" w:rsidRDefault="002212C9" w:rsidP="0069138E">
            <w:pPr>
              <w:jc w:val="right"/>
              <w:rPr>
                <w:color w:val="000000"/>
                <w:sz w:val="18"/>
                <w:szCs w:val="18"/>
              </w:rPr>
            </w:pPr>
            <w:r w:rsidRPr="00A27A71">
              <w:rPr>
                <w:color w:val="000000"/>
                <w:sz w:val="18"/>
                <w:szCs w:val="18"/>
              </w:rPr>
              <w:t>391,827</w:t>
            </w:r>
          </w:p>
        </w:tc>
        <w:tc>
          <w:tcPr>
            <w:tcW w:w="74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tcPr>
          <w:p w:rsidR="002212C9" w:rsidRPr="00A27A71" w:rsidRDefault="002212C9" w:rsidP="0069138E">
            <w:pPr>
              <w:jc w:val="right"/>
              <w:rPr>
                <w:color w:val="000000"/>
                <w:sz w:val="18"/>
                <w:szCs w:val="18"/>
              </w:rPr>
            </w:pPr>
            <w:r w:rsidRPr="00A27A71">
              <w:rPr>
                <w:color w:val="000000"/>
                <w:sz w:val="18"/>
                <w:szCs w:val="18"/>
              </w:rPr>
              <w:t>391,827</w:t>
            </w:r>
          </w:p>
        </w:tc>
        <w:tc>
          <w:tcPr>
            <w:tcW w:w="748" w:type="dxa"/>
          </w:tcPr>
          <w:p w:rsidR="002212C9" w:rsidRPr="00A27A71" w:rsidRDefault="002212C9" w:rsidP="0069138E">
            <w:pPr>
              <w:jc w:val="right"/>
              <w:rPr>
                <w:color w:val="000000"/>
                <w:sz w:val="18"/>
                <w:szCs w:val="18"/>
              </w:rPr>
            </w:pPr>
            <w:r w:rsidRPr="00A27A71">
              <w:rPr>
                <w:color w:val="000000"/>
                <w:sz w:val="18"/>
                <w:szCs w:val="18"/>
              </w:rPr>
              <w:t>0</w:t>
            </w:r>
          </w:p>
        </w:tc>
        <w:tc>
          <w:tcPr>
            <w:tcW w:w="900" w:type="dxa"/>
          </w:tcPr>
          <w:p w:rsidR="002212C9" w:rsidRPr="00A27A71" w:rsidRDefault="002212C9" w:rsidP="0069138E">
            <w:pPr>
              <w:jc w:val="right"/>
              <w:rPr>
                <w:color w:val="000000"/>
                <w:sz w:val="18"/>
                <w:szCs w:val="18"/>
              </w:rPr>
            </w:pPr>
            <w:r w:rsidRPr="00A27A71">
              <w:rPr>
                <w:color w:val="000000"/>
                <w:sz w:val="18"/>
                <w:szCs w:val="18"/>
              </w:rPr>
              <w:t>218,426</w:t>
            </w:r>
          </w:p>
        </w:tc>
        <w:tc>
          <w:tcPr>
            <w:tcW w:w="990" w:type="dxa"/>
            <w:shd w:val="clear" w:color="auto" w:fill="auto"/>
          </w:tcPr>
          <w:p w:rsidR="002212C9" w:rsidRPr="00A27A71" w:rsidRDefault="002212C9" w:rsidP="0069138E">
            <w:pPr>
              <w:jc w:val="right"/>
              <w:rPr>
                <w:color w:val="000000"/>
                <w:sz w:val="18"/>
                <w:szCs w:val="18"/>
              </w:rPr>
            </w:pPr>
            <w:r w:rsidRPr="00A27A71">
              <w:rPr>
                <w:color w:val="000000"/>
                <w:sz w:val="18"/>
                <w:szCs w:val="18"/>
              </w:rPr>
              <w:t>5,996,841</w:t>
            </w:r>
          </w:p>
        </w:tc>
      </w:tr>
      <w:tr w:rsidR="002212C9" w:rsidRPr="00A27A71" w:rsidTr="0069138E">
        <w:trPr>
          <w:jc w:val="center"/>
        </w:trPr>
        <w:tc>
          <w:tcPr>
            <w:tcW w:w="906" w:type="dxa"/>
            <w:vMerge/>
            <w:shd w:val="clear" w:color="auto" w:fill="auto"/>
          </w:tcPr>
          <w:p w:rsidR="002212C9" w:rsidRPr="00A27A71" w:rsidRDefault="002212C9" w:rsidP="00B77D27">
            <w:pPr>
              <w:spacing w:after="60"/>
              <w:jc w:val="center"/>
              <w:rPr>
                <w:sz w:val="18"/>
                <w:szCs w:val="18"/>
              </w:rPr>
            </w:pPr>
          </w:p>
        </w:tc>
        <w:tc>
          <w:tcPr>
            <w:tcW w:w="1157" w:type="dxa"/>
            <w:vMerge/>
            <w:shd w:val="clear" w:color="auto" w:fill="auto"/>
          </w:tcPr>
          <w:p w:rsidR="002212C9" w:rsidRPr="00A27A71" w:rsidRDefault="002212C9" w:rsidP="00B77D27">
            <w:pPr>
              <w:spacing w:after="60"/>
              <w:jc w:val="center"/>
              <w:rPr>
                <w:sz w:val="18"/>
                <w:szCs w:val="18"/>
              </w:rPr>
            </w:pPr>
          </w:p>
        </w:tc>
        <w:tc>
          <w:tcPr>
            <w:tcW w:w="837" w:type="dxa"/>
            <w:shd w:val="clear" w:color="auto" w:fill="auto"/>
          </w:tcPr>
          <w:p w:rsidR="002212C9" w:rsidRPr="00A27A71" w:rsidRDefault="002212C9" w:rsidP="00B77D27">
            <w:pPr>
              <w:spacing w:after="60"/>
              <w:jc w:val="left"/>
              <w:rPr>
                <w:sz w:val="18"/>
                <w:szCs w:val="18"/>
              </w:rPr>
            </w:pPr>
            <w:r w:rsidRPr="00A27A71">
              <w:rPr>
                <w:sz w:val="18"/>
                <w:szCs w:val="18"/>
              </w:rPr>
              <w:t>Support costs</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274,473</w:t>
            </w:r>
          </w:p>
        </w:tc>
        <w:tc>
          <w:tcPr>
            <w:tcW w:w="730"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75,160</w:t>
            </w:r>
          </w:p>
        </w:tc>
        <w:tc>
          <w:tcPr>
            <w:tcW w:w="78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shd w:val="clear" w:color="auto" w:fill="auto"/>
          </w:tcPr>
          <w:p w:rsidR="002212C9" w:rsidRPr="00A27A71" w:rsidRDefault="002212C9" w:rsidP="0069138E">
            <w:pPr>
              <w:jc w:val="right"/>
              <w:rPr>
                <w:color w:val="000000"/>
                <w:sz w:val="18"/>
                <w:szCs w:val="18"/>
              </w:rPr>
            </w:pPr>
            <w:r w:rsidRPr="00A27A71">
              <w:rPr>
                <w:color w:val="000000"/>
                <w:sz w:val="18"/>
                <w:szCs w:val="18"/>
              </w:rPr>
              <w:t>27,428</w:t>
            </w:r>
          </w:p>
        </w:tc>
        <w:tc>
          <w:tcPr>
            <w:tcW w:w="74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tcPr>
          <w:p w:rsidR="002212C9" w:rsidRPr="00A27A71" w:rsidRDefault="002212C9" w:rsidP="0069138E">
            <w:pPr>
              <w:jc w:val="right"/>
              <w:rPr>
                <w:color w:val="000000"/>
                <w:sz w:val="18"/>
                <w:szCs w:val="18"/>
              </w:rPr>
            </w:pPr>
            <w:r w:rsidRPr="00A27A71">
              <w:rPr>
                <w:color w:val="000000"/>
                <w:sz w:val="18"/>
                <w:szCs w:val="18"/>
              </w:rPr>
              <w:t>27,428</w:t>
            </w:r>
          </w:p>
        </w:tc>
        <w:tc>
          <w:tcPr>
            <w:tcW w:w="748" w:type="dxa"/>
          </w:tcPr>
          <w:p w:rsidR="002212C9" w:rsidRPr="00A27A71" w:rsidRDefault="002212C9" w:rsidP="0069138E">
            <w:pPr>
              <w:jc w:val="right"/>
              <w:rPr>
                <w:color w:val="000000"/>
                <w:sz w:val="18"/>
                <w:szCs w:val="18"/>
              </w:rPr>
            </w:pPr>
            <w:r w:rsidRPr="00A27A71">
              <w:rPr>
                <w:color w:val="000000"/>
                <w:sz w:val="18"/>
                <w:szCs w:val="18"/>
              </w:rPr>
              <w:t>0</w:t>
            </w:r>
          </w:p>
        </w:tc>
        <w:tc>
          <w:tcPr>
            <w:tcW w:w="900" w:type="dxa"/>
          </w:tcPr>
          <w:p w:rsidR="002212C9" w:rsidRPr="00A27A71" w:rsidRDefault="002212C9" w:rsidP="0069138E">
            <w:pPr>
              <w:jc w:val="right"/>
              <w:rPr>
                <w:color w:val="000000"/>
                <w:sz w:val="18"/>
                <w:szCs w:val="18"/>
              </w:rPr>
            </w:pPr>
            <w:r w:rsidRPr="00A27A71">
              <w:rPr>
                <w:color w:val="000000"/>
                <w:sz w:val="18"/>
                <w:szCs w:val="18"/>
              </w:rPr>
              <w:t>15,290</w:t>
            </w:r>
          </w:p>
        </w:tc>
        <w:tc>
          <w:tcPr>
            <w:tcW w:w="990" w:type="dxa"/>
            <w:shd w:val="clear" w:color="auto" w:fill="auto"/>
          </w:tcPr>
          <w:p w:rsidR="002212C9" w:rsidRPr="00A27A71" w:rsidRDefault="002212C9" w:rsidP="0069138E">
            <w:pPr>
              <w:jc w:val="right"/>
              <w:rPr>
                <w:color w:val="000000"/>
                <w:sz w:val="18"/>
                <w:szCs w:val="18"/>
              </w:rPr>
            </w:pPr>
            <w:r w:rsidRPr="00A27A71">
              <w:rPr>
                <w:color w:val="000000"/>
                <w:sz w:val="18"/>
                <w:szCs w:val="18"/>
              </w:rPr>
              <w:t>419,779</w:t>
            </w:r>
          </w:p>
        </w:tc>
      </w:tr>
      <w:tr w:rsidR="002212C9" w:rsidRPr="00A27A71" w:rsidTr="0069138E">
        <w:trPr>
          <w:jc w:val="center"/>
        </w:trPr>
        <w:tc>
          <w:tcPr>
            <w:tcW w:w="906" w:type="dxa"/>
            <w:vMerge/>
            <w:shd w:val="clear" w:color="auto" w:fill="auto"/>
          </w:tcPr>
          <w:p w:rsidR="002212C9" w:rsidRPr="00A27A71" w:rsidRDefault="002212C9" w:rsidP="00B77D27">
            <w:pPr>
              <w:spacing w:after="60"/>
              <w:jc w:val="center"/>
              <w:rPr>
                <w:sz w:val="18"/>
                <w:szCs w:val="18"/>
              </w:rPr>
            </w:pPr>
          </w:p>
        </w:tc>
        <w:tc>
          <w:tcPr>
            <w:tcW w:w="1157" w:type="dxa"/>
            <w:vMerge w:val="restart"/>
            <w:shd w:val="clear" w:color="auto" w:fill="auto"/>
          </w:tcPr>
          <w:p w:rsidR="002212C9" w:rsidRPr="00A27A71" w:rsidRDefault="002212C9" w:rsidP="00B77D27">
            <w:pPr>
              <w:spacing w:after="60"/>
              <w:jc w:val="center"/>
              <w:rPr>
                <w:sz w:val="18"/>
                <w:szCs w:val="18"/>
              </w:rPr>
            </w:pPr>
            <w:r w:rsidRPr="00A27A71">
              <w:rPr>
                <w:sz w:val="18"/>
                <w:szCs w:val="18"/>
              </w:rPr>
              <w:t>UNDP</w:t>
            </w:r>
          </w:p>
        </w:tc>
        <w:tc>
          <w:tcPr>
            <w:tcW w:w="837" w:type="dxa"/>
            <w:shd w:val="clear" w:color="auto" w:fill="auto"/>
          </w:tcPr>
          <w:p w:rsidR="002212C9" w:rsidRPr="00A27A71" w:rsidRDefault="002212C9" w:rsidP="00B77D27">
            <w:pPr>
              <w:spacing w:after="60"/>
              <w:jc w:val="left"/>
              <w:rPr>
                <w:sz w:val="18"/>
                <w:szCs w:val="18"/>
              </w:rPr>
            </w:pPr>
            <w:r w:rsidRPr="00A27A71">
              <w:rPr>
                <w:sz w:val="18"/>
                <w:szCs w:val="18"/>
              </w:rPr>
              <w:t>Project costs</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945,617</w:t>
            </w:r>
          </w:p>
        </w:tc>
        <w:tc>
          <w:tcPr>
            <w:tcW w:w="730"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2,750,105</w:t>
            </w:r>
          </w:p>
        </w:tc>
        <w:tc>
          <w:tcPr>
            <w:tcW w:w="78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74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tcPr>
          <w:p w:rsidR="002212C9" w:rsidRPr="00A27A71" w:rsidRDefault="002212C9" w:rsidP="0069138E">
            <w:pPr>
              <w:jc w:val="right"/>
              <w:rPr>
                <w:color w:val="000000"/>
                <w:sz w:val="18"/>
                <w:szCs w:val="18"/>
              </w:rPr>
            </w:pPr>
            <w:r w:rsidRPr="00A27A71">
              <w:rPr>
                <w:color w:val="000000"/>
                <w:sz w:val="18"/>
                <w:szCs w:val="18"/>
              </w:rPr>
              <w:t>0</w:t>
            </w:r>
          </w:p>
        </w:tc>
        <w:tc>
          <w:tcPr>
            <w:tcW w:w="748" w:type="dxa"/>
          </w:tcPr>
          <w:p w:rsidR="002212C9" w:rsidRPr="00A27A71" w:rsidRDefault="002212C9" w:rsidP="0069138E">
            <w:pPr>
              <w:jc w:val="right"/>
              <w:rPr>
                <w:color w:val="000000"/>
                <w:sz w:val="18"/>
                <w:szCs w:val="18"/>
              </w:rPr>
            </w:pPr>
            <w:r w:rsidRPr="00A27A71">
              <w:rPr>
                <w:color w:val="000000"/>
                <w:sz w:val="18"/>
                <w:szCs w:val="18"/>
              </w:rPr>
              <w:t>0</w:t>
            </w:r>
          </w:p>
        </w:tc>
        <w:tc>
          <w:tcPr>
            <w:tcW w:w="900" w:type="dxa"/>
          </w:tcPr>
          <w:p w:rsidR="002212C9" w:rsidRPr="00A27A71" w:rsidRDefault="002212C9" w:rsidP="0069138E">
            <w:pPr>
              <w:jc w:val="right"/>
              <w:rPr>
                <w:color w:val="000000"/>
                <w:sz w:val="18"/>
                <w:szCs w:val="18"/>
              </w:rPr>
            </w:pPr>
            <w:r w:rsidRPr="00A27A71">
              <w:rPr>
                <w:color w:val="000000"/>
                <w:sz w:val="18"/>
                <w:szCs w:val="18"/>
              </w:rPr>
              <w:t>0</w:t>
            </w:r>
          </w:p>
        </w:tc>
        <w:tc>
          <w:tcPr>
            <w:tcW w:w="990" w:type="dxa"/>
            <w:shd w:val="clear" w:color="auto" w:fill="auto"/>
          </w:tcPr>
          <w:p w:rsidR="002212C9" w:rsidRPr="00A27A71" w:rsidRDefault="002212C9" w:rsidP="0069138E">
            <w:pPr>
              <w:jc w:val="right"/>
              <w:rPr>
                <w:color w:val="000000"/>
                <w:sz w:val="18"/>
                <w:szCs w:val="18"/>
              </w:rPr>
            </w:pPr>
            <w:r w:rsidRPr="00A27A71">
              <w:rPr>
                <w:color w:val="000000"/>
                <w:sz w:val="18"/>
                <w:szCs w:val="18"/>
              </w:rPr>
              <w:t>3,695,722</w:t>
            </w:r>
          </w:p>
        </w:tc>
      </w:tr>
      <w:tr w:rsidR="002212C9" w:rsidRPr="00A27A71" w:rsidTr="0069138E">
        <w:trPr>
          <w:jc w:val="center"/>
        </w:trPr>
        <w:tc>
          <w:tcPr>
            <w:tcW w:w="906" w:type="dxa"/>
            <w:vMerge/>
            <w:shd w:val="clear" w:color="auto" w:fill="auto"/>
          </w:tcPr>
          <w:p w:rsidR="002212C9" w:rsidRPr="00A27A71" w:rsidRDefault="002212C9" w:rsidP="00B77D27">
            <w:pPr>
              <w:spacing w:after="60"/>
              <w:jc w:val="center"/>
              <w:rPr>
                <w:sz w:val="18"/>
                <w:szCs w:val="18"/>
              </w:rPr>
            </w:pPr>
          </w:p>
        </w:tc>
        <w:tc>
          <w:tcPr>
            <w:tcW w:w="1157" w:type="dxa"/>
            <w:vMerge/>
            <w:shd w:val="clear" w:color="auto" w:fill="auto"/>
          </w:tcPr>
          <w:p w:rsidR="002212C9" w:rsidRPr="00A27A71" w:rsidRDefault="002212C9" w:rsidP="00B77D27">
            <w:pPr>
              <w:spacing w:after="60"/>
              <w:jc w:val="center"/>
              <w:rPr>
                <w:sz w:val="18"/>
                <w:szCs w:val="18"/>
              </w:rPr>
            </w:pPr>
          </w:p>
        </w:tc>
        <w:tc>
          <w:tcPr>
            <w:tcW w:w="837" w:type="dxa"/>
            <w:shd w:val="clear" w:color="auto" w:fill="auto"/>
          </w:tcPr>
          <w:p w:rsidR="002212C9" w:rsidRPr="00A27A71" w:rsidRDefault="002212C9" w:rsidP="00B77D27">
            <w:pPr>
              <w:spacing w:after="60"/>
              <w:jc w:val="left"/>
              <w:rPr>
                <w:sz w:val="18"/>
                <w:szCs w:val="18"/>
              </w:rPr>
            </w:pPr>
            <w:r w:rsidRPr="00A27A71">
              <w:rPr>
                <w:sz w:val="18"/>
                <w:szCs w:val="18"/>
              </w:rPr>
              <w:t>Support costs</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66,193</w:t>
            </w:r>
          </w:p>
        </w:tc>
        <w:tc>
          <w:tcPr>
            <w:tcW w:w="730"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192,507</w:t>
            </w:r>
          </w:p>
        </w:tc>
        <w:tc>
          <w:tcPr>
            <w:tcW w:w="78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74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tcPr>
          <w:p w:rsidR="002212C9" w:rsidRPr="00A27A71" w:rsidRDefault="002212C9" w:rsidP="0069138E">
            <w:pPr>
              <w:jc w:val="right"/>
              <w:rPr>
                <w:color w:val="000000"/>
                <w:sz w:val="18"/>
                <w:szCs w:val="18"/>
              </w:rPr>
            </w:pPr>
            <w:r w:rsidRPr="00A27A71">
              <w:rPr>
                <w:color w:val="000000"/>
                <w:sz w:val="18"/>
                <w:szCs w:val="18"/>
              </w:rPr>
              <w:t>0</w:t>
            </w:r>
          </w:p>
        </w:tc>
        <w:tc>
          <w:tcPr>
            <w:tcW w:w="748" w:type="dxa"/>
          </w:tcPr>
          <w:p w:rsidR="002212C9" w:rsidRPr="00A27A71" w:rsidRDefault="002212C9" w:rsidP="0069138E">
            <w:pPr>
              <w:jc w:val="right"/>
              <w:rPr>
                <w:color w:val="000000"/>
                <w:sz w:val="18"/>
                <w:szCs w:val="18"/>
              </w:rPr>
            </w:pPr>
            <w:r w:rsidRPr="00A27A71">
              <w:rPr>
                <w:color w:val="000000"/>
                <w:sz w:val="18"/>
                <w:szCs w:val="18"/>
              </w:rPr>
              <w:t>0</w:t>
            </w:r>
          </w:p>
        </w:tc>
        <w:tc>
          <w:tcPr>
            <w:tcW w:w="900" w:type="dxa"/>
          </w:tcPr>
          <w:p w:rsidR="002212C9" w:rsidRPr="00A27A71" w:rsidRDefault="002212C9" w:rsidP="0069138E">
            <w:pPr>
              <w:jc w:val="right"/>
              <w:rPr>
                <w:color w:val="000000"/>
                <w:sz w:val="18"/>
                <w:szCs w:val="18"/>
              </w:rPr>
            </w:pPr>
            <w:r w:rsidRPr="00A27A71">
              <w:rPr>
                <w:color w:val="000000"/>
                <w:sz w:val="18"/>
                <w:szCs w:val="18"/>
              </w:rPr>
              <w:t>0</w:t>
            </w:r>
          </w:p>
        </w:tc>
        <w:tc>
          <w:tcPr>
            <w:tcW w:w="990" w:type="dxa"/>
            <w:shd w:val="clear" w:color="auto" w:fill="auto"/>
          </w:tcPr>
          <w:p w:rsidR="002212C9" w:rsidRPr="00A27A71" w:rsidRDefault="002212C9" w:rsidP="0069138E">
            <w:pPr>
              <w:jc w:val="right"/>
              <w:rPr>
                <w:color w:val="000000"/>
                <w:sz w:val="18"/>
                <w:szCs w:val="18"/>
              </w:rPr>
            </w:pPr>
            <w:r w:rsidRPr="00A27A71">
              <w:rPr>
                <w:color w:val="000000"/>
                <w:sz w:val="18"/>
                <w:szCs w:val="18"/>
              </w:rPr>
              <w:t>258,701</w:t>
            </w:r>
          </w:p>
        </w:tc>
      </w:tr>
      <w:tr w:rsidR="002212C9" w:rsidRPr="00A27A71" w:rsidTr="0069138E">
        <w:trPr>
          <w:jc w:val="center"/>
        </w:trPr>
        <w:tc>
          <w:tcPr>
            <w:tcW w:w="906" w:type="dxa"/>
            <w:vMerge/>
            <w:shd w:val="clear" w:color="auto" w:fill="auto"/>
          </w:tcPr>
          <w:p w:rsidR="002212C9" w:rsidRPr="00A27A71" w:rsidRDefault="002212C9" w:rsidP="00B77D27">
            <w:pPr>
              <w:spacing w:after="60"/>
              <w:jc w:val="center"/>
              <w:rPr>
                <w:sz w:val="18"/>
                <w:szCs w:val="18"/>
              </w:rPr>
            </w:pPr>
          </w:p>
        </w:tc>
        <w:tc>
          <w:tcPr>
            <w:tcW w:w="1157" w:type="dxa"/>
            <w:vMerge w:val="restart"/>
            <w:shd w:val="clear" w:color="auto" w:fill="auto"/>
          </w:tcPr>
          <w:p w:rsidR="002212C9" w:rsidRPr="00A27A71" w:rsidRDefault="002212C9" w:rsidP="00B77D27">
            <w:pPr>
              <w:spacing w:after="60"/>
              <w:jc w:val="center"/>
              <w:rPr>
                <w:sz w:val="18"/>
                <w:szCs w:val="18"/>
              </w:rPr>
            </w:pPr>
            <w:r w:rsidRPr="00A27A71">
              <w:rPr>
                <w:sz w:val="18"/>
                <w:szCs w:val="18"/>
              </w:rPr>
              <w:t>UN Environment</w:t>
            </w:r>
          </w:p>
        </w:tc>
        <w:tc>
          <w:tcPr>
            <w:tcW w:w="837" w:type="dxa"/>
            <w:shd w:val="clear" w:color="auto" w:fill="auto"/>
          </w:tcPr>
          <w:p w:rsidR="002212C9" w:rsidRPr="00A27A71" w:rsidRDefault="002212C9" w:rsidP="00B77D27">
            <w:pPr>
              <w:spacing w:after="60"/>
              <w:jc w:val="left"/>
              <w:rPr>
                <w:sz w:val="18"/>
                <w:szCs w:val="18"/>
              </w:rPr>
            </w:pPr>
            <w:r w:rsidRPr="00A27A71">
              <w:rPr>
                <w:sz w:val="18"/>
                <w:szCs w:val="18"/>
              </w:rPr>
              <w:t>Project costs</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260,000</w:t>
            </w:r>
          </w:p>
        </w:tc>
        <w:tc>
          <w:tcPr>
            <w:tcW w:w="730"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279,500</w:t>
            </w:r>
          </w:p>
        </w:tc>
        <w:tc>
          <w:tcPr>
            <w:tcW w:w="78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shd w:val="clear" w:color="auto" w:fill="auto"/>
          </w:tcPr>
          <w:p w:rsidR="002212C9" w:rsidRPr="00A27A71" w:rsidRDefault="002212C9" w:rsidP="0069138E">
            <w:pPr>
              <w:jc w:val="right"/>
              <w:rPr>
                <w:color w:val="000000"/>
                <w:sz w:val="18"/>
                <w:szCs w:val="18"/>
              </w:rPr>
            </w:pPr>
            <w:r w:rsidRPr="00A27A71">
              <w:rPr>
                <w:color w:val="000000"/>
                <w:sz w:val="18"/>
                <w:szCs w:val="18"/>
              </w:rPr>
              <w:t>260,000</w:t>
            </w:r>
          </w:p>
        </w:tc>
        <w:tc>
          <w:tcPr>
            <w:tcW w:w="74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tcPr>
          <w:p w:rsidR="002212C9" w:rsidRPr="00A27A71" w:rsidRDefault="002212C9" w:rsidP="0069138E">
            <w:pPr>
              <w:jc w:val="right"/>
              <w:rPr>
                <w:color w:val="000000"/>
                <w:sz w:val="18"/>
                <w:szCs w:val="18"/>
              </w:rPr>
            </w:pPr>
            <w:r w:rsidRPr="00A27A71">
              <w:rPr>
                <w:color w:val="000000"/>
                <w:sz w:val="18"/>
                <w:szCs w:val="18"/>
              </w:rPr>
              <w:t>150,000</w:t>
            </w:r>
          </w:p>
        </w:tc>
        <w:tc>
          <w:tcPr>
            <w:tcW w:w="748" w:type="dxa"/>
          </w:tcPr>
          <w:p w:rsidR="002212C9" w:rsidRPr="00A27A71" w:rsidRDefault="002212C9" w:rsidP="0069138E">
            <w:pPr>
              <w:jc w:val="right"/>
              <w:rPr>
                <w:color w:val="000000"/>
                <w:sz w:val="18"/>
                <w:szCs w:val="18"/>
              </w:rPr>
            </w:pPr>
            <w:r w:rsidRPr="00A27A71">
              <w:rPr>
                <w:color w:val="000000"/>
                <w:sz w:val="18"/>
                <w:szCs w:val="18"/>
              </w:rPr>
              <w:t>0</w:t>
            </w:r>
          </w:p>
        </w:tc>
        <w:tc>
          <w:tcPr>
            <w:tcW w:w="900" w:type="dxa"/>
          </w:tcPr>
          <w:p w:rsidR="002212C9" w:rsidRPr="00A27A71" w:rsidRDefault="002212C9" w:rsidP="0069138E">
            <w:pPr>
              <w:jc w:val="right"/>
              <w:rPr>
                <w:color w:val="000000"/>
                <w:sz w:val="18"/>
                <w:szCs w:val="18"/>
              </w:rPr>
            </w:pPr>
            <w:r w:rsidRPr="00A27A71">
              <w:rPr>
                <w:color w:val="000000"/>
                <w:sz w:val="18"/>
                <w:szCs w:val="18"/>
              </w:rPr>
              <w:t>105,500</w:t>
            </w:r>
          </w:p>
        </w:tc>
        <w:tc>
          <w:tcPr>
            <w:tcW w:w="990" w:type="dxa"/>
            <w:shd w:val="clear" w:color="auto" w:fill="auto"/>
          </w:tcPr>
          <w:p w:rsidR="002212C9" w:rsidRPr="00A27A71" w:rsidRDefault="002212C9" w:rsidP="0069138E">
            <w:pPr>
              <w:jc w:val="right"/>
              <w:rPr>
                <w:color w:val="000000"/>
                <w:sz w:val="18"/>
                <w:szCs w:val="18"/>
              </w:rPr>
            </w:pPr>
            <w:r w:rsidRPr="00A27A71">
              <w:rPr>
                <w:color w:val="000000"/>
                <w:sz w:val="18"/>
                <w:szCs w:val="18"/>
              </w:rPr>
              <w:t>1,055,000</w:t>
            </w:r>
          </w:p>
        </w:tc>
      </w:tr>
      <w:tr w:rsidR="002212C9" w:rsidRPr="00A27A71" w:rsidTr="0069138E">
        <w:trPr>
          <w:jc w:val="center"/>
        </w:trPr>
        <w:tc>
          <w:tcPr>
            <w:tcW w:w="906" w:type="dxa"/>
            <w:vMerge/>
            <w:shd w:val="clear" w:color="auto" w:fill="auto"/>
          </w:tcPr>
          <w:p w:rsidR="002212C9" w:rsidRPr="00A27A71" w:rsidRDefault="002212C9" w:rsidP="00B77D27">
            <w:pPr>
              <w:spacing w:after="60"/>
              <w:jc w:val="center"/>
              <w:rPr>
                <w:sz w:val="18"/>
                <w:szCs w:val="18"/>
              </w:rPr>
            </w:pPr>
          </w:p>
        </w:tc>
        <w:tc>
          <w:tcPr>
            <w:tcW w:w="1157" w:type="dxa"/>
            <w:vMerge/>
            <w:shd w:val="clear" w:color="auto" w:fill="auto"/>
          </w:tcPr>
          <w:p w:rsidR="002212C9" w:rsidRPr="00A27A71" w:rsidRDefault="002212C9" w:rsidP="00B77D27">
            <w:pPr>
              <w:spacing w:after="60"/>
              <w:jc w:val="center"/>
              <w:rPr>
                <w:sz w:val="18"/>
                <w:szCs w:val="18"/>
              </w:rPr>
            </w:pPr>
          </w:p>
        </w:tc>
        <w:tc>
          <w:tcPr>
            <w:tcW w:w="837" w:type="dxa"/>
            <w:shd w:val="clear" w:color="auto" w:fill="auto"/>
          </w:tcPr>
          <w:p w:rsidR="002212C9" w:rsidRPr="00A27A71" w:rsidRDefault="002212C9" w:rsidP="00B77D27">
            <w:pPr>
              <w:spacing w:after="60"/>
              <w:jc w:val="left"/>
              <w:rPr>
                <w:sz w:val="18"/>
                <w:szCs w:val="18"/>
              </w:rPr>
            </w:pPr>
            <w:r w:rsidRPr="00A27A71">
              <w:rPr>
                <w:sz w:val="18"/>
                <w:szCs w:val="18"/>
              </w:rPr>
              <w:t>Support costs</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31,064</w:t>
            </w:r>
          </w:p>
        </w:tc>
        <w:tc>
          <w:tcPr>
            <w:tcW w:w="730"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33,394</w:t>
            </w:r>
          </w:p>
        </w:tc>
        <w:tc>
          <w:tcPr>
            <w:tcW w:w="78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shd w:val="clear" w:color="auto" w:fill="auto"/>
          </w:tcPr>
          <w:p w:rsidR="002212C9" w:rsidRPr="00A27A71" w:rsidRDefault="002212C9" w:rsidP="0069138E">
            <w:pPr>
              <w:jc w:val="right"/>
              <w:rPr>
                <w:color w:val="000000"/>
                <w:sz w:val="18"/>
                <w:szCs w:val="18"/>
              </w:rPr>
            </w:pPr>
            <w:r w:rsidRPr="00A27A71">
              <w:rPr>
                <w:color w:val="000000"/>
                <w:sz w:val="18"/>
                <w:szCs w:val="18"/>
              </w:rPr>
              <w:t>31,064</w:t>
            </w:r>
          </w:p>
        </w:tc>
        <w:tc>
          <w:tcPr>
            <w:tcW w:w="74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tcPr>
          <w:p w:rsidR="002212C9" w:rsidRPr="00A27A71" w:rsidRDefault="002212C9" w:rsidP="0069138E">
            <w:pPr>
              <w:jc w:val="right"/>
              <w:rPr>
                <w:color w:val="000000"/>
                <w:sz w:val="18"/>
                <w:szCs w:val="18"/>
              </w:rPr>
            </w:pPr>
            <w:r w:rsidRPr="00A27A71">
              <w:rPr>
                <w:color w:val="000000"/>
                <w:sz w:val="18"/>
                <w:szCs w:val="18"/>
              </w:rPr>
              <w:t>17,922</w:t>
            </w:r>
          </w:p>
        </w:tc>
        <w:tc>
          <w:tcPr>
            <w:tcW w:w="748" w:type="dxa"/>
          </w:tcPr>
          <w:p w:rsidR="002212C9" w:rsidRPr="00A27A71" w:rsidRDefault="002212C9" w:rsidP="0069138E">
            <w:pPr>
              <w:jc w:val="right"/>
              <w:rPr>
                <w:color w:val="000000"/>
                <w:sz w:val="18"/>
                <w:szCs w:val="18"/>
              </w:rPr>
            </w:pPr>
            <w:r w:rsidRPr="00A27A71">
              <w:rPr>
                <w:color w:val="000000"/>
                <w:sz w:val="18"/>
                <w:szCs w:val="18"/>
              </w:rPr>
              <w:t>0</w:t>
            </w:r>
          </w:p>
        </w:tc>
        <w:tc>
          <w:tcPr>
            <w:tcW w:w="900" w:type="dxa"/>
          </w:tcPr>
          <w:p w:rsidR="002212C9" w:rsidRPr="00A27A71" w:rsidRDefault="002212C9" w:rsidP="0069138E">
            <w:pPr>
              <w:jc w:val="right"/>
              <w:rPr>
                <w:color w:val="000000"/>
                <w:sz w:val="18"/>
                <w:szCs w:val="18"/>
              </w:rPr>
            </w:pPr>
            <w:r w:rsidRPr="00A27A71">
              <w:rPr>
                <w:color w:val="000000"/>
                <w:sz w:val="18"/>
                <w:szCs w:val="18"/>
              </w:rPr>
              <w:t>12,605</w:t>
            </w:r>
          </w:p>
        </w:tc>
        <w:tc>
          <w:tcPr>
            <w:tcW w:w="990" w:type="dxa"/>
            <w:shd w:val="clear" w:color="auto" w:fill="auto"/>
          </w:tcPr>
          <w:p w:rsidR="002212C9" w:rsidRPr="00A27A71" w:rsidRDefault="002212C9" w:rsidP="0069138E">
            <w:pPr>
              <w:jc w:val="right"/>
              <w:rPr>
                <w:color w:val="000000"/>
                <w:sz w:val="18"/>
                <w:szCs w:val="18"/>
              </w:rPr>
            </w:pPr>
            <w:r w:rsidRPr="00A27A71">
              <w:rPr>
                <w:color w:val="000000"/>
                <w:sz w:val="18"/>
                <w:szCs w:val="18"/>
              </w:rPr>
              <w:t>126,050</w:t>
            </w:r>
          </w:p>
        </w:tc>
      </w:tr>
      <w:tr w:rsidR="002212C9" w:rsidRPr="00A27A71" w:rsidTr="0069138E">
        <w:trPr>
          <w:jc w:val="center"/>
        </w:trPr>
        <w:tc>
          <w:tcPr>
            <w:tcW w:w="906" w:type="dxa"/>
            <w:vMerge/>
            <w:shd w:val="clear" w:color="auto" w:fill="auto"/>
          </w:tcPr>
          <w:p w:rsidR="002212C9" w:rsidRPr="00A27A71" w:rsidRDefault="002212C9" w:rsidP="00B77D27">
            <w:pPr>
              <w:spacing w:after="60"/>
              <w:jc w:val="center"/>
              <w:rPr>
                <w:sz w:val="18"/>
                <w:szCs w:val="18"/>
              </w:rPr>
            </w:pPr>
          </w:p>
        </w:tc>
        <w:tc>
          <w:tcPr>
            <w:tcW w:w="1157" w:type="dxa"/>
            <w:vMerge w:val="restart"/>
            <w:shd w:val="clear" w:color="auto" w:fill="auto"/>
          </w:tcPr>
          <w:p w:rsidR="002212C9" w:rsidRPr="00A27A71" w:rsidRDefault="002212C9" w:rsidP="00B77D27">
            <w:pPr>
              <w:spacing w:after="60"/>
              <w:jc w:val="center"/>
              <w:rPr>
                <w:sz w:val="18"/>
                <w:szCs w:val="18"/>
              </w:rPr>
            </w:pPr>
            <w:r w:rsidRPr="00A27A71">
              <w:rPr>
                <w:sz w:val="18"/>
                <w:szCs w:val="18"/>
              </w:rPr>
              <w:t>Germany</w:t>
            </w:r>
          </w:p>
        </w:tc>
        <w:tc>
          <w:tcPr>
            <w:tcW w:w="837" w:type="dxa"/>
            <w:shd w:val="clear" w:color="auto" w:fill="auto"/>
          </w:tcPr>
          <w:p w:rsidR="002212C9" w:rsidRPr="00A27A71" w:rsidRDefault="002212C9" w:rsidP="00B77D27">
            <w:pPr>
              <w:spacing w:after="60"/>
              <w:jc w:val="left"/>
              <w:rPr>
                <w:sz w:val="18"/>
                <w:szCs w:val="18"/>
              </w:rPr>
            </w:pPr>
            <w:r w:rsidRPr="00A27A71">
              <w:rPr>
                <w:sz w:val="18"/>
                <w:szCs w:val="18"/>
              </w:rPr>
              <w:t>Project costs</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730"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207,300</w:t>
            </w:r>
          </w:p>
        </w:tc>
        <w:tc>
          <w:tcPr>
            <w:tcW w:w="78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74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tcPr>
          <w:p w:rsidR="002212C9" w:rsidRPr="00A27A71" w:rsidRDefault="002212C9" w:rsidP="0069138E">
            <w:pPr>
              <w:jc w:val="right"/>
              <w:rPr>
                <w:color w:val="000000"/>
                <w:sz w:val="18"/>
                <w:szCs w:val="18"/>
              </w:rPr>
            </w:pPr>
            <w:r w:rsidRPr="00A27A71">
              <w:rPr>
                <w:color w:val="000000"/>
                <w:sz w:val="18"/>
                <w:szCs w:val="18"/>
              </w:rPr>
              <w:t>0</w:t>
            </w:r>
          </w:p>
        </w:tc>
        <w:tc>
          <w:tcPr>
            <w:tcW w:w="748" w:type="dxa"/>
          </w:tcPr>
          <w:p w:rsidR="002212C9" w:rsidRPr="00A27A71" w:rsidRDefault="002212C9" w:rsidP="0069138E">
            <w:pPr>
              <w:jc w:val="right"/>
              <w:rPr>
                <w:color w:val="000000"/>
                <w:sz w:val="18"/>
                <w:szCs w:val="18"/>
              </w:rPr>
            </w:pPr>
            <w:r w:rsidRPr="00A27A71">
              <w:rPr>
                <w:color w:val="000000"/>
                <w:sz w:val="18"/>
                <w:szCs w:val="18"/>
              </w:rPr>
              <w:t>0</w:t>
            </w:r>
          </w:p>
        </w:tc>
        <w:tc>
          <w:tcPr>
            <w:tcW w:w="900" w:type="dxa"/>
          </w:tcPr>
          <w:p w:rsidR="002212C9" w:rsidRPr="00A27A71" w:rsidRDefault="002212C9" w:rsidP="0069138E">
            <w:pPr>
              <w:jc w:val="right"/>
              <w:rPr>
                <w:color w:val="000000"/>
                <w:sz w:val="18"/>
                <w:szCs w:val="18"/>
              </w:rPr>
            </w:pPr>
            <w:r w:rsidRPr="00A27A71">
              <w:rPr>
                <w:color w:val="000000"/>
                <w:sz w:val="18"/>
                <w:szCs w:val="18"/>
              </w:rPr>
              <w:t>0</w:t>
            </w:r>
          </w:p>
        </w:tc>
        <w:tc>
          <w:tcPr>
            <w:tcW w:w="990" w:type="dxa"/>
            <w:shd w:val="clear" w:color="auto" w:fill="auto"/>
          </w:tcPr>
          <w:p w:rsidR="002212C9" w:rsidRPr="00A27A71" w:rsidRDefault="002212C9" w:rsidP="0069138E">
            <w:pPr>
              <w:jc w:val="right"/>
              <w:rPr>
                <w:color w:val="000000"/>
                <w:sz w:val="18"/>
                <w:szCs w:val="18"/>
              </w:rPr>
            </w:pPr>
            <w:r w:rsidRPr="00A27A71">
              <w:rPr>
                <w:color w:val="000000"/>
                <w:sz w:val="18"/>
                <w:szCs w:val="18"/>
              </w:rPr>
              <w:t>207,300</w:t>
            </w:r>
          </w:p>
        </w:tc>
      </w:tr>
      <w:tr w:rsidR="002212C9" w:rsidRPr="00A27A71" w:rsidTr="0069138E">
        <w:trPr>
          <w:jc w:val="center"/>
        </w:trPr>
        <w:tc>
          <w:tcPr>
            <w:tcW w:w="906" w:type="dxa"/>
            <w:vMerge/>
            <w:shd w:val="clear" w:color="auto" w:fill="auto"/>
          </w:tcPr>
          <w:p w:rsidR="002212C9" w:rsidRPr="00A27A71" w:rsidRDefault="002212C9" w:rsidP="00B77D27">
            <w:pPr>
              <w:spacing w:after="60"/>
              <w:jc w:val="center"/>
              <w:rPr>
                <w:sz w:val="18"/>
                <w:szCs w:val="18"/>
              </w:rPr>
            </w:pPr>
          </w:p>
        </w:tc>
        <w:tc>
          <w:tcPr>
            <w:tcW w:w="1157" w:type="dxa"/>
            <w:vMerge/>
            <w:shd w:val="clear" w:color="auto" w:fill="auto"/>
          </w:tcPr>
          <w:p w:rsidR="002212C9" w:rsidRPr="00A27A71" w:rsidRDefault="002212C9" w:rsidP="00B77D27">
            <w:pPr>
              <w:spacing w:after="60"/>
              <w:jc w:val="center"/>
              <w:rPr>
                <w:sz w:val="18"/>
                <w:szCs w:val="18"/>
              </w:rPr>
            </w:pPr>
          </w:p>
        </w:tc>
        <w:tc>
          <w:tcPr>
            <w:tcW w:w="837" w:type="dxa"/>
            <w:shd w:val="clear" w:color="auto" w:fill="auto"/>
          </w:tcPr>
          <w:p w:rsidR="002212C9" w:rsidRPr="00A27A71" w:rsidRDefault="002212C9" w:rsidP="00B77D27">
            <w:pPr>
              <w:spacing w:after="60"/>
              <w:jc w:val="left"/>
              <w:rPr>
                <w:sz w:val="18"/>
                <w:szCs w:val="18"/>
              </w:rPr>
            </w:pPr>
            <w:r w:rsidRPr="00A27A71">
              <w:rPr>
                <w:sz w:val="18"/>
                <w:szCs w:val="18"/>
              </w:rPr>
              <w:t>Support costs</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730"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26,949</w:t>
            </w:r>
          </w:p>
        </w:tc>
        <w:tc>
          <w:tcPr>
            <w:tcW w:w="78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74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tcPr>
          <w:p w:rsidR="002212C9" w:rsidRPr="00A27A71" w:rsidRDefault="002212C9" w:rsidP="0069138E">
            <w:pPr>
              <w:jc w:val="right"/>
              <w:rPr>
                <w:color w:val="000000"/>
                <w:sz w:val="18"/>
                <w:szCs w:val="18"/>
              </w:rPr>
            </w:pPr>
            <w:r w:rsidRPr="00A27A71">
              <w:rPr>
                <w:color w:val="000000"/>
                <w:sz w:val="18"/>
                <w:szCs w:val="18"/>
              </w:rPr>
              <w:t>0</w:t>
            </w:r>
          </w:p>
        </w:tc>
        <w:tc>
          <w:tcPr>
            <w:tcW w:w="748" w:type="dxa"/>
          </w:tcPr>
          <w:p w:rsidR="002212C9" w:rsidRPr="00A27A71" w:rsidRDefault="002212C9" w:rsidP="0069138E">
            <w:pPr>
              <w:jc w:val="right"/>
              <w:rPr>
                <w:color w:val="000000"/>
                <w:sz w:val="18"/>
                <w:szCs w:val="18"/>
              </w:rPr>
            </w:pPr>
            <w:r w:rsidRPr="00A27A71">
              <w:rPr>
                <w:color w:val="000000"/>
                <w:sz w:val="18"/>
                <w:szCs w:val="18"/>
              </w:rPr>
              <w:t>0</w:t>
            </w:r>
          </w:p>
        </w:tc>
        <w:tc>
          <w:tcPr>
            <w:tcW w:w="900" w:type="dxa"/>
          </w:tcPr>
          <w:p w:rsidR="002212C9" w:rsidRPr="00A27A71" w:rsidRDefault="002212C9" w:rsidP="0069138E">
            <w:pPr>
              <w:jc w:val="right"/>
              <w:rPr>
                <w:color w:val="000000"/>
                <w:sz w:val="18"/>
                <w:szCs w:val="18"/>
              </w:rPr>
            </w:pPr>
            <w:r w:rsidRPr="00A27A71">
              <w:rPr>
                <w:color w:val="000000"/>
                <w:sz w:val="18"/>
                <w:szCs w:val="18"/>
              </w:rPr>
              <w:t>0</w:t>
            </w:r>
          </w:p>
        </w:tc>
        <w:tc>
          <w:tcPr>
            <w:tcW w:w="990" w:type="dxa"/>
            <w:shd w:val="clear" w:color="auto" w:fill="auto"/>
          </w:tcPr>
          <w:p w:rsidR="002212C9" w:rsidRPr="00A27A71" w:rsidRDefault="002212C9" w:rsidP="0069138E">
            <w:pPr>
              <w:jc w:val="right"/>
              <w:rPr>
                <w:color w:val="000000"/>
                <w:sz w:val="18"/>
                <w:szCs w:val="18"/>
              </w:rPr>
            </w:pPr>
            <w:r w:rsidRPr="00A27A71">
              <w:rPr>
                <w:color w:val="000000"/>
                <w:sz w:val="18"/>
                <w:szCs w:val="18"/>
              </w:rPr>
              <w:t>26,949</w:t>
            </w:r>
          </w:p>
        </w:tc>
      </w:tr>
      <w:tr w:rsidR="002212C9" w:rsidRPr="00A27A71" w:rsidTr="0069138E">
        <w:trPr>
          <w:jc w:val="center"/>
        </w:trPr>
        <w:tc>
          <w:tcPr>
            <w:tcW w:w="2900" w:type="dxa"/>
            <w:gridSpan w:val="3"/>
            <w:shd w:val="clear" w:color="auto" w:fill="auto"/>
          </w:tcPr>
          <w:p w:rsidR="002212C9" w:rsidRPr="00A27A71" w:rsidRDefault="002212C9" w:rsidP="00B77D27">
            <w:pPr>
              <w:spacing w:after="60"/>
              <w:jc w:val="left"/>
              <w:rPr>
                <w:sz w:val="18"/>
                <w:szCs w:val="18"/>
              </w:rPr>
            </w:pPr>
            <w:r w:rsidRPr="00A27A71">
              <w:rPr>
                <w:sz w:val="18"/>
                <w:szCs w:val="18"/>
              </w:rPr>
              <w:t>Total project costs requested in principle (US $)</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5,126,664</w:t>
            </w:r>
          </w:p>
        </w:tc>
        <w:tc>
          <w:tcPr>
            <w:tcW w:w="730"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4,310,619</w:t>
            </w:r>
          </w:p>
        </w:tc>
        <w:tc>
          <w:tcPr>
            <w:tcW w:w="78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shd w:val="clear" w:color="auto" w:fill="auto"/>
          </w:tcPr>
          <w:p w:rsidR="002212C9" w:rsidRPr="00A27A71" w:rsidRDefault="002212C9" w:rsidP="0069138E">
            <w:pPr>
              <w:jc w:val="right"/>
              <w:rPr>
                <w:color w:val="000000"/>
                <w:sz w:val="18"/>
                <w:szCs w:val="18"/>
              </w:rPr>
            </w:pPr>
            <w:r w:rsidRPr="00A27A71">
              <w:rPr>
                <w:color w:val="000000"/>
                <w:sz w:val="18"/>
                <w:szCs w:val="18"/>
              </w:rPr>
              <w:t>651,827</w:t>
            </w:r>
          </w:p>
        </w:tc>
        <w:tc>
          <w:tcPr>
            <w:tcW w:w="74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tcPr>
          <w:p w:rsidR="002212C9" w:rsidRPr="00A27A71" w:rsidRDefault="002212C9" w:rsidP="0069138E">
            <w:pPr>
              <w:jc w:val="right"/>
              <w:rPr>
                <w:color w:val="000000"/>
                <w:sz w:val="18"/>
                <w:szCs w:val="18"/>
              </w:rPr>
            </w:pPr>
            <w:r w:rsidRPr="00A27A71">
              <w:rPr>
                <w:color w:val="000000"/>
                <w:sz w:val="18"/>
                <w:szCs w:val="18"/>
              </w:rPr>
              <w:t>541,827</w:t>
            </w:r>
          </w:p>
        </w:tc>
        <w:tc>
          <w:tcPr>
            <w:tcW w:w="748" w:type="dxa"/>
          </w:tcPr>
          <w:p w:rsidR="002212C9" w:rsidRPr="00A27A71" w:rsidRDefault="002212C9" w:rsidP="0069138E">
            <w:pPr>
              <w:jc w:val="right"/>
              <w:rPr>
                <w:color w:val="000000"/>
                <w:sz w:val="18"/>
                <w:szCs w:val="18"/>
              </w:rPr>
            </w:pPr>
            <w:r w:rsidRPr="00A27A71">
              <w:rPr>
                <w:color w:val="000000"/>
                <w:sz w:val="18"/>
                <w:szCs w:val="18"/>
              </w:rPr>
              <w:t>0</w:t>
            </w:r>
          </w:p>
        </w:tc>
        <w:tc>
          <w:tcPr>
            <w:tcW w:w="900" w:type="dxa"/>
          </w:tcPr>
          <w:p w:rsidR="002212C9" w:rsidRPr="00A27A71" w:rsidRDefault="002212C9" w:rsidP="0069138E">
            <w:pPr>
              <w:jc w:val="right"/>
              <w:rPr>
                <w:color w:val="000000"/>
                <w:sz w:val="18"/>
                <w:szCs w:val="18"/>
              </w:rPr>
            </w:pPr>
            <w:r w:rsidRPr="00A27A71">
              <w:rPr>
                <w:color w:val="000000"/>
                <w:sz w:val="18"/>
                <w:szCs w:val="18"/>
              </w:rPr>
              <w:t>323,926</w:t>
            </w:r>
          </w:p>
        </w:tc>
        <w:tc>
          <w:tcPr>
            <w:tcW w:w="990" w:type="dxa"/>
            <w:shd w:val="clear" w:color="auto" w:fill="auto"/>
          </w:tcPr>
          <w:p w:rsidR="002212C9" w:rsidRPr="00A27A71" w:rsidRDefault="002212C9" w:rsidP="0069138E">
            <w:pPr>
              <w:jc w:val="right"/>
              <w:rPr>
                <w:color w:val="000000"/>
                <w:sz w:val="18"/>
                <w:szCs w:val="18"/>
              </w:rPr>
            </w:pPr>
            <w:r w:rsidRPr="00A27A71">
              <w:rPr>
                <w:color w:val="000000"/>
                <w:sz w:val="18"/>
                <w:szCs w:val="18"/>
              </w:rPr>
              <w:t>10,954,863</w:t>
            </w:r>
          </w:p>
        </w:tc>
      </w:tr>
      <w:tr w:rsidR="002212C9" w:rsidRPr="00A27A71" w:rsidTr="0069138E">
        <w:trPr>
          <w:jc w:val="center"/>
        </w:trPr>
        <w:tc>
          <w:tcPr>
            <w:tcW w:w="2900" w:type="dxa"/>
            <w:gridSpan w:val="3"/>
            <w:shd w:val="clear" w:color="auto" w:fill="auto"/>
          </w:tcPr>
          <w:p w:rsidR="002212C9" w:rsidRPr="00A27A71" w:rsidRDefault="002212C9" w:rsidP="00B77D27">
            <w:pPr>
              <w:spacing w:after="60"/>
              <w:jc w:val="left"/>
              <w:rPr>
                <w:sz w:val="18"/>
                <w:szCs w:val="18"/>
              </w:rPr>
            </w:pPr>
            <w:r w:rsidRPr="00A27A71">
              <w:rPr>
                <w:sz w:val="18"/>
                <w:szCs w:val="18"/>
              </w:rPr>
              <w:t>Total support costs requested in principle (US $)</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371,730</w:t>
            </w:r>
          </w:p>
        </w:tc>
        <w:tc>
          <w:tcPr>
            <w:tcW w:w="730"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328,010</w:t>
            </w:r>
          </w:p>
        </w:tc>
        <w:tc>
          <w:tcPr>
            <w:tcW w:w="78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shd w:val="clear" w:color="auto" w:fill="auto"/>
          </w:tcPr>
          <w:p w:rsidR="002212C9" w:rsidRPr="00A27A71" w:rsidRDefault="002212C9" w:rsidP="0069138E">
            <w:pPr>
              <w:jc w:val="right"/>
              <w:rPr>
                <w:color w:val="000000"/>
                <w:sz w:val="18"/>
                <w:szCs w:val="18"/>
              </w:rPr>
            </w:pPr>
            <w:r w:rsidRPr="00A27A71">
              <w:rPr>
                <w:color w:val="000000"/>
                <w:sz w:val="18"/>
                <w:szCs w:val="18"/>
              </w:rPr>
              <w:t>58,492</w:t>
            </w:r>
          </w:p>
        </w:tc>
        <w:tc>
          <w:tcPr>
            <w:tcW w:w="74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tcPr>
          <w:p w:rsidR="002212C9" w:rsidRPr="00A27A71" w:rsidRDefault="002212C9" w:rsidP="0069138E">
            <w:pPr>
              <w:jc w:val="right"/>
              <w:rPr>
                <w:color w:val="000000"/>
                <w:sz w:val="18"/>
                <w:szCs w:val="18"/>
              </w:rPr>
            </w:pPr>
            <w:r w:rsidRPr="00A27A71">
              <w:rPr>
                <w:color w:val="000000"/>
                <w:sz w:val="18"/>
                <w:szCs w:val="18"/>
              </w:rPr>
              <w:t>45,350</w:t>
            </w:r>
          </w:p>
        </w:tc>
        <w:tc>
          <w:tcPr>
            <w:tcW w:w="748" w:type="dxa"/>
          </w:tcPr>
          <w:p w:rsidR="002212C9" w:rsidRPr="00A27A71" w:rsidRDefault="002212C9" w:rsidP="0069138E">
            <w:pPr>
              <w:jc w:val="right"/>
              <w:rPr>
                <w:color w:val="000000"/>
                <w:sz w:val="18"/>
                <w:szCs w:val="18"/>
              </w:rPr>
            </w:pPr>
            <w:r w:rsidRPr="00A27A71">
              <w:rPr>
                <w:color w:val="000000"/>
                <w:sz w:val="18"/>
                <w:szCs w:val="18"/>
              </w:rPr>
              <w:t>0</w:t>
            </w:r>
          </w:p>
        </w:tc>
        <w:tc>
          <w:tcPr>
            <w:tcW w:w="900" w:type="dxa"/>
          </w:tcPr>
          <w:p w:rsidR="002212C9" w:rsidRPr="00A27A71" w:rsidRDefault="002212C9" w:rsidP="0069138E">
            <w:pPr>
              <w:jc w:val="right"/>
              <w:rPr>
                <w:color w:val="000000"/>
                <w:sz w:val="18"/>
                <w:szCs w:val="18"/>
              </w:rPr>
            </w:pPr>
            <w:r w:rsidRPr="00A27A71">
              <w:rPr>
                <w:color w:val="000000"/>
                <w:sz w:val="18"/>
                <w:szCs w:val="18"/>
              </w:rPr>
              <w:t>27,895</w:t>
            </w:r>
          </w:p>
        </w:tc>
        <w:tc>
          <w:tcPr>
            <w:tcW w:w="990" w:type="dxa"/>
            <w:shd w:val="clear" w:color="auto" w:fill="auto"/>
          </w:tcPr>
          <w:p w:rsidR="002212C9" w:rsidRPr="00A27A71" w:rsidRDefault="002212C9" w:rsidP="0069138E">
            <w:pPr>
              <w:jc w:val="right"/>
              <w:rPr>
                <w:color w:val="000000"/>
                <w:sz w:val="18"/>
                <w:szCs w:val="18"/>
              </w:rPr>
            </w:pPr>
            <w:r w:rsidRPr="00A27A71">
              <w:rPr>
                <w:color w:val="000000"/>
                <w:sz w:val="18"/>
                <w:szCs w:val="18"/>
              </w:rPr>
              <w:t>831,478</w:t>
            </w:r>
          </w:p>
        </w:tc>
      </w:tr>
      <w:tr w:rsidR="002212C9" w:rsidRPr="00A27A71" w:rsidTr="0069138E">
        <w:trPr>
          <w:jc w:val="center"/>
        </w:trPr>
        <w:tc>
          <w:tcPr>
            <w:tcW w:w="2900" w:type="dxa"/>
            <w:gridSpan w:val="3"/>
            <w:shd w:val="clear" w:color="auto" w:fill="auto"/>
          </w:tcPr>
          <w:p w:rsidR="002212C9" w:rsidRPr="00A27A71" w:rsidRDefault="002212C9" w:rsidP="00B77D27">
            <w:pPr>
              <w:spacing w:after="60"/>
              <w:jc w:val="left"/>
              <w:rPr>
                <w:sz w:val="18"/>
                <w:szCs w:val="18"/>
              </w:rPr>
            </w:pPr>
            <w:r w:rsidRPr="00A27A71">
              <w:rPr>
                <w:sz w:val="18"/>
                <w:szCs w:val="18"/>
              </w:rPr>
              <w:t>Total funds requested in principle (US $)</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5,498,394</w:t>
            </w:r>
          </w:p>
        </w:tc>
        <w:tc>
          <w:tcPr>
            <w:tcW w:w="730"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936" w:type="dxa"/>
            <w:shd w:val="clear" w:color="auto" w:fill="auto"/>
          </w:tcPr>
          <w:p w:rsidR="002212C9" w:rsidRPr="00A27A71" w:rsidRDefault="002212C9" w:rsidP="0069138E">
            <w:pPr>
              <w:jc w:val="right"/>
              <w:rPr>
                <w:color w:val="000000"/>
                <w:sz w:val="18"/>
                <w:szCs w:val="18"/>
              </w:rPr>
            </w:pPr>
            <w:r w:rsidRPr="00A27A71">
              <w:rPr>
                <w:color w:val="000000"/>
                <w:sz w:val="18"/>
                <w:szCs w:val="18"/>
              </w:rPr>
              <w:t>4,638,630</w:t>
            </w:r>
          </w:p>
        </w:tc>
        <w:tc>
          <w:tcPr>
            <w:tcW w:w="78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shd w:val="clear" w:color="auto" w:fill="auto"/>
          </w:tcPr>
          <w:p w:rsidR="002212C9" w:rsidRPr="00A27A71" w:rsidRDefault="002212C9" w:rsidP="0069138E">
            <w:pPr>
              <w:jc w:val="right"/>
              <w:rPr>
                <w:color w:val="000000"/>
                <w:sz w:val="18"/>
                <w:szCs w:val="18"/>
              </w:rPr>
            </w:pPr>
            <w:r w:rsidRPr="00A27A71">
              <w:rPr>
                <w:color w:val="000000"/>
                <w:sz w:val="18"/>
                <w:szCs w:val="18"/>
              </w:rPr>
              <w:t>710,319</w:t>
            </w:r>
          </w:p>
        </w:tc>
        <w:tc>
          <w:tcPr>
            <w:tcW w:w="745" w:type="dxa"/>
            <w:shd w:val="clear" w:color="auto" w:fill="auto"/>
          </w:tcPr>
          <w:p w:rsidR="002212C9" w:rsidRPr="00A27A71" w:rsidRDefault="002212C9" w:rsidP="0069138E">
            <w:pPr>
              <w:jc w:val="right"/>
              <w:rPr>
                <w:color w:val="000000"/>
                <w:sz w:val="18"/>
                <w:szCs w:val="18"/>
              </w:rPr>
            </w:pPr>
            <w:r w:rsidRPr="00A27A71">
              <w:rPr>
                <w:color w:val="000000"/>
                <w:sz w:val="18"/>
                <w:szCs w:val="18"/>
              </w:rPr>
              <w:t>0</w:t>
            </w:r>
          </w:p>
        </w:tc>
        <w:tc>
          <w:tcPr>
            <w:tcW w:w="801" w:type="dxa"/>
          </w:tcPr>
          <w:p w:rsidR="002212C9" w:rsidRPr="00A27A71" w:rsidRDefault="002212C9" w:rsidP="0069138E">
            <w:pPr>
              <w:jc w:val="right"/>
              <w:rPr>
                <w:color w:val="000000"/>
                <w:sz w:val="18"/>
                <w:szCs w:val="18"/>
              </w:rPr>
            </w:pPr>
            <w:r w:rsidRPr="00A27A71">
              <w:rPr>
                <w:color w:val="000000"/>
                <w:sz w:val="18"/>
                <w:szCs w:val="18"/>
              </w:rPr>
              <w:t>587,177</w:t>
            </w:r>
          </w:p>
        </w:tc>
        <w:tc>
          <w:tcPr>
            <w:tcW w:w="748" w:type="dxa"/>
          </w:tcPr>
          <w:p w:rsidR="002212C9" w:rsidRPr="00A27A71" w:rsidRDefault="002212C9" w:rsidP="0069138E">
            <w:pPr>
              <w:jc w:val="right"/>
              <w:rPr>
                <w:color w:val="000000"/>
                <w:sz w:val="18"/>
                <w:szCs w:val="18"/>
              </w:rPr>
            </w:pPr>
            <w:r w:rsidRPr="00A27A71">
              <w:rPr>
                <w:color w:val="000000"/>
                <w:sz w:val="18"/>
                <w:szCs w:val="18"/>
              </w:rPr>
              <w:t>0</w:t>
            </w:r>
          </w:p>
        </w:tc>
        <w:tc>
          <w:tcPr>
            <w:tcW w:w="900" w:type="dxa"/>
          </w:tcPr>
          <w:p w:rsidR="002212C9" w:rsidRPr="00A27A71" w:rsidRDefault="002212C9" w:rsidP="0069138E">
            <w:pPr>
              <w:jc w:val="right"/>
              <w:rPr>
                <w:color w:val="000000"/>
                <w:sz w:val="18"/>
                <w:szCs w:val="18"/>
              </w:rPr>
            </w:pPr>
            <w:r w:rsidRPr="00A27A71">
              <w:rPr>
                <w:color w:val="000000"/>
                <w:sz w:val="18"/>
                <w:szCs w:val="18"/>
              </w:rPr>
              <w:t>351,821</w:t>
            </w:r>
          </w:p>
        </w:tc>
        <w:tc>
          <w:tcPr>
            <w:tcW w:w="990" w:type="dxa"/>
            <w:shd w:val="clear" w:color="auto" w:fill="auto"/>
          </w:tcPr>
          <w:p w:rsidR="002212C9" w:rsidRPr="00A27A71" w:rsidRDefault="002212C9" w:rsidP="0069138E">
            <w:pPr>
              <w:jc w:val="right"/>
              <w:rPr>
                <w:color w:val="000000"/>
                <w:sz w:val="18"/>
                <w:szCs w:val="18"/>
              </w:rPr>
            </w:pPr>
            <w:r w:rsidRPr="00A27A71">
              <w:rPr>
                <w:color w:val="000000"/>
                <w:sz w:val="18"/>
                <w:szCs w:val="18"/>
              </w:rPr>
              <w:t>11,786,341</w:t>
            </w:r>
          </w:p>
        </w:tc>
      </w:tr>
    </w:tbl>
    <w:p w:rsidR="00FD26A0" w:rsidRPr="00A27A71" w:rsidRDefault="00FD26A0" w:rsidP="00FD26A0">
      <w:pPr>
        <w:spacing w:after="60"/>
        <w:jc w:val="center"/>
        <w:rPr>
          <w:sz w:val="15"/>
          <w:szCs w:val="15"/>
        </w:rPr>
      </w:pPr>
    </w:p>
    <w:tbl>
      <w:tblPr>
        <w:tblStyle w:val="TableGrid"/>
        <w:tblW w:w="11216" w:type="dxa"/>
        <w:jc w:val="center"/>
        <w:tblInd w:w="-121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238"/>
        <w:gridCol w:w="2340"/>
        <w:gridCol w:w="2638"/>
      </w:tblGrid>
      <w:tr w:rsidR="00FD26A0" w:rsidRPr="00A27A71" w:rsidTr="0069138E">
        <w:trPr>
          <w:trHeight w:val="240"/>
          <w:jc w:val="center"/>
        </w:trPr>
        <w:tc>
          <w:tcPr>
            <w:tcW w:w="11216" w:type="dxa"/>
            <w:gridSpan w:val="3"/>
            <w:shd w:val="clear" w:color="auto" w:fill="auto"/>
          </w:tcPr>
          <w:p w:rsidR="00FD26A0" w:rsidRPr="00A27A71" w:rsidRDefault="00FD26A0" w:rsidP="00B77D27">
            <w:pPr>
              <w:spacing w:after="60"/>
              <w:jc w:val="left"/>
              <w:rPr>
                <w:b/>
                <w:sz w:val="18"/>
                <w:szCs w:val="18"/>
              </w:rPr>
            </w:pPr>
            <w:r w:rsidRPr="00A27A71">
              <w:rPr>
                <w:b/>
                <w:sz w:val="18"/>
                <w:szCs w:val="18"/>
              </w:rPr>
              <w:t>(VII) Request for funding for the first tranche (2017)</w:t>
            </w:r>
          </w:p>
        </w:tc>
      </w:tr>
      <w:tr w:rsidR="00FD26A0" w:rsidRPr="00A27A71" w:rsidTr="00DE50BB">
        <w:trPr>
          <w:trHeight w:val="240"/>
          <w:jc w:val="center"/>
        </w:trPr>
        <w:tc>
          <w:tcPr>
            <w:tcW w:w="6238" w:type="dxa"/>
            <w:shd w:val="clear" w:color="auto" w:fill="auto"/>
          </w:tcPr>
          <w:p w:rsidR="00FD26A0" w:rsidRPr="00A27A71" w:rsidRDefault="00FD26A0" w:rsidP="00DE50BB">
            <w:pPr>
              <w:spacing w:after="60"/>
              <w:jc w:val="left"/>
              <w:rPr>
                <w:b/>
                <w:sz w:val="18"/>
                <w:szCs w:val="18"/>
              </w:rPr>
            </w:pPr>
            <w:r w:rsidRPr="00A27A71">
              <w:rPr>
                <w:b/>
                <w:sz w:val="18"/>
                <w:szCs w:val="18"/>
              </w:rPr>
              <w:t>Agency</w:t>
            </w:r>
          </w:p>
        </w:tc>
        <w:tc>
          <w:tcPr>
            <w:tcW w:w="2340" w:type="dxa"/>
            <w:shd w:val="clear" w:color="auto" w:fill="auto"/>
          </w:tcPr>
          <w:p w:rsidR="00FD26A0" w:rsidRPr="00A27A71" w:rsidRDefault="00FD26A0" w:rsidP="00B77D27">
            <w:pPr>
              <w:spacing w:after="60"/>
              <w:jc w:val="center"/>
              <w:rPr>
                <w:b/>
                <w:sz w:val="18"/>
                <w:szCs w:val="18"/>
              </w:rPr>
            </w:pPr>
            <w:r w:rsidRPr="00A27A71">
              <w:rPr>
                <w:b/>
                <w:sz w:val="18"/>
                <w:szCs w:val="18"/>
              </w:rPr>
              <w:t>Funds requested (US $)</w:t>
            </w:r>
          </w:p>
        </w:tc>
        <w:tc>
          <w:tcPr>
            <w:tcW w:w="2638" w:type="dxa"/>
            <w:shd w:val="clear" w:color="auto" w:fill="auto"/>
          </w:tcPr>
          <w:p w:rsidR="00FD26A0" w:rsidRPr="00A27A71" w:rsidRDefault="00FD26A0" w:rsidP="00B77D27">
            <w:pPr>
              <w:spacing w:after="60"/>
              <w:jc w:val="center"/>
              <w:rPr>
                <w:b/>
                <w:sz w:val="18"/>
                <w:szCs w:val="18"/>
              </w:rPr>
            </w:pPr>
            <w:r w:rsidRPr="00A27A71">
              <w:rPr>
                <w:b/>
                <w:sz w:val="18"/>
                <w:szCs w:val="18"/>
              </w:rPr>
              <w:t>Support costs (US $)</w:t>
            </w:r>
          </w:p>
        </w:tc>
      </w:tr>
      <w:tr w:rsidR="002212C9" w:rsidRPr="00A27A71" w:rsidTr="00DE50BB">
        <w:trPr>
          <w:trHeight w:val="99"/>
          <w:jc w:val="center"/>
        </w:trPr>
        <w:tc>
          <w:tcPr>
            <w:tcW w:w="6238" w:type="dxa"/>
            <w:shd w:val="clear" w:color="auto" w:fill="auto"/>
          </w:tcPr>
          <w:p w:rsidR="002212C9" w:rsidRPr="00A27A71" w:rsidRDefault="002212C9" w:rsidP="00DE50BB">
            <w:pPr>
              <w:spacing w:after="60"/>
              <w:jc w:val="left"/>
              <w:rPr>
                <w:sz w:val="18"/>
                <w:szCs w:val="18"/>
                <w:highlight w:val="cyan"/>
              </w:rPr>
            </w:pPr>
            <w:r w:rsidRPr="00A27A71">
              <w:rPr>
                <w:sz w:val="18"/>
                <w:szCs w:val="18"/>
              </w:rPr>
              <w:t>UNIDO</w:t>
            </w:r>
          </w:p>
        </w:tc>
        <w:tc>
          <w:tcPr>
            <w:tcW w:w="2340" w:type="dxa"/>
            <w:shd w:val="clear" w:color="auto" w:fill="auto"/>
          </w:tcPr>
          <w:p w:rsidR="002212C9" w:rsidRPr="00A27A71" w:rsidRDefault="002212C9" w:rsidP="0069138E">
            <w:pPr>
              <w:jc w:val="right"/>
              <w:rPr>
                <w:color w:val="000000"/>
                <w:sz w:val="18"/>
                <w:szCs w:val="18"/>
              </w:rPr>
            </w:pPr>
            <w:r w:rsidRPr="00A27A71">
              <w:rPr>
                <w:color w:val="000000"/>
                <w:sz w:val="18"/>
                <w:szCs w:val="18"/>
              </w:rPr>
              <w:t>3,921,047</w:t>
            </w:r>
          </w:p>
        </w:tc>
        <w:tc>
          <w:tcPr>
            <w:tcW w:w="2638" w:type="dxa"/>
            <w:shd w:val="clear" w:color="auto" w:fill="auto"/>
          </w:tcPr>
          <w:p w:rsidR="002212C9" w:rsidRPr="00A27A71" w:rsidRDefault="002212C9" w:rsidP="00B77D27">
            <w:pPr>
              <w:spacing w:after="60"/>
              <w:jc w:val="right"/>
              <w:rPr>
                <w:sz w:val="18"/>
                <w:szCs w:val="18"/>
                <w:highlight w:val="cyan"/>
              </w:rPr>
            </w:pPr>
            <w:r w:rsidRPr="00A27A71">
              <w:rPr>
                <w:color w:val="000000"/>
                <w:sz w:val="18"/>
                <w:szCs w:val="18"/>
              </w:rPr>
              <w:t>274,473</w:t>
            </w:r>
          </w:p>
        </w:tc>
      </w:tr>
      <w:tr w:rsidR="002212C9" w:rsidRPr="00A27A71" w:rsidTr="00DE50BB">
        <w:trPr>
          <w:trHeight w:val="99"/>
          <w:jc w:val="center"/>
        </w:trPr>
        <w:tc>
          <w:tcPr>
            <w:tcW w:w="6238" w:type="dxa"/>
            <w:shd w:val="clear" w:color="auto" w:fill="auto"/>
          </w:tcPr>
          <w:p w:rsidR="002212C9" w:rsidRPr="00A27A71" w:rsidRDefault="002212C9" w:rsidP="00DE50BB">
            <w:pPr>
              <w:spacing w:after="60"/>
              <w:jc w:val="left"/>
              <w:rPr>
                <w:sz w:val="18"/>
                <w:szCs w:val="18"/>
              </w:rPr>
            </w:pPr>
            <w:r w:rsidRPr="00A27A71">
              <w:rPr>
                <w:sz w:val="18"/>
                <w:szCs w:val="18"/>
              </w:rPr>
              <w:t>UNDP</w:t>
            </w:r>
          </w:p>
        </w:tc>
        <w:tc>
          <w:tcPr>
            <w:tcW w:w="2340" w:type="dxa"/>
            <w:shd w:val="clear" w:color="auto" w:fill="auto"/>
          </w:tcPr>
          <w:p w:rsidR="002212C9" w:rsidRPr="00A27A71" w:rsidRDefault="002212C9" w:rsidP="00B77D27">
            <w:pPr>
              <w:spacing w:after="60"/>
              <w:jc w:val="right"/>
              <w:rPr>
                <w:sz w:val="18"/>
                <w:szCs w:val="18"/>
                <w:highlight w:val="cyan"/>
              </w:rPr>
            </w:pPr>
            <w:r w:rsidRPr="00A27A71">
              <w:rPr>
                <w:color w:val="000000"/>
                <w:sz w:val="18"/>
                <w:szCs w:val="18"/>
              </w:rPr>
              <w:t>945,617</w:t>
            </w:r>
          </w:p>
        </w:tc>
        <w:tc>
          <w:tcPr>
            <w:tcW w:w="2638" w:type="dxa"/>
            <w:shd w:val="clear" w:color="auto" w:fill="auto"/>
          </w:tcPr>
          <w:p w:rsidR="002212C9" w:rsidRPr="00A27A71" w:rsidRDefault="002212C9" w:rsidP="00B77D27">
            <w:pPr>
              <w:spacing w:after="60"/>
              <w:jc w:val="right"/>
              <w:rPr>
                <w:sz w:val="18"/>
                <w:szCs w:val="18"/>
                <w:highlight w:val="cyan"/>
              </w:rPr>
            </w:pPr>
            <w:r w:rsidRPr="00A27A71">
              <w:rPr>
                <w:color w:val="000000"/>
                <w:sz w:val="18"/>
                <w:szCs w:val="18"/>
              </w:rPr>
              <w:t>66,193</w:t>
            </w:r>
          </w:p>
        </w:tc>
      </w:tr>
      <w:tr w:rsidR="002212C9" w:rsidRPr="00A27A71" w:rsidTr="00DE50BB">
        <w:trPr>
          <w:trHeight w:val="99"/>
          <w:jc w:val="center"/>
        </w:trPr>
        <w:tc>
          <w:tcPr>
            <w:tcW w:w="6238" w:type="dxa"/>
            <w:shd w:val="clear" w:color="auto" w:fill="auto"/>
          </w:tcPr>
          <w:p w:rsidR="002212C9" w:rsidRPr="00A27A71" w:rsidRDefault="002212C9" w:rsidP="00DE50BB">
            <w:pPr>
              <w:spacing w:after="60"/>
              <w:jc w:val="left"/>
              <w:rPr>
                <w:sz w:val="18"/>
                <w:szCs w:val="18"/>
              </w:rPr>
            </w:pPr>
            <w:r w:rsidRPr="00A27A71">
              <w:rPr>
                <w:sz w:val="18"/>
                <w:szCs w:val="18"/>
              </w:rPr>
              <w:t>UN Environment</w:t>
            </w:r>
          </w:p>
        </w:tc>
        <w:tc>
          <w:tcPr>
            <w:tcW w:w="2340" w:type="dxa"/>
            <w:shd w:val="clear" w:color="auto" w:fill="auto"/>
          </w:tcPr>
          <w:p w:rsidR="002212C9" w:rsidRPr="00A27A71" w:rsidRDefault="002212C9" w:rsidP="00B77D27">
            <w:pPr>
              <w:spacing w:after="60"/>
              <w:jc w:val="right"/>
              <w:rPr>
                <w:sz w:val="18"/>
                <w:szCs w:val="18"/>
                <w:highlight w:val="cyan"/>
              </w:rPr>
            </w:pPr>
            <w:r w:rsidRPr="00A27A71">
              <w:rPr>
                <w:color w:val="000000"/>
                <w:sz w:val="18"/>
                <w:szCs w:val="18"/>
              </w:rPr>
              <w:t>260,000</w:t>
            </w:r>
          </w:p>
        </w:tc>
        <w:tc>
          <w:tcPr>
            <w:tcW w:w="2638" w:type="dxa"/>
            <w:shd w:val="clear" w:color="auto" w:fill="auto"/>
          </w:tcPr>
          <w:p w:rsidR="002212C9" w:rsidRPr="00A27A71" w:rsidRDefault="002212C9" w:rsidP="00B77D27">
            <w:pPr>
              <w:spacing w:after="60"/>
              <w:jc w:val="right"/>
              <w:rPr>
                <w:sz w:val="18"/>
                <w:szCs w:val="18"/>
                <w:highlight w:val="cyan"/>
              </w:rPr>
            </w:pPr>
            <w:r w:rsidRPr="00A27A71">
              <w:rPr>
                <w:color w:val="000000"/>
                <w:sz w:val="18"/>
                <w:szCs w:val="18"/>
              </w:rPr>
              <w:t>31,064</w:t>
            </w:r>
          </w:p>
        </w:tc>
      </w:tr>
      <w:tr w:rsidR="002212C9" w:rsidRPr="00A27A71" w:rsidTr="00DE50BB">
        <w:trPr>
          <w:trHeight w:val="99"/>
          <w:jc w:val="center"/>
        </w:trPr>
        <w:tc>
          <w:tcPr>
            <w:tcW w:w="6238" w:type="dxa"/>
            <w:shd w:val="clear" w:color="auto" w:fill="auto"/>
          </w:tcPr>
          <w:p w:rsidR="002212C9" w:rsidRPr="00A27A71" w:rsidRDefault="002212C9" w:rsidP="00DE50BB">
            <w:pPr>
              <w:spacing w:after="60"/>
              <w:jc w:val="left"/>
              <w:rPr>
                <w:sz w:val="18"/>
                <w:szCs w:val="18"/>
              </w:rPr>
            </w:pPr>
            <w:r w:rsidRPr="00A27A71">
              <w:rPr>
                <w:sz w:val="18"/>
                <w:szCs w:val="18"/>
              </w:rPr>
              <w:t>Germany</w:t>
            </w:r>
          </w:p>
        </w:tc>
        <w:tc>
          <w:tcPr>
            <w:tcW w:w="2340" w:type="dxa"/>
            <w:shd w:val="clear" w:color="auto" w:fill="auto"/>
          </w:tcPr>
          <w:p w:rsidR="002212C9" w:rsidRPr="00A27A71" w:rsidRDefault="002212C9" w:rsidP="00B77D27">
            <w:pPr>
              <w:spacing w:after="60"/>
              <w:jc w:val="right"/>
              <w:rPr>
                <w:sz w:val="18"/>
                <w:szCs w:val="18"/>
              </w:rPr>
            </w:pPr>
            <w:r w:rsidRPr="00A27A71">
              <w:rPr>
                <w:sz w:val="18"/>
                <w:szCs w:val="18"/>
              </w:rPr>
              <w:t>0</w:t>
            </w:r>
          </w:p>
        </w:tc>
        <w:tc>
          <w:tcPr>
            <w:tcW w:w="2638" w:type="dxa"/>
            <w:shd w:val="clear" w:color="auto" w:fill="auto"/>
          </w:tcPr>
          <w:p w:rsidR="002212C9" w:rsidRPr="00A27A71" w:rsidRDefault="002212C9" w:rsidP="00B77D27">
            <w:pPr>
              <w:spacing w:after="60"/>
              <w:jc w:val="right"/>
              <w:rPr>
                <w:sz w:val="18"/>
                <w:szCs w:val="18"/>
              </w:rPr>
            </w:pPr>
            <w:r w:rsidRPr="00A27A71">
              <w:rPr>
                <w:color w:val="000000"/>
                <w:sz w:val="18"/>
                <w:szCs w:val="18"/>
                <w:lang w:eastAsia="en-CA"/>
              </w:rPr>
              <w:t>0</w:t>
            </w:r>
          </w:p>
        </w:tc>
      </w:tr>
    </w:tbl>
    <w:p w:rsidR="00FD26A0" w:rsidRPr="00A27A71" w:rsidRDefault="00FD26A0" w:rsidP="00FD26A0">
      <w:pPr>
        <w:spacing w:after="60"/>
        <w:jc w:val="center"/>
        <w:rPr>
          <w:sz w:val="15"/>
          <w:szCs w:val="15"/>
        </w:rPr>
      </w:pPr>
    </w:p>
    <w:tbl>
      <w:tblPr>
        <w:tblStyle w:val="TableGrid"/>
        <w:tblW w:w="11172" w:type="dxa"/>
        <w:jc w:val="center"/>
        <w:tblInd w:w="-117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172"/>
        <w:gridCol w:w="7000"/>
      </w:tblGrid>
      <w:tr w:rsidR="00FD26A0" w:rsidRPr="00A27A71" w:rsidTr="0069138E">
        <w:trPr>
          <w:trHeight w:val="240"/>
          <w:jc w:val="center"/>
        </w:trPr>
        <w:tc>
          <w:tcPr>
            <w:tcW w:w="4172" w:type="dxa"/>
            <w:shd w:val="clear" w:color="auto" w:fill="auto"/>
          </w:tcPr>
          <w:p w:rsidR="00FD26A0" w:rsidRPr="00A27A71" w:rsidRDefault="00FD26A0" w:rsidP="00B77D27">
            <w:pPr>
              <w:spacing w:after="60"/>
              <w:jc w:val="left"/>
              <w:rPr>
                <w:b/>
                <w:sz w:val="18"/>
                <w:szCs w:val="18"/>
              </w:rPr>
            </w:pPr>
            <w:r w:rsidRPr="00A27A71">
              <w:rPr>
                <w:b/>
                <w:sz w:val="18"/>
                <w:szCs w:val="18"/>
              </w:rPr>
              <w:t>Funding request:</w:t>
            </w:r>
          </w:p>
        </w:tc>
        <w:tc>
          <w:tcPr>
            <w:tcW w:w="7000" w:type="dxa"/>
            <w:shd w:val="clear" w:color="auto" w:fill="auto"/>
          </w:tcPr>
          <w:p w:rsidR="00FD26A0" w:rsidRPr="00A27A71" w:rsidRDefault="00FD26A0" w:rsidP="00B77D27">
            <w:pPr>
              <w:spacing w:after="60"/>
              <w:jc w:val="center"/>
              <w:rPr>
                <w:sz w:val="18"/>
                <w:szCs w:val="18"/>
              </w:rPr>
            </w:pPr>
            <w:r w:rsidRPr="00A27A71">
              <w:rPr>
                <w:sz w:val="18"/>
                <w:szCs w:val="18"/>
              </w:rPr>
              <w:t>Approval of funding for the first tranche (2017) as indicated above</w:t>
            </w:r>
          </w:p>
        </w:tc>
      </w:tr>
      <w:tr w:rsidR="00FD26A0" w:rsidRPr="00A27A71" w:rsidTr="0069138E">
        <w:trPr>
          <w:trHeight w:val="240"/>
          <w:jc w:val="center"/>
        </w:trPr>
        <w:tc>
          <w:tcPr>
            <w:tcW w:w="4172" w:type="dxa"/>
            <w:shd w:val="clear" w:color="auto" w:fill="auto"/>
          </w:tcPr>
          <w:p w:rsidR="00FD26A0" w:rsidRPr="00A27A71" w:rsidRDefault="00FD26A0" w:rsidP="00B77D27">
            <w:pPr>
              <w:spacing w:after="60"/>
              <w:jc w:val="left"/>
              <w:rPr>
                <w:b/>
                <w:sz w:val="18"/>
                <w:szCs w:val="18"/>
              </w:rPr>
            </w:pPr>
            <w:r w:rsidRPr="00A27A71">
              <w:rPr>
                <w:b/>
                <w:sz w:val="18"/>
                <w:szCs w:val="18"/>
              </w:rPr>
              <w:t>Secretariat's recommendation:</w:t>
            </w:r>
          </w:p>
        </w:tc>
        <w:tc>
          <w:tcPr>
            <w:tcW w:w="0" w:type="auto"/>
            <w:shd w:val="clear" w:color="auto" w:fill="auto"/>
          </w:tcPr>
          <w:p w:rsidR="00FD26A0" w:rsidRPr="00A27A71" w:rsidRDefault="00FD26A0" w:rsidP="00B77D27">
            <w:pPr>
              <w:spacing w:after="60"/>
              <w:jc w:val="center"/>
              <w:rPr>
                <w:sz w:val="18"/>
                <w:szCs w:val="18"/>
              </w:rPr>
            </w:pPr>
            <w:r w:rsidRPr="00A27A71">
              <w:rPr>
                <w:sz w:val="18"/>
                <w:szCs w:val="18"/>
              </w:rPr>
              <w:t>For individual consideration</w:t>
            </w:r>
          </w:p>
        </w:tc>
      </w:tr>
    </w:tbl>
    <w:p w:rsidR="00FD26A0" w:rsidRPr="00A27A71" w:rsidRDefault="00FD26A0" w:rsidP="00FD26A0"/>
    <w:p w:rsidR="00C905D9" w:rsidRPr="00A27A71" w:rsidRDefault="00C905D9" w:rsidP="00C905D9"/>
    <w:p w:rsidR="0069138E" w:rsidRPr="00A27A71" w:rsidRDefault="0069138E" w:rsidP="00C905D9"/>
    <w:p w:rsidR="00C905D9" w:rsidRPr="00A27A71" w:rsidRDefault="00C905D9" w:rsidP="00C905D9">
      <w:r w:rsidRPr="00A27A71">
        <w:br w:type="page"/>
      </w:r>
    </w:p>
    <w:p w:rsidR="00C905D9" w:rsidRPr="00A27A71" w:rsidRDefault="00C905D9" w:rsidP="00C905D9">
      <w:pPr>
        <w:jc w:val="center"/>
        <w:rPr>
          <w:b/>
        </w:rPr>
      </w:pPr>
      <w:r w:rsidRPr="00A27A71">
        <w:rPr>
          <w:b/>
        </w:rPr>
        <w:lastRenderedPageBreak/>
        <w:t>PROJECT DESCRIPTION</w:t>
      </w:r>
    </w:p>
    <w:p w:rsidR="00C905D9" w:rsidRPr="00A27A71" w:rsidRDefault="00C905D9" w:rsidP="00C905D9"/>
    <w:p w:rsidR="00C905D9" w:rsidRPr="00A27A71" w:rsidRDefault="00C905D9" w:rsidP="00C905D9">
      <w:pPr>
        <w:pStyle w:val="Heading1"/>
      </w:pPr>
      <w:r w:rsidRPr="00A27A71">
        <w:t>On behalf of the Government of</w:t>
      </w:r>
      <w:r w:rsidR="00E0480C" w:rsidRPr="00A27A71">
        <w:t xml:space="preserve"> Egypt</w:t>
      </w:r>
      <w:r w:rsidRPr="00A27A71">
        <w:t xml:space="preserve">, </w:t>
      </w:r>
      <w:r w:rsidR="00E0480C" w:rsidRPr="00A27A71">
        <w:t>UNIDO</w:t>
      </w:r>
      <w:r w:rsidRPr="00A27A71">
        <w:t>, as the lead implementing agency, has submitted to the 7</w:t>
      </w:r>
      <w:r w:rsidR="00E0480C" w:rsidRPr="00A27A71">
        <w:t>9</w:t>
      </w:r>
      <w:r w:rsidRPr="00A27A71">
        <w:rPr>
          <w:vertAlign w:val="superscript"/>
        </w:rPr>
        <w:t>th</w:t>
      </w:r>
      <w:r w:rsidR="00E0480C" w:rsidRPr="00A27A71">
        <w:rPr>
          <w:vertAlign w:val="superscript"/>
        </w:rPr>
        <w:t> </w:t>
      </w:r>
      <w:r w:rsidRPr="00A27A71">
        <w:t xml:space="preserve">meeting </w:t>
      </w:r>
      <w:r w:rsidR="00E61A05" w:rsidRPr="00A27A71">
        <w:t>stage </w:t>
      </w:r>
      <w:r w:rsidRPr="00A27A71">
        <w:t>II of the HCFC phase-out management plan (HPMP) at a total cost of US</w:t>
      </w:r>
      <w:r w:rsidR="00671689" w:rsidRPr="00A27A71">
        <w:t> </w:t>
      </w:r>
      <w:r w:rsidRPr="00A27A71">
        <w:t>$</w:t>
      </w:r>
      <w:r w:rsidR="00671689" w:rsidRPr="00A27A71">
        <w:t>36,628,197</w:t>
      </w:r>
      <w:r w:rsidRPr="00A27A71">
        <w:t>, consisting of US</w:t>
      </w:r>
      <w:r w:rsidR="00671689" w:rsidRPr="00A27A71">
        <w:t> </w:t>
      </w:r>
      <w:r w:rsidRPr="00A27A71">
        <w:t>$</w:t>
      </w:r>
      <w:r w:rsidR="00671689" w:rsidRPr="00A27A71">
        <w:t>26,230,231</w:t>
      </w:r>
      <w:r w:rsidRPr="00A27A71">
        <w:t xml:space="preserve">, plus agency support costs of </w:t>
      </w:r>
      <w:r w:rsidR="00671689" w:rsidRPr="00A27A71">
        <w:t>US $1,836,116</w:t>
      </w:r>
      <w:r w:rsidRPr="00A27A71">
        <w:t xml:space="preserve"> for </w:t>
      </w:r>
      <w:r w:rsidR="00E0480C" w:rsidRPr="00A27A71">
        <w:t>UNIDO</w:t>
      </w:r>
      <w:r w:rsidR="00671689" w:rsidRPr="00A27A71">
        <w:t>,</w:t>
      </w:r>
      <w:r w:rsidRPr="00A27A71">
        <w:t xml:space="preserve"> </w:t>
      </w:r>
      <w:r w:rsidR="00E0480C" w:rsidRPr="00A27A71">
        <w:t>US</w:t>
      </w:r>
      <w:r w:rsidR="00671689" w:rsidRPr="00A27A71">
        <w:t> </w:t>
      </w:r>
      <w:r w:rsidR="00E0480C" w:rsidRPr="00A27A71">
        <w:t>$</w:t>
      </w:r>
      <w:r w:rsidR="00671689" w:rsidRPr="00A27A71">
        <w:t>6,672,520,</w:t>
      </w:r>
      <w:r w:rsidR="00E0480C" w:rsidRPr="00A27A71">
        <w:t xml:space="preserve"> plus agency support costs of </w:t>
      </w:r>
      <w:r w:rsidR="00671689" w:rsidRPr="00A27A71">
        <w:t>US $467,076</w:t>
      </w:r>
      <w:r w:rsidR="00E0480C" w:rsidRPr="00A27A71">
        <w:t xml:space="preserve"> for UNDP</w:t>
      </w:r>
      <w:r w:rsidR="00671689" w:rsidRPr="00A27A71">
        <w:t>,</w:t>
      </w:r>
      <w:r w:rsidR="00E0480C" w:rsidRPr="00A27A71">
        <w:t xml:space="preserve"> US</w:t>
      </w:r>
      <w:r w:rsidR="00671689" w:rsidRPr="00A27A71">
        <w:t> </w:t>
      </w:r>
      <w:r w:rsidR="00E0480C" w:rsidRPr="00A27A71">
        <w:t>$</w:t>
      </w:r>
      <w:r w:rsidR="00671689" w:rsidRPr="00A27A71">
        <w:t>1,055,000</w:t>
      </w:r>
      <w:r w:rsidR="00E0480C" w:rsidRPr="00A27A71">
        <w:t xml:space="preserve">, plus agency support costs of </w:t>
      </w:r>
      <w:r w:rsidR="00671689" w:rsidRPr="00A27A71">
        <w:t>US $137,150</w:t>
      </w:r>
      <w:r w:rsidR="00E0480C" w:rsidRPr="00A27A71">
        <w:t xml:space="preserve"> for </w:t>
      </w:r>
      <w:r w:rsidR="00415312" w:rsidRPr="00A27A71">
        <w:t>United Nations Environment Programme (UN Environment)</w:t>
      </w:r>
      <w:r w:rsidR="00671689" w:rsidRPr="00A27A71">
        <w:t>,</w:t>
      </w:r>
      <w:r w:rsidR="00E0480C" w:rsidRPr="00A27A71">
        <w:t xml:space="preserve"> and US</w:t>
      </w:r>
      <w:r w:rsidR="00671689" w:rsidRPr="00A27A71">
        <w:t> </w:t>
      </w:r>
      <w:r w:rsidR="00E0480C" w:rsidRPr="00A27A71">
        <w:t>$</w:t>
      </w:r>
      <w:r w:rsidR="00671689" w:rsidRPr="00A27A71">
        <w:t>207,300</w:t>
      </w:r>
      <w:r w:rsidR="00E0480C" w:rsidRPr="00A27A71">
        <w:t xml:space="preserve">, plus agency support costs of </w:t>
      </w:r>
      <w:r w:rsidR="00671689" w:rsidRPr="00A27A71">
        <w:t>US $22,803</w:t>
      </w:r>
      <w:r w:rsidR="00E0480C" w:rsidRPr="00A27A71">
        <w:t xml:space="preserve"> for</w:t>
      </w:r>
      <w:r w:rsidR="00671689" w:rsidRPr="00A27A71">
        <w:t xml:space="preserve"> the </w:t>
      </w:r>
      <w:r w:rsidR="00E0480C" w:rsidRPr="00A27A71">
        <w:t>Government of Germany</w:t>
      </w:r>
      <w:r w:rsidR="00D53FE4" w:rsidRPr="00A27A71">
        <w:t>,</w:t>
      </w:r>
      <w:r w:rsidR="00E0480C" w:rsidRPr="00A27A71">
        <w:t xml:space="preserve"> </w:t>
      </w:r>
      <w:r w:rsidRPr="00A27A71">
        <w:t xml:space="preserve">as originally submitted. The implementation of </w:t>
      </w:r>
      <w:r w:rsidR="00E61A05" w:rsidRPr="00A27A71">
        <w:t>stage </w:t>
      </w:r>
      <w:r w:rsidRPr="00A27A71">
        <w:t xml:space="preserve">II of the HPMP will phase out </w:t>
      </w:r>
      <w:r w:rsidR="006D7E3C" w:rsidRPr="00A27A71">
        <w:t>199.26</w:t>
      </w:r>
      <w:r w:rsidR="00E0480C" w:rsidRPr="00A27A71">
        <w:t> </w:t>
      </w:r>
      <w:r w:rsidRPr="00A27A71">
        <w:t xml:space="preserve">ODP tonnes of HCFCs and assist </w:t>
      </w:r>
      <w:r w:rsidR="00E0480C" w:rsidRPr="00A27A71">
        <w:t>Egypt</w:t>
      </w:r>
      <w:r w:rsidRPr="00A27A71">
        <w:t xml:space="preserve"> in meeting the Montreal Protocol compliance target of </w:t>
      </w:r>
      <w:r w:rsidR="00A9502C" w:rsidRPr="00A27A71">
        <w:t>70</w:t>
      </w:r>
      <w:r w:rsidR="00E0480C" w:rsidRPr="00A27A71">
        <w:t> </w:t>
      </w:r>
      <w:r w:rsidRPr="00A27A71">
        <w:t xml:space="preserve">per cent reduction by </w:t>
      </w:r>
      <w:r w:rsidR="00671689" w:rsidRPr="00A27A71">
        <w:t>2025</w:t>
      </w:r>
      <w:r w:rsidRPr="00A27A71">
        <w:t>.</w:t>
      </w:r>
    </w:p>
    <w:p w:rsidR="00C905D9" w:rsidRPr="00A27A71" w:rsidRDefault="00C905D9" w:rsidP="00C905D9">
      <w:pPr>
        <w:pStyle w:val="Heading1"/>
      </w:pPr>
      <w:r w:rsidRPr="00A27A71">
        <w:t xml:space="preserve">The first tranche for </w:t>
      </w:r>
      <w:r w:rsidR="00E61A05" w:rsidRPr="00A27A71">
        <w:t>stage </w:t>
      </w:r>
      <w:r w:rsidRPr="00A27A71">
        <w:t>II of the HPMP being requested at this meeting amounts to US</w:t>
      </w:r>
      <w:r w:rsidR="00671689" w:rsidRPr="00A27A71">
        <w:t> </w:t>
      </w:r>
      <w:r w:rsidRPr="00A27A71">
        <w:t>$</w:t>
      </w:r>
      <w:r w:rsidR="00671689" w:rsidRPr="00A27A71">
        <w:t>6,687,439</w:t>
      </w:r>
      <w:r w:rsidRPr="00A27A71">
        <w:t>, consisting of US</w:t>
      </w:r>
      <w:r w:rsidR="00671689" w:rsidRPr="00A27A71">
        <w:t> </w:t>
      </w:r>
      <w:r w:rsidRPr="00A27A71">
        <w:t>$</w:t>
      </w:r>
      <w:r w:rsidR="00671689" w:rsidRPr="00A27A71">
        <w:t>4,481,664</w:t>
      </w:r>
      <w:r w:rsidR="00415312" w:rsidRPr="00A27A71">
        <w:t>,</w:t>
      </w:r>
      <w:r w:rsidRPr="00A27A71">
        <w:t xml:space="preserve"> plus agency support costs of US</w:t>
      </w:r>
      <w:r w:rsidR="00671689" w:rsidRPr="00A27A71">
        <w:t> </w:t>
      </w:r>
      <w:r w:rsidRPr="00A27A71">
        <w:t>$</w:t>
      </w:r>
      <w:r w:rsidR="00671689" w:rsidRPr="00A27A71">
        <w:t>313,716</w:t>
      </w:r>
      <w:r w:rsidRPr="00A27A71">
        <w:t xml:space="preserve"> for</w:t>
      </w:r>
      <w:r w:rsidR="00671689" w:rsidRPr="00A27A71">
        <w:t xml:space="preserve"> UNIDO</w:t>
      </w:r>
      <w:r w:rsidRPr="00A27A71">
        <w:t xml:space="preserve">, </w:t>
      </w:r>
      <w:r w:rsidR="00671689" w:rsidRPr="00A27A71">
        <w:t>US $1,493,700</w:t>
      </w:r>
      <w:r w:rsidR="00415312" w:rsidRPr="00A27A71">
        <w:t>,</w:t>
      </w:r>
      <w:r w:rsidR="00671689" w:rsidRPr="00A27A71">
        <w:t xml:space="preserve"> plus agency support costs of US $104,559 for UNDP, and US $260,000 plus agency support costs of US $33,800 for </w:t>
      </w:r>
      <w:r w:rsidR="00E61A05" w:rsidRPr="00A27A71">
        <w:t xml:space="preserve">UN </w:t>
      </w:r>
      <w:r w:rsidR="0032368B" w:rsidRPr="00A27A71">
        <w:t>Environment</w:t>
      </w:r>
      <w:r w:rsidR="00671689" w:rsidRPr="00A27A71">
        <w:t>, a</w:t>
      </w:r>
      <w:r w:rsidRPr="00A27A71">
        <w:t>s originally submitted.</w:t>
      </w:r>
      <w:r w:rsidR="00671689" w:rsidRPr="00A27A71">
        <w:t xml:space="preserve">  The Government of Germany is not requesting any funds for 2017.</w:t>
      </w:r>
    </w:p>
    <w:p w:rsidR="00C905D9" w:rsidRPr="00A27A71" w:rsidRDefault="00C905D9" w:rsidP="00C905D9">
      <w:pPr>
        <w:spacing w:after="240"/>
        <w:rPr>
          <w:b/>
        </w:rPr>
      </w:pPr>
      <w:r w:rsidRPr="00A27A71">
        <w:rPr>
          <w:b/>
        </w:rPr>
        <w:t xml:space="preserve">Status of </w:t>
      </w:r>
      <w:r w:rsidR="00E61A05" w:rsidRPr="00A27A71">
        <w:rPr>
          <w:b/>
        </w:rPr>
        <w:t>stage </w:t>
      </w:r>
      <w:r w:rsidRPr="00A27A71">
        <w:rPr>
          <w:b/>
        </w:rPr>
        <w:t>I</w:t>
      </w:r>
    </w:p>
    <w:p w:rsidR="00C905D9" w:rsidRPr="00A27A71" w:rsidRDefault="00E61A05" w:rsidP="00D53FE4">
      <w:pPr>
        <w:pStyle w:val="Heading1"/>
      </w:pPr>
      <w:r w:rsidRPr="00A27A71">
        <w:t>Stage </w:t>
      </w:r>
      <w:r w:rsidR="00C905D9" w:rsidRPr="00A27A71">
        <w:t xml:space="preserve">I of the HPMP for </w:t>
      </w:r>
      <w:r w:rsidR="00E0480C" w:rsidRPr="00A27A71">
        <w:t>Egypt</w:t>
      </w:r>
      <w:r w:rsidR="00C905D9" w:rsidRPr="00A27A71">
        <w:t xml:space="preserve"> was approved by the Executive Committee at its </w:t>
      </w:r>
      <w:r w:rsidR="00E0480C" w:rsidRPr="00A27A71">
        <w:t>65</w:t>
      </w:r>
      <w:r w:rsidR="00E0480C" w:rsidRPr="00A27A71">
        <w:rPr>
          <w:vertAlign w:val="superscript"/>
        </w:rPr>
        <w:t>th</w:t>
      </w:r>
      <w:r w:rsidR="00E0480C" w:rsidRPr="00A27A71">
        <w:t> </w:t>
      </w:r>
      <w:r w:rsidR="00C905D9" w:rsidRPr="00A27A71">
        <w:t xml:space="preserve">meeting to meet </w:t>
      </w:r>
      <w:r w:rsidR="00D53FE4" w:rsidRPr="00A27A71">
        <w:t>25 </w:t>
      </w:r>
      <w:r w:rsidR="00C905D9" w:rsidRPr="00A27A71">
        <w:t xml:space="preserve">per cent reduction by </w:t>
      </w:r>
      <w:r w:rsidR="00D53FE4" w:rsidRPr="00A27A71">
        <w:t>2018</w:t>
      </w:r>
      <w:r w:rsidR="00C905D9" w:rsidRPr="00A27A71">
        <w:t xml:space="preserve"> </w:t>
      </w:r>
      <w:r w:rsidR="00D17315" w:rsidRPr="00A27A71">
        <w:t xml:space="preserve">at a total funding level of US $8,520,815, plus agency support costs of US $643,599.  This </w:t>
      </w:r>
      <w:r w:rsidR="00C905D9" w:rsidRPr="00A27A71">
        <w:t>included</w:t>
      </w:r>
      <w:r w:rsidR="00D53FE4" w:rsidRPr="00A27A71">
        <w:t xml:space="preserve"> two foam projects to phase out 17.60</w:t>
      </w:r>
      <w:r w:rsidRPr="00A27A71">
        <w:t> ODP tonnes</w:t>
      </w:r>
      <w:r w:rsidR="00D53FE4" w:rsidRPr="00A27A71">
        <w:t xml:space="preserve"> of HCFC-141b at the amount of </w:t>
      </w:r>
      <w:r w:rsidRPr="00A27A71">
        <w:t>US $</w:t>
      </w:r>
      <w:r w:rsidR="00D53FE4" w:rsidRPr="00A27A71">
        <w:t xml:space="preserve">892,840, plus agency support costs of </w:t>
      </w:r>
      <w:r w:rsidRPr="00A27A71">
        <w:t>US $</w:t>
      </w:r>
      <w:r w:rsidR="00D53FE4" w:rsidRPr="00A27A71">
        <w:t>66,963 for UNIDO, as well as four foam projects to phase out 37.40</w:t>
      </w:r>
      <w:r w:rsidRPr="00A27A71">
        <w:t> ODP tonnes</w:t>
      </w:r>
      <w:r w:rsidR="00D53FE4" w:rsidRPr="00A27A71">
        <w:t xml:space="preserve"> of HCFC-141b at the amount of </w:t>
      </w:r>
      <w:r w:rsidRPr="00A27A71">
        <w:t>US $</w:t>
      </w:r>
      <w:r w:rsidR="00D53FE4" w:rsidRPr="00A27A71">
        <w:t xml:space="preserve">1,479,000, plus agency support costs of </w:t>
      </w:r>
      <w:r w:rsidRPr="00A27A71">
        <w:t>US $</w:t>
      </w:r>
      <w:r w:rsidR="00D53FE4" w:rsidRPr="00A27A71">
        <w:t xml:space="preserve">115,463 for UNDP, </w:t>
      </w:r>
      <w:r w:rsidR="00415312" w:rsidRPr="00A27A71">
        <w:t xml:space="preserve">that </w:t>
      </w:r>
      <w:r w:rsidR="00D53FE4" w:rsidRPr="00A27A71">
        <w:t>had already been approved at the 62</w:t>
      </w:r>
      <w:r w:rsidR="00D53FE4" w:rsidRPr="00A27A71">
        <w:rPr>
          <w:vertAlign w:val="superscript"/>
        </w:rPr>
        <w:t>nd</w:t>
      </w:r>
      <w:r w:rsidR="001E3009" w:rsidRPr="00A27A71">
        <w:t> meeting</w:t>
      </w:r>
      <w:r w:rsidR="00D53FE4" w:rsidRPr="00A27A71">
        <w:t xml:space="preserve"> and had subsequently been included in </w:t>
      </w:r>
      <w:r w:rsidRPr="00A27A71">
        <w:t>stage </w:t>
      </w:r>
      <w:r w:rsidR="00D53FE4" w:rsidRPr="00A27A71">
        <w:t>I.</w:t>
      </w:r>
      <w:r w:rsidR="00C905D9" w:rsidRPr="00A27A71">
        <w:t xml:space="preserve"> </w:t>
      </w:r>
      <w:r w:rsidR="00327BC1" w:rsidRPr="00A27A71">
        <w:t>The first two tranches were approved at the 65</w:t>
      </w:r>
      <w:r w:rsidR="00327BC1" w:rsidRPr="00A27A71">
        <w:rPr>
          <w:vertAlign w:val="superscript"/>
        </w:rPr>
        <w:t>th </w:t>
      </w:r>
      <w:r w:rsidR="00327BC1" w:rsidRPr="00A27A71">
        <w:t>and 68</w:t>
      </w:r>
      <w:r w:rsidR="00327BC1" w:rsidRPr="00A27A71">
        <w:rPr>
          <w:vertAlign w:val="superscript"/>
        </w:rPr>
        <w:t>th </w:t>
      </w:r>
      <w:r w:rsidR="00327BC1" w:rsidRPr="00A27A71">
        <w:t xml:space="preserve">meetings at a total cost of US $4,300,000 for UNDP and US $1,290,000 for UNIDO, including agency support costs. </w:t>
      </w:r>
      <w:r w:rsidR="00C82069" w:rsidRPr="00A27A71">
        <w:t xml:space="preserve">The request for the third and final tranche </w:t>
      </w:r>
      <w:r w:rsidR="00415312" w:rsidRPr="00A27A71">
        <w:t>(US $1,020,148</w:t>
      </w:r>
      <w:r w:rsidR="00DB065D">
        <w:t>,</w:t>
      </w:r>
      <w:r w:rsidR="00415312" w:rsidRPr="00A27A71">
        <w:t xml:space="preserve"> including agency support costs) </w:t>
      </w:r>
      <w:r w:rsidR="00C82069" w:rsidRPr="00A27A71">
        <w:t xml:space="preserve">is expected to be submitted in 2018. </w:t>
      </w:r>
      <w:r w:rsidR="00C905D9" w:rsidRPr="00A27A71">
        <w:t xml:space="preserve">An overview of the results achieved so far is included below.  </w:t>
      </w:r>
    </w:p>
    <w:p w:rsidR="00C905D9" w:rsidRPr="00A27A71" w:rsidRDefault="00C905D9" w:rsidP="00C905D9">
      <w:pPr>
        <w:spacing w:after="240"/>
        <w:rPr>
          <w:u w:val="single"/>
        </w:rPr>
      </w:pPr>
      <w:r w:rsidRPr="00A27A71">
        <w:rPr>
          <w:u w:val="single"/>
        </w:rPr>
        <w:t xml:space="preserve">Progress in implementation of </w:t>
      </w:r>
      <w:r w:rsidR="00E61A05" w:rsidRPr="00A27A71">
        <w:rPr>
          <w:u w:val="single"/>
        </w:rPr>
        <w:t>stage </w:t>
      </w:r>
      <w:r w:rsidRPr="00A27A71">
        <w:rPr>
          <w:u w:val="single"/>
        </w:rPr>
        <w:t>I activities</w:t>
      </w:r>
    </w:p>
    <w:p w:rsidR="00C905D9" w:rsidRPr="00A27A71" w:rsidRDefault="00C905D9" w:rsidP="00C905D9">
      <w:pPr>
        <w:spacing w:after="240"/>
        <w:rPr>
          <w:i/>
        </w:rPr>
      </w:pPr>
      <w:r w:rsidRPr="00A27A71">
        <w:rPr>
          <w:i/>
        </w:rPr>
        <w:t>ODS policy and regulation framework</w:t>
      </w:r>
    </w:p>
    <w:p w:rsidR="00C905D9" w:rsidRPr="00A27A71" w:rsidRDefault="001C73AD" w:rsidP="0058479B">
      <w:pPr>
        <w:pStyle w:val="Heading1"/>
      </w:pPr>
      <w:r w:rsidRPr="00A27A71">
        <w:t xml:space="preserve">The HCFC import licensing and quota system is operational since 2013. </w:t>
      </w:r>
      <w:r w:rsidR="0058479B" w:rsidRPr="00A27A71">
        <w:t xml:space="preserve">The National Ozone Committee establishes the annual import quotas, and the </w:t>
      </w:r>
      <w:r w:rsidR="00982962" w:rsidRPr="00A27A71">
        <w:t>n</w:t>
      </w:r>
      <w:r w:rsidR="0058479B" w:rsidRPr="00A27A71">
        <w:t xml:space="preserve">ational </w:t>
      </w:r>
      <w:r w:rsidR="00982962" w:rsidRPr="00A27A71">
        <w:t>o</w:t>
      </w:r>
      <w:r w:rsidR="0058479B" w:rsidRPr="00A27A71">
        <w:t xml:space="preserve">zone </w:t>
      </w:r>
      <w:r w:rsidR="00982962" w:rsidRPr="00A27A71">
        <w:t>u</w:t>
      </w:r>
      <w:r w:rsidR="0058479B" w:rsidRPr="00A27A71">
        <w:t>nit (NOU) approves importers and quantities in coordination with</w:t>
      </w:r>
      <w:r w:rsidR="00105DEF" w:rsidRPr="00A27A71">
        <w:t xml:space="preserve"> the</w:t>
      </w:r>
      <w:r w:rsidR="0058479B" w:rsidRPr="00A27A71">
        <w:t xml:space="preserve"> Customs</w:t>
      </w:r>
      <w:r w:rsidR="00105DEF" w:rsidRPr="00A27A71">
        <w:t xml:space="preserve"> Authority</w:t>
      </w:r>
      <w:r w:rsidR="0058479B" w:rsidRPr="00A27A71">
        <w:t>. The Government will ban imports of HCFC</w:t>
      </w:r>
      <w:r w:rsidR="008E0439" w:rsidRPr="00A27A71">
        <w:noBreakHyphen/>
      </w:r>
      <w:r w:rsidR="0058479B" w:rsidRPr="00A27A71">
        <w:t xml:space="preserve">141b pre-blended polyols by 1 January 2018 in line with </w:t>
      </w:r>
      <w:r w:rsidR="007F53A9" w:rsidRPr="00A27A71">
        <w:t>decision </w:t>
      </w:r>
      <w:r w:rsidR="0058479B" w:rsidRPr="00A27A71">
        <w:t xml:space="preserve">65/38. </w:t>
      </w:r>
    </w:p>
    <w:p w:rsidR="00C905D9" w:rsidRPr="00A27A71" w:rsidRDefault="00C905D9" w:rsidP="00C905D9">
      <w:pPr>
        <w:spacing w:after="240"/>
        <w:outlineLvl w:val="0"/>
        <w:rPr>
          <w:i/>
        </w:rPr>
      </w:pPr>
      <w:r w:rsidRPr="00A27A71">
        <w:rPr>
          <w:i/>
        </w:rPr>
        <w:t>Conversion in the foam sector</w:t>
      </w:r>
    </w:p>
    <w:p w:rsidR="00C905D9" w:rsidRPr="00A27A71" w:rsidRDefault="00C905D9" w:rsidP="00C905D9">
      <w:pPr>
        <w:pStyle w:val="Heading1"/>
      </w:pPr>
      <w:r w:rsidRPr="00A27A71">
        <w:t xml:space="preserve">The foam sector plan comprised conversions of individual enterprises as well as systems houses, to phase out </w:t>
      </w:r>
      <w:r w:rsidR="00A53764" w:rsidRPr="00A27A71">
        <w:t>167.87 </w:t>
      </w:r>
      <w:r w:rsidRPr="00A27A71">
        <w:t>ODP tonnes of HCFC-141b</w:t>
      </w:r>
      <w:r w:rsidR="00327BC1" w:rsidRPr="00A27A71">
        <w:t>:</w:t>
      </w:r>
    </w:p>
    <w:p w:rsidR="00C905D9" w:rsidRPr="00A27A71" w:rsidRDefault="00C905D9" w:rsidP="00C905D9">
      <w:pPr>
        <w:pStyle w:val="Heading2"/>
        <w:numPr>
          <w:ilvl w:val="1"/>
          <w:numId w:val="1"/>
        </w:numPr>
      </w:pPr>
      <w:r w:rsidRPr="00A27A71">
        <w:t>Conversion of</w:t>
      </w:r>
      <w:r w:rsidR="00327BC1" w:rsidRPr="00A27A71">
        <w:t xml:space="preserve"> nine</w:t>
      </w:r>
      <w:r w:rsidR="00314525" w:rsidRPr="00A27A71">
        <w:t xml:space="preserve"> polyurethane (</w:t>
      </w:r>
      <w:r w:rsidRPr="00A27A71">
        <w:t>PU</w:t>
      </w:r>
      <w:r w:rsidR="00314525" w:rsidRPr="00A27A71">
        <w:t>)</w:t>
      </w:r>
      <w:r w:rsidRPr="00A27A71">
        <w:t xml:space="preserve"> foam enterprises (</w:t>
      </w:r>
      <w:r w:rsidR="00A53764" w:rsidRPr="00A27A71">
        <w:t>92.14</w:t>
      </w:r>
      <w:r w:rsidRPr="00A27A71">
        <w:t xml:space="preserve"> ODP tonnes): </w:t>
      </w:r>
      <w:r w:rsidR="00E35DE7" w:rsidRPr="00A27A71">
        <w:t xml:space="preserve">The conversion of </w:t>
      </w:r>
      <w:r w:rsidR="008E0439" w:rsidRPr="00A27A71">
        <w:t>six</w:t>
      </w:r>
      <w:r w:rsidR="00E35DE7" w:rsidRPr="00A27A71">
        <w:t xml:space="preserve"> enterprises</w:t>
      </w:r>
      <w:r w:rsidR="00925913" w:rsidRPr="00A27A71">
        <w:rPr>
          <w:rStyle w:val="FootnoteReference"/>
        </w:rPr>
        <w:footnoteReference w:id="1"/>
      </w:r>
      <w:r w:rsidR="00E35DE7" w:rsidRPr="00A27A71">
        <w:t xml:space="preserve"> </w:t>
      </w:r>
      <w:r w:rsidR="00530C25" w:rsidRPr="00A27A71">
        <w:t xml:space="preserve">(El-Araby, Mondial, MOG, Fresh, SECC, and Cairo Foam) </w:t>
      </w:r>
      <w:r w:rsidR="00E35DE7" w:rsidRPr="00A27A71">
        <w:t>to phase</w:t>
      </w:r>
      <w:r w:rsidR="00223D78" w:rsidRPr="00A27A71">
        <w:t xml:space="preserve"> </w:t>
      </w:r>
      <w:r w:rsidR="00E35DE7" w:rsidRPr="00A27A71">
        <w:t xml:space="preserve">out </w:t>
      </w:r>
      <w:r w:rsidR="00530C25" w:rsidRPr="00A27A71">
        <w:t>31.35</w:t>
      </w:r>
      <w:r w:rsidR="00982962" w:rsidRPr="00A27A71">
        <w:t> ODP tonnes</w:t>
      </w:r>
      <w:r w:rsidR="00E35DE7" w:rsidRPr="00A27A71">
        <w:t xml:space="preserve"> of HCFC-141b </w:t>
      </w:r>
      <w:r w:rsidR="00530C25" w:rsidRPr="00A27A71">
        <w:t>and 23.65</w:t>
      </w:r>
      <w:r w:rsidR="00982962" w:rsidRPr="00A27A71">
        <w:t> ODP tonnes</w:t>
      </w:r>
      <w:r w:rsidR="00530C25" w:rsidRPr="00A27A71">
        <w:t xml:space="preserve"> of HCFC-141b contained in imported pre-blended polyols </w:t>
      </w:r>
      <w:r w:rsidR="00925913" w:rsidRPr="00A27A71">
        <w:t>have been completed</w:t>
      </w:r>
      <w:r w:rsidR="00327BC1" w:rsidRPr="00A27A71">
        <w:t xml:space="preserve"> by UNDP</w:t>
      </w:r>
      <w:r w:rsidR="00925913" w:rsidRPr="00A27A71">
        <w:t xml:space="preserve">, with </w:t>
      </w:r>
      <w:r w:rsidR="00530C25" w:rsidRPr="00A27A71">
        <w:t xml:space="preserve">only the </w:t>
      </w:r>
      <w:r w:rsidR="000F3199" w:rsidRPr="00A27A71">
        <w:t>incremental operating cost (</w:t>
      </w:r>
      <w:r w:rsidR="00925913" w:rsidRPr="00A27A71">
        <w:t>IOC</w:t>
      </w:r>
      <w:r w:rsidR="000F3199" w:rsidRPr="00A27A71">
        <w:t>)</w:t>
      </w:r>
      <w:r w:rsidR="00925913" w:rsidRPr="00A27A71">
        <w:t xml:space="preserve"> payments in process for three enterprises</w:t>
      </w:r>
      <w:r w:rsidR="00E35DE7" w:rsidRPr="00A27A71">
        <w:t xml:space="preserve">. </w:t>
      </w:r>
      <w:r w:rsidR="00B632EA" w:rsidRPr="00A27A71">
        <w:t>The conversion at</w:t>
      </w:r>
      <w:r w:rsidR="00327BC1" w:rsidRPr="00A27A71">
        <w:t xml:space="preserve"> three additional enterprises (</w:t>
      </w:r>
      <w:r w:rsidR="00B632EA" w:rsidRPr="00A27A71">
        <w:t xml:space="preserve">Kiriazi (domestic refrigeration manufacturing), </w:t>
      </w:r>
      <w:r w:rsidR="00B632EA" w:rsidRPr="00A27A71">
        <w:lastRenderedPageBreak/>
        <w:t>Reftruck (rigid insulation for trucks and panels) and Al Fateh (sandwich panel)</w:t>
      </w:r>
      <w:r w:rsidR="00327BC1" w:rsidRPr="00A27A71">
        <w:t>)</w:t>
      </w:r>
      <w:r w:rsidR="00B632EA" w:rsidRPr="00A27A71">
        <w:t xml:space="preserve"> have also been completed</w:t>
      </w:r>
      <w:r w:rsidR="00327BC1" w:rsidRPr="00A27A71">
        <w:t xml:space="preserve"> by UNIDO</w:t>
      </w:r>
      <w:r w:rsidR="00B632EA" w:rsidRPr="00A27A71">
        <w:t xml:space="preserve">, with an associated phase-out of </w:t>
      </w:r>
      <w:r w:rsidR="00A53764" w:rsidRPr="00A27A71">
        <w:t>21.16</w:t>
      </w:r>
      <w:r w:rsidR="00982962" w:rsidRPr="00A27A71">
        <w:t> ODP tonnes</w:t>
      </w:r>
      <w:r w:rsidR="00B632EA" w:rsidRPr="00A27A71">
        <w:t xml:space="preserve"> of HCFC</w:t>
      </w:r>
      <w:r w:rsidR="00E51355" w:rsidRPr="00A27A71">
        <w:noBreakHyphen/>
      </w:r>
      <w:r w:rsidR="00B632EA" w:rsidRPr="00A27A71">
        <w:t xml:space="preserve">141b and </w:t>
      </w:r>
      <w:r w:rsidR="00A53764" w:rsidRPr="00A27A71">
        <w:t>15.96</w:t>
      </w:r>
      <w:r w:rsidR="00982962" w:rsidRPr="00A27A71">
        <w:t> ODP tonnes</w:t>
      </w:r>
      <w:r w:rsidR="00B632EA" w:rsidRPr="00A27A71">
        <w:t xml:space="preserve"> of HCFC-141b contained i</w:t>
      </w:r>
      <w:r w:rsidR="0069138E" w:rsidRPr="00A27A71">
        <w:t>n imported pre-blended polyols; and</w:t>
      </w:r>
    </w:p>
    <w:p w:rsidR="00C905D9" w:rsidRPr="00A27A71" w:rsidRDefault="00C905D9" w:rsidP="005F484B">
      <w:pPr>
        <w:pStyle w:val="Heading2"/>
      </w:pPr>
      <w:r w:rsidRPr="00A27A71">
        <w:t xml:space="preserve">Conversion of </w:t>
      </w:r>
      <w:r w:rsidR="00F347CB">
        <w:t>four</w:t>
      </w:r>
      <w:r w:rsidR="00327BC1" w:rsidRPr="00A27A71">
        <w:t xml:space="preserve"> </w:t>
      </w:r>
      <w:r w:rsidRPr="00A27A71">
        <w:t>systems houses</w:t>
      </w:r>
      <w:r w:rsidR="00327BC1" w:rsidRPr="00A27A71">
        <w:t xml:space="preserve"> and downstream users</w:t>
      </w:r>
      <w:r w:rsidRPr="00A27A71">
        <w:t xml:space="preserve"> (</w:t>
      </w:r>
      <w:r w:rsidR="00222CD5" w:rsidRPr="00A27A71">
        <w:t>75.74</w:t>
      </w:r>
      <w:r w:rsidR="00E61A05" w:rsidRPr="00A27A71">
        <w:t> ODP tonnes</w:t>
      </w:r>
      <w:r w:rsidRPr="00A27A71">
        <w:t xml:space="preserve">): </w:t>
      </w:r>
      <w:r w:rsidR="00222CD5" w:rsidRPr="00A27A71">
        <w:t xml:space="preserve">Three systems houses (Dow, Obeigi, and </w:t>
      </w:r>
      <w:r w:rsidR="001A68FE" w:rsidRPr="00A27A71">
        <w:t xml:space="preserve">Technocom) </w:t>
      </w:r>
      <w:r w:rsidR="00222CD5" w:rsidRPr="00A27A71">
        <w:t xml:space="preserve">have signed agreements and completed the </w:t>
      </w:r>
      <w:r w:rsidR="005F484B" w:rsidRPr="00A27A71">
        <w:t xml:space="preserve">in-house systems </w:t>
      </w:r>
      <w:r w:rsidR="00222CD5" w:rsidRPr="00A27A71">
        <w:t>technology development</w:t>
      </w:r>
      <w:r w:rsidR="005F484B" w:rsidRPr="00A27A71">
        <w:t>;</w:t>
      </w:r>
      <w:r w:rsidR="00222CD5" w:rsidRPr="00A27A71">
        <w:t xml:space="preserve"> one of those </w:t>
      </w:r>
      <w:r w:rsidR="001A68FE" w:rsidRPr="00A27A71">
        <w:t xml:space="preserve">(Technocom) also completed its </w:t>
      </w:r>
      <w:r w:rsidR="005F484B" w:rsidRPr="00A27A71">
        <w:t>in-house conversion</w:t>
      </w:r>
      <w:r w:rsidR="001A68FE" w:rsidRPr="00A27A71">
        <w:t xml:space="preserve">. </w:t>
      </w:r>
      <w:r w:rsidR="005F484B" w:rsidRPr="00A27A71">
        <w:t>The fourth systems house (Baalbaki)</w:t>
      </w:r>
      <w:r w:rsidR="00327BC1" w:rsidRPr="00A27A71">
        <w:t xml:space="preserve"> </w:t>
      </w:r>
      <w:r w:rsidR="005F484B" w:rsidRPr="00A27A71">
        <w:t xml:space="preserve">has yet to sign an agreement. </w:t>
      </w:r>
      <w:r w:rsidR="00327BC1" w:rsidRPr="00A27A71">
        <w:t>Through the systems houses, 81 small- and medium-sized enterprises (SMEs) and 350 “micro” users will be converted.</w:t>
      </w:r>
    </w:p>
    <w:p w:rsidR="00C905D9" w:rsidRPr="00A27A71" w:rsidRDefault="00C905D9" w:rsidP="00C905D9">
      <w:pPr>
        <w:pStyle w:val="Heading2"/>
        <w:numPr>
          <w:ilvl w:val="0"/>
          <w:numId w:val="0"/>
        </w:numPr>
        <w:rPr>
          <w:color w:val="000000"/>
        </w:rPr>
      </w:pPr>
      <w:r w:rsidRPr="00A27A71">
        <w:rPr>
          <w:i/>
          <w:color w:val="000000"/>
        </w:rPr>
        <w:t xml:space="preserve">Refrigeration servicing sector </w:t>
      </w:r>
    </w:p>
    <w:p w:rsidR="00C905D9" w:rsidRPr="00A27A71" w:rsidRDefault="00024146" w:rsidP="00D86F93">
      <w:pPr>
        <w:pStyle w:val="Heading1"/>
      </w:pPr>
      <w:r w:rsidRPr="00A27A71">
        <w:t xml:space="preserve">A kick-off meeting for the servicing sector activities was held in Cairo in May 2013 to raise awareness and discuss non-ODS alternatives. The </w:t>
      </w:r>
      <w:r w:rsidR="00D86F93" w:rsidRPr="00A27A71">
        <w:t>Egyptian Programme for Promoting Low-GWP Refrigerants’ Alternatives (</w:t>
      </w:r>
      <w:r w:rsidRPr="00A27A71">
        <w:t>EGYPRA</w:t>
      </w:r>
      <w:r w:rsidR="00D86F93" w:rsidRPr="00A27A71">
        <w:t>)</w:t>
      </w:r>
      <w:r w:rsidRPr="00A27A71">
        <w:t xml:space="preserve"> initiative was launched in 2014 as part of the enabling activities for the air-conditioning (AC) sector to assess low-global warming potential (GWP) alternatives. Two meetings were held with AC manufacturers and technology suppliers, components and refrigerant samples have been provided to manufacturers to build prototypes, and some prototypes have been completed. The next step is to test the performance of the prototypes. </w:t>
      </w:r>
    </w:p>
    <w:p w:rsidR="00C905D9" w:rsidRPr="00A27A71" w:rsidRDefault="00C905D9" w:rsidP="00C905D9">
      <w:pPr>
        <w:spacing w:after="240"/>
        <w:outlineLvl w:val="0"/>
        <w:rPr>
          <w:color w:val="000000"/>
        </w:rPr>
      </w:pPr>
      <w:r w:rsidRPr="00A27A71">
        <w:rPr>
          <w:i/>
          <w:color w:val="000000"/>
        </w:rPr>
        <w:t>Project implementation and monitoring unit (PMU)</w:t>
      </w:r>
    </w:p>
    <w:p w:rsidR="00C905D9" w:rsidRPr="00A27A71" w:rsidRDefault="00C905D9" w:rsidP="006D29B2">
      <w:pPr>
        <w:pStyle w:val="Heading1"/>
      </w:pPr>
      <w:r w:rsidRPr="00A27A71">
        <w:t xml:space="preserve">The PMU has provided support to the NOU in implementing the HPMP activities; visiting enterprises to review projects; developing technical specifications; and ensuring financial control of the funds according to </w:t>
      </w:r>
      <w:r w:rsidR="00121039" w:rsidRPr="00A27A71">
        <w:t>UNIDO’s</w:t>
      </w:r>
      <w:r w:rsidRPr="00A27A71">
        <w:t xml:space="preserve"> rules and regulations.</w:t>
      </w:r>
    </w:p>
    <w:p w:rsidR="00C905D9" w:rsidRPr="00A27A71" w:rsidRDefault="00C905D9" w:rsidP="00C905D9">
      <w:pPr>
        <w:spacing w:after="240"/>
        <w:outlineLvl w:val="0"/>
        <w:rPr>
          <w:color w:val="000000"/>
          <w:u w:val="single"/>
        </w:rPr>
      </w:pPr>
      <w:r w:rsidRPr="00A27A71">
        <w:rPr>
          <w:color w:val="000000"/>
          <w:u w:val="single"/>
        </w:rPr>
        <w:t>Status of disbursements</w:t>
      </w:r>
    </w:p>
    <w:p w:rsidR="00C905D9" w:rsidRPr="00A27A71" w:rsidRDefault="00C905D9" w:rsidP="00446158">
      <w:pPr>
        <w:pStyle w:val="Heading1"/>
      </w:pPr>
      <w:r w:rsidRPr="00A27A71">
        <w:t>A</w:t>
      </w:r>
      <w:r w:rsidR="006D29B2" w:rsidRPr="00A27A71">
        <w:t>s</w:t>
      </w:r>
      <w:r w:rsidRPr="00A27A71">
        <w:t xml:space="preserve"> of </w:t>
      </w:r>
      <w:r w:rsidR="006D29B2" w:rsidRPr="00A27A71">
        <w:t>April 2017,</w:t>
      </w:r>
      <w:r w:rsidRPr="00A27A71">
        <w:t xml:space="preserve"> of the total funds of US $</w:t>
      </w:r>
      <w:r w:rsidR="006D29B2" w:rsidRPr="00A27A71">
        <w:t xml:space="preserve">7,571,840 </w:t>
      </w:r>
      <w:r w:rsidRPr="00A27A71">
        <w:t>so far approved, US $</w:t>
      </w:r>
      <w:r w:rsidR="00446158" w:rsidRPr="00A27A71">
        <w:t>4,513,339 (60</w:t>
      </w:r>
      <w:r w:rsidR="008E0439" w:rsidRPr="00A27A71">
        <w:t> </w:t>
      </w:r>
      <w:r w:rsidR="00446158" w:rsidRPr="00A27A71">
        <w:t>per cent)</w:t>
      </w:r>
      <w:r w:rsidRPr="00A27A71">
        <w:t xml:space="preserve"> have been disbursed. The remaining US $</w:t>
      </w:r>
      <w:r w:rsidR="00446158" w:rsidRPr="00A27A71">
        <w:t>3,058,501</w:t>
      </w:r>
      <w:r w:rsidRPr="00A27A71">
        <w:t xml:space="preserve"> will be disbursed between </w:t>
      </w:r>
      <w:r w:rsidR="00446158" w:rsidRPr="00A27A71">
        <w:t>2017</w:t>
      </w:r>
      <w:r w:rsidRPr="00A27A71">
        <w:t xml:space="preserve"> </w:t>
      </w:r>
      <w:r w:rsidR="00446158" w:rsidRPr="00A27A71">
        <w:t>and</w:t>
      </w:r>
      <w:r w:rsidRPr="00A27A71">
        <w:t xml:space="preserve"> 20</w:t>
      </w:r>
      <w:r w:rsidR="00446158" w:rsidRPr="00A27A71">
        <w:t>18</w:t>
      </w:r>
      <w:r w:rsidRPr="00A27A71">
        <w:t>.</w:t>
      </w:r>
      <w:r w:rsidR="00446158" w:rsidRPr="00A27A71">
        <w:t xml:space="preserve"> The third and final tranche is expected to be requested in 2018.</w:t>
      </w:r>
    </w:p>
    <w:p w:rsidR="00C905D9" w:rsidRPr="00A27A71" w:rsidRDefault="00E61A05" w:rsidP="00C905D9">
      <w:pPr>
        <w:spacing w:after="240"/>
        <w:outlineLvl w:val="0"/>
        <w:rPr>
          <w:b/>
        </w:rPr>
      </w:pPr>
      <w:r w:rsidRPr="00A27A71">
        <w:rPr>
          <w:b/>
        </w:rPr>
        <w:t>Stage </w:t>
      </w:r>
      <w:r w:rsidR="00C905D9" w:rsidRPr="00A27A71">
        <w:rPr>
          <w:b/>
        </w:rPr>
        <w:t xml:space="preserve">II of the HPMP </w:t>
      </w:r>
    </w:p>
    <w:p w:rsidR="00C905D9" w:rsidRPr="00A27A71" w:rsidRDefault="00AC09FF" w:rsidP="00AC09FF">
      <w:pPr>
        <w:numPr>
          <w:ilvl w:val="0"/>
          <w:numId w:val="1"/>
        </w:numPr>
        <w:tabs>
          <w:tab w:val="clear" w:pos="0"/>
        </w:tabs>
        <w:spacing w:after="240"/>
        <w:outlineLvl w:val="0"/>
      </w:pPr>
      <w:r w:rsidRPr="00A27A71">
        <w:rPr>
          <w:rFonts w:eastAsia="Calibri"/>
        </w:rPr>
        <w:t xml:space="preserve">The Government of Egypt would commit in </w:t>
      </w:r>
      <w:r w:rsidR="00E61A05" w:rsidRPr="00A27A71">
        <w:rPr>
          <w:rFonts w:eastAsia="Calibri"/>
        </w:rPr>
        <w:t>stage </w:t>
      </w:r>
      <w:r w:rsidRPr="00A27A71">
        <w:rPr>
          <w:rFonts w:eastAsia="Calibri"/>
        </w:rPr>
        <w:t>II to reduce HCFC consumption by 70</w:t>
      </w:r>
      <w:r w:rsidR="00E61A05" w:rsidRPr="00A27A71">
        <w:rPr>
          <w:rFonts w:eastAsia="Calibri"/>
        </w:rPr>
        <w:t> per cent</w:t>
      </w:r>
      <w:r w:rsidRPr="00A27A71">
        <w:rPr>
          <w:rFonts w:eastAsia="Calibri"/>
        </w:rPr>
        <w:t xml:space="preserve"> of the baseline by 2025, with an associated phase-out of </w:t>
      </w:r>
      <w:r w:rsidR="00DB065D">
        <w:rPr>
          <w:rFonts w:eastAsia="Calibri"/>
        </w:rPr>
        <w:t>199.26</w:t>
      </w:r>
      <w:r w:rsidR="00E61A05" w:rsidRPr="00A27A71">
        <w:rPr>
          <w:rFonts w:eastAsia="Calibri"/>
        </w:rPr>
        <w:t> ODP tonnes</w:t>
      </w:r>
      <w:r w:rsidR="007E31D4" w:rsidRPr="00A27A71">
        <w:rPr>
          <w:rFonts w:eastAsia="Calibri"/>
        </w:rPr>
        <w:t xml:space="preserve"> to</w:t>
      </w:r>
      <w:r w:rsidRPr="00A27A71">
        <w:rPr>
          <w:rFonts w:eastAsia="Calibri"/>
        </w:rPr>
        <w:t xml:space="preserve"> achieve a complete phase</w:t>
      </w:r>
      <w:r w:rsidR="005D1FF4" w:rsidRPr="00A27A71">
        <w:rPr>
          <w:rFonts w:eastAsia="Calibri"/>
        </w:rPr>
        <w:noBreakHyphen/>
      </w:r>
      <w:r w:rsidRPr="00A27A71">
        <w:rPr>
          <w:rFonts w:eastAsia="Calibri"/>
        </w:rPr>
        <w:t>out of HCFC</w:t>
      </w:r>
      <w:r w:rsidR="006A7F88" w:rsidRPr="00A27A71">
        <w:rPr>
          <w:rFonts w:eastAsia="Calibri"/>
        </w:rPr>
        <w:noBreakHyphen/>
      </w:r>
      <w:r w:rsidRPr="00A27A71">
        <w:rPr>
          <w:rFonts w:eastAsia="Calibri"/>
        </w:rPr>
        <w:t>141b</w:t>
      </w:r>
      <w:r w:rsidR="007E31D4" w:rsidRPr="00A27A71">
        <w:rPr>
          <w:rFonts w:eastAsia="Calibri"/>
        </w:rPr>
        <w:t xml:space="preserve"> through </w:t>
      </w:r>
      <w:r w:rsidR="006A7F88" w:rsidRPr="00A27A71">
        <w:rPr>
          <w:rFonts w:eastAsia="Calibri"/>
        </w:rPr>
        <w:t>the conversion of all PU foam manufacturing enterprises</w:t>
      </w:r>
      <w:r w:rsidR="007E31D4" w:rsidRPr="00A27A71">
        <w:rPr>
          <w:rFonts w:eastAsia="Calibri"/>
        </w:rPr>
        <w:t xml:space="preserve">; </w:t>
      </w:r>
      <w:r w:rsidRPr="00A27A71">
        <w:rPr>
          <w:rFonts w:eastAsia="Calibri"/>
        </w:rPr>
        <w:t xml:space="preserve">the conversion of five enterprises </w:t>
      </w:r>
      <w:r w:rsidR="00473A4D" w:rsidRPr="00A27A71">
        <w:rPr>
          <w:rFonts w:eastAsia="Calibri"/>
        </w:rPr>
        <w:t>in</w:t>
      </w:r>
      <w:r w:rsidRPr="00A27A71">
        <w:rPr>
          <w:rFonts w:eastAsia="Calibri"/>
        </w:rPr>
        <w:t xml:space="preserve"> the domestic </w:t>
      </w:r>
      <w:r w:rsidR="00223D78" w:rsidRPr="00A27A71">
        <w:rPr>
          <w:rFonts w:eastAsia="Calibri"/>
        </w:rPr>
        <w:t>AC </w:t>
      </w:r>
      <w:r w:rsidRPr="00A27A71">
        <w:rPr>
          <w:rFonts w:eastAsia="Calibri"/>
        </w:rPr>
        <w:t xml:space="preserve">sector, three enterprises in the commercial </w:t>
      </w:r>
      <w:r w:rsidR="00223D78" w:rsidRPr="00A27A71">
        <w:rPr>
          <w:rFonts w:eastAsia="Calibri"/>
        </w:rPr>
        <w:t>AC </w:t>
      </w:r>
      <w:r w:rsidRPr="00A27A71">
        <w:rPr>
          <w:rFonts w:eastAsia="Calibri"/>
        </w:rPr>
        <w:t>sector, 14</w:t>
      </w:r>
      <w:r w:rsidR="00314525" w:rsidRPr="00A27A71">
        <w:rPr>
          <w:rFonts w:eastAsia="Calibri"/>
        </w:rPr>
        <w:t> </w:t>
      </w:r>
      <w:r w:rsidRPr="00A27A71">
        <w:rPr>
          <w:rFonts w:eastAsia="Calibri"/>
        </w:rPr>
        <w:t>enterprises in the commercial refrigeration sector</w:t>
      </w:r>
      <w:r w:rsidR="00314525" w:rsidRPr="00A27A71">
        <w:rPr>
          <w:rFonts w:eastAsia="Calibri"/>
        </w:rPr>
        <w:t>;</w:t>
      </w:r>
      <w:r w:rsidR="00AC175A" w:rsidRPr="00A27A71">
        <w:rPr>
          <w:rFonts w:eastAsia="Calibri"/>
        </w:rPr>
        <w:t xml:space="preserve"> and</w:t>
      </w:r>
      <w:r w:rsidRPr="00A27A71">
        <w:rPr>
          <w:rFonts w:eastAsia="Calibri"/>
        </w:rPr>
        <w:t xml:space="preserve"> four enterprises in the extruded polystyrene</w:t>
      </w:r>
      <w:r w:rsidR="00314525" w:rsidRPr="00A27A71">
        <w:rPr>
          <w:rFonts w:eastAsia="Calibri"/>
        </w:rPr>
        <w:t xml:space="preserve"> (XPS) foam</w:t>
      </w:r>
      <w:r w:rsidRPr="00A27A71">
        <w:rPr>
          <w:rFonts w:eastAsia="Calibri"/>
        </w:rPr>
        <w:t xml:space="preserve"> sector to low-GWP alternatives; assistance to </w:t>
      </w:r>
      <w:r w:rsidRPr="00A27A71">
        <w:t xml:space="preserve">the refrigeration servicing sector; the establishment of a hydrocarbon </w:t>
      </w:r>
      <w:r w:rsidR="00F94F72" w:rsidRPr="00A27A71">
        <w:t xml:space="preserve">(HC) </w:t>
      </w:r>
      <w:r w:rsidRPr="00A27A71">
        <w:t xml:space="preserve">refrigerant manufacturing facility; and implementation and monitoring. </w:t>
      </w:r>
    </w:p>
    <w:p w:rsidR="00C905D9" w:rsidRPr="00A27A71" w:rsidRDefault="00C905D9" w:rsidP="00C905D9">
      <w:pPr>
        <w:pStyle w:val="Heading1"/>
        <w:numPr>
          <w:ilvl w:val="0"/>
          <w:numId w:val="0"/>
        </w:numPr>
        <w:rPr>
          <w:rFonts w:eastAsia="Calibri"/>
          <w:u w:val="single"/>
        </w:rPr>
      </w:pPr>
      <w:r w:rsidRPr="00A27A71">
        <w:rPr>
          <w:rFonts w:eastAsia="Calibri"/>
          <w:u w:val="single"/>
        </w:rPr>
        <w:t xml:space="preserve">Remaining eligible consumption in </w:t>
      </w:r>
      <w:r w:rsidR="00E0480C" w:rsidRPr="00A27A71">
        <w:rPr>
          <w:rFonts w:eastAsia="Calibri"/>
          <w:u w:val="single"/>
        </w:rPr>
        <w:t>Egypt</w:t>
      </w:r>
    </w:p>
    <w:p w:rsidR="00314525" w:rsidRPr="00A27A71" w:rsidRDefault="007F53A9" w:rsidP="00E51475">
      <w:pPr>
        <w:pStyle w:val="Heading1"/>
        <w:rPr>
          <w:rFonts w:eastAsia="Calibri"/>
        </w:rPr>
      </w:pPr>
      <w:r w:rsidRPr="00A27A71">
        <w:rPr>
          <w:rFonts w:eastAsia="Calibri"/>
        </w:rPr>
        <w:t>Stage </w:t>
      </w:r>
      <w:r w:rsidR="00CD080C" w:rsidRPr="00A27A71">
        <w:rPr>
          <w:rFonts w:eastAsia="Calibri"/>
        </w:rPr>
        <w:t xml:space="preserve">I </w:t>
      </w:r>
      <w:r w:rsidR="00314525" w:rsidRPr="00A27A71">
        <w:rPr>
          <w:rFonts w:eastAsia="Calibri"/>
        </w:rPr>
        <w:t>proposed the phase-out of 174 ODP tonnes as shown in Table 1.  It included:</w:t>
      </w:r>
    </w:p>
    <w:p w:rsidR="00314525" w:rsidRPr="00A27A71" w:rsidRDefault="00706825" w:rsidP="00584F5F">
      <w:pPr>
        <w:pStyle w:val="Heading2"/>
        <w:rPr>
          <w:rFonts w:eastAsia="Calibri"/>
        </w:rPr>
      </w:pPr>
      <w:r w:rsidRPr="00A27A71">
        <w:rPr>
          <w:rFonts w:eastAsia="Calibri"/>
        </w:rPr>
        <w:t>95.69</w:t>
      </w:r>
      <w:r w:rsidR="00982962" w:rsidRPr="00A27A71">
        <w:rPr>
          <w:rFonts w:eastAsia="Calibri"/>
        </w:rPr>
        <w:t> ODP tonnes</w:t>
      </w:r>
      <w:r w:rsidRPr="00A27A71">
        <w:rPr>
          <w:rFonts w:eastAsia="Calibri"/>
        </w:rPr>
        <w:t xml:space="preserve"> of HCFC-141b and 72.18</w:t>
      </w:r>
      <w:r w:rsidR="00982962" w:rsidRPr="00A27A71">
        <w:rPr>
          <w:rFonts w:eastAsia="Calibri"/>
        </w:rPr>
        <w:t> ODP tonnes</w:t>
      </w:r>
      <w:r w:rsidRPr="00A27A71">
        <w:rPr>
          <w:rFonts w:eastAsia="Calibri"/>
        </w:rPr>
        <w:t xml:space="preserve"> of HCFC-141b contained </w:t>
      </w:r>
      <w:r w:rsidR="000D0D81" w:rsidRPr="00A27A71">
        <w:rPr>
          <w:rFonts w:eastAsia="Calibri"/>
        </w:rPr>
        <w:t>in imported pre-blended polyols</w:t>
      </w:r>
      <w:r w:rsidR="00314525" w:rsidRPr="00A27A71">
        <w:rPr>
          <w:rFonts w:eastAsia="Calibri"/>
        </w:rPr>
        <w:t>;</w:t>
      </w:r>
      <w:r w:rsidR="00584F5F" w:rsidRPr="00A27A71">
        <w:rPr>
          <w:rFonts w:eastAsia="Calibri"/>
        </w:rPr>
        <w:t xml:space="preserve"> </w:t>
      </w:r>
      <w:r w:rsidR="00314525" w:rsidRPr="00A27A71">
        <w:rPr>
          <w:rFonts w:eastAsia="Calibri"/>
        </w:rPr>
        <w:t>and</w:t>
      </w:r>
    </w:p>
    <w:p w:rsidR="00C905D9" w:rsidRPr="00A27A71" w:rsidRDefault="00706825" w:rsidP="00314525">
      <w:pPr>
        <w:pStyle w:val="Heading2"/>
        <w:rPr>
          <w:rFonts w:eastAsia="Calibri"/>
        </w:rPr>
      </w:pPr>
      <w:r w:rsidRPr="00A27A71">
        <w:rPr>
          <w:rFonts w:eastAsia="Calibri"/>
        </w:rPr>
        <w:t>6.13</w:t>
      </w:r>
      <w:r w:rsidR="00982962" w:rsidRPr="00A27A71">
        <w:rPr>
          <w:rFonts w:eastAsia="Calibri"/>
        </w:rPr>
        <w:t> ODP tonnes</w:t>
      </w:r>
      <w:r w:rsidRPr="00A27A71">
        <w:rPr>
          <w:rFonts w:eastAsia="Calibri"/>
        </w:rPr>
        <w:t xml:space="preserve"> of HCFC-22</w:t>
      </w:r>
      <w:r w:rsidR="00D930AB" w:rsidRPr="00A27A71">
        <w:rPr>
          <w:rFonts w:eastAsia="Calibri"/>
        </w:rPr>
        <w:t xml:space="preserve"> associated with the servicing sector component</w:t>
      </w:r>
      <w:r w:rsidRPr="00A27A71">
        <w:rPr>
          <w:rFonts w:eastAsia="Calibri"/>
        </w:rPr>
        <w:t xml:space="preserve">. </w:t>
      </w:r>
    </w:p>
    <w:p w:rsidR="00584F5F" w:rsidRPr="00A27A71" w:rsidRDefault="00584F5F" w:rsidP="00236189">
      <w:pPr>
        <w:pStyle w:val="Heading1"/>
        <w:rPr>
          <w:rFonts w:eastAsia="Calibri"/>
        </w:rPr>
      </w:pPr>
      <w:r w:rsidRPr="00A27A71">
        <w:rPr>
          <w:rFonts w:eastAsia="Calibri"/>
        </w:rPr>
        <w:lastRenderedPageBreak/>
        <w:t xml:space="preserve">In addition, </w:t>
      </w:r>
      <w:r w:rsidR="00236189" w:rsidRPr="00A27A71">
        <w:rPr>
          <w:rFonts w:eastAsia="Calibri"/>
        </w:rPr>
        <w:t xml:space="preserve">the Executive Committee approved a </w:t>
      </w:r>
      <w:r w:rsidRPr="00A27A71">
        <w:rPr>
          <w:rFonts w:eastAsia="Calibri"/>
        </w:rPr>
        <w:t>demonstration project on low-cost options for the conversion to non-ODS technologies in PU foams at very small users approved at the 76</w:t>
      </w:r>
      <w:r w:rsidRPr="00A27A71">
        <w:rPr>
          <w:rFonts w:eastAsia="Calibri"/>
          <w:vertAlign w:val="superscript"/>
        </w:rPr>
        <w:t>th</w:t>
      </w:r>
      <w:r w:rsidRPr="00A27A71">
        <w:rPr>
          <w:rFonts w:eastAsia="Calibri"/>
        </w:rPr>
        <w:t xml:space="preserve"> meeting </w:t>
      </w:r>
      <w:r w:rsidR="00236189" w:rsidRPr="00A27A71">
        <w:rPr>
          <w:rFonts w:eastAsia="Calibri"/>
        </w:rPr>
        <w:t>and decided to deduct 4.4 ODP tonnes of HCFC-141b from the remaining HCFC consumption eligible for funding under stage II</w:t>
      </w:r>
      <w:r w:rsidR="00DB065D">
        <w:rPr>
          <w:rFonts w:eastAsia="Calibri"/>
        </w:rPr>
        <w:t xml:space="preserve"> (decision 76/30)</w:t>
      </w:r>
      <w:r w:rsidR="00236189" w:rsidRPr="00A27A71">
        <w:rPr>
          <w:rFonts w:eastAsia="Calibri"/>
        </w:rPr>
        <w:t>.</w:t>
      </w:r>
    </w:p>
    <w:p w:rsidR="00C905D9" w:rsidRPr="00A27A71" w:rsidRDefault="00C905D9" w:rsidP="00C905D9">
      <w:pPr>
        <w:pStyle w:val="Heading1"/>
        <w:numPr>
          <w:ilvl w:val="0"/>
          <w:numId w:val="0"/>
        </w:numPr>
        <w:spacing w:after="0"/>
        <w:rPr>
          <w:rFonts w:eastAsia="Calibri"/>
          <w:b/>
        </w:rPr>
      </w:pPr>
      <w:r w:rsidRPr="00A27A71">
        <w:rPr>
          <w:rFonts w:eastAsia="Calibri"/>
          <w:b/>
        </w:rPr>
        <w:t xml:space="preserve">Table </w:t>
      </w:r>
      <w:r w:rsidR="00B77D27" w:rsidRPr="00A27A71">
        <w:rPr>
          <w:rFonts w:eastAsia="Calibri"/>
          <w:b/>
        </w:rPr>
        <w:t>1</w:t>
      </w:r>
      <w:r w:rsidRPr="00A27A71">
        <w:rPr>
          <w:rFonts w:eastAsia="Calibri"/>
          <w:b/>
        </w:rPr>
        <w:t xml:space="preserve">. Overview of the remaining HCFC consumption in </w:t>
      </w:r>
      <w:r w:rsidR="00E0480C" w:rsidRPr="00A27A71">
        <w:rPr>
          <w:rFonts w:eastAsia="Calibri"/>
          <w:b/>
        </w:rPr>
        <w:t>Egypt</w:t>
      </w:r>
    </w:p>
    <w:tbl>
      <w:tblPr>
        <w:tblW w:w="5474" w:type="pct"/>
        <w:tblLayout w:type="fixed"/>
        <w:tblLook w:val="04A0" w:firstRow="1" w:lastRow="0" w:firstColumn="1" w:lastColumn="0" w:noHBand="0" w:noVBand="1"/>
      </w:tblPr>
      <w:tblGrid>
        <w:gridCol w:w="1547"/>
        <w:gridCol w:w="900"/>
        <w:gridCol w:w="900"/>
        <w:gridCol w:w="900"/>
        <w:gridCol w:w="900"/>
        <w:gridCol w:w="811"/>
        <w:gridCol w:w="990"/>
        <w:gridCol w:w="900"/>
        <w:gridCol w:w="990"/>
        <w:gridCol w:w="744"/>
        <w:gridCol w:w="902"/>
      </w:tblGrid>
      <w:tr w:rsidR="00F94F72" w:rsidRPr="00A27A71" w:rsidTr="00F94F72">
        <w:trPr>
          <w:trHeight w:val="299"/>
        </w:trPr>
        <w:tc>
          <w:tcPr>
            <w:tcW w:w="738" w:type="pct"/>
            <w:vMerge w:val="restart"/>
            <w:tcBorders>
              <w:top w:val="single" w:sz="4" w:space="0" w:color="auto"/>
              <w:left w:val="single" w:sz="4" w:space="0" w:color="auto"/>
              <w:right w:val="single" w:sz="4" w:space="0" w:color="auto"/>
            </w:tcBorders>
            <w:shd w:val="clear" w:color="auto" w:fill="auto"/>
            <w:noWrap/>
            <w:vAlign w:val="center"/>
            <w:hideMark/>
          </w:tcPr>
          <w:p w:rsidR="00F94F72" w:rsidRPr="00A27A71" w:rsidRDefault="00F94F72" w:rsidP="00F94F72">
            <w:pPr>
              <w:jc w:val="left"/>
              <w:rPr>
                <w:b/>
                <w:color w:val="000000"/>
                <w:sz w:val="18"/>
                <w:szCs w:val="18"/>
              </w:rPr>
            </w:pPr>
            <w:r w:rsidRPr="00A27A71">
              <w:rPr>
                <w:b/>
                <w:color w:val="000000"/>
                <w:sz w:val="18"/>
                <w:szCs w:val="18"/>
              </w:rPr>
              <w:t>Substance</w:t>
            </w:r>
          </w:p>
        </w:tc>
        <w:tc>
          <w:tcPr>
            <w:tcW w:w="858" w:type="pct"/>
            <w:gridSpan w:val="2"/>
            <w:tcBorders>
              <w:top w:val="single" w:sz="4" w:space="0" w:color="auto"/>
              <w:left w:val="nil"/>
              <w:bottom w:val="single" w:sz="4" w:space="0" w:color="auto"/>
              <w:right w:val="single" w:sz="4" w:space="0" w:color="auto"/>
            </w:tcBorders>
            <w:shd w:val="clear" w:color="auto" w:fill="auto"/>
            <w:noWrap/>
            <w:hideMark/>
          </w:tcPr>
          <w:p w:rsidR="00F94F72" w:rsidRPr="00A27A71" w:rsidRDefault="00F94F72" w:rsidP="00F94F72">
            <w:pPr>
              <w:jc w:val="center"/>
              <w:rPr>
                <w:b/>
                <w:color w:val="000000"/>
                <w:sz w:val="18"/>
                <w:szCs w:val="18"/>
              </w:rPr>
            </w:pPr>
            <w:r w:rsidRPr="00A27A71">
              <w:rPr>
                <w:b/>
                <w:color w:val="000000"/>
                <w:sz w:val="18"/>
                <w:szCs w:val="18"/>
              </w:rPr>
              <w:t>Starting point</w:t>
            </w:r>
          </w:p>
        </w:tc>
        <w:tc>
          <w:tcPr>
            <w:tcW w:w="858" w:type="pct"/>
            <w:gridSpan w:val="2"/>
            <w:tcBorders>
              <w:top w:val="single" w:sz="4" w:space="0" w:color="auto"/>
              <w:left w:val="nil"/>
              <w:bottom w:val="single" w:sz="4" w:space="0" w:color="auto"/>
              <w:right w:val="single" w:sz="4" w:space="0" w:color="auto"/>
            </w:tcBorders>
            <w:shd w:val="clear" w:color="auto" w:fill="auto"/>
            <w:noWrap/>
            <w:hideMark/>
          </w:tcPr>
          <w:p w:rsidR="00F94F72" w:rsidRPr="00A27A71" w:rsidRDefault="00F94F72" w:rsidP="00F94F72">
            <w:pPr>
              <w:jc w:val="center"/>
              <w:rPr>
                <w:b/>
                <w:color w:val="000000"/>
                <w:sz w:val="18"/>
                <w:szCs w:val="18"/>
              </w:rPr>
            </w:pPr>
            <w:r w:rsidRPr="00A27A71">
              <w:rPr>
                <w:b/>
                <w:color w:val="000000"/>
                <w:sz w:val="18"/>
                <w:szCs w:val="18"/>
              </w:rPr>
              <w:t>Reduction in stage I</w:t>
            </w:r>
          </w:p>
        </w:tc>
        <w:tc>
          <w:tcPr>
            <w:tcW w:w="859" w:type="pct"/>
            <w:gridSpan w:val="2"/>
            <w:tcBorders>
              <w:top w:val="single" w:sz="4" w:space="0" w:color="auto"/>
              <w:left w:val="nil"/>
              <w:bottom w:val="single" w:sz="4" w:space="0" w:color="auto"/>
              <w:right w:val="single" w:sz="4" w:space="0" w:color="000000"/>
            </w:tcBorders>
            <w:shd w:val="clear" w:color="auto" w:fill="auto"/>
            <w:noWrap/>
            <w:hideMark/>
          </w:tcPr>
          <w:p w:rsidR="00F94F72" w:rsidRPr="00A27A71" w:rsidRDefault="00F94F72" w:rsidP="00F94F72">
            <w:pPr>
              <w:jc w:val="center"/>
              <w:rPr>
                <w:b/>
                <w:color w:val="000000"/>
                <w:sz w:val="18"/>
                <w:szCs w:val="18"/>
              </w:rPr>
            </w:pPr>
            <w:r w:rsidRPr="00A27A71">
              <w:rPr>
                <w:b/>
                <w:color w:val="000000"/>
                <w:sz w:val="18"/>
                <w:szCs w:val="18"/>
              </w:rPr>
              <w:t>Remaining</w:t>
            </w:r>
          </w:p>
        </w:tc>
        <w:tc>
          <w:tcPr>
            <w:tcW w:w="901" w:type="pct"/>
            <w:gridSpan w:val="2"/>
            <w:tcBorders>
              <w:top w:val="single" w:sz="4" w:space="0" w:color="auto"/>
              <w:left w:val="nil"/>
              <w:bottom w:val="single" w:sz="4" w:space="0" w:color="auto"/>
              <w:right w:val="single" w:sz="4" w:space="0" w:color="000000"/>
            </w:tcBorders>
            <w:shd w:val="clear" w:color="auto" w:fill="auto"/>
            <w:noWrap/>
            <w:hideMark/>
          </w:tcPr>
          <w:p w:rsidR="00F94F72" w:rsidRPr="00A27A71" w:rsidRDefault="00F94F72" w:rsidP="00F94F72">
            <w:pPr>
              <w:jc w:val="center"/>
              <w:rPr>
                <w:b/>
                <w:color w:val="000000"/>
                <w:sz w:val="18"/>
                <w:szCs w:val="18"/>
              </w:rPr>
            </w:pPr>
            <w:r w:rsidRPr="00A27A71">
              <w:rPr>
                <w:b/>
                <w:color w:val="000000"/>
                <w:sz w:val="18"/>
                <w:szCs w:val="18"/>
              </w:rPr>
              <w:t>Stage II proposed</w:t>
            </w:r>
          </w:p>
        </w:tc>
        <w:tc>
          <w:tcPr>
            <w:tcW w:w="785" w:type="pct"/>
            <w:gridSpan w:val="2"/>
            <w:tcBorders>
              <w:top w:val="single" w:sz="4" w:space="0" w:color="auto"/>
              <w:left w:val="nil"/>
              <w:bottom w:val="single" w:sz="4" w:space="0" w:color="auto"/>
              <w:right w:val="single" w:sz="4" w:space="0" w:color="000000"/>
            </w:tcBorders>
            <w:shd w:val="clear" w:color="auto" w:fill="auto"/>
            <w:noWrap/>
            <w:hideMark/>
          </w:tcPr>
          <w:p w:rsidR="00F94F72" w:rsidRPr="00A27A71" w:rsidRDefault="00F94F72" w:rsidP="00F94F72">
            <w:pPr>
              <w:jc w:val="center"/>
              <w:rPr>
                <w:b/>
                <w:color w:val="000000"/>
                <w:sz w:val="18"/>
                <w:szCs w:val="18"/>
              </w:rPr>
            </w:pPr>
            <w:r w:rsidRPr="00A27A71">
              <w:rPr>
                <w:b/>
                <w:color w:val="000000"/>
                <w:sz w:val="18"/>
                <w:szCs w:val="18"/>
              </w:rPr>
              <w:t>Remaining after stage II</w:t>
            </w:r>
          </w:p>
        </w:tc>
      </w:tr>
      <w:tr w:rsidR="00F94F72" w:rsidRPr="00A27A71" w:rsidTr="00F94F72">
        <w:trPr>
          <w:trHeight w:val="152"/>
        </w:trPr>
        <w:tc>
          <w:tcPr>
            <w:tcW w:w="738" w:type="pct"/>
            <w:vMerge/>
            <w:tcBorders>
              <w:left w:val="single" w:sz="4" w:space="0" w:color="auto"/>
              <w:bottom w:val="single" w:sz="4" w:space="0" w:color="auto"/>
              <w:right w:val="single" w:sz="4" w:space="0" w:color="auto"/>
            </w:tcBorders>
            <w:shd w:val="clear" w:color="auto" w:fill="auto"/>
            <w:noWrap/>
            <w:hideMark/>
          </w:tcPr>
          <w:p w:rsidR="00F94F72" w:rsidRPr="00A27A71" w:rsidRDefault="00F94F72" w:rsidP="00F94F72">
            <w:pPr>
              <w:jc w:val="left"/>
              <w:rPr>
                <w:color w:val="000000"/>
                <w:sz w:val="18"/>
                <w:szCs w:val="18"/>
              </w:rPr>
            </w:pPr>
          </w:p>
        </w:tc>
        <w:tc>
          <w:tcPr>
            <w:tcW w:w="429" w:type="pct"/>
            <w:tcBorders>
              <w:top w:val="nil"/>
              <w:left w:val="nil"/>
              <w:bottom w:val="single" w:sz="4" w:space="0" w:color="auto"/>
              <w:right w:val="single" w:sz="4" w:space="0" w:color="auto"/>
            </w:tcBorders>
            <w:shd w:val="clear" w:color="auto" w:fill="auto"/>
            <w:noWrap/>
            <w:hideMark/>
          </w:tcPr>
          <w:p w:rsidR="00F94F72" w:rsidRPr="00A27A71" w:rsidRDefault="00F94F72" w:rsidP="00F94F72">
            <w:pPr>
              <w:jc w:val="center"/>
              <w:rPr>
                <w:color w:val="000000"/>
                <w:sz w:val="18"/>
                <w:szCs w:val="18"/>
              </w:rPr>
            </w:pPr>
            <w:r w:rsidRPr="00A27A71">
              <w:rPr>
                <w:color w:val="000000"/>
                <w:sz w:val="18"/>
                <w:szCs w:val="18"/>
              </w:rPr>
              <w:t>ODP</w:t>
            </w:r>
          </w:p>
        </w:tc>
        <w:tc>
          <w:tcPr>
            <w:tcW w:w="429" w:type="pct"/>
            <w:tcBorders>
              <w:top w:val="nil"/>
              <w:left w:val="nil"/>
              <w:bottom w:val="single" w:sz="4" w:space="0" w:color="auto"/>
              <w:right w:val="single" w:sz="4" w:space="0" w:color="auto"/>
            </w:tcBorders>
            <w:shd w:val="clear" w:color="auto" w:fill="auto"/>
            <w:noWrap/>
            <w:hideMark/>
          </w:tcPr>
          <w:p w:rsidR="00F94F72" w:rsidRPr="00A27A71" w:rsidRDefault="00F94F72" w:rsidP="00F94F72">
            <w:pPr>
              <w:jc w:val="center"/>
              <w:rPr>
                <w:color w:val="000000"/>
                <w:sz w:val="18"/>
                <w:szCs w:val="18"/>
              </w:rPr>
            </w:pPr>
            <w:r w:rsidRPr="00A27A71">
              <w:rPr>
                <w:color w:val="000000"/>
                <w:sz w:val="18"/>
                <w:szCs w:val="18"/>
              </w:rPr>
              <w:t>MT</w:t>
            </w:r>
          </w:p>
        </w:tc>
        <w:tc>
          <w:tcPr>
            <w:tcW w:w="429" w:type="pct"/>
            <w:tcBorders>
              <w:top w:val="nil"/>
              <w:left w:val="nil"/>
              <w:bottom w:val="single" w:sz="4" w:space="0" w:color="auto"/>
              <w:right w:val="single" w:sz="4" w:space="0" w:color="auto"/>
            </w:tcBorders>
            <w:shd w:val="clear" w:color="auto" w:fill="auto"/>
            <w:noWrap/>
            <w:hideMark/>
          </w:tcPr>
          <w:p w:rsidR="00F94F72" w:rsidRPr="00A27A71" w:rsidRDefault="00F94F72" w:rsidP="00F94F72">
            <w:pPr>
              <w:jc w:val="center"/>
              <w:rPr>
                <w:color w:val="000000"/>
                <w:sz w:val="18"/>
                <w:szCs w:val="18"/>
              </w:rPr>
            </w:pPr>
            <w:r w:rsidRPr="00A27A71">
              <w:rPr>
                <w:color w:val="000000"/>
                <w:sz w:val="18"/>
                <w:szCs w:val="18"/>
              </w:rPr>
              <w:t>ODP</w:t>
            </w:r>
          </w:p>
        </w:tc>
        <w:tc>
          <w:tcPr>
            <w:tcW w:w="429" w:type="pct"/>
            <w:tcBorders>
              <w:top w:val="nil"/>
              <w:left w:val="nil"/>
              <w:bottom w:val="single" w:sz="4" w:space="0" w:color="auto"/>
              <w:right w:val="single" w:sz="4" w:space="0" w:color="auto"/>
            </w:tcBorders>
            <w:shd w:val="clear" w:color="auto" w:fill="auto"/>
            <w:noWrap/>
            <w:hideMark/>
          </w:tcPr>
          <w:p w:rsidR="00F94F72" w:rsidRPr="00A27A71" w:rsidRDefault="00F94F72" w:rsidP="00F94F72">
            <w:pPr>
              <w:jc w:val="center"/>
              <w:rPr>
                <w:color w:val="000000"/>
                <w:sz w:val="18"/>
                <w:szCs w:val="18"/>
              </w:rPr>
            </w:pPr>
            <w:r w:rsidRPr="00A27A71">
              <w:rPr>
                <w:color w:val="000000"/>
                <w:sz w:val="18"/>
                <w:szCs w:val="18"/>
              </w:rPr>
              <w:t>MT</w:t>
            </w:r>
          </w:p>
        </w:tc>
        <w:tc>
          <w:tcPr>
            <w:tcW w:w="387" w:type="pct"/>
            <w:tcBorders>
              <w:top w:val="nil"/>
              <w:left w:val="nil"/>
              <w:bottom w:val="single" w:sz="4" w:space="0" w:color="auto"/>
              <w:right w:val="single" w:sz="4" w:space="0" w:color="auto"/>
            </w:tcBorders>
            <w:shd w:val="clear" w:color="auto" w:fill="auto"/>
            <w:noWrap/>
            <w:hideMark/>
          </w:tcPr>
          <w:p w:rsidR="00F94F72" w:rsidRPr="00A27A71" w:rsidRDefault="00F94F72" w:rsidP="00F94F72">
            <w:pPr>
              <w:jc w:val="center"/>
              <w:rPr>
                <w:color w:val="000000"/>
                <w:sz w:val="18"/>
                <w:szCs w:val="18"/>
              </w:rPr>
            </w:pPr>
            <w:r w:rsidRPr="00A27A71">
              <w:rPr>
                <w:color w:val="000000"/>
                <w:sz w:val="18"/>
                <w:szCs w:val="18"/>
              </w:rPr>
              <w:t>ODP</w:t>
            </w:r>
          </w:p>
        </w:tc>
        <w:tc>
          <w:tcPr>
            <w:tcW w:w="472" w:type="pct"/>
            <w:tcBorders>
              <w:top w:val="nil"/>
              <w:left w:val="nil"/>
              <w:bottom w:val="single" w:sz="4" w:space="0" w:color="auto"/>
              <w:right w:val="single" w:sz="4" w:space="0" w:color="auto"/>
            </w:tcBorders>
            <w:shd w:val="clear" w:color="auto" w:fill="auto"/>
            <w:noWrap/>
            <w:hideMark/>
          </w:tcPr>
          <w:p w:rsidR="00F94F72" w:rsidRPr="00A27A71" w:rsidRDefault="00F94F72" w:rsidP="00F94F72">
            <w:pPr>
              <w:jc w:val="center"/>
              <w:rPr>
                <w:color w:val="000000"/>
                <w:sz w:val="18"/>
                <w:szCs w:val="18"/>
              </w:rPr>
            </w:pPr>
            <w:r w:rsidRPr="00A27A71">
              <w:rPr>
                <w:color w:val="000000"/>
                <w:sz w:val="18"/>
                <w:szCs w:val="18"/>
              </w:rPr>
              <w:t>MT</w:t>
            </w:r>
          </w:p>
        </w:tc>
        <w:tc>
          <w:tcPr>
            <w:tcW w:w="429" w:type="pct"/>
            <w:tcBorders>
              <w:top w:val="nil"/>
              <w:left w:val="nil"/>
              <w:bottom w:val="single" w:sz="4" w:space="0" w:color="auto"/>
              <w:right w:val="single" w:sz="4" w:space="0" w:color="auto"/>
            </w:tcBorders>
            <w:shd w:val="clear" w:color="auto" w:fill="auto"/>
            <w:noWrap/>
            <w:hideMark/>
          </w:tcPr>
          <w:p w:rsidR="00F94F72" w:rsidRPr="00A27A71" w:rsidRDefault="00F94F72" w:rsidP="00F94F72">
            <w:pPr>
              <w:jc w:val="center"/>
              <w:rPr>
                <w:color w:val="000000"/>
                <w:sz w:val="18"/>
                <w:szCs w:val="18"/>
              </w:rPr>
            </w:pPr>
            <w:r w:rsidRPr="00A27A71">
              <w:rPr>
                <w:color w:val="000000"/>
                <w:sz w:val="18"/>
                <w:szCs w:val="18"/>
              </w:rPr>
              <w:t>ODP</w:t>
            </w:r>
          </w:p>
        </w:tc>
        <w:tc>
          <w:tcPr>
            <w:tcW w:w="472" w:type="pct"/>
            <w:tcBorders>
              <w:top w:val="nil"/>
              <w:left w:val="nil"/>
              <w:bottom w:val="single" w:sz="4" w:space="0" w:color="auto"/>
              <w:right w:val="single" w:sz="4" w:space="0" w:color="auto"/>
            </w:tcBorders>
            <w:shd w:val="clear" w:color="auto" w:fill="auto"/>
            <w:noWrap/>
            <w:hideMark/>
          </w:tcPr>
          <w:p w:rsidR="00F94F72" w:rsidRPr="00A27A71" w:rsidRDefault="00F94F72" w:rsidP="00F94F72">
            <w:pPr>
              <w:jc w:val="center"/>
              <w:rPr>
                <w:color w:val="000000"/>
                <w:sz w:val="18"/>
                <w:szCs w:val="18"/>
              </w:rPr>
            </w:pPr>
            <w:r w:rsidRPr="00A27A71">
              <w:rPr>
                <w:color w:val="000000"/>
                <w:sz w:val="18"/>
                <w:szCs w:val="18"/>
              </w:rPr>
              <w:t>MT</w:t>
            </w:r>
          </w:p>
        </w:tc>
        <w:tc>
          <w:tcPr>
            <w:tcW w:w="355" w:type="pct"/>
            <w:tcBorders>
              <w:top w:val="nil"/>
              <w:left w:val="nil"/>
              <w:bottom w:val="single" w:sz="4" w:space="0" w:color="auto"/>
              <w:right w:val="single" w:sz="4" w:space="0" w:color="auto"/>
            </w:tcBorders>
            <w:shd w:val="clear" w:color="auto" w:fill="auto"/>
            <w:noWrap/>
            <w:hideMark/>
          </w:tcPr>
          <w:p w:rsidR="00F94F72" w:rsidRPr="00A27A71" w:rsidRDefault="00F94F72" w:rsidP="00F94F72">
            <w:pPr>
              <w:jc w:val="center"/>
              <w:rPr>
                <w:color w:val="000000"/>
                <w:sz w:val="18"/>
                <w:szCs w:val="18"/>
              </w:rPr>
            </w:pPr>
            <w:r w:rsidRPr="00A27A71">
              <w:rPr>
                <w:color w:val="000000"/>
                <w:sz w:val="18"/>
                <w:szCs w:val="18"/>
              </w:rPr>
              <w:t>ODP</w:t>
            </w:r>
          </w:p>
        </w:tc>
        <w:tc>
          <w:tcPr>
            <w:tcW w:w="430" w:type="pct"/>
            <w:tcBorders>
              <w:top w:val="nil"/>
              <w:left w:val="nil"/>
              <w:bottom w:val="single" w:sz="4" w:space="0" w:color="auto"/>
              <w:right w:val="single" w:sz="4" w:space="0" w:color="auto"/>
            </w:tcBorders>
            <w:shd w:val="clear" w:color="auto" w:fill="auto"/>
            <w:noWrap/>
            <w:hideMark/>
          </w:tcPr>
          <w:p w:rsidR="00F94F72" w:rsidRPr="00A27A71" w:rsidRDefault="00F94F72" w:rsidP="00F94F72">
            <w:pPr>
              <w:jc w:val="center"/>
              <w:rPr>
                <w:color w:val="000000"/>
                <w:sz w:val="18"/>
                <w:szCs w:val="18"/>
              </w:rPr>
            </w:pPr>
            <w:r w:rsidRPr="00A27A71">
              <w:rPr>
                <w:color w:val="000000"/>
                <w:sz w:val="18"/>
                <w:szCs w:val="18"/>
              </w:rPr>
              <w:t>MT</w:t>
            </w:r>
          </w:p>
        </w:tc>
      </w:tr>
      <w:tr w:rsidR="00F94F72" w:rsidRPr="00A27A71" w:rsidTr="00F94F72">
        <w:trPr>
          <w:trHeight w:val="197"/>
        </w:trPr>
        <w:tc>
          <w:tcPr>
            <w:tcW w:w="738" w:type="pct"/>
            <w:tcBorders>
              <w:top w:val="nil"/>
              <w:left w:val="single" w:sz="4" w:space="0" w:color="auto"/>
              <w:bottom w:val="single" w:sz="4" w:space="0" w:color="auto"/>
              <w:right w:val="single" w:sz="4" w:space="0" w:color="auto"/>
            </w:tcBorders>
            <w:shd w:val="clear" w:color="auto" w:fill="auto"/>
            <w:noWrap/>
            <w:hideMark/>
          </w:tcPr>
          <w:p w:rsidR="00BF505B" w:rsidRPr="00A27A71" w:rsidRDefault="00BF505B" w:rsidP="00F94F72">
            <w:pPr>
              <w:jc w:val="left"/>
              <w:rPr>
                <w:color w:val="000000"/>
                <w:sz w:val="18"/>
                <w:szCs w:val="18"/>
              </w:rPr>
            </w:pPr>
            <w:r w:rsidRPr="00A27A71">
              <w:rPr>
                <w:color w:val="000000"/>
                <w:sz w:val="18"/>
                <w:szCs w:val="18"/>
              </w:rPr>
              <w:t>HCFC-123</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0.11</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5.50</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0</w:t>
            </w:r>
            <w:r w:rsidR="004F2280" w:rsidRPr="00A27A71">
              <w:rPr>
                <w:color w:val="000000"/>
                <w:sz w:val="18"/>
                <w:szCs w:val="18"/>
              </w:rPr>
              <w:t>.00</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0.00</w:t>
            </w:r>
          </w:p>
        </w:tc>
        <w:tc>
          <w:tcPr>
            <w:tcW w:w="387"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0.11</w:t>
            </w:r>
          </w:p>
        </w:tc>
        <w:tc>
          <w:tcPr>
            <w:tcW w:w="472"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5.50</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0</w:t>
            </w:r>
            <w:r w:rsidR="004F2280" w:rsidRPr="00A27A71">
              <w:rPr>
                <w:color w:val="000000"/>
                <w:sz w:val="18"/>
                <w:szCs w:val="18"/>
              </w:rPr>
              <w:t>.00</w:t>
            </w:r>
          </w:p>
        </w:tc>
        <w:tc>
          <w:tcPr>
            <w:tcW w:w="472"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0</w:t>
            </w:r>
            <w:r w:rsidR="004F2280" w:rsidRPr="00A27A71">
              <w:rPr>
                <w:color w:val="000000"/>
                <w:sz w:val="18"/>
                <w:szCs w:val="18"/>
              </w:rPr>
              <w:t>.00</w:t>
            </w:r>
          </w:p>
        </w:tc>
        <w:tc>
          <w:tcPr>
            <w:tcW w:w="355"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0.11</w:t>
            </w:r>
          </w:p>
        </w:tc>
        <w:tc>
          <w:tcPr>
            <w:tcW w:w="430"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5.50</w:t>
            </w:r>
          </w:p>
        </w:tc>
      </w:tr>
      <w:tr w:rsidR="00F94F72" w:rsidRPr="00A27A71" w:rsidTr="00F94F72">
        <w:trPr>
          <w:trHeight w:val="161"/>
        </w:trPr>
        <w:tc>
          <w:tcPr>
            <w:tcW w:w="738" w:type="pct"/>
            <w:tcBorders>
              <w:top w:val="nil"/>
              <w:left w:val="single" w:sz="4" w:space="0" w:color="auto"/>
              <w:bottom w:val="single" w:sz="4" w:space="0" w:color="auto"/>
              <w:right w:val="single" w:sz="4" w:space="0" w:color="auto"/>
            </w:tcBorders>
            <w:shd w:val="clear" w:color="auto" w:fill="auto"/>
            <w:noWrap/>
            <w:hideMark/>
          </w:tcPr>
          <w:p w:rsidR="00BF505B" w:rsidRPr="00A27A71" w:rsidRDefault="00BF505B" w:rsidP="00F94F72">
            <w:pPr>
              <w:jc w:val="left"/>
              <w:rPr>
                <w:color w:val="000000"/>
                <w:sz w:val="18"/>
                <w:szCs w:val="18"/>
              </w:rPr>
            </w:pPr>
            <w:r w:rsidRPr="00A27A71">
              <w:rPr>
                <w:color w:val="000000"/>
                <w:sz w:val="18"/>
                <w:szCs w:val="18"/>
              </w:rPr>
              <w:t>HCFC-141b</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129.61</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1</w:t>
            </w:r>
            <w:r w:rsidR="00D930AB" w:rsidRPr="00A27A71">
              <w:rPr>
                <w:color w:val="000000"/>
                <w:sz w:val="18"/>
                <w:szCs w:val="18"/>
              </w:rPr>
              <w:t>,</w:t>
            </w:r>
            <w:r w:rsidRPr="00A27A71">
              <w:rPr>
                <w:color w:val="000000"/>
                <w:sz w:val="18"/>
                <w:szCs w:val="18"/>
              </w:rPr>
              <w:t>178.27</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95.69</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869.91</w:t>
            </w:r>
          </w:p>
        </w:tc>
        <w:tc>
          <w:tcPr>
            <w:tcW w:w="387"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iCs/>
                <w:color w:val="000000"/>
                <w:sz w:val="18"/>
                <w:szCs w:val="18"/>
              </w:rPr>
            </w:pPr>
            <w:r w:rsidRPr="00A27A71">
              <w:rPr>
                <w:iCs/>
                <w:color w:val="000000"/>
                <w:sz w:val="18"/>
                <w:szCs w:val="18"/>
              </w:rPr>
              <w:t>29.52</w:t>
            </w:r>
            <w:r w:rsidR="00A56853" w:rsidRPr="00A27A71">
              <w:rPr>
                <w:iCs/>
                <w:color w:val="000000"/>
                <w:sz w:val="18"/>
                <w:szCs w:val="18"/>
              </w:rPr>
              <w:t>*</w:t>
            </w:r>
          </w:p>
        </w:tc>
        <w:tc>
          <w:tcPr>
            <w:tcW w:w="472"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iCs/>
                <w:color w:val="000000"/>
                <w:sz w:val="18"/>
                <w:szCs w:val="18"/>
              </w:rPr>
            </w:pPr>
            <w:r w:rsidRPr="00A27A71">
              <w:rPr>
                <w:iCs/>
                <w:color w:val="000000"/>
                <w:sz w:val="18"/>
                <w:szCs w:val="18"/>
              </w:rPr>
              <w:t>268.36</w:t>
            </w:r>
            <w:r w:rsidR="00A56853" w:rsidRPr="00A27A71">
              <w:rPr>
                <w:iCs/>
                <w:color w:val="000000"/>
                <w:sz w:val="18"/>
                <w:szCs w:val="18"/>
              </w:rPr>
              <w:t>*</w:t>
            </w:r>
          </w:p>
        </w:tc>
        <w:tc>
          <w:tcPr>
            <w:tcW w:w="4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F505B" w:rsidRPr="00A27A71" w:rsidRDefault="00E30956" w:rsidP="00F94F72">
            <w:pPr>
              <w:jc w:val="right"/>
              <w:rPr>
                <w:color w:val="000000"/>
                <w:sz w:val="18"/>
                <w:szCs w:val="18"/>
              </w:rPr>
            </w:pPr>
            <w:r w:rsidRPr="00A27A71">
              <w:rPr>
                <w:color w:val="000000"/>
                <w:sz w:val="18"/>
                <w:szCs w:val="18"/>
              </w:rPr>
              <w:t>57.92</w:t>
            </w:r>
            <w:r w:rsidR="00773050" w:rsidRPr="00A27A71">
              <w:rPr>
                <w:color w:val="000000"/>
                <w:sz w:val="18"/>
                <w:szCs w:val="18"/>
              </w:rPr>
              <w:t>**</w:t>
            </w:r>
          </w:p>
        </w:tc>
        <w:tc>
          <w:tcPr>
            <w:tcW w:w="4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F505B" w:rsidRPr="00A27A71" w:rsidRDefault="00E30956" w:rsidP="00F94F72">
            <w:pPr>
              <w:jc w:val="right"/>
              <w:rPr>
                <w:color w:val="000000"/>
                <w:sz w:val="18"/>
                <w:szCs w:val="18"/>
              </w:rPr>
            </w:pPr>
            <w:r w:rsidRPr="00A27A71">
              <w:rPr>
                <w:color w:val="000000"/>
                <w:sz w:val="18"/>
                <w:szCs w:val="18"/>
              </w:rPr>
              <w:t>526.58</w:t>
            </w:r>
            <w:r w:rsidR="00773050" w:rsidRPr="00A27A71">
              <w:rPr>
                <w:color w:val="000000"/>
                <w:sz w:val="18"/>
                <w:szCs w:val="18"/>
              </w:rPr>
              <w:t>**</w:t>
            </w:r>
          </w:p>
        </w:tc>
        <w:tc>
          <w:tcPr>
            <w:tcW w:w="3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F505B" w:rsidRPr="00A27A71" w:rsidRDefault="00F875AD" w:rsidP="00F94F72">
            <w:pPr>
              <w:jc w:val="right"/>
              <w:rPr>
                <w:color w:val="000000"/>
                <w:sz w:val="18"/>
                <w:szCs w:val="18"/>
              </w:rPr>
            </w:pPr>
            <w:r w:rsidRPr="00A27A71">
              <w:rPr>
                <w:color w:val="000000"/>
                <w:sz w:val="18"/>
                <w:szCs w:val="18"/>
              </w:rPr>
              <w:t>0</w:t>
            </w:r>
            <w:r w:rsidR="004F2280" w:rsidRPr="00A27A71">
              <w:rPr>
                <w:color w:val="000000"/>
                <w:sz w:val="18"/>
                <w:szCs w:val="18"/>
              </w:rPr>
              <w:t>.00</w:t>
            </w:r>
          </w:p>
        </w:tc>
        <w:tc>
          <w:tcPr>
            <w:tcW w:w="4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F505B" w:rsidRPr="00A27A71" w:rsidRDefault="00F875AD" w:rsidP="00F94F72">
            <w:pPr>
              <w:jc w:val="right"/>
              <w:rPr>
                <w:color w:val="000000"/>
                <w:sz w:val="18"/>
                <w:szCs w:val="18"/>
              </w:rPr>
            </w:pPr>
            <w:r w:rsidRPr="00A27A71">
              <w:rPr>
                <w:color w:val="000000"/>
                <w:sz w:val="18"/>
                <w:szCs w:val="18"/>
              </w:rPr>
              <w:t>0</w:t>
            </w:r>
            <w:r w:rsidR="004F2280" w:rsidRPr="00A27A71">
              <w:rPr>
                <w:color w:val="000000"/>
                <w:sz w:val="18"/>
                <w:szCs w:val="18"/>
              </w:rPr>
              <w:t>.00</w:t>
            </w:r>
          </w:p>
        </w:tc>
      </w:tr>
      <w:tr w:rsidR="00F94F72" w:rsidRPr="00A27A71" w:rsidTr="00F94F72">
        <w:trPr>
          <w:trHeight w:val="305"/>
        </w:trPr>
        <w:tc>
          <w:tcPr>
            <w:tcW w:w="738" w:type="pct"/>
            <w:tcBorders>
              <w:top w:val="nil"/>
              <w:left w:val="single" w:sz="4" w:space="0" w:color="auto"/>
              <w:bottom w:val="single" w:sz="4" w:space="0" w:color="auto"/>
              <w:right w:val="single" w:sz="4" w:space="0" w:color="auto"/>
            </w:tcBorders>
            <w:shd w:val="clear" w:color="auto" w:fill="auto"/>
            <w:hideMark/>
          </w:tcPr>
          <w:p w:rsidR="00BF505B" w:rsidRPr="00A27A71" w:rsidRDefault="00BF505B" w:rsidP="00F94F72">
            <w:pPr>
              <w:jc w:val="left"/>
              <w:rPr>
                <w:color w:val="000000"/>
                <w:sz w:val="18"/>
                <w:szCs w:val="18"/>
              </w:rPr>
            </w:pPr>
            <w:r w:rsidRPr="00A27A71">
              <w:rPr>
                <w:color w:val="000000"/>
                <w:sz w:val="18"/>
                <w:szCs w:val="18"/>
              </w:rPr>
              <w:t>HCFC-141b in imported polyol</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98.34</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894.00</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72.18</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656.18</w:t>
            </w:r>
          </w:p>
        </w:tc>
        <w:tc>
          <w:tcPr>
            <w:tcW w:w="387"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26.16</w:t>
            </w:r>
          </w:p>
        </w:tc>
        <w:tc>
          <w:tcPr>
            <w:tcW w:w="472"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237.82</w:t>
            </w:r>
          </w:p>
        </w:tc>
        <w:tc>
          <w:tcPr>
            <w:tcW w:w="429" w:type="pct"/>
            <w:vMerge/>
            <w:tcBorders>
              <w:top w:val="nil"/>
              <w:left w:val="single" w:sz="4" w:space="0" w:color="auto"/>
              <w:bottom w:val="single" w:sz="4" w:space="0" w:color="auto"/>
              <w:right w:val="single" w:sz="4" w:space="0" w:color="auto"/>
            </w:tcBorders>
            <w:hideMark/>
          </w:tcPr>
          <w:p w:rsidR="00BF505B" w:rsidRPr="00A27A71" w:rsidRDefault="00BF505B" w:rsidP="00F94F72">
            <w:pPr>
              <w:jc w:val="right"/>
              <w:rPr>
                <w:color w:val="000000"/>
                <w:sz w:val="18"/>
                <w:szCs w:val="18"/>
              </w:rPr>
            </w:pPr>
          </w:p>
        </w:tc>
        <w:tc>
          <w:tcPr>
            <w:tcW w:w="472" w:type="pct"/>
            <w:vMerge/>
            <w:tcBorders>
              <w:top w:val="nil"/>
              <w:left w:val="single" w:sz="4" w:space="0" w:color="auto"/>
              <w:bottom w:val="single" w:sz="4" w:space="0" w:color="auto"/>
              <w:right w:val="single" w:sz="4" w:space="0" w:color="auto"/>
            </w:tcBorders>
            <w:hideMark/>
          </w:tcPr>
          <w:p w:rsidR="00BF505B" w:rsidRPr="00A27A71" w:rsidRDefault="00BF505B" w:rsidP="00F94F72">
            <w:pPr>
              <w:jc w:val="right"/>
              <w:rPr>
                <w:color w:val="000000"/>
                <w:sz w:val="18"/>
                <w:szCs w:val="18"/>
              </w:rPr>
            </w:pPr>
          </w:p>
        </w:tc>
        <w:tc>
          <w:tcPr>
            <w:tcW w:w="355" w:type="pct"/>
            <w:vMerge/>
            <w:tcBorders>
              <w:top w:val="nil"/>
              <w:left w:val="single" w:sz="4" w:space="0" w:color="auto"/>
              <w:bottom w:val="single" w:sz="4" w:space="0" w:color="auto"/>
              <w:right w:val="single" w:sz="4" w:space="0" w:color="auto"/>
            </w:tcBorders>
            <w:hideMark/>
          </w:tcPr>
          <w:p w:rsidR="00BF505B" w:rsidRPr="00A27A71" w:rsidRDefault="00BF505B" w:rsidP="00F94F72">
            <w:pPr>
              <w:jc w:val="right"/>
              <w:rPr>
                <w:color w:val="000000"/>
                <w:sz w:val="18"/>
                <w:szCs w:val="18"/>
              </w:rPr>
            </w:pPr>
          </w:p>
        </w:tc>
        <w:tc>
          <w:tcPr>
            <w:tcW w:w="430" w:type="pct"/>
            <w:vMerge/>
            <w:tcBorders>
              <w:top w:val="nil"/>
              <w:left w:val="single" w:sz="4" w:space="0" w:color="auto"/>
              <w:bottom w:val="single" w:sz="4" w:space="0" w:color="auto"/>
              <w:right w:val="single" w:sz="4" w:space="0" w:color="auto"/>
            </w:tcBorders>
            <w:hideMark/>
          </w:tcPr>
          <w:p w:rsidR="00BF505B" w:rsidRPr="00A27A71" w:rsidRDefault="00BF505B" w:rsidP="00F94F72">
            <w:pPr>
              <w:jc w:val="right"/>
              <w:rPr>
                <w:color w:val="000000"/>
                <w:sz w:val="18"/>
                <w:szCs w:val="18"/>
              </w:rPr>
            </w:pPr>
          </w:p>
        </w:tc>
      </w:tr>
      <w:tr w:rsidR="00F94F72" w:rsidRPr="00A27A71" w:rsidTr="00F94F72">
        <w:trPr>
          <w:trHeight w:val="62"/>
        </w:trPr>
        <w:tc>
          <w:tcPr>
            <w:tcW w:w="738" w:type="pct"/>
            <w:tcBorders>
              <w:top w:val="nil"/>
              <w:left w:val="single" w:sz="4" w:space="0" w:color="auto"/>
              <w:bottom w:val="single" w:sz="4" w:space="0" w:color="auto"/>
              <w:right w:val="single" w:sz="4" w:space="0" w:color="auto"/>
            </w:tcBorders>
            <w:shd w:val="clear" w:color="auto" w:fill="auto"/>
            <w:noWrap/>
            <w:hideMark/>
          </w:tcPr>
          <w:p w:rsidR="00BF505B" w:rsidRPr="00A27A71" w:rsidRDefault="00BF505B" w:rsidP="00F94F72">
            <w:pPr>
              <w:jc w:val="left"/>
              <w:rPr>
                <w:color w:val="000000"/>
                <w:sz w:val="18"/>
                <w:szCs w:val="18"/>
              </w:rPr>
            </w:pPr>
            <w:r w:rsidRPr="00A27A71">
              <w:rPr>
                <w:color w:val="000000"/>
                <w:sz w:val="18"/>
                <w:szCs w:val="18"/>
              </w:rPr>
              <w:t>HCFC-142b</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16.36</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251.69</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0</w:t>
            </w:r>
            <w:r w:rsidR="004F2280" w:rsidRPr="00A27A71">
              <w:rPr>
                <w:color w:val="000000"/>
                <w:sz w:val="18"/>
                <w:szCs w:val="18"/>
              </w:rPr>
              <w:t>.00</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0.00</w:t>
            </w:r>
          </w:p>
        </w:tc>
        <w:tc>
          <w:tcPr>
            <w:tcW w:w="387"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16.36</w:t>
            </w:r>
          </w:p>
        </w:tc>
        <w:tc>
          <w:tcPr>
            <w:tcW w:w="472"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251.69</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2.48</w:t>
            </w:r>
          </w:p>
        </w:tc>
        <w:tc>
          <w:tcPr>
            <w:tcW w:w="472"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38.19</w:t>
            </w:r>
          </w:p>
        </w:tc>
        <w:tc>
          <w:tcPr>
            <w:tcW w:w="355"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13.88</w:t>
            </w:r>
          </w:p>
        </w:tc>
        <w:tc>
          <w:tcPr>
            <w:tcW w:w="430"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213.50</w:t>
            </w:r>
          </w:p>
        </w:tc>
      </w:tr>
      <w:tr w:rsidR="00F94F72" w:rsidRPr="00A27A71" w:rsidTr="00F94F72">
        <w:trPr>
          <w:trHeight w:val="125"/>
        </w:trPr>
        <w:tc>
          <w:tcPr>
            <w:tcW w:w="738" w:type="pct"/>
            <w:tcBorders>
              <w:top w:val="nil"/>
              <w:left w:val="single" w:sz="4" w:space="0" w:color="auto"/>
              <w:bottom w:val="single" w:sz="4" w:space="0" w:color="auto"/>
              <w:right w:val="single" w:sz="4" w:space="0" w:color="auto"/>
            </w:tcBorders>
            <w:shd w:val="clear" w:color="auto" w:fill="auto"/>
            <w:noWrap/>
            <w:hideMark/>
          </w:tcPr>
          <w:p w:rsidR="00BF505B" w:rsidRPr="00A27A71" w:rsidRDefault="00BF505B" w:rsidP="00F94F72">
            <w:pPr>
              <w:jc w:val="left"/>
              <w:rPr>
                <w:color w:val="000000"/>
                <w:sz w:val="18"/>
                <w:szCs w:val="18"/>
              </w:rPr>
            </w:pPr>
            <w:r w:rsidRPr="00A27A71">
              <w:rPr>
                <w:color w:val="000000"/>
                <w:sz w:val="18"/>
                <w:szCs w:val="18"/>
              </w:rPr>
              <w:t>HCFC-22</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240.19</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4</w:t>
            </w:r>
            <w:r w:rsidR="00F94F72" w:rsidRPr="00A27A71">
              <w:rPr>
                <w:color w:val="000000"/>
                <w:sz w:val="18"/>
                <w:szCs w:val="18"/>
              </w:rPr>
              <w:t>,</w:t>
            </w:r>
            <w:r w:rsidRPr="00A27A71">
              <w:rPr>
                <w:color w:val="000000"/>
                <w:sz w:val="18"/>
                <w:szCs w:val="18"/>
              </w:rPr>
              <w:t>367.09</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6.13</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111.45</w:t>
            </w:r>
          </w:p>
        </w:tc>
        <w:tc>
          <w:tcPr>
            <w:tcW w:w="387"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234.06</w:t>
            </w:r>
          </w:p>
        </w:tc>
        <w:tc>
          <w:tcPr>
            <w:tcW w:w="472"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4</w:t>
            </w:r>
            <w:r w:rsidR="00F94F72" w:rsidRPr="00A27A71">
              <w:rPr>
                <w:color w:val="000000"/>
                <w:sz w:val="18"/>
                <w:szCs w:val="18"/>
              </w:rPr>
              <w:t>,</w:t>
            </w:r>
            <w:r w:rsidRPr="00A27A71">
              <w:rPr>
                <w:color w:val="000000"/>
                <w:sz w:val="18"/>
                <w:szCs w:val="18"/>
              </w:rPr>
              <w:t>255.64</w:t>
            </w:r>
          </w:p>
        </w:tc>
        <w:tc>
          <w:tcPr>
            <w:tcW w:w="429"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138.85</w:t>
            </w:r>
          </w:p>
        </w:tc>
        <w:tc>
          <w:tcPr>
            <w:tcW w:w="472"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2</w:t>
            </w:r>
            <w:r w:rsidR="00F94F72" w:rsidRPr="00A27A71">
              <w:rPr>
                <w:color w:val="000000"/>
                <w:sz w:val="18"/>
                <w:szCs w:val="18"/>
              </w:rPr>
              <w:t>,</w:t>
            </w:r>
            <w:r w:rsidRPr="00A27A71">
              <w:rPr>
                <w:color w:val="000000"/>
                <w:sz w:val="18"/>
                <w:szCs w:val="18"/>
              </w:rPr>
              <w:t>524.62</w:t>
            </w:r>
          </w:p>
        </w:tc>
        <w:tc>
          <w:tcPr>
            <w:tcW w:w="355"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95.21</w:t>
            </w:r>
          </w:p>
        </w:tc>
        <w:tc>
          <w:tcPr>
            <w:tcW w:w="430" w:type="pct"/>
            <w:tcBorders>
              <w:top w:val="nil"/>
              <w:left w:val="nil"/>
              <w:bottom w:val="single" w:sz="4" w:space="0" w:color="auto"/>
              <w:right w:val="single" w:sz="4" w:space="0" w:color="auto"/>
            </w:tcBorders>
            <w:shd w:val="clear" w:color="auto" w:fill="auto"/>
            <w:noWrap/>
            <w:hideMark/>
          </w:tcPr>
          <w:p w:rsidR="00BF505B" w:rsidRPr="00A27A71" w:rsidRDefault="00BF505B" w:rsidP="00F94F72">
            <w:pPr>
              <w:jc w:val="right"/>
              <w:rPr>
                <w:color w:val="000000"/>
                <w:sz w:val="18"/>
                <w:szCs w:val="18"/>
              </w:rPr>
            </w:pPr>
            <w:r w:rsidRPr="00A27A71">
              <w:rPr>
                <w:color w:val="000000"/>
                <w:sz w:val="18"/>
                <w:szCs w:val="18"/>
              </w:rPr>
              <w:t>1</w:t>
            </w:r>
            <w:r w:rsidR="00F94F72" w:rsidRPr="00A27A71">
              <w:rPr>
                <w:color w:val="000000"/>
                <w:sz w:val="18"/>
                <w:szCs w:val="18"/>
              </w:rPr>
              <w:t>,</w:t>
            </w:r>
            <w:r w:rsidRPr="00A27A71">
              <w:rPr>
                <w:color w:val="000000"/>
                <w:sz w:val="18"/>
                <w:szCs w:val="18"/>
              </w:rPr>
              <w:t>731.02</w:t>
            </w:r>
          </w:p>
        </w:tc>
      </w:tr>
      <w:tr w:rsidR="00F94F72" w:rsidRPr="00A27A71" w:rsidTr="00F94F72">
        <w:trPr>
          <w:trHeight w:val="80"/>
        </w:trPr>
        <w:tc>
          <w:tcPr>
            <w:tcW w:w="738" w:type="pct"/>
            <w:tcBorders>
              <w:top w:val="nil"/>
              <w:left w:val="single" w:sz="4" w:space="0" w:color="auto"/>
              <w:bottom w:val="single" w:sz="4" w:space="0" w:color="auto"/>
              <w:right w:val="single" w:sz="4" w:space="0" w:color="auto"/>
            </w:tcBorders>
            <w:shd w:val="clear" w:color="auto" w:fill="auto"/>
            <w:noWrap/>
            <w:hideMark/>
          </w:tcPr>
          <w:p w:rsidR="004F2280" w:rsidRPr="00A27A71" w:rsidRDefault="004F2280" w:rsidP="00F94F72">
            <w:pPr>
              <w:jc w:val="left"/>
              <w:rPr>
                <w:b/>
                <w:color w:val="000000"/>
                <w:sz w:val="18"/>
                <w:szCs w:val="18"/>
              </w:rPr>
            </w:pPr>
            <w:r w:rsidRPr="00A27A71">
              <w:rPr>
                <w:b/>
                <w:color w:val="000000"/>
                <w:sz w:val="18"/>
                <w:szCs w:val="18"/>
              </w:rPr>
              <w:t>Total</w:t>
            </w:r>
          </w:p>
        </w:tc>
        <w:tc>
          <w:tcPr>
            <w:tcW w:w="429" w:type="pct"/>
            <w:tcBorders>
              <w:top w:val="nil"/>
              <w:left w:val="nil"/>
              <w:bottom w:val="single" w:sz="4" w:space="0" w:color="auto"/>
              <w:right w:val="single" w:sz="4" w:space="0" w:color="auto"/>
            </w:tcBorders>
            <w:shd w:val="clear" w:color="auto" w:fill="auto"/>
            <w:noWrap/>
            <w:hideMark/>
          </w:tcPr>
          <w:p w:rsidR="004F2280" w:rsidRPr="00A27A71" w:rsidRDefault="004F2280" w:rsidP="00F94F72">
            <w:pPr>
              <w:jc w:val="right"/>
              <w:rPr>
                <w:b/>
                <w:color w:val="000000"/>
                <w:sz w:val="18"/>
                <w:szCs w:val="18"/>
              </w:rPr>
            </w:pPr>
            <w:r w:rsidRPr="00A27A71">
              <w:rPr>
                <w:b/>
                <w:color w:val="000000"/>
                <w:sz w:val="18"/>
                <w:szCs w:val="18"/>
              </w:rPr>
              <w:t>484.61</w:t>
            </w:r>
          </w:p>
        </w:tc>
        <w:tc>
          <w:tcPr>
            <w:tcW w:w="429" w:type="pct"/>
            <w:tcBorders>
              <w:top w:val="nil"/>
              <w:left w:val="nil"/>
              <w:bottom w:val="single" w:sz="4" w:space="0" w:color="auto"/>
              <w:right w:val="single" w:sz="4" w:space="0" w:color="auto"/>
            </w:tcBorders>
            <w:shd w:val="clear" w:color="auto" w:fill="auto"/>
            <w:noWrap/>
            <w:hideMark/>
          </w:tcPr>
          <w:p w:rsidR="004F2280" w:rsidRPr="00A27A71" w:rsidRDefault="004F2280" w:rsidP="00F94F72">
            <w:pPr>
              <w:jc w:val="right"/>
              <w:rPr>
                <w:b/>
                <w:color w:val="000000"/>
                <w:sz w:val="18"/>
                <w:szCs w:val="18"/>
              </w:rPr>
            </w:pPr>
            <w:r w:rsidRPr="00A27A71">
              <w:rPr>
                <w:b/>
                <w:color w:val="000000"/>
                <w:sz w:val="18"/>
                <w:szCs w:val="18"/>
              </w:rPr>
              <w:t>6</w:t>
            </w:r>
            <w:r w:rsidR="00F94F72" w:rsidRPr="00A27A71">
              <w:rPr>
                <w:b/>
                <w:color w:val="000000"/>
                <w:sz w:val="18"/>
                <w:szCs w:val="18"/>
              </w:rPr>
              <w:t>,</w:t>
            </w:r>
            <w:r w:rsidRPr="00A27A71">
              <w:rPr>
                <w:b/>
                <w:color w:val="000000"/>
                <w:sz w:val="18"/>
                <w:szCs w:val="18"/>
              </w:rPr>
              <w:t>696.56</w:t>
            </w:r>
          </w:p>
        </w:tc>
        <w:tc>
          <w:tcPr>
            <w:tcW w:w="429" w:type="pct"/>
            <w:tcBorders>
              <w:top w:val="nil"/>
              <w:left w:val="nil"/>
              <w:bottom w:val="single" w:sz="4" w:space="0" w:color="auto"/>
              <w:right w:val="single" w:sz="4" w:space="0" w:color="auto"/>
            </w:tcBorders>
            <w:shd w:val="clear" w:color="auto" w:fill="auto"/>
            <w:noWrap/>
            <w:hideMark/>
          </w:tcPr>
          <w:p w:rsidR="004F2280" w:rsidRPr="00A27A71" w:rsidRDefault="004F2280" w:rsidP="00F94F72">
            <w:pPr>
              <w:jc w:val="right"/>
              <w:rPr>
                <w:b/>
                <w:color w:val="000000"/>
                <w:sz w:val="18"/>
                <w:szCs w:val="18"/>
              </w:rPr>
            </w:pPr>
            <w:r w:rsidRPr="00A27A71">
              <w:rPr>
                <w:b/>
                <w:color w:val="000000"/>
                <w:sz w:val="18"/>
                <w:szCs w:val="18"/>
              </w:rPr>
              <w:t>174.00</w:t>
            </w:r>
          </w:p>
        </w:tc>
        <w:tc>
          <w:tcPr>
            <w:tcW w:w="429" w:type="pct"/>
            <w:tcBorders>
              <w:top w:val="nil"/>
              <w:left w:val="nil"/>
              <w:bottom w:val="single" w:sz="4" w:space="0" w:color="auto"/>
              <w:right w:val="single" w:sz="4" w:space="0" w:color="auto"/>
            </w:tcBorders>
            <w:shd w:val="clear" w:color="auto" w:fill="auto"/>
            <w:noWrap/>
            <w:hideMark/>
          </w:tcPr>
          <w:p w:rsidR="004F2280" w:rsidRPr="00A27A71" w:rsidRDefault="004F2280" w:rsidP="00F94F72">
            <w:pPr>
              <w:jc w:val="right"/>
              <w:rPr>
                <w:b/>
                <w:color w:val="000000"/>
                <w:sz w:val="18"/>
                <w:szCs w:val="18"/>
              </w:rPr>
            </w:pPr>
            <w:r w:rsidRPr="00A27A71">
              <w:rPr>
                <w:b/>
                <w:color w:val="000000"/>
                <w:sz w:val="18"/>
                <w:szCs w:val="18"/>
              </w:rPr>
              <w:t>1</w:t>
            </w:r>
            <w:r w:rsidR="00F94F72" w:rsidRPr="00A27A71">
              <w:rPr>
                <w:b/>
                <w:color w:val="000000"/>
                <w:sz w:val="18"/>
                <w:szCs w:val="18"/>
              </w:rPr>
              <w:t>,</w:t>
            </w:r>
            <w:r w:rsidRPr="00A27A71">
              <w:rPr>
                <w:b/>
                <w:color w:val="000000"/>
                <w:sz w:val="18"/>
                <w:szCs w:val="18"/>
              </w:rPr>
              <w:t>637.55</w:t>
            </w:r>
          </w:p>
        </w:tc>
        <w:tc>
          <w:tcPr>
            <w:tcW w:w="387" w:type="pct"/>
            <w:tcBorders>
              <w:top w:val="nil"/>
              <w:left w:val="nil"/>
              <w:bottom w:val="single" w:sz="4" w:space="0" w:color="auto"/>
              <w:right w:val="single" w:sz="4" w:space="0" w:color="auto"/>
            </w:tcBorders>
            <w:shd w:val="clear" w:color="auto" w:fill="auto"/>
            <w:noWrap/>
            <w:hideMark/>
          </w:tcPr>
          <w:p w:rsidR="004F2280" w:rsidRPr="00A27A71" w:rsidRDefault="004F2280" w:rsidP="00F94F72">
            <w:pPr>
              <w:jc w:val="right"/>
              <w:rPr>
                <w:b/>
                <w:color w:val="000000"/>
                <w:sz w:val="18"/>
                <w:szCs w:val="18"/>
              </w:rPr>
            </w:pPr>
            <w:r w:rsidRPr="00A27A71">
              <w:rPr>
                <w:b/>
                <w:color w:val="000000"/>
                <w:sz w:val="18"/>
                <w:szCs w:val="18"/>
              </w:rPr>
              <w:t>306.21</w:t>
            </w:r>
          </w:p>
        </w:tc>
        <w:tc>
          <w:tcPr>
            <w:tcW w:w="472" w:type="pct"/>
            <w:tcBorders>
              <w:top w:val="nil"/>
              <w:left w:val="nil"/>
              <w:bottom w:val="single" w:sz="4" w:space="0" w:color="auto"/>
              <w:right w:val="single" w:sz="4" w:space="0" w:color="auto"/>
            </w:tcBorders>
            <w:shd w:val="clear" w:color="auto" w:fill="auto"/>
            <w:noWrap/>
            <w:hideMark/>
          </w:tcPr>
          <w:p w:rsidR="004F2280" w:rsidRPr="00A27A71" w:rsidRDefault="004F2280" w:rsidP="00F94F72">
            <w:pPr>
              <w:jc w:val="right"/>
              <w:rPr>
                <w:b/>
                <w:color w:val="000000"/>
                <w:sz w:val="18"/>
                <w:szCs w:val="18"/>
              </w:rPr>
            </w:pPr>
            <w:r w:rsidRPr="00A27A71">
              <w:rPr>
                <w:b/>
                <w:color w:val="000000"/>
                <w:sz w:val="18"/>
                <w:szCs w:val="18"/>
              </w:rPr>
              <w:t>5</w:t>
            </w:r>
            <w:r w:rsidR="00F94F72" w:rsidRPr="00A27A71">
              <w:rPr>
                <w:b/>
                <w:color w:val="000000"/>
                <w:sz w:val="18"/>
                <w:szCs w:val="18"/>
              </w:rPr>
              <w:t>,</w:t>
            </w:r>
            <w:r w:rsidRPr="00A27A71">
              <w:rPr>
                <w:b/>
                <w:color w:val="000000"/>
                <w:sz w:val="18"/>
                <w:szCs w:val="18"/>
              </w:rPr>
              <w:t>019.01</w:t>
            </w:r>
          </w:p>
        </w:tc>
        <w:tc>
          <w:tcPr>
            <w:tcW w:w="429" w:type="pct"/>
            <w:tcBorders>
              <w:top w:val="nil"/>
              <w:left w:val="nil"/>
              <w:bottom w:val="single" w:sz="4" w:space="0" w:color="auto"/>
              <w:right w:val="single" w:sz="4" w:space="0" w:color="auto"/>
            </w:tcBorders>
            <w:shd w:val="clear" w:color="auto" w:fill="auto"/>
            <w:noWrap/>
            <w:hideMark/>
          </w:tcPr>
          <w:p w:rsidR="004F2280" w:rsidRPr="00A27A71" w:rsidRDefault="00E30956" w:rsidP="00F94F72">
            <w:pPr>
              <w:jc w:val="right"/>
              <w:rPr>
                <w:b/>
                <w:color w:val="000000"/>
                <w:sz w:val="18"/>
                <w:szCs w:val="18"/>
              </w:rPr>
            </w:pPr>
            <w:r w:rsidRPr="00A27A71">
              <w:rPr>
                <w:b/>
                <w:color w:val="000000"/>
                <w:sz w:val="18"/>
                <w:szCs w:val="18"/>
              </w:rPr>
              <w:t>199.26</w:t>
            </w:r>
          </w:p>
        </w:tc>
        <w:tc>
          <w:tcPr>
            <w:tcW w:w="472" w:type="pct"/>
            <w:tcBorders>
              <w:top w:val="nil"/>
              <w:left w:val="nil"/>
              <w:bottom w:val="single" w:sz="4" w:space="0" w:color="auto"/>
              <w:right w:val="single" w:sz="4" w:space="0" w:color="auto"/>
            </w:tcBorders>
            <w:shd w:val="clear" w:color="auto" w:fill="auto"/>
            <w:noWrap/>
            <w:hideMark/>
          </w:tcPr>
          <w:p w:rsidR="004F2280" w:rsidRPr="00A27A71" w:rsidRDefault="004F2280" w:rsidP="00E30956">
            <w:pPr>
              <w:jc w:val="right"/>
              <w:rPr>
                <w:b/>
                <w:color w:val="000000"/>
                <w:sz w:val="18"/>
                <w:szCs w:val="18"/>
              </w:rPr>
            </w:pPr>
            <w:r w:rsidRPr="00A27A71">
              <w:rPr>
                <w:b/>
                <w:color w:val="000000"/>
                <w:sz w:val="18"/>
                <w:szCs w:val="18"/>
              </w:rPr>
              <w:t>3</w:t>
            </w:r>
            <w:r w:rsidR="00F94F72" w:rsidRPr="00A27A71">
              <w:rPr>
                <w:b/>
                <w:color w:val="000000"/>
                <w:sz w:val="18"/>
                <w:szCs w:val="18"/>
              </w:rPr>
              <w:t>,</w:t>
            </w:r>
            <w:r w:rsidR="00E30956" w:rsidRPr="00A27A71">
              <w:rPr>
                <w:b/>
                <w:color w:val="000000"/>
                <w:sz w:val="18"/>
                <w:szCs w:val="18"/>
              </w:rPr>
              <w:t>089.39</w:t>
            </w:r>
          </w:p>
        </w:tc>
        <w:tc>
          <w:tcPr>
            <w:tcW w:w="355" w:type="pct"/>
            <w:tcBorders>
              <w:top w:val="nil"/>
              <w:left w:val="nil"/>
              <w:bottom w:val="single" w:sz="4" w:space="0" w:color="auto"/>
              <w:right w:val="single" w:sz="4" w:space="0" w:color="auto"/>
            </w:tcBorders>
            <w:shd w:val="clear" w:color="auto" w:fill="auto"/>
            <w:noWrap/>
          </w:tcPr>
          <w:p w:rsidR="004F2280" w:rsidRPr="00A27A71" w:rsidRDefault="004F2280" w:rsidP="00F347CB">
            <w:pPr>
              <w:jc w:val="right"/>
              <w:rPr>
                <w:b/>
                <w:color w:val="000000"/>
                <w:sz w:val="18"/>
                <w:szCs w:val="18"/>
              </w:rPr>
            </w:pPr>
            <w:r w:rsidRPr="00A27A71">
              <w:rPr>
                <w:b/>
                <w:color w:val="000000"/>
                <w:sz w:val="18"/>
                <w:szCs w:val="18"/>
              </w:rPr>
              <w:t>10</w:t>
            </w:r>
            <w:r w:rsidR="00F347CB">
              <w:rPr>
                <w:b/>
                <w:color w:val="000000"/>
                <w:sz w:val="18"/>
                <w:szCs w:val="18"/>
              </w:rPr>
              <w:t>6.95</w:t>
            </w:r>
          </w:p>
        </w:tc>
        <w:tc>
          <w:tcPr>
            <w:tcW w:w="430" w:type="pct"/>
            <w:tcBorders>
              <w:top w:val="nil"/>
              <w:left w:val="nil"/>
              <w:bottom w:val="single" w:sz="4" w:space="0" w:color="auto"/>
              <w:right w:val="single" w:sz="4" w:space="0" w:color="auto"/>
            </w:tcBorders>
            <w:shd w:val="clear" w:color="auto" w:fill="auto"/>
            <w:noWrap/>
          </w:tcPr>
          <w:p w:rsidR="004F2280" w:rsidRPr="00A27A71" w:rsidRDefault="004F2280" w:rsidP="00F347CB">
            <w:pPr>
              <w:jc w:val="right"/>
              <w:rPr>
                <w:b/>
                <w:color w:val="000000"/>
                <w:sz w:val="18"/>
                <w:szCs w:val="18"/>
              </w:rPr>
            </w:pPr>
            <w:r w:rsidRPr="00A27A71">
              <w:rPr>
                <w:b/>
                <w:color w:val="000000"/>
                <w:sz w:val="18"/>
                <w:szCs w:val="18"/>
              </w:rPr>
              <w:t>1</w:t>
            </w:r>
            <w:r w:rsidR="00F94F72" w:rsidRPr="00A27A71">
              <w:rPr>
                <w:b/>
                <w:color w:val="000000"/>
                <w:sz w:val="18"/>
                <w:szCs w:val="18"/>
              </w:rPr>
              <w:t>,</w:t>
            </w:r>
            <w:r w:rsidRPr="00A27A71">
              <w:rPr>
                <w:b/>
                <w:color w:val="000000"/>
                <w:sz w:val="18"/>
                <w:szCs w:val="18"/>
              </w:rPr>
              <w:t>9</w:t>
            </w:r>
            <w:r w:rsidR="00F347CB">
              <w:rPr>
                <w:b/>
                <w:color w:val="000000"/>
                <w:sz w:val="18"/>
                <w:szCs w:val="18"/>
              </w:rPr>
              <w:t>29.6</w:t>
            </w:r>
            <w:r w:rsidRPr="00A27A71">
              <w:rPr>
                <w:b/>
                <w:color w:val="000000"/>
                <w:sz w:val="18"/>
                <w:szCs w:val="18"/>
              </w:rPr>
              <w:t>2</w:t>
            </w:r>
          </w:p>
        </w:tc>
      </w:tr>
    </w:tbl>
    <w:p w:rsidR="00BF505B" w:rsidRPr="00A27A71" w:rsidRDefault="00A56853" w:rsidP="00A56853">
      <w:pPr>
        <w:rPr>
          <w:sz w:val="16"/>
          <w:szCs w:val="16"/>
        </w:rPr>
      </w:pPr>
      <w:r w:rsidRPr="00A27A71">
        <w:rPr>
          <w:sz w:val="16"/>
          <w:szCs w:val="16"/>
        </w:rPr>
        <w:t>* After deducting 4.4</w:t>
      </w:r>
      <w:r w:rsidR="00E61A05" w:rsidRPr="00A27A71">
        <w:rPr>
          <w:sz w:val="16"/>
          <w:szCs w:val="16"/>
        </w:rPr>
        <w:t> ODP tonnes</w:t>
      </w:r>
      <w:r w:rsidRPr="00A27A71">
        <w:rPr>
          <w:sz w:val="16"/>
          <w:szCs w:val="16"/>
        </w:rPr>
        <w:t xml:space="preserve"> of HCFC-141b from the remaining HCFC consumption eligible for funding under </w:t>
      </w:r>
      <w:r w:rsidR="00E61A05" w:rsidRPr="00A27A71">
        <w:rPr>
          <w:sz w:val="16"/>
          <w:szCs w:val="16"/>
        </w:rPr>
        <w:t>stage </w:t>
      </w:r>
      <w:r w:rsidRPr="00A27A71">
        <w:rPr>
          <w:sz w:val="16"/>
          <w:szCs w:val="16"/>
        </w:rPr>
        <w:t xml:space="preserve">II, in accordance with </w:t>
      </w:r>
      <w:r w:rsidR="00E61A05" w:rsidRPr="00A27A71">
        <w:rPr>
          <w:sz w:val="16"/>
          <w:szCs w:val="16"/>
        </w:rPr>
        <w:t>decision </w:t>
      </w:r>
      <w:r w:rsidRPr="00A27A71">
        <w:rPr>
          <w:sz w:val="16"/>
          <w:szCs w:val="16"/>
        </w:rPr>
        <w:t>76/30.</w:t>
      </w:r>
    </w:p>
    <w:p w:rsidR="00C63786" w:rsidRPr="00A27A71" w:rsidRDefault="00C63786" w:rsidP="00A56853">
      <w:pPr>
        <w:rPr>
          <w:sz w:val="16"/>
          <w:szCs w:val="16"/>
        </w:rPr>
      </w:pPr>
      <w:r w:rsidRPr="00A27A71">
        <w:rPr>
          <w:sz w:val="16"/>
          <w:szCs w:val="16"/>
        </w:rPr>
        <w:t xml:space="preserve">** Includes </w:t>
      </w:r>
      <w:r w:rsidR="00F875AD" w:rsidRPr="00A27A71">
        <w:rPr>
          <w:sz w:val="16"/>
          <w:szCs w:val="16"/>
        </w:rPr>
        <w:t>consumption not eligible for funding.</w:t>
      </w:r>
    </w:p>
    <w:p w:rsidR="00C905D9" w:rsidRPr="00A27A71" w:rsidRDefault="00C905D9" w:rsidP="00C905D9"/>
    <w:p w:rsidR="00C905D9" w:rsidRPr="00A27A71" w:rsidRDefault="00C905D9" w:rsidP="00C905D9">
      <w:pPr>
        <w:rPr>
          <w:u w:val="single"/>
        </w:rPr>
      </w:pPr>
      <w:r w:rsidRPr="00A27A71">
        <w:rPr>
          <w:u w:val="single"/>
        </w:rPr>
        <w:t>HCFC consumption and sector distribution</w:t>
      </w:r>
    </w:p>
    <w:p w:rsidR="00C905D9" w:rsidRPr="00A27A71" w:rsidRDefault="00C905D9" w:rsidP="00C905D9"/>
    <w:p w:rsidR="00C905D9" w:rsidRPr="00A27A71" w:rsidRDefault="00A53764" w:rsidP="00A53764">
      <w:pPr>
        <w:pStyle w:val="Heading1"/>
      </w:pPr>
      <w:r w:rsidRPr="00A27A71">
        <w:t>The Government of Egypt reported a consumption of 346.53 ODP tonnes of HCFC in 2016 and an additional 19.56 ODP tonnes of HCFC-141b contained in imported pre-blended polyols. The 2012</w:t>
      </w:r>
      <w:r w:rsidRPr="00A27A71">
        <w:noBreakHyphen/>
        <w:t>2016 HCFC consumption is shown in Table 2.</w:t>
      </w:r>
    </w:p>
    <w:p w:rsidR="00C905D9" w:rsidRPr="00A27A71" w:rsidRDefault="00C905D9" w:rsidP="00C905D9">
      <w:pPr>
        <w:rPr>
          <w:b/>
        </w:rPr>
      </w:pPr>
      <w:r w:rsidRPr="00A27A71">
        <w:rPr>
          <w:b/>
        </w:rPr>
        <w:t xml:space="preserve">Table </w:t>
      </w:r>
      <w:r w:rsidR="00B77D27" w:rsidRPr="00A27A71">
        <w:rPr>
          <w:b/>
        </w:rPr>
        <w:t>2</w:t>
      </w:r>
      <w:r w:rsidRPr="00A27A71">
        <w:rPr>
          <w:b/>
        </w:rPr>
        <w:t xml:space="preserve">. HCFC consumption in </w:t>
      </w:r>
      <w:r w:rsidR="00E0480C" w:rsidRPr="00A27A71">
        <w:rPr>
          <w:b/>
        </w:rPr>
        <w:t>Egypt</w:t>
      </w:r>
      <w:r w:rsidRPr="00A27A71">
        <w:rPr>
          <w:b/>
        </w:rPr>
        <w:t xml:space="preserve"> (2012-201</w:t>
      </w:r>
      <w:r w:rsidR="005007BF" w:rsidRPr="00A27A71">
        <w:rPr>
          <w:b/>
        </w:rPr>
        <w:t>6</w:t>
      </w:r>
      <w:r w:rsidRPr="00A27A71">
        <w:rPr>
          <w:b/>
        </w:rPr>
        <w:t xml:space="preserve"> Article 7 data)</w:t>
      </w:r>
    </w:p>
    <w:tbl>
      <w:tblPr>
        <w:tblW w:w="5000" w:type="pct"/>
        <w:tblLayout w:type="fixed"/>
        <w:tblLook w:val="04A0" w:firstRow="1" w:lastRow="0" w:firstColumn="1" w:lastColumn="0" w:noHBand="0" w:noVBand="1"/>
      </w:tblPr>
      <w:tblGrid>
        <w:gridCol w:w="2833"/>
        <w:gridCol w:w="991"/>
        <w:gridCol w:w="991"/>
        <w:gridCol w:w="1079"/>
        <w:gridCol w:w="989"/>
        <w:gridCol w:w="1080"/>
        <w:gridCol w:w="1548"/>
      </w:tblGrid>
      <w:tr w:rsidR="00291652" w:rsidRPr="00A27A71" w:rsidTr="00291652">
        <w:trPr>
          <w:tblHeader/>
        </w:trPr>
        <w:tc>
          <w:tcPr>
            <w:tcW w:w="148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007BF" w:rsidRPr="00A27A71" w:rsidRDefault="005007BF" w:rsidP="00E0480C">
            <w:pPr>
              <w:widowControl w:val="0"/>
              <w:jc w:val="left"/>
              <w:rPr>
                <w:b/>
                <w:bCs/>
                <w:color w:val="000000"/>
                <w:sz w:val="20"/>
                <w:szCs w:val="20"/>
              </w:rPr>
            </w:pPr>
            <w:r w:rsidRPr="00A27A71">
              <w:rPr>
                <w:b/>
                <w:bCs/>
                <w:color w:val="000000"/>
                <w:sz w:val="20"/>
                <w:szCs w:val="20"/>
              </w:rPr>
              <w:t>HCFC</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5007BF" w:rsidRPr="00A27A71" w:rsidRDefault="005007BF" w:rsidP="00E0480C">
            <w:pPr>
              <w:jc w:val="center"/>
              <w:rPr>
                <w:b/>
                <w:bCs/>
                <w:color w:val="000000"/>
                <w:sz w:val="20"/>
                <w:szCs w:val="20"/>
              </w:rPr>
            </w:pPr>
            <w:r w:rsidRPr="00A27A71">
              <w:rPr>
                <w:b/>
                <w:bCs/>
                <w:color w:val="000000"/>
                <w:sz w:val="20"/>
                <w:szCs w:val="20"/>
              </w:rPr>
              <w:t>2012</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5007BF" w:rsidRPr="00A27A71" w:rsidRDefault="005007BF" w:rsidP="00E0480C">
            <w:pPr>
              <w:jc w:val="center"/>
              <w:rPr>
                <w:b/>
                <w:bCs/>
                <w:color w:val="000000"/>
                <w:sz w:val="20"/>
                <w:szCs w:val="20"/>
              </w:rPr>
            </w:pPr>
            <w:r w:rsidRPr="00A27A71">
              <w:rPr>
                <w:b/>
                <w:bCs/>
                <w:color w:val="000000"/>
                <w:sz w:val="20"/>
                <w:szCs w:val="20"/>
              </w:rPr>
              <w:t>2013</w:t>
            </w:r>
          </w:p>
        </w:tc>
        <w:tc>
          <w:tcPr>
            <w:tcW w:w="567" w:type="pct"/>
            <w:tcBorders>
              <w:top w:val="single" w:sz="4" w:space="0" w:color="auto"/>
              <w:left w:val="nil"/>
              <w:bottom w:val="single" w:sz="4" w:space="0" w:color="auto"/>
              <w:right w:val="single" w:sz="4" w:space="0" w:color="auto"/>
            </w:tcBorders>
          </w:tcPr>
          <w:p w:rsidR="005007BF" w:rsidRPr="00A27A71" w:rsidRDefault="005007BF" w:rsidP="00E0480C">
            <w:pPr>
              <w:jc w:val="center"/>
              <w:rPr>
                <w:b/>
                <w:bCs/>
                <w:color w:val="000000"/>
                <w:sz w:val="20"/>
                <w:szCs w:val="20"/>
              </w:rPr>
            </w:pPr>
            <w:r w:rsidRPr="00A27A71">
              <w:rPr>
                <w:b/>
                <w:bCs/>
                <w:color w:val="000000"/>
                <w:sz w:val="20"/>
                <w:szCs w:val="20"/>
              </w:rPr>
              <w:t>2014</w:t>
            </w:r>
          </w:p>
        </w:tc>
        <w:tc>
          <w:tcPr>
            <w:tcW w:w="520" w:type="pct"/>
            <w:tcBorders>
              <w:top w:val="single" w:sz="4" w:space="0" w:color="auto"/>
              <w:left w:val="single" w:sz="4" w:space="0" w:color="auto"/>
              <w:bottom w:val="single" w:sz="4" w:space="0" w:color="auto"/>
              <w:right w:val="single" w:sz="4" w:space="0" w:color="auto"/>
            </w:tcBorders>
          </w:tcPr>
          <w:p w:rsidR="005007BF" w:rsidRPr="00A27A71" w:rsidRDefault="005007BF" w:rsidP="00744A5F">
            <w:pPr>
              <w:jc w:val="center"/>
              <w:rPr>
                <w:b/>
                <w:bCs/>
                <w:color w:val="000000"/>
                <w:sz w:val="20"/>
                <w:szCs w:val="20"/>
              </w:rPr>
            </w:pPr>
            <w:r w:rsidRPr="00A27A71">
              <w:rPr>
                <w:b/>
                <w:bCs/>
                <w:color w:val="000000"/>
                <w:sz w:val="20"/>
                <w:szCs w:val="20"/>
              </w:rPr>
              <w:t>2015</w:t>
            </w:r>
          </w:p>
        </w:tc>
        <w:tc>
          <w:tcPr>
            <w:tcW w:w="568" w:type="pct"/>
            <w:tcBorders>
              <w:top w:val="single" w:sz="4" w:space="0" w:color="auto"/>
              <w:left w:val="single" w:sz="4" w:space="0" w:color="auto"/>
              <w:bottom w:val="single" w:sz="4" w:space="0" w:color="auto"/>
              <w:right w:val="single" w:sz="4" w:space="0" w:color="auto"/>
            </w:tcBorders>
          </w:tcPr>
          <w:p w:rsidR="005007BF" w:rsidRPr="00A27A71" w:rsidRDefault="005007BF" w:rsidP="00744A5F">
            <w:pPr>
              <w:widowControl w:val="0"/>
              <w:jc w:val="center"/>
              <w:rPr>
                <w:b/>
                <w:bCs/>
                <w:color w:val="000000"/>
                <w:sz w:val="20"/>
                <w:szCs w:val="20"/>
              </w:rPr>
            </w:pPr>
            <w:r w:rsidRPr="00A27A71">
              <w:rPr>
                <w:b/>
                <w:bCs/>
                <w:color w:val="000000"/>
                <w:sz w:val="20"/>
                <w:szCs w:val="20"/>
              </w:rPr>
              <w:t>2016</w:t>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7BF" w:rsidRPr="00A27A71" w:rsidRDefault="005007BF" w:rsidP="00E0480C">
            <w:pPr>
              <w:widowControl w:val="0"/>
              <w:jc w:val="center"/>
              <w:rPr>
                <w:b/>
                <w:bCs/>
                <w:color w:val="000000"/>
                <w:sz w:val="20"/>
                <w:szCs w:val="20"/>
              </w:rPr>
            </w:pPr>
            <w:r w:rsidRPr="00A27A71">
              <w:rPr>
                <w:b/>
                <w:bCs/>
                <w:color w:val="000000"/>
                <w:sz w:val="20"/>
                <w:szCs w:val="20"/>
              </w:rPr>
              <w:t>Baseline</w:t>
            </w:r>
          </w:p>
        </w:tc>
      </w:tr>
      <w:tr w:rsidR="00773050" w:rsidRPr="00A27A71" w:rsidTr="00773050">
        <w:tc>
          <w:tcPr>
            <w:tcW w:w="5000" w:type="pct"/>
            <w:gridSpan w:val="7"/>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773050" w:rsidRPr="00A27A71" w:rsidRDefault="00773050" w:rsidP="00DE50BB">
            <w:pPr>
              <w:widowControl w:val="0"/>
              <w:jc w:val="left"/>
              <w:rPr>
                <w:b/>
                <w:bCs/>
                <w:color w:val="000000"/>
                <w:sz w:val="20"/>
                <w:szCs w:val="20"/>
              </w:rPr>
            </w:pPr>
            <w:r w:rsidRPr="00A27A71">
              <w:rPr>
                <w:b/>
                <w:bCs/>
                <w:color w:val="000000"/>
                <w:sz w:val="20"/>
                <w:szCs w:val="20"/>
              </w:rPr>
              <w:t>Metric tonnes</w:t>
            </w:r>
          </w:p>
        </w:tc>
      </w:tr>
      <w:tr w:rsidR="004E652A" w:rsidRPr="00A27A71" w:rsidTr="006A38D1">
        <w:tc>
          <w:tcPr>
            <w:tcW w:w="14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E652A" w:rsidRPr="00A27A71" w:rsidRDefault="004E652A" w:rsidP="00E0480C">
            <w:pPr>
              <w:widowControl w:val="0"/>
              <w:jc w:val="left"/>
              <w:rPr>
                <w:color w:val="000000"/>
                <w:sz w:val="20"/>
                <w:szCs w:val="20"/>
              </w:rPr>
            </w:pPr>
            <w:r w:rsidRPr="00A27A71">
              <w:rPr>
                <w:color w:val="000000"/>
                <w:sz w:val="20"/>
                <w:szCs w:val="20"/>
              </w:rPr>
              <w:t>HCFC-22</w:t>
            </w:r>
          </w:p>
        </w:tc>
        <w:tc>
          <w:tcPr>
            <w:tcW w:w="521" w:type="pct"/>
            <w:tcBorders>
              <w:top w:val="nil"/>
              <w:left w:val="nil"/>
              <w:bottom w:val="single" w:sz="4" w:space="0" w:color="auto"/>
              <w:right w:val="single" w:sz="4" w:space="0" w:color="auto"/>
            </w:tcBorders>
            <w:shd w:val="clear" w:color="auto" w:fill="auto"/>
            <w:noWrap/>
          </w:tcPr>
          <w:p w:rsidR="004E652A" w:rsidRPr="00A27A71" w:rsidRDefault="004E652A" w:rsidP="005007BF">
            <w:pPr>
              <w:jc w:val="right"/>
              <w:rPr>
                <w:sz w:val="20"/>
                <w:szCs w:val="20"/>
              </w:rPr>
            </w:pPr>
            <w:r w:rsidRPr="00A27A71">
              <w:rPr>
                <w:sz w:val="20"/>
                <w:szCs w:val="20"/>
              </w:rPr>
              <w:t>4,934.5</w:t>
            </w:r>
          </w:p>
        </w:tc>
        <w:tc>
          <w:tcPr>
            <w:tcW w:w="521" w:type="pct"/>
            <w:tcBorders>
              <w:top w:val="nil"/>
              <w:left w:val="nil"/>
              <w:bottom w:val="single" w:sz="4" w:space="0" w:color="auto"/>
              <w:right w:val="single" w:sz="4" w:space="0" w:color="auto"/>
            </w:tcBorders>
            <w:shd w:val="clear" w:color="auto" w:fill="auto"/>
            <w:noWrap/>
          </w:tcPr>
          <w:p w:rsidR="004E652A" w:rsidRPr="00A27A71" w:rsidRDefault="004E652A" w:rsidP="005007BF">
            <w:pPr>
              <w:jc w:val="right"/>
              <w:rPr>
                <w:sz w:val="20"/>
                <w:szCs w:val="20"/>
              </w:rPr>
            </w:pPr>
            <w:r w:rsidRPr="00A27A71">
              <w:rPr>
                <w:sz w:val="20"/>
                <w:szCs w:val="20"/>
              </w:rPr>
              <w:t>3,416.49</w:t>
            </w:r>
          </w:p>
        </w:tc>
        <w:tc>
          <w:tcPr>
            <w:tcW w:w="567" w:type="pct"/>
            <w:tcBorders>
              <w:top w:val="single" w:sz="4" w:space="0" w:color="auto"/>
              <w:left w:val="nil"/>
              <w:bottom w:val="single" w:sz="4" w:space="0" w:color="auto"/>
              <w:right w:val="single" w:sz="4" w:space="0" w:color="auto"/>
            </w:tcBorders>
          </w:tcPr>
          <w:p w:rsidR="004E652A" w:rsidRPr="00A27A71" w:rsidRDefault="004E652A" w:rsidP="005007BF">
            <w:pPr>
              <w:jc w:val="right"/>
              <w:rPr>
                <w:sz w:val="20"/>
                <w:szCs w:val="20"/>
              </w:rPr>
            </w:pPr>
            <w:r w:rsidRPr="00A27A71">
              <w:rPr>
                <w:sz w:val="20"/>
                <w:szCs w:val="20"/>
              </w:rPr>
              <w:t>3,172.59</w:t>
            </w:r>
          </w:p>
        </w:tc>
        <w:tc>
          <w:tcPr>
            <w:tcW w:w="520" w:type="pct"/>
            <w:tcBorders>
              <w:top w:val="nil"/>
              <w:left w:val="single" w:sz="4" w:space="0" w:color="auto"/>
              <w:bottom w:val="single" w:sz="4" w:space="0" w:color="auto"/>
              <w:right w:val="single" w:sz="4" w:space="0" w:color="auto"/>
            </w:tcBorders>
          </w:tcPr>
          <w:p w:rsidR="004E652A" w:rsidRPr="00A27A71" w:rsidRDefault="004E652A" w:rsidP="00F4446A">
            <w:pPr>
              <w:jc w:val="right"/>
              <w:rPr>
                <w:sz w:val="20"/>
                <w:szCs w:val="20"/>
              </w:rPr>
            </w:pPr>
            <w:r w:rsidRPr="00A27A71">
              <w:rPr>
                <w:sz w:val="20"/>
                <w:szCs w:val="20"/>
              </w:rPr>
              <w:t>4,</w:t>
            </w:r>
            <w:r w:rsidR="00F4446A" w:rsidRPr="00A27A71">
              <w:rPr>
                <w:sz w:val="20"/>
                <w:szCs w:val="20"/>
              </w:rPr>
              <w:t>038.97</w:t>
            </w:r>
          </w:p>
        </w:tc>
        <w:tc>
          <w:tcPr>
            <w:tcW w:w="568" w:type="pct"/>
            <w:tcBorders>
              <w:top w:val="nil"/>
              <w:left w:val="single" w:sz="4" w:space="0" w:color="auto"/>
              <w:bottom w:val="single" w:sz="4" w:space="0" w:color="auto"/>
              <w:right w:val="single" w:sz="4" w:space="0" w:color="auto"/>
            </w:tcBorders>
          </w:tcPr>
          <w:p w:rsidR="004E652A" w:rsidRPr="00A27A71" w:rsidRDefault="004E652A" w:rsidP="005007BF">
            <w:pPr>
              <w:jc w:val="right"/>
              <w:rPr>
                <w:sz w:val="20"/>
                <w:szCs w:val="20"/>
              </w:rPr>
            </w:pPr>
            <w:r w:rsidRPr="00A27A71">
              <w:rPr>
                <w:sz w:val="20"/>
                <w:szCs w:val="20"/>
              </w:rPr>
              <w:t>4,767.59</w:t>
            </w:r>
          </w:p>
        </w:tc>
        <w:tc>
          <w:tcPr>
            <w:tcW w:w="814" w:type="pct"/>
            <w:tcBorders>
              <w:top w:val="nil"/>
              <w:left w:val="single" w:sz="4" w:space="0" w:color="auto"/>
              <w:bottom w:val="single" w:sz="4" w:space="0" w:color="auto"/>
              <w:right w:val="single" w:sz="4" w:space="0" w:color="auto"/>
            </w:tcBorders>
            <w:shd w:val="clear" w:color="auto" w:fill="auto"/>
            <w:noWrap/>
            <w:vAlign w:val="bottom"/>
          </w:tcPr>
          <w:p w:rsidR="004E652A" w:rsidRPr="00A27A71" w:rsidRDefault="004E652A">
            <w:pPr>
              <w:jc w:val="right"/>
              <w:rPr>
                <w:color w:val="000000"/>
                <w:sz w:val="20"/>
                <w:szCs w:val="20"/>
              </w:rPr>
            </w:pPr>
            <w:r w:rsidRPr="00A27A71">
              <w:rPr>
                <w:color w:val="000000"/>
                <w:sz w:val="20"/>
                <w:szCs w:val="20"/>
              </w:rPr>
              <w:t>4,367.16</w:t>
            </w:r>
          </w:p>
        </w:tc>
      </w:tr>
      <w:tr w:rsidR="004E652A" w:rsidRPr="00A27A71" w:rsidTr="006A38D1">
        <w:tc>
          <w:tcPr>
            <w:tcW w:w="14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E652A" w:rsidRPr="00A27A71" w:rsidRDefault="004E652A" w:rsidP="00E0480C">
            <w:pPr>
              <w:widowControl w:val="0"/>
              <w:jc w:val="left"/>
              <w:rPr>
                <w:color w:val="000000"/>
                <w:sz w:val="20"/>
                <w:szCs w:val="20"/>
              </w:rPr>
            </w:pPr>
            <w:r w:rsidRPr="00A27A71">
              <w:rPr>
                <w:color w:val="000000"/>
                <w:sz w:val="20"/>
                <w:szCs w:val="20"/>
              </w:rPr>
              <w:t>HCFC-123</w:t>
            </w:r>
          </w:p>
        </w:tc>
        <w:tc>
          <w:tcPr>
            <w:tcW w:w="521" w:type="pct"/>
            <w:tcBorders>
              <w:top w:val="nil"/>
              <w:left w:val="nil"/>
              <w:bottom w:val="single" w:sz="4" w:space="0" w:color="auto"/>
              <w:right w:val="single" w:sz="4" w:space="0" w:color="auto"/>
            </w:tcBorders>
            <w:shd w:val="clear" w:color="auto" w:fill="auto"/>
            <w:noWrap/>
          </w:tcPr>
          <w:p w:rsidR="004E652A" w:rsidRPr="00A27A71" w:rsidRDefault="004E652A" w:rsidP="005007BF">
            <w:pPr>
              <w:jc w:val="right"/>
              <w:rPr>
                <w:sz w:val="20"/>
                <w:szCs w:val="20"/>
              </w:rPr>
            </w:pPr>
            <w:r w:rsidRPr="00A27A71">
              <w:rPr>
                <w:sz w:val="20"/>
                <w:szCs w:val="20"/>
              </w:rPr>
              <w:t>0</w:t>
            </w:r>
          </w:p>
        </w:tc>
        <w:tc>
          <w:tcPr>
            <w:tcW w:w="521" w:type="pct"/>
            <w:tcBorders>
              <w:top w:val="nil"/>
              <w:left w:val="nil"/>
              <w:bottom w:val="single" w:sz="4" w:space="0" w:color="auto"/>
              <w:right w:val="single" w:sz="4" w:space="0" w:color="auto"/>
            </w:tcBorders>
            <w:shd w:val="clear" w:color="auto" w:fill="auto"/>
            <w:noWrap/>
          </w:tcPr>
          <w:p w:rsidR="004E652A" w:rsidRPr="00A27A71" w:rsidRDefault="004E652A" w:rsidP="005007BF">
            <w:pPr>
              <w:jc w:val="right"/>
              <w:rPr>
                <w:sz w:val="20"/>
                <w:szCs w:val="20"/>
              </w:rPr>
            </w:pPr>
            <w:r w:rsidRPr="00A27A71">
              <w:rPr>
                <w:sz w:val="20"/>
                <w:szCs w:val="20"/>
              </w:rPr>
              <w:t>24.48</w:t>
            </w:r>
          </w:p>
        </w:tc>
        <w:tc>
          <w:tcPr>
            <w:tcW w:w="567" w:type="pct"/>
            <w:tcBorders>
              <w:top w:val="single" w:sz="4" w:space="0" w:color="auto"/>
              <w:left w:val="nil"/>
              <w:bottom w:val="single" w:sz="4" w:space="0" w:color="auto"/>
              <w:right w:val="single" w:sz="4" w:space="0" w:color="auto"/>
            </w:tcBorders>
          </w:tcPr>
          <w:p w:rsidR="004E652A" w:rsidRPr="00A27A71" w:rsidRDefault="004E652A" w:rsidP="005007BF">
            <w:pPr>
              <w:jc w:val="right"/>
              <w:rPr>
                <w:sz w:val="20"/>
                <w:szCs w:val="20"/>
              </w:rPr>
            </w:pPr>
            <w:r w:rsidRPr="00A27A71">
              <w:rPr>
                <w:sz w:val="20"/>
                <w:szCs w:val="20"/>
              </w:rPr>
              <w:t>0</w:t>
            </w:r>
          </w:p>
        </w:tc>
        <w:tc>
          <w:tcPr>
            <w:tcW w:w="520" w:type="pct"/>
            <w:tcBorders>
              <w:top w:val="nil"/>
              <w:left w:val="single" w:sz="4" w:space="0" w:color="auto"/>
              <w:bottom w:val="single" w:sz="4" w:space="0" w:color="auto"/>
              <w:right w:val="single" w:sz="4" w:space="0" w:color="auto"/>
            </w:tcBorders>
          </w:tcPr>
          <w:p w:rsidR="004E652A" w:rsidRPr="00A27A71" w:rsidRDefault="004E652A" w:rsidP="005007BF">
            <w:pPr>
              <w:jc w:val="right"/>
              <w:rPr>
                <w:sz w:val="20"/>
                <w:szCs w:val="20"/>
              </w:rPr>
            </w:pPr>
            <w:r w:rsidRPr="00A27A71">
              <w:rPr>
                <w:sz w:val="20"/>
                <w:szCs w:val="20"/>
              </w:rPr>
              <w:t>9.07</w:t>
            </w:r>
          </w:p>
        </w:tc>
        <w:tc>
          <w:tcPr>
            <w:tcW w:w="568" w:type="pct"/>
            <w:tcBorders>
              <w:top w:val="nil"/>
              <w:left w:val="single" w:sz="4" w:space="0" w:color="auto"/>
              <w:bottom w:val="single" w:sz="4" w:space="0" w:color="auto"/>
              <w:right w:val="single" w:sz="4" w:space="0" w:color="auto"/>
            </w:tcBorders>
          </w:tcPr>
          <w:p w:rsidR="004E652A" w:rsidRPr="00A27A71" w:rsidRDefault="004E652A" w:rsidP="005007BF">
            <w:pPr>
              <w:jc w:val="right"/>
              <w:rPr>
                <w:sz w:val="20"/>
                <w:szCs w:val="20"/>
              </w:rPr>
            </w:pPr>
            <w:r w:rsidRPr="00A27A71">
              <w:rPr>
                <w:sz w:val="20"/>
                <w:szCs w:val="20"/>
              </w:rPr>
              <w:t>5.00</w:t>
            </w:r>
          </w:p>
        </w:tc>
        <w:tc>
          <w:tcPr>
            <w:tcW w:w="814" w:type="pct"/>
            <w:tcBorders>
              <w:top w:val="nil"/>
              <w:left w:val="single" w:sz="4" w:space="0" w:color="auto"/>
              <w:bottom w:val="single" w:sz="4" w:space="0" w:color="auto"/>
              <w:right w:val="single" w:sz="4" w:space="0" w:color="auto"/>
            </w:tcBorders>
            <w:shd w:val="clear" w:color="auto" w:fill="auto"/>
            <w:noWrap/>
            <w:vAlign w:val="bottom"/>
          </w:tcPr>
          <w:p w:rsidR="004E652A" w:rsidRPr="00A27A71" w:rsidRDefault="004E652A">
            <w:pPr>
              <w:jc w:val="right"/>
              <w:rPr>
                <w:color w:val="000000"/>
                <w:sz w:val="20"/>
                <w:szCs w:val="20"/>
              </w:rPr>
            </w:pPr>
            <w:r w:rsidRPr="00A27A71">
              <w:rPr>
                <w:color w:val="000000"/>
                <w:sz w:val="20"/>
                <w:szCs w:val="20"/>
              </w:rPr>
              <w:t>5.25</w:t>
            </w:r>
          </w:p>
        </w:tc>
      </w:tr>
      <w:tr w:rsidR="004E652A" w:rsidRPr="00A27A71" w:rsidTr="006A38D1">
        <w:tc>
          <w:tcPr>
            <w:tcW w:w="14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E652A" w:rsidRPr="00A27A71" w:rsidRDefault="004E652A" w:rsidP="00E0480C">
            <w:pPr>
              <w:widowControl w:val="0"/>
              <w:jc w:val="left"/>
              <w:rPr>
                <w:color w:val="000000"/>
                <w:sz w:val="20"/>
                <w:szCs w:val="20"/>
              </w:rPr>
            </w:pPr>
            <w:r w:rsidRPr="00A27A71">
              <w:rPr>
                <w:color w:val="000000"/>
                <w:sz w:val="20"/>
                <w:szCs w:val="20"/>
              </w:rPr>
              <w:t>HCFC-124</w:t>
            </w:r>
          </w:p>
        </w:tc>
        <w:tc>
          <w:tcPr>
            <w:tcW w:w="521" w:type="pct"/>
            <w:tcBorders>
              <w:top w:val="nil"/>
              <w:left w:val="nil"/>
              <w:bottom w:val="single" w:sz="4" w:space="0" w:color="auto"/>
              <w:right w:val="single" w:sz="4" w:space="0" w:color="auto"/>
            </w:tcBorders>
            <w:shd w:val="clear" w:color="auto" w:fill="auto"/>
            <w:noWrap/>
          </w:tcPr>
          <w:p w:rsidR="004E652A" w:rsidRPr="00A27A71" w:rsidRDefault="004E652A" w:rsidP="005007BF">
            <w:pPr>
              <w:jc w:val="right"/>
              <w:rPr>
                <w:sz w:val="20"/>
                <w:szCs w:val="20"/>
              </w:rPr>
            </w:pPr>
            <w:r w:rsidRPr="00A27A71">
              <w:rPr>
                <w:sz w:val="20"/>
                <w:szCs w:val="20"/>
              </w:rPr>
              <w:t>0.15</w:t>
            </w:r>
          </w:p>
        </w:tc>
        <w:tc>
          <w:tcPr>
            <w:tcW w:w="521" w:type="pct"/>
            <w:tcBorders>
              <w:top w:val="nil"/>
              <w:left w:val="nil"/>
              <w:bottom w:val="single" w:sz="4" w:space="0" w:color="auto"/>
              <w:right w:val="single" w:sz="4" w:space="0" w:color="auto"/>
            </w:tcBorders>
            <w:shd w:val="clear" w:color="auto" w:fill="auto"/>
            <w:noWrap/>
          </w:tcPr>
          <w:p w:rsidR="004E652A" w:rsidRPr="00A27A71" w:rsidRDefault="004E652A" w:rsidP="005007BF">
            <w:pPr>
              <w:jc w:val="right"/>
              <w:rPr>
                <w:sz w:val="20"/>
                <w:szCs w:val="20"/>
              </w:rPr>
            </w:pPr>
            <w:r w:rsidRPr="00A27A71">
              <w:rPr>
                <w:sz w:val="20"/>
                <w:szCs w:val="20"/>
              </w:rPr>
              <w:t>1.68</w:t>
            </w:r>
          </w:p>
        </w:tc>
        <w:tc>
          <w:tcPr>
            <w:tcW w:w="567" w:type="pct"/>
            <w:tcBorders>
              <w:top w:val="single" w:sz="4" w:space="0" w:color="auto"/>
              <w:left w:val="nil"/>
              <w:bottom w:val="single" w:sz="4" w:space="0" w:color="auto"/>
              <w:right w:val="single" w:sz="4" w:space="0" w:color="auto"/>
            </w:tcBorders>
          </w:tcPr>
          <w:p w:rsidR="004E652A" w:rsidRPr="00A27A71" w:rsidRDefault="004E652A" w:rsidP="005007BF">
            <w:pPr>
              <w:jc w:val="right"/>
              <w:rPr>
                <w:sz w:val="20"/>
                <w:szCs w:val="20"/>
              </w:rPr>
            </w:pPr>
            <w:r w:rsidRPr="00A27A71">
              <w:rPr>
                <w:sz w:val="20"/>
                <w:szCs w:val="20"/>
              </w:rPr>
              <w:t>0.272</w:t>
            </w:r>
          </w:p>
        </w:tc>
        <w:tc>
          <w:tcPr>
            <w:tcW w:w="520" w:type="pct"/>
            <w:tcBorders>
              <w:top w:val="nil"/>
              <w:left w:val="single" w:sz="4" w:space="0" w:color="auto"/>
              <w:bottom w:val="single" w:sz="4" w:space="0" w:color="auto"/>
              <w:right w:val="single" w:sz="4" w:space="0" w:color="auto"/>
            </w:tcBorders>
          </w:tcPr>
          <w:p w:rsidR="004E652A" w:rsidRPr="00A27A71" w:rsidRDefault="004E652A" w:rsidP="005007BF">
            <w:pPr>
              <w:jc w:val="right"/>
              <w:rPr>
                <w:sz w:val="20"/>
                <w:szCs w:val="20"/>
              </w:rPr>
            </w:pPr>
            <w:r w:rsidRPr="00A27A71">
              <w:rPr>
                <w:sz w:val="20"/>
                <w:szCs w:val="20"/>
              </w:rPr>
              <w:t>2.70</w:t>
            </w:r>
          </w:p>
        </w:tc>
        <w:tc>
          <w:tcPr>
            <w:tcW w:w="568" w:type="pct"/>
            <w:tcBorders>
              <w:top w:val="nil"/>
              <w:left w:val="single" w:sz="4" w:space="0" w:color="auto"/>
              <w:bottom w:val="single" w:sz="4" w:space="0" w:color="auto"/>
              <w:right w:val="single" w:sz="4" w:space="0" w:color="auto"/>
            </w:tcBorders>
          </w:tcPr>
          <w:p w:rsidR="004E652A" w:rsidRPr="00A27A71" w:rsidRDefault="004E652A" w:rsidP="005007BF">
            <w:pPr>
              <w:jc w:val="right"/>
              <w:rPr>
                <w:sz w:val="20"/>
                <w:szCs w:val="20"/>
              </w:rPr>
            </w:pPr>
            <w:r w:rsidRPr="00A27A71">
              <w:rPr>
                <w:sz w:val="20"/>
                <w:szCs w:val="20"/>
              </w:rPr>
              <w:t>0.00</w:t>
            </w:r>
          </w:p>
        </w:tc>
        <w:tc>
          <w:tcPr>
            <w:tcW w:w="814" w:type="pct"/>
            <w:tcBorders>
              <w:top w:val="nil"/>
              <w:left w:val="single" w:sz="4" w:space="0" w:color="auto"/>
              <w:bottom w:val="single" w:sz="4" w:space="0" w:color="auto"/>
              <w:right w:val="single" w:sz="4" w:space="0" w:color="auto"/>
            </w:tcBorders>
            <w:shd w:val="clear" w:color="auto" w:fill="auto"/>
            <w:noWrap/>
            <w:vAlign w:val="bottom"/>
          </w:tcPr>
          <w:p w:rsidR="004E652A" w:rsidRPr="00A27A71" w:rsidRDefault="004E652A">
            <w:pPr>
              <w:jc w:val="right"/>
              <w:rPr>
                <w:color w:val="000000"/>
                <w:sz w:val="20"/>
                <w:szCs w:val="20"/>
              </w:rPr>
            </w:pPr>
            <w:r w:rsidRPr="00A27A71">
              <w:rPr>
                <w:color w:val="000000"/>
                <w:sz w:val="20"/>
                <w:szCs w:val="20"/>
              </w:rPr>
              <w:t>0</w:t>
            </w:r>
          </w:p>
        </w:tc>
      </w:tr>
      <w:tr w:rsidR="004E652A" w:rsidRPr="00A27A71" w:rsidTr="006A38D1">
        <w:tc>
          <w:tcPr>
            <w:tcW w:w="14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E652A" w:rsidRPr="00A27A71" w:rsidRDefault="004E652A" w:rsidP="00E0480C">
            <w:pPr>
              <w:widowControl w:val="0"/>
              <w:jc w:val="left"/>
              <w:rPr>
                <w:color w:val="000000"/>
                <w:sz w:val="20"/>
                <w:szCs w:val="20"/>
              </w:rPr>
            </w:pPr>
            <w:r w:rsidRPr="00A27A71">
              <w:rPr>
                <w:color w:val="000000"/>
                <w:sz w:val="20"/>
                <w:szCs w:val="20"/>
              </w:rPr>
              <w:t>HCFC-141b</w:t>
            </w:r>
          </w:p>
        </w:tc>
        <w:tc>
          <w:tcPr>
            <w:tcW w:w="521" w:type="pct"/>
            <w:tcBorders>
              <w:top w:val="nil"/>
              <w:left w:val="nil"/>
              <w:bottom w:val="single" w:sz="4" w:space="0" w:color="auto"/>
              <w:right w:val="single" w:sz="4" w:space="0" w:color="auto"/>
            </w:tcBorders>
            <w:shd w:val="clear" w:color="auto" w:fill="auto"/>
            <w:noWrap/>
          </w:tcPr>
          <w:p w:rsidR="004E652A" w:rsidRPr="00A27A71" w:rsidRDefault="004E652A" w:rsidP="005007BF">
            <w:pPr>
              <w:jc w:val="right"/>
              <w:rPr>
                <w:sz w:val="20"/>
                <w:szCs w:val="20"/>
              </w:rPr>
            </w:pPr>
            <w:r w:rsidRPr="00A27A71">
              <w:rPr>
                <w:sz w:val="20"/>
                <w:szCs w:val="20"/>
              </w:rPr>
              <w:t>2,043.4</w:t>
            </w:r>
          </w:p>
        </w:tc>
        <w:tc>
          <w:tcPr>
            <w:tcW w:w="521" w:type="pct"/>
            <w:tcBorders>
              <w:top w:val="nil"/>
              <w:left w:val="nil"/>
              <w:bottom w:val="single" w:sz="4" w:space="0" w:color="auto"/>
              <w:right w:val="single" w:sz="4" w:space="0" w:color="auto"/>
            </w:tcBorders>
            <w:shd w:val="clear" w:color="auto" w:fill="auto"/>
            <w:noWrap/>
          </w:tcPr>
          <w:p w:rsidR="004E652A" w:rsidRPr="00A27A71" w:rsidRDefault="004E652A" w:rsidP="005007BF">
            <w:pPr>
              <w:jc w:val="right"/>
              <w:rPr>
                <w:sz w:val="20"/>
                <w:szCs w:val="20"/>
              </w:rPr>
            </w:pPr>
            <w:r w:rsidRPr="00A27A71">
              <w:rPr>
                <w:sz w:val="20"/>
                <w:szCs w:val="20"/>
              </w:rPr>
              <w:t>906.34</w:t>
            </w:r>
          </w:p>
        </w:tc>
        <w:tc>
          <w:tcPr>
            <w:tcW w:w="567" w:type="pct"/>
            <w:tcBorders>
              <w:top w:val="single" w:sz="4" w:space="0" w:color="auto"/>
              <w:left w:val="nil"/>
              <w:bottom w:val="single" w:sz="4" w:space="0" w:color="auto"/>
              <w:right w:val="single" w:sz="4" w:space="0" w:color="auto"/>
            </w:tcBorders>
          </w:tcPr>
          <w:p w:rsidR="004E652A" w:rsidRPr="00A27A71" w:rsidRDefault="004E652A" w:rsidP="005007BF">
            <w:pPr>
              <w:jc w:val="right"/>
              <w:rPr>
                <w:sz w:val="20"/>
                <w:szCs w:val="20"/>
              </w:rPr>
            </w:pPr>
            <w:r w:rsidRPr="00A27A71">
              <w:rPr>
                <w:sz w:val="20"/>
                <w:szCs w:val="20"/>
              </w:rPr>
              <w:t>1,238.78</w:t>
            </w:r>
          </w:p>
        </w:tc>
        <w:tc>
          <w:tcPr>
            <w:tcW w:w="520" w:type="pct"/>
            <w:tcBorders>
              <w:top w:val="nil"/>
              <w:left w:val="single" w:sz="4" w:space="0" w:color="auto"/>
              <w:bottom w:val="single" w:sz="4" w:space="0" w:color="auto"/>
              <w:right w:val="single" w:sz="4" w:space="0" w:color="auto"/>
            </w:tcBorders>
          </w:tcPr>
          <w:p w:rsidR="004E652A" w:rsidRPr="00A27A71" w:rsidRDefault="004E652A" w:rsidP="005007BF">
            <w:pPr>
              <w:jc w:val="right"/>
              <w:rPr>
                <w:sz w:val="20"/>
                <w:szCs w:val="20"/>
              </w:rPr>
            </w:pPr>
            <w:r w:rsidRPr="00A27A71">
              <w:rPr>
                <w:sz w:val="20"/>
                <w:szCs w:val="20"/>
              </w:rPr>
              <w:t>1,072.75</w:t>
            </w:r>
          </w:p>
        </w:tc>
        <w:tc>
          <w:tcPr>
            <w:tcW w:w="568" w:type="pct"/>
            <w:tcBorders>
              <w:top w:val="nil"/>
              <w:left w:val="single" w:sz="4" w:space="0" w:color="auto"/>
              <w:bottom w:val="single" w:sz="4" w:space="0" w:color="auto"/>
              <w:right w:val="single" w:sz="4" w:space="0" w:color="auto"/>
            </w:tcBorders>
          </w:tcPr>
          <w:p w:rsidR="004E652A" w:rsidRPr="00A27A71" w:rsidRDefault="004E652A" w:rsidP="005007BF">
            <w:pPr>
              <w:jc w:val="right"/>
              <w:rPr>
                <w:sz w:val="20"/>
                <w:szCs w:val="20"/>
              </w:rPr>
            </w:pPr>
            <w:r w:rsidRPr="00A27A71">
              <w:rPr>
                <w:sz w:val="20"/>
                <w:szCs w:val="20"/>
              </w:rPr>
              <w:t>731.53</w:t>
            </w:r>
          </w:p>
        </w:tc>
        <w:tc>
          <w:tcPr>
            <w:tcW w:w="814" w:type="pct"/>
            <w:tcBorders>
              <w:top w:val="nil"/>
              <w:left w:val="single" w:sz="4" w:space="0" w:color="auto"/>
              <w:bottom w:val="single" w:sz="4" w:space="0" w:color="auto"/>
              <w:right w:val="single" w:sz="4" w:space="0" w:color="auto"/>
            </w:tcBorders>
            <w:shd w:val="clear" w:color="auto" w:fill="auto"/>
            <w:noWrap/>
            <w:vAlign w:val="bottom"/>
          </w:tcPr>
          <w:p w:rsidR="004E652A" w:rsidRPr="00A27A71" w:rsidRDefault="004E652A">
            <w:pPr>
              <w:jc w:val="right"/>
              <w:rPr>
                <w:color w:val="000000"/>
                <w:sz w:val="20"/>
                <w:szCs w:val="20"/>
              </w:rPr>
            </w:pPr>
            <w:r w:rsidRPr="00A27A71">
              <w:rPr>
                <w:color w:val="000000"/>
                <w:sz w:val="20"/>
                <w:szCs w:val="20"/>
              </w:rPr>
              <w:t>1,178.26</w:t>
            </w:r>
          </w:p>
        </w:tc>
      </w:tr>
      <w:tr w:rsidR="004E652A" w:rsidRPr="00A27A71" w:rsidTr="006A38D1">
        <w:tc>
          <w:tcPr>
            <w:tcW w:w="14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E652A" w:rsidRPr="00A27A71" w:rsidRDefault="004E652A" w:rsidP="00E0480C">
            <w:pPr>
              <w:widowControl w:val="0"/>
              <w:jc w:val="left"/>
              <w:rPr>
                <w:color w:val="000000"/>
                <w:sz w:val="20"/>
                <w:szCs w:val="20"/>
              </w:rPr>
            </w:pPr>
            <w:r w:rsidRPr="00A27A71">
              <w:rPr>
                <w:color w:val="000000"/>
                <w:sz w:val="20"/>
                <w:szCs w:val="20"/>
              </w:rPr>
              <w:t>HCFC-142b</w:t>
            </w:r>
          </w:p>
        </w:tc>
        <w:tc>
          <w:tcPr>
            <w:tcW w:w="521" w:type="pct"/>
            <w:tcBorders>
              <w:top w:val="nil"/>
              <w:left w:val="nil"/>
              <w:bottom w:val="single" w:sz="4" w:space="0" w:color="auto"/>
              <w:right w:val="single" w:sz="4" w:space="0" w:color="auto"/>
            </w:tcBorders>
            <w:shd w:val="clear" w:color="auto" w:fill="auto"/>
            <w:noWrap/>
          </w:tcPr>
          <w:p w:rsidR="004E652A" w:rsidRPr="00A27A71" w:rsidRDefault="004E652A" w:rsidP="005007BF">
            <w:pPr>
              <w:jc w:val="right"/>
              <w:rPr>
                <w:sz w:val="20"/>
                <w:szCs w:val="20"/>
              </w:rPr>
            </w:pPr>
            <w:r w:rsidRPr="00A27A71">
              <w:rPr>
                <w:sz w:val="20"/>
                <w:szCs w:val="20"/>
              </w:rPr>
              <w:t>270.8</w:t>
            </w:r>
          </w:p>
        </w:tc>
        <w:tc>
          <w:tcPr>
            <w:tcW w:w="521" w:type="pct"/>
            <w:tcBorders>
              <w:top w:val="nil"/>
              <w:left w:val="nil"/>
              <w:bottom w:val="single" w:sz="4" w:space="0" w:color="auto"/>
              <w:right w:val="single" w:sz="4" w:space="0" w:color="auto"/>
            </w:tcBorders>
            <w:shd w:val="clear" w:color="auto" w:fill="auto"/>
            <w:noWrap/>
          </w:tcPr>
          <w:p w:rsidR="004E652A" w:rsidRPr="00A27A71" w:rsidRDefault="004E652A" w:rsidP="005007BF">
            <w:pPr>
              <w:jc w:val="right"/>
              <w:rPr>
                <w:sz w:val="20"/>
                <w:szCs w:val="20"/>
              </w:rPr>
            </w:pPr>
            <w:r w:rsidRPr="00A27A71">
              <w:rPr>
                <w:sz w:val="20"/>
                <w:szCs w:val="20"/>
              </w:rPr>
              <w:t>136.45</w:t>
            </w:r>
          </w:p>
        </w:tc>
        <w:tc>
          <w:tcPr>
            <w:tcW w:w="567" w:type="pct"/>
            <w:tcBorders>
              <w:top w:val="single" w:sz="4" w:space="0" w:color="auto"/>
              <w:left w:val="nil"/>
              <w:bottom w:val="single" w:sz="4" w:space="0" w:color="auto"/>
              <w:right w:val="single" w:sz="4" w:space="0" w:color="auto"/>
            </w:tcBorders>
          </w:tcPr>
          <w:p w:rsidR="004E652A" w:rsidRPr="00A27A71" w:rsidRDefault="004E652A" w:rsidP="005007BF">
            <w:pPr>
              <w:jc w:val="right"/>
              <w:rPr>
                <w:sz w:val="20"/>
                <w:szCs w:val="20"/>
              </w:rPr>
            </w:pPr>
            <w:r w:rsidRPr="00A27A71">
              <w:rPr>
                <w:sz w:val="20"/>
                <w:szCs w:val="20"/>
              </w:rPr>
              <w:t>146.49</w:t>
            </w:r>
          </w:p>
        </w:tc>
        <w:tc>
          <w:tcPr>
            <w:tcW w:w="520" w:type="pct"/>
            <w:tcBorders>
              <w:top w:val="nil"/>
              <w:left w:val="single" w:sz="4" w:space="0" w:color="auto"/>
              <w:bottom w:val="single" w:sz="4" w:space="0" w:color="auto"/>
              <w:right w:val="single" w:sz="4" w:space="0" w:color="auto"/>
            </w:tcBorders>
          </w:tcPr>
          <w:p w:rsidR="004E652A" w:rsidRPr="00A27A71" w:rsidRDefault="004E652A" w:rsidP="005007BF">
            <w:pPr>
              <w:jc w:val="right"/>
              <w:rPr>
                <w:sz w:val="20"/>
                <w:szCs w:val="20"/>
              </w:rPr>
            </w:pPr>
            <w:r w:rsidRPr="00A27A71">
              <w:rPr>
                <w:sz w:val="20"/>
                <w:szCs w:val="20"/>
              </w:rPr>
              <w:t>42.04</w:t>
            </w:r>
          </w:p>
        </w:tc>
        <w:tc>
          <w:tcPr>
            <w:tcW w:w="568" w:type="pct"/>
            <w:tcBorders>
              <w:top w:val="nil"/>
              <w:left w:val="single" w:sz="4" w:space="0" w:color="auto"/>
              <w:bottom w:val="single" w:sz="4" w:space="0" w:color="auto"/>
              <w:right w:val="single" w:sz="4" w:space="0" w:color="auto"/>
            </w:tcBorders>
          </w:tcPr>
          <w:p w:rsidR="004E652A" w:rsidRPr="00A27A71" w:rsidRDefault="004E652A" w:rsidP="005007BF">
            <w:pPr>
              <w:jc w:val="right"/>
              <w:rPr>
                <w:sz w:val="20"/>
                <w:szCs w:val="20"/>
              </w:rPr>
            </w:pPr>
            <w:r w:rsidRPr="00A27A71">
              <w:rPr>
                <w:sz w:val="20"/>
                <w:szCs w:val="20"/>
              </w:rPr>
              <w:t>57.53</w:t>
            </w:r>
          </w:p>
        </w:tc>
        <w:tc>
          <w:tcPr>
            <w:tcW w:w="814" w:type="pct"/>
            <w:tcBorders>
              <w:top w:val="nil"/>
              <w:left w:val="single" w:sz="4" w:space="0" w:color="auto"/>
              <w:bottom w:val="single" w:sz="4" w:space="0" w:color="auto"/>
              <w:right w:val="single" w:sz="4" w:space="0" w:color="auto"/>
            </w:tcBorders>
            <w:shd w:val="clear" w:color="auto" w:fill="auto"/>
            <w:noWrap/>
            <w:vAlign w:val="bottom"/>
          </w:tcPr>
          <w:p w:rsidR="004E652A" w:rsidRPr="00A27A71" w:rsidRDefault="000937F4">
            <w:pPr>
              <w:jc w:val="right"/>
              <w:rPr>
                <w:color w:val="000000"/>
                <w:sz w:val="20"/>
                <w:szCs w:val="20"/>
              </w:rPr>
            </w:pPr>
            <w:r w:rsidRPr="00A27A71">
              <w:rPr>
                <w:color w:val="000000"/>
                <w:sz w:val="20"/>
                <w:szCs w:val="20"/>
              </w:rPr>
              <w:t>251.69</w:t>
            </w:r>
          </w:p>
        </w:tc>
      </w:tr>
      <w:tr w:rsidR="00291652" w:rsidRPr="00A27A71" w:rsidTr="00291652">
        <w:tc>
          <w:tcPr>
            <w:tcW w:w="1489"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5007BF" w:rsidRPr="00A27A71" w:rsidRDefault="005007BF" w:rsidP="00FB3F9A">
            <w:pPr>
              <w:jc w:val="left"/>
              <w:rPr>
                <w:rFonts w:eastAsiaTheme="minorHAnsi"/>
                <w:color w:val="000000"/>
                <w:sz w:val="20"/>
                <w:szCs w:val="20"/>
              </w:rPr>
            </w:pPr>
            <w:r w:rsidRPr="00A27A71">
              <w:rPr>
                <w:color w:val="000000"/>
                <w:sz w:val="20"/>
                <w:szCs w:val="20"/>
              </w:rPr>
              <w:t>Sub-total (</w:t>
            </w:r>
            <w:r w:rsidR="00FB3F9A" w:rsidRPr="00A27A71">
              <w:rPr>
                <w:color w:val="000000"/>
                <w:sz w:val="20"/>
                <w:szCs w:val="20"/>
              </w:rPr>
              <w:t>mt</w:t>
            </w:r>
            <w:r w:rsidRPr="00A27A71">
              <w:rPr>
                <w:color w:val="000000"/>
                <w:sz w:val="20"/>
                <w:szCs w:val="20"/>
              </w:rPr>
              <w:t>)</w:t>
            </w:r>
          </w:p>
        </w:tc>
        <w:tc>
          <w:tcPr>
            <w:tcW w:w="521" w:type="pct"/>
            <w:tcBorders>
              <w:top w:val="nil"/>
              <w:left w:val="nil"/>
              <w:bottom w:val="single" w:sz="4" w:space="0" w:color="auto"/>
              <w:right w:val="single" w:sz="4" w:space="0" w:color="auto"/>
            </w:tcBorders>
            <w:shd w:val="clear" w:color="auto" w:fill="auto"/>
            <w:noWrap/>
          </w:tcPr>
          <w:p w:rsidR="005007BF" w:rsidRPr="00A27A71" w:rsidRDefault="005007BF" w:rsidP="00291652">
            <w:pPr>
              <w:widowControl w:val="0"/>
              <w:jc w:val="right"/>
              <w:rPr>
                <w:color w:val="000000"/>
                <w:sz w:val="20"/>
                <w:szCs w:val="20"/>
              </w:rPr>
            </w:pPr>
            <w:r w:rsidRPr="00A27A71">
              <w:rPr>
                <w:color w:val="000000"/>
                <w:sz w:val="20"/>
                <w:szCs w:val="20"/>
              </w:rPr>
              <w:fldChar w:fldCharType="begin"/>
            </w:r>
            <w:r w:rsidRPr="00A27A71">
              <w:rPr>
                <w:color w:val="000000"/>
                <w:sz w:val="20"/>
                <w:szCs w:val="20"/>
              </w:rPr>
              <w:instrText xml:space="preserve"> =SUM(ABOVE) </w:instrText>
            </w:r>
            <w:r w:rsidRPr="00A27A71">
              <w:rPr>
                <w:color w:val="000000"/>
                <w:sz w:val="20"/>
                <w:szCs w:val="20"/>
              </w:rPr>
              <w:fldChar w:fldCharType="separate"/>
            </w:r>
            <w:r w:rsidRPr="00A27A71">
              <w:rPr>
                <w:noProof/>
                <w:color w:val="000000"/>
                <w:sz w:val="20"/>
                <w:szCs w:val="20"/>
              </w:rPr>
              <w:t>7</w:t>
            </w:r>
            <w:r w:rsidR="00291652" w:rsidRPr="00A27A71">
              <w:rPr>
                <w:noProof/>
                <w:color w:val="000000"/>
                <w:sz w:val="20"/>
                <w:szCs w:val="20"/>
              </w:rPr>
              <w:t>,</w:t>
            </w:r>
            <w:r w:rsidRPr="00A27A71">
              <w:rPr>
                <w:noProof/>
                <w:color w:val="000000"/>
                <w:sz w:val="20"/>
                <w:szCs w:val="20"/>
              </w:rPr>
              <w:t>248.85</w:t>
            </w:r>
            <w:r w:rsidRPr="00A27A71">
              <w:rPr>
                <w:color w:val="000000"/>
                <w:sz w:val="20"/>
                <w:szCs w:val="20"/>
              </w:rPr>
              <w:fldChar w:fldCharType="end"/>
            </w:r>
          </w:p>
        </w:tc>
        <w:tc>
          <w:tcPr>
            <w:tcW w:w="521" w:type="pct"/>
            <w:tcBorders>
              <w:top w:val="nil"/>
              <w:left w:val="nil"/>
              <w:bottom w:val="single" w:sz="4" w:space="0" w:color="auto"/>
              <w:right w:val="single" w:sz="4" w:space="0" w:color="auto"/>
            </w:tcBorders>
            <w:shd w:val="clear" w:color="auto" w:fill="auto"/>
            <w:noWrap/>
          </w:tcPr>
          <w:p w:rsidR="005007BF" w:rsidRPr="00A27A71" w:rsidRDefault="005007BF" w:rsidP="00291652">
            <w:pPr>
              <w:widowControl w:val="0"/>
              <w:jc w:val="right"/>
              <w:rPr>
                <w:color w:val="000000"/>
                <w:sz w:val="20"/>
                <w:szCs w:val="20"/>
              </w:rPr>
            </w:pPr>
            <w:r w:rsidRPr="00A27A71">
              <w:rPr>
                <w:color w:val="000000"/>
                <w:sz w:val="20"/>
                <w:szCs w:val="20"/>
              </w:rPr>
              <w:fldChar w:fldCharType="begin"/>
            </w:r>
            <w:r w:rsidRPr="00A27A71">
              <w:rPr>
                <w:color w:val="000000"/>
                <w:sz w:val="20"/>
                <w:szCs w:val="20"/>
              </w:rPr>
              <w:instrText xml:space="preserve"> =SUM(ABOVE) </w:instrText>
            </w:r>
            <w:r w:rsidRPr="00A27A71">
              <w:rPr>
                <w:color w:val="000000"/>
                <w:sz w:val="20"/>
                <w:szCs w:val="20"/>
              </w:rPr>
              <w:fldChar w:fldCharType="separate"/>
            </w:r>
            <w:r w:rsidRPr="00A27A71">
              <w:rPr>
                <w:noProof/>
                <w:color w:val="000000"/>
                <w:sz w:val="20"/>
                <w:szCs w:val="20"/>
              </w:rPr>
              <w:t>4</w:t>
            </w:r>
            <w:r w:rsidR="00291652" w:rsidRPr="00A27A71">
              <w:rPr>
                <w:noProof/>
                <w:color w:val="000000"/>
                <w:sz w:val="20"/>
                <w:szCs w:val="20"/>
              </w:rPr>
              <w:t>,</w:t>
            </w:r>
            <w:r w:rsidRPr="00A27A71">
              <w:rPr>
                <w:noProof/>
                <w:color w:val="000000"/>
                <w:sz w:val="20"/>
                <w:szCs w:val="20"/>
              </w:rPr>
              <w:t>485.44</w:t>
            </w:r>
            <w:r w:rsidRPr="00A27A71">
              <w:rPr>
                <w:color w:val="000000"/>
                <w:sz w:val="20"/>
                <w:szCs w:val="20"/>
              </w:rPr>
              <w:fldChar w:fldCharType="end"/>
            </w:r>
          </w:p>
        </w:tc>
        <w:tc>
          <w:tcPr>
            <w:tcW w:w="567" w:type="pct"/>
            <w:tcBorders>
              <w:top w:val="single" w:sz="4" w:space="0" w:color="auto"/>
              <w:left w:val="nil"/>
              <w:bottom w:val="single" w:sz="4" w:space="0" w:color="auto"/>
              <w:right w:val="single" w:sz="4" w:space="0" w:color="auto"/>
            </w:tcBorders>
          </w:tcPr>
          <w:p w:rsidR="005007BF" w:rsidRPr="00A27A71" w:rsidRDefault="005007BF" w:rsidP="004E652A">
            <w:pPr>
              <w:widowControl w:val="0"/>
              <w:jc w:val="right"/>
              <w:rPr>
                <w:color w:val="000000"/>
                <w:sz w:val="20"/>
                <w:szCs w:val="20"/>
              </w:rPr>
            </w:pPr>
            <w:r w:rsidRPr="00A27A71">
              <w:rPr>
                <w:color w:val="000000"/>
                <w:sz w:val="20"/>
                <w:szCs w:val="20"/>
              </w:rPr>
              <w:fldChar w:fldCharType="begin"/>
            </w:r>
            <w:r w:rsidRPr="00A27A71">
              <w:rPr>
                <w:color w:val="000000"/>
                <w:sz w:val="20"/>
                <w:szCs w:val="20"/>
              </w:rPr>
              <w:instrText xml:space="preserve"> =SUM(ABOVE) </w:instrText>
            </w:r>
            <w:r w:rsidRPr="00A27A71">
              <w:rPr>
                <w:color w:val="000000"/>
                <w:sz w:val="20"/>
                <w:szCs w:val="20"/>
              </w:rPr>
              <w:fldChar w:fldCharType="separate"/>
            </w:r>
            <w:r w:rsidRPr="00A27A71">
              <w:rPr>
                <w:noProof/>
                <w:color w:val="000000"/>
                <w:sz w:val="20"/>
                <w:szCs w:val="20"/>
              </w:rPr>
              <w:t>4</w:t>
            </w:r>
            <w:r w:rsidR="00291652" w:rsidRPr="00A27A71">
              <w:rPr>
                <w:noProof/>
                <w:color w:val="000000"/>
                <w:sz w:val="20"/>
                <w:szCs w:val="20"/>
              </w:rPr>
              <w:t>,</w:t>
            </w:r>
            <w:r w:rsidRPr="00A27A71">
              <w:rPr>
                <w:noProof/>
                <w:color w:val="000000"/>
                <w:sz w:val="20"/>
                <w:szCs w:val="20"/>
              </w:rPr>
              <w:t>558.13</w:t>
            </w:r>
            <w:r w:rsidRPr="00A27A71">
              <w:rPr>
                <w:color w:val="000000"/>
                <w:sz w:val="20"/>
                <w:szCs w:val="20"/>
              </w:rPr>
              <w:fldChar w:fldCharType="end"/>
            </w:r>
          </w:p>
        </w:tc>
        <w:tc>
          <w:tcPr>
            <w:tcW w:w="520" w:type="pct"/>
            <w:tcBorders>
              <w:top w:val="nil"/>
              <w:left w:val="single" w:sz="4" w:space="0" w:color="auto"/>
              <w:bottom w:val="single" w:sz="4" w:space="0" w:color="auto"/>
              <w:right w:val="single" w:sz="4" w:space="0" w:color="auto"/>
            </w:tcBorders>
          </w:tcPr>
          <w:p w:rsidR="005007BF" w:rsidRPr="00A27A71" w:rsidRDefault="00F4446A" w:rsidP="00291652">
            <w:pPr>
              <w:widowControl w:val="0"/>
              <w:jc w:val="right"/>
              <w:rPr>
                <w:color w:val="000000"/>
                <w:sz w:val="20"/>
                <w:szCs w:val="20"/>
              </w:rPr>
            </w:pPr>
            <w:r w:rsidRPr="00A27A71">
              <w:rPr>
                <w:color w:val="000000"/>
                <w:sz w:val="20"/>
                <w:szCs w:val="20"/>
              </w:rPr>
              <w:t>5,165.53</w:t>
            </w:r>
          </w:p>
        </w:tc>
        <w:tc>
          <w:tcPr>
            <w:tcW w:w="568" w:type="pct"/>
            <w:tcBorders>
              <w:top w:val="nil"/>
              <w:left w:val="single" w:sz="4" w:space="0" w:color="auto"/>
              <w:bottom w:val="single" w:sz="4" w:space="0" w:color="auto"/>
              <w:right w:val="single" w:sz="4" w:space="0" w:color="auto"/>
            </w:tcBorders>
          </w:tcPr>
          <w:p w:rsidR="005007BF" w:rsidRPr="00A27A71" w:rsidRDefault="005007BF" w:rsidP="00291652">
            <w:pPr>
              <w:widowControl w:val="0"/>
              <w:jc w:val="right"/>
              <w:rPr>
                <w:color w:val="000000"/>
                <w:sz w:val="20"/>
                <w:szCs w:val="20"/>
              </w:rPr>
            </w:pPr>
            <w:r w:rsidRPr="00A27A71">
              <w:rPr>
                <w:color w:val="000000"/>
                <w:sz w:val="20"/>
                <w:szCs w:val="20"/>
              </w:rPr>
              <w:fldChar w:fldCharType="begin"/>
            </w:r>
            <w:r w:rsidRPr="00A27A71">
              <w:rPr>
                <w:color w:val="000000"/>
                <w:sz w:val="20"/>
                <w:szCs w:val="20"/>
              </w:rPr>
              <w:instrText xml:space="preserve"> =SUM(ABOVE) </w:instrText>
            </w:r>
            <w:r w:rsidRPr="00A27A71">
              <w:rPr>
                <w:color w:val="000000"/>
                <w:sz w:val="20"/>
                <w:szCs w:val="20"/>
              </w:rPr>
              <w:fldChar w:fldCharType="separate"/>
            </w:r>
            <w:r w:rsidRPr="00A27A71">
              <w:rPr>
                <w:noProof/>
                <w:color w:val="000000"/>
                <w:sz w:val="20"/>
                <w:szCs w:val="20"/>
              </w:rPr>
              <w:t>5</w:t>
            </w:r>
            <w:r w:rsidR="00291652" w:rsidRPr="00A27A71">
              <w:rPr>
                <w:noProof/>
                <w:color w:val="000000"/>
                <w:sz w:val="20"/>
                <w:szCs w:val="20"/>
              </w:rPr>
              <w:t>,</w:t>
            </w:r>
            <w:r w:rsidRPr="00A27A71">
              <w:rPr>
                <w:noProof/>
                <w:color w:val="000000"/>
                <w:sz w:val="20"/>
                <w:szCs w:val="20"/>
              </w:rPr>
              <w:t>561.65</w:t>
            </w:r>
            <w:r w:rsidRPr="00A27A71">
              <w:rPr>
                <w:color w:val="000000"/>
                <w:sz w:val="20"/>
                <w:szCs w:val="20"/>
              </w:rPr>
              <w:fldChar w:fldCharType="end"/>
            </w:r>
          </w:p>
        </w:tc>
        <w:tc>
          <w:tcPr>
            <w:tcW w:w="814" w:type="pct"/>
            <w:tcBorders>
              <w:top w:val="nil"/>
              <w:left w:val="single" w:sz="4" w:space="0" w:color="auto"/>
              <w:bottom w:val="single" w:sz="4" w:space="0" w:color="auto"/>
              <w:right w:val="single" w:sz="4" w:space="0" w:color="auto"/>
            </w:tcBorders>
            <w:shd w:val="clear" w:color="auto" w:fill="auto"/>
            <w:noWrap/>
            <w:vAlign w:val="center"/>
          </w:tcPr>
          <w:p w:rsidR="005007BF" w:rsidRPr="00A27A71" w:rsidRDefault="004E652A" w:rsidP="000937F4">
            <w:pPr>
              <w:widowControl w:val="0"/>
              <w:jc w:val="right"/>
              <w:rPr>
                <w:color w:val="000000"/>
                <w:sz w:val="20"/>
                <w:szCs w:val="20"/>
              </w:rPr>
            </w:pPr>
            <w:r w:rsidRPr="00A27A71">
              <w:rPr>
                <w:color w:val="000000"/>
                <w:sz w:val="20"/>
                <w:szCs w:val="20"/>
              </w:rPr>
              <w:fldChar w:fldCharType="begin"/>
            </w:r>
            <w:r w:rsidRPr="00A27A71">
              <w:rPr>
                <w:color w:val="000000"/>
                <w:sz w:val="20"/>
                <w:szCs w:val="20"/>
              </w:rPr>
              <w:instrText xml:space="preserve"> =SUM(ABOVE) </w:instrText>
            </w:r>
            <w:r w:rsidRPr="00A27A71">
              <w:rPr>
                <w:color w:val="000000"/>
                <w:sz w:val="20"/>
                <w:szCs w:val="20"/>
              </w:rPr>
              <w:fldChar w:fldCharType="separate"/>
            </w:r>
            <w:r w:rsidRPr="00A27A71">
              <w:rPr>
                <w:noProof/>
                <w:color w:val="000000"/>
                <w:sz w:val="20"/>
                <w:szCs w:val="20"/>
              </w:rPr>
              <w:t>5,</w:t>
            </w:r>
            <w:r w:rsidRPr="00A27A71">
              <w:rPr>
                <w:color w:val="000000"/>
                <w:sz w:val="20"/>
                <w:szCs w:val="20"/>
              </w:rPr>
              <w:fldChar w:fldCharType="end"/>
            </w:r>
            <w:r w:rsidR="000937F4" w:rsidRPr="00A27A71">
              <w:rPr>
                <w:color w:val="000000"/>
                <w:sz w:val="20"/>
                <w:szCs w:val="20"/>
              </w:rPr>
              <w:t>802.36</w:t>
            </w:r>
          </w:p>
        </w:tc>
      </w:tr>
      <w:tr w:rsidR="00291652" w:rsidRPr="00A27A71" w:rsidTr="00291652">
        <w:tc>
          <w:tcPr>
            <w:tcW w:w="1489"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5007BF" w:rsidRPr="00A27A71" w:rsidRDefault="005007BF" w:rsidP="00291652">
            <w:pPr>
              <w:jc w:val="left"/>
              <w:rPr>
                <w:b/>
                <w:bCs/>
                <w:color w:val="000000"/>
                <w:sz w:val="20"/>
                <w:szCs w:val="20"/>
              </w:rPr>
            </w:pPr>
            <w:r w:rsidRPr="00A27A71">
              <w:rPr>
                <w:color w:val="000000"/>
                <w:sz w:val="20"/>
                <w:szCs w:val="20"/>
              </w:rPr>
              <w:t>HCFC-141b in imported pre</w:t>
            </w:r>
            <w:r w:rsidR="00291652" w:rsidRPr="00A27A71">
              <w:rPr>
                <w:color w:val="000000"/>
                <w:sz w:val="20"/>
                <w:szCs w:val="20"/>
              </w:rPr>
              <w:noBreakHyphen/>
            </w:r>
            <w:r w:rsidRPr="00A27A71">
              <w:rPr>
                <w:color w:val="000000"/>
                <w:sz w:val="20"/>
                <w:szCs w:val="20"/>
              </w:rPr>
              <w:t>blended polyols</w:t>
            </w:r>
            <w:r w:rsidR="00F4446A" w:rsidRPr="00A27A71">
              <w:rPr>
                <w:color w:val="000000"/>
                <w:sz w:val="20"/>
                <w:szCs w:val="20"/>
              </w:rPr>
              <w:t>*</w:t>
            </w:r>
          </w:p>
        </w:tc>
        <w:tc>
          <w:tcPr>
            <w:tcW w:w="521" w:type="pct"/>
            <w:tcBorders>
              <w:top w:val="nil"/>
              <w:left w:val="nil"/>
              <w:bottom w:val="single" w:sz="4" w:space="0" w:color="auto"/>
              <w:right w:val="single" w:sz="4" w:space="0" w:color="auto"/>
            </w:tcBorders>
            <w:shd w:val="clear" w:color="auto" w:fill="auto"/>
            <w:noWrap/>
          </w:tcPr>
          <w:p w:rsidR="005007BF" w:rsidRPr="00A27A71" w:rsidRDefault="005007BF" w:rsidP="00291652">
            <w:pPr>
              <w:jc w:val="right"/>
              <w:rPr>
                <w:sz w:val="20"/>
                <w:szCs w:val="20"/>
              </w:rPr>
            </w:pPr>
            <w:r w:rsidRPr="00A27A71">
              <w:rPr>
                <w:sz w:val="20"/>
                <w:szCs w:val="20"/>
              </w:rPr>
              <w:t>613.02</w:t>
            </w:r>
          </w:p>
        </w:tc>
        <w:tc>
          <w:tcPr>
            <w:tcW w:w="521" w:type="pct"/>
            <w:tcBorders>
              <w:top w:val="nil"/>
              <w:left w:val="nil"/>
              <w:bottom w:val="single" w:sz="4" w:space="0" w:color="auto"/>
              <w:right w:val="single" w:sz="4" w:space="0" w:color="auto"/>
            </w:tcBorders>
            <w:shd w:val="clear" w:color="auto" w:fill="auto"/>
            <w:noWrap/>
          </w:tcPr>
          <w:p w:rsidR="005007BF" w:rsidRPr="00A27A71" w:rsidRDefault="005007BF" w:rsidP="00291652">
            <w:pPr>
              <w:jc w:val="right"/>
              <w:rPr>
                <w:sz w:val="20"/>
                <w:szCs w:val="20"/>
              </w:rPr>
            </w:pPr>
            <w:r w:rsidRPr="00A27A71">
              <w:rPr>
                <w:sz w:val="20"/>
                <w:szCs w:val="20"/>
              </w:rPr>
              <w:t>155.61</w:t>
            </w:r>
          </w:p>
        </w:tc>
        <w:tc>
          <w:tcPr>
            <w:tcW w:w="567" w:type="pct"/>
            <w:tcBorders>
              <w:top w:val="single" w:sz="4" w:space="0" w:color="auto"/>
              <w:left w:val="nil"/>
              <w:bottom w:val="single" w:sz="4" w:space="0" w:color="auto"/>
              <w:right w:val="single" w:sz="4" w:space="0" w:color="auto"/>
            </w:tcBorders>
            <w:shd w:val="clear" w:color="auto" w:fill="auto"/>
          </w:tcPr>
          <w:p w:rsidR="005007BF" w:rsidRPr="00A27A71" w:rsidRDefault="005007BF" w:rsidP="00291652">
            <w:pPr>
              <w:jc w:val="right"/>
              <w:rPr>
                <w:sz w:val="20"/>
                <w:szCs w:val="20"/>
              </w:rPr>
            </w:pPr>
            <w:r w:rsidRPr="00A27A71">
              <w:rPr>
                <w:sz w:val="20"/>
                <w:szCs w:val="20"/>
              </w:rPr>
              <w:t>120</w:t>
            </w:r>
            <w:r w:rsidR="00291652" w:rsidRPr="00A27A71">
              <w:rPr>
                <w:sz w:val="20"/>
                <w:szCs w:val="20"/>
              </w:rPr>
              <w:t>.00</w:t>
            </w:r>
          </w:p>
        </w:tc>
        <w:tc>
          <w:tcPr>
            <w:tcW w:w="520" w:type="pct"/>
            <w:tcBorders>
              <w:top w:val="nil"/>
              <w:left w:val="single" w:sz="4" w:space="0" w:color="auto"/>
              <w:bottom w:val="single" w:sz="4" w:space="0" w:color="auto"/>
              <w:right w:val="single" w:sz="4" w:space="0" w:color="auto"/>
            </w:tcBorders>
            <w:shd w:val="clear" w:color="auto" w:fill="auto"/>
          </w:tcPr>
          <w:p w:rsidR="005007BF" w:rsidRPr="00A27A71" w:rsidRDefault="005007BF" w:rsidP="00291652">
            <w:pPr>
              <w:jc w:val="right"/>
              <w:rPr>
                <w:sz w:val="20"/>
                <w:szCs w:val="20"/>
              </w:rPr>
            </w:pPr>
            <w:r w:rsidRPr="00A27A71">
              <w:rPr>
                <w:sz w:val="20"/>
                <w:szCs w:val="20"/>
              </w:rPr>
              <w:t>100.00</w:t>
            </w:r>
          </w:p>
        </w:tc>
        <w:tc>
          <w:tcPr>
            <w:tcW w:w="568" w:type="pct"/>
            <w:tcBorders>
              <w:top w:val="nil"/>
              <w:left w:val="single" w:sz="4" w:space="0" w:color="auto"/>
              <w:bottom w:val="single" w:sz="4" w:space="0" w:color="auto"/>
              <w:right w:val="single" w:sz="4" w:space="0" w:color="auto"/>
            </w:tcBorders>
            <w:shd w:val="clear" w:color="auto" w:fill="auto"/>
          </w:tcPr>
          <w:p w:rsidR="005007BF" w:rsidRPr="00A27A71" w:rsidRDefault="00291652" w:rsidP="00291652">
            <w:pPr>
              <w:jc w:val="right"/>
              <w:rPr>
                <w:sz w:val="20"/>
                <w:szCs w:val="20"/>
              </w:rPr>
            </w:pPr>
            <w:r w:rsidRPr="00A27A71">
              <w:rPr>
                <w:sz w:val="20"/>
                <w:szCs w:val="20"/>
              </w:rPr>
              <w:t>177.80</w:t>
            </w:r>
          </w:p>
        </w:tc>
        <w:tc>
          <w:tcPr>
            <w:tcW w:w="814" w:type="pct"/>
            <w:tcBorders>
              <w:top w:val="nil"/>
              <w:left w:val="single" w:sz="4" w:space="0" w:color="auto"/>
              <w:bottom w:val="single" w:sz="4" w:space="0" w:color="auto"/>
              <w:right w:val="single" w:sz="4" w:space="0" w:color="auto"/>
            </w:tcBorders>
            <w:shd w:val="clear" w:color="auto" w:fill="auto"/>
            <w:noWrap/>
          </w:tcPr>
          <w:p w:rsidR="005007BF" w:rsidRPr="00A27A71" w:rsidRDefault="000C7747" w:rsidP="00744A5F">
            <w:pPr>
              <w:jc w:val="right"/>
              <w:rPr>
                <w:sz w:val="20"/>
                <w:szCs w:val="20"/>
              </w:rPr>
            </w:pPr>
            <w:r w:rsidRPr="00A27A71">
              <w:rPr>
                <w:sz w:val="20"/>
                <w:szCs w:val="20"/>
              </w:rPr>
              <w:t>894.00</w:t>
            </w:r>
            <w:r w:rsidR="005007BF" w:rsidRPr="00A27A71">
              <w:rPr>
                <w:sz w:val="20"/>
                <w:szCs w:val="20"/>
              </w:rPr>
              <w:t>*</w:t>
            </w:r>
            <w:r w:rsidR="00F4446A" w:rsidRPr="00A27A71">
              <w:rPr>
                <w:sz w:val="20"/>
                <w:szCs w:val="20"/>
              </w:rPr>
              <w:t>*</w:t>
            </w:r>
          </w:p>
        </w:tc>
      </w:tr>
      <w:tr w:rsidR="00291652" w:rsidRPr="00A27A71" w:rsidTr="00291652">
        <w:tc>
          <w:tcPr>
            <w:tcW w:w="14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91652" w:rsidRPr="00A27A71" w:rsidRDefault="00291652" w:rsidP="00FB3F9A">
            <w:pPr>
              <w:widowControl w:val="0"/>
              <w:jc w:val="left"/>
              <w:rPr>
                <w:b/>
                <w:color w:val="000000"/>
                <w:sz w:val="20"/>
                <w:szCs w:val="20"/>
              </w:rPr>
            </w:pPr>
            <w:r w:rsidRPr="00A27A71">
              <w:rPr>
                <w:b/>
                <w:color w:val="000000"/>
                <w:sz w:val="20"/>
                <w:szCs w:val="20"/>
              </w:rPr>
              <w:t>Total (</w:t>
            </w:r>
            <w:r w:rsidR="00FB3F9A" w:rsidRPr="00A27A71">
              <w:rPr>
                <w:b/>
                <w:color w:val="000000"/>
                <w:sz w:val="20"/>
                <w:szCs w:val="20"/>
              </w:rPr>
              <w:t>mt</w:t>
            </w:r>
            <w:r w:rsidRPr="00A27A71">
              <w:rPr>
                <w:b/>
                <w:color w:val="000000"/>
                <w:sz w:val="20"/>
                <w:szCs w:val="20"/>
              </w:rPr>
              <w:t>)</w:t>
            </w:r>
          </w:p>
        </w:tc>
        <w:tc>
          <w:tcPr>
            <w:tcW w:w="521" w:type="pct"/>
            <w:tcBorders>
              <w:top w:val="nil"/>
              <w:left w:val="nil"/>
              <w:bottom w:val="single" w:sz="4" w:space="0" w:color="auto"/>
              <w:right w:val="single" w:sz="4" w:space="0" w:color="auto"/>
            </w:tcBorders>
            <w:shd w:val="clear" w:color="auto" w:fill="auto"/>
            <w:noWrap/>
          </w:tcPr>
          <w:p w:rsidR="00291652" w:rsidRPr="00A27A71" w:rsidRDefault="00291652" w:rsidP="00291652">
            <w:pPr>
              <w:jc w:val="right"/>
              <w:rPr>
                <w:b/>
                <w:sz w:val="20"/>
                <w:szCs w:val="20"/>
              </w:rPr>
            </w:pPr>
            <w:r w:rsidRPr="00A27A71">
              <w:rPr>
                <w:b/>
                <w:sz w:val="20"/>
                <w:szCs w:val="20"/>
              </w:rPr>
              <w:t>7,861.87</w:t>
            </w:r>
          </w:p>
        </w:tc>
        <w:tc>
          <w:tcPr>
            <w:tcW w:w="521" w:type="pct"/>
            <w:tcBorders>
              <w:top w:val="nil"/>
              <w:left w:val="nil"/>
              <w:bottom w:val="single" w:sz="4" w:space="0" w:color="auto"/>
              <w:right w:val="single" w:sz="4" w:space="0" w:color="auto"/>
            </w:tcBorders>
            <w:shd w:val="clear" w:color="auto" w:fill="auto"/>
            <w:noWrap/>
          </w:tcPr>
          <w:p w:rsidR="00291652" w:rsidRPr="00A27A71" w:rsidRDefault="00291652" w:rsidP="00291652">
            <w:pPr>
              <w:jc w:val="right"/>
              <w:rPr>
                <w:b/>
                <w:sz w:val="20"/>
                <w:szCs w:val="20"/>
              </w:rPr>
            </w:pPr>
            <w:r w:rsidRPr="00A27A71">
              <w:rPr>
                <w:b/>
                <w:sz w:val="20"/>
                <w:szCs w:val="20"/>
              </w:rPr>
              <w:t>4,641.05</w:t>
            </w:r>
          </w:p>
        </w:tc>
        <w:tc>
          <w:tcPr>
            <w:tcW w:w="567" w:type="pct"/>
            <w:tcBorders>
              <w:top w:val="single" w:sz="4" w:space="0" w:color="auto"/>
              <w:left w:val="nil"/>
              <w:bottom w:val="single" w:sz="4" w:space="0" w:color="auto"/>
              <w:right w:val="single" w:sz="4" w:space="0" w:color="auto"/>
            </w:tcBorders>
          </w:tcPr>
          <w:p w:rsidR="00291652" w:rsidRPr="00A27A71" w:rsidRDefault="00291652" w:rsidP="00291652">
            <w:pPr>
              <w:jc w:val="right"/>
              <w:rPr>
                <w:b/>
                <w:sz w:val="20"/>
                <w:szCs w:val="20"/>
              </w:rPr>
            </w:pPr>
            <w:r w:rsidRPr="00A27A71">
              <w:rPr>
                <w:b/>
                <w:sz w:val="20"/>
                <w:szCs w:val="20"/>
              </w:rPr>
              <w:t>4,678.13</w:t>
            </w:r>
          </w:p>
        </w:tc>
        <w:tc>
          <w:tcPr>
            <w:tcW w:w="520" w:type="pct"/>
            <w:tcBorders>
              <w:top w:val="nil"/>
              <w:left w:val="single" w:sz="4" w:space="0" w:color="auto"/>
              <w:bottom w:val="single" w:sz="4" w:space="0" w:color="auto"/>
              <w:right w:val="single" w:sz="4" w:space="0" w:color="auto"/>
            </w:tcBorders>
          </w:tcPr>
          <w:p w:rsidR="00291652" w:rsidRPr="00A27A71" w:rsidRDefault="00F4446A" w:rsidP="00291652">
            <w:pPr>
              <w:jc w:val="right"/>
              <w:rPr>
                <w:b/>
                <w:sz w:val="20"/>
                <w:szCs w:val="20"/>
              </w:rPr>
            </w:pPr>
            <w:r w:rsidRPr="00A27A71">
              <w:rPr>
                <w:b/>
                <w:sz w:val="20"/>
                <w:szCs w:val="20"/>
              </w:rPr>
              <w:t>5,265.53</w:t>
            </w:r>
          </w:p>
        </w:tc>
        <w:tc>
          <w:tcPr>
            <w:tcW w:w="568" w:type="pct"/>
            <w:tcBorders>
              <w:top w:val="nil"/>
              <w:left w:val="single" w:sz="4" w:space="0" w:color="auto"/>
              <w:bottom w:val="single" w:sz="4" w:space="0" w:color="auto"/>
              <w:right w:val="single" w:sz="4" w:space="0" w:color="auto"/>
            </w:tcBorders>
          </w:tcPr>
          <w:p w:rsidR="00291652" w:rsidRPr="00A27A71" w:rsidRDefault="00291652" w:rsidP="00291652">
            <w:pPr>
              <w:jc w:val="right"/>
              <w:rPr>
                <w:b/>
                <w:sz w:val="20"/>
                <w:szCs w:val="20"/>
              </w:rPr>
            </w:pPr>
            <w:r w:rsidRPr="00A27A71">
              <w:rPr>
                <w:b/>
                <w:sz w:val="20"/>
                <w:szCs w:val="20"/>
              </w:rPr>
              <w:t>5,739.45</w:t>
            </w:r>
          </w:p>
        </w:tc>
        <w:tc>
          <w:tcPr>
            <w:tcW w:w="814" w:type="pct"/>
            <w:tcBorders>
              <w:top w:val="nil"/>
              <w:left w:val="single" w:sz="4" w:space="0" w:color="auto"/>
              <w:bottom w:val="single" w:sz="4" w:space="0" w:color="auto"/>
              <w:right w:val="single" w:sz="4" w:space="0" w:color="auto"/>
            </w:tcBorders>
            <w:shd w:val="clear" w:color="auto" w:fill="auto"/>
            <w:noWrap/>
          </w:tcPr>
          <w:p w:rsidR="00291652" w:rsidRPr="00A27A71" w:rsidRDefault="004E652A" w:rsidP="000C7747">
            <w:pPr>
              <w:jc w:val="right"/>
              <w:rPr>
                <w:b/>
                <w:sz w:val="20"/>
                <w:szCs w:val="20"/>
                <w:highlight w:val="magenta"/>
              </w:rPr>
            </w:pPr>
            <w:r w:rsidRPr="00A27A71">
              <w:rPr>
                <w:b/>
                <w:color w:val="000000"/>
                <w:sz w:val="20"/>
                <w:szCs w:val="20"/>
              </w:rPr>
              <w:t>6,</w:t>
            </w:r>
            <w:r w:rsidR="000C7747" w:rsidRPr="00A27A71">
              <w:rPr>
                <w:b/>
                <w:color w:val="000000"/>
                <w:sz w:val="20"/>
                <w:szCs w:val="20"/>
              </w:rPr>
              <w:t>696.76</w:t>
            </w:r>
          </w:p>
        </w:tc>
      </w:tr>
      <w:tr w:rsidR="00773050" w:rsidRPr="00A27A71" w:rsidTr="00773050">
        <w:tc>
          <w:tcPr>
            <w:tcW w:w="5000" w:type="pct"/>
            <w:gridSpan w:val="7"/>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773050" w:rsidRPr="00A27A71" w:rsidRDefault="00773050" w:rsidP="00DE50BB">
            <w:pPr>
              <w:widowControl w:val="0"/>
              <w:jc w:val="left"/>
              <w:rPr>
                <w:color w:val="000000"/>
                <w:sz w:val="20"/>
                <w:szCs w:val="20"/>
              </w:rPr>
            </w:pPr>
            <w:r w:rsidRPr="00A27A71">
              <w:rPr>
                <w:b/>
                <w:bCs/>
                <w:color w:val="000000"/>
                <w:sz w:val="20"/>
                <w:szCs w:val="20"/>
              </w:rPr>
              <w:t>ODP tonnes</w:t>
            </w:r>
          </w:p>
        </w:tc>
      </w:tr>
      <w:tr w:rsidR="004E652A" w:rsidRPr="00A27A71" w:rsidTr="006A38D1">
        <w:tc>
          <w:tcPr>
            <w:tcW w:w="14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E652A" w:rsidRPr="00A27A71" w:rsidRDefault="004E652A" w:rsidP="00E0480C">
            <w:pPr>
              <w:widowControl w:val="0"/>
              <w:jc w:val="left"/>
              <w:rPr>
                <w:color w:val="000000"/>
                <w:sz w:val="20"/>
                <w:szCs w:val="20"/>
              </w:rPr>
            </w:pPr>
            <w:r w:rsidRPr="00A27A71">
              <w:rPr>
                <w:color w:val="000000"/>
                <w:sz w:val="20"/>
                <w:szCs w:val="20"/>
              </w:rPr>
              <w:t>HCFC-22</w:t>
            </w:r>
          </w:p>
        </w:tc>
        <w:tc>
          <w:tcPr>
            <w:tcW w:w="521" w:type="pct"/>
            <w:tcBorders>
              <w:top w:val="nil"/>
              <w:left w:val="nil"/>
              <w:bottom w:val="single" w:sz="4" w:space="0" w:color="auto"/>
              <w:right w:val="single" w:sz="4" w:space="0" w:color="auto"/>
            </w:tcBorders>
            <w:shd w:val="clear" w:color="auto" w:fill="auto"/>
            <w:noWrap/>
            <w:vAlign w:val="bottom"/>
          </w:tcPr>
          <w:p w:rsidR="004E652A" w:rsidRPr="00A27A71" w:rsidRDefault="004E652A">
            <w:pPr>
              <w:jc w:val="right"/>
              <w:rPr>
                <w:color w:val="000000"/>
                <w:sz w:val="20"/>
                <w:szCs w:val="20"/>
              </w:rPr>
            </w:pPr>
            <w:r w:rsidRPr="00A27A71">
              <w:rPr>
                <w:color w:val="000000"/>
                <w:sz w:val="20"/>
                <w:szCs w:val="20"/>
              </w:rPr>
              <w:t>271.40</w:t>
            </w:r>
          </w:p>
        </w:tc>
        <w:tc>
          <w:tcPr>
            <w:tcW w:w="521" w:type="pct"/>
            <w:tcBorders>
              <w:top w:val="nil"/>
              <w:left w:val="nil"/>
              <w:bottom w:val="single" w:sz="4" w:space="0" w:color="auto"/>
              <w:right w:val="single" w:sz="4" w:space="0" w:color="auto"/>
            </w:tcBorders>
            <w:shd w:val="clear" w:color="auto" w:fill="auto"/>
            <w:noWrap/>
            <w:vAlign w:val="bottom"/>
          </w:tcPr>
          <w:p w:rsidR="004E652A" w:rsidRPr="00A27A71" w:rsidRDefault="004E652A">
            <w:pPr>
              <w:jc w:val="right"/>
              <w:rPr>
                <w:color w:val="000000"/>
                <w:sz w:val="20"/>
                <w:szCs w:val="20"/>
              </w:rPr>
            </w:pPr>
            <w:r w:rsidRPr="00A27A71">
              <w:rPr>
                <w:color w:val="000000"/>
                <w:sz w:val="20"/>
                <w:szCs w:val="20"/>
              </w:rPr>
              <w:t>187.91</w:t>
            </w:r>
          </w:p>
        </w:tc>
        <w:tc>
          <w:tcPr>
            <w:tcW w:w="567" w:type="pct"/>
            <w:tcBorders>
              <w:top w:val="single" w:sz="4" w:space="0" w:color="auto"/>
              <w:left w:val="nil"/>
              <w:bottom w:val="single" w:sz="4" w:space="0" w:color="auto"/>
              <w:right w:val="single" w:sz="4" w:space="0" w:color="auto"/>
            </w:tcBorders>
            <w:vAlign w:val="bottom"/>
          </w:tcPr>
          <w:p w:rsidR="004E652A" w:rsidRPr="00A27A71" w:rsidRDefault="004E652A">
            <w:pPr>
              <w:jc w:val="right"/>
              <w:rPr>
                <w:color w:val="000000"/>
                <w:sz w:val="20"/>
                <w:szCs w:val="20"/>
              </w:rPr>
            </w:pPr>
            <w:r w:rsidRPr="00A27A71">
              <w:rPr>
                <w:color w:val="000000"/>
                <w:sz w:val="20"/>
                <w:szCs w:val="20"/>
              </w:rPr>
              <w:t>174.49</w:t>
            </w:r>
          </w:p>
        </w:tc>
        <w:tc>
          <w:tcPr>
            <w:tcW w:w="520" w:type="pct"/>
            <w:tcBorders>
              <w:top w:val="nil"/>
              <w:left w:val="single" w:sz="4" w:space="0" w:color="auto"/>
              <w:bottom w:val="single" w:sz="4" w:space="0" w:color="auto"/>
              <w:right w:val="single" w:sz="4" w:space="0" w:color="auto"/>
            </w:tcBorders>
            <w:vAlign w:val="bottom"/>
          </w:tcPr>
          <w:p w:rsidR="004E652A" w:rsidRPr="00A27A71" w:rsidRDefault="00F4446A">
            <w:pPr>
              <w:jc w:val="right"/>
              <w:rPr>
                <w:color w:val="000000"/>
                <w:sz w:val="20"/>
                <w:szCs w:val="20"/>
              </w:rPr>
            </w:pPr>
            <w:r w:rsidRPr="00A27A71">
              <w:rPr>
                <w:color w:val="000000"/>
                <w:sz w:val="20"/>
                <w:szCs w:val="20"/>
              </w:rPr>
              <w:t>222.14</w:t>
            </w:r>
          </w:p>
        </w:tc>
        <w:tc>
          <w:tcPr>
            <w:tcW w:w="568" w:type="pct"/>
            <w:tcBorders>
              <w:top w:val="nil"/>
              <w:left w:val="single" w:sz="4" w:space="0" w:color="auto"/>
              <w:bottom w:val="single" w:sz="4" w:space="0" w:color="auto"/>
              <w:right w:val="single" w:sz="4" w:space="0" w:color="auto"/>
            </w:tcBorders>
            <w:vAlign w:val="bottom"/>
          </w:tcPr>
          <w:p w:rsidR="004E652A" w:rsidRPr="00A27A71" w:rsidRDefault="004E652A">
            <w:pPr>
              <w:jc w:val="right"/>
              <w:rPr>
                <w:color w:val="000000"/>
                <w:sz w:val="20"/>
                <w:szCs w:val="20"/>
              </w:rPr>
            </w:pPr>
            <w:r w:rsidRPr="00A27A71">
              <w:rPr>
                <w:color w:val="000000"/>
                <w:sz w:val="20"/>
                <w:szCs w:val="20"/>
              </w:rPr>
              <w:t>262.22</w:t>
            </w:r>
          </w:p>
        </w:tc>
        <w:tc>
          <w:tcPr>
            <w:tcW w:w="814" w:type="pct"/>
            <w:tcBorders>
              <w:top w:val="nil"/>
              <w:left w:val="single" w:sz="4" w:space="0" w:color="auto"/>
              <w:bottom w:val="single" w:sz="4" w:space="0" w:color="auto"/>
              <w:right w:val="single" w:sz="4" w:space="0" w:color="auto"/>
            </w:tcBorders>
            <w:shd w:val="clear" w:color="auto" w:fill="auto"/>
            <w:noWrap/>
            <w:vAlign w:val="bottom"/>
          </w:tcPr>
          <w:p w:rsidR="004E652A" w:rsidRPr="00A27A71" w:rsidRDefault="004E652A">
            <w:pPr>
              <w:jc w:val="right"/>
              <w:rPr>
                <w:color w:val="000000"/>
                <w:sz w:val="20"/>
                <w:szCs w:val="20"/>
              </w:rPr>
            </w:pPr>
            <w:r w:rsidRPr="00A27A71">
              <w:rPr>
                <w:color w:val="000000"/>
                <w:sz w:val="20"/>
                <w:szCs w:val="20"/>
              </w:rPr>
              <w:t>240.19</w:t>
            </w:r>
          </w:p>
        </w:tc>
      </w:tr>
      <w:tr w:rsidR="004E652A" w:rsidRPr="00A27A71" w:rsidTr="006A38D1">
        <w:tc>
          <w:tcPr>
            <w:tcW w:w="14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E652A" w:rsidRPr="00A27A71" w:rsidRDefault="004E652A" w:rsidP="00E0480C">
            <w:pPr>
              <w:widowControl w:val="0"/>
              <w:jc w:val="left"/>
              <w:rPr>
                <w:color w:val="000000"/>
                <w:sz w:val="20"/>
                <w:szCs w:val="20"/>
              </w:rPr>
            </w:pPr>
            <w:r w:rsidRPr="00A27A71">
              <w:rPr>
                <w:color w:val="000000"/>
                <w:sz w:val="20"/>
                <w:szCs w:val="20"/>
              </w:rPr>
              <w:t>HCFC-123</w:t>
            </w:r>
          </w:p>
        </w:tc>
        <w:tc>
          <w:tcPr>
            <w:tcW w:w="521" w:type="pct"/>
            <w:tcBorders>
              <w:top w:val="nil"/>
              <w:left w:val="nil"/>
              <w:bottom w:val="single" w:sz="4" w:space="0" w:color="auto"/>
              <w:right w:val="single" w:sz="4" w:space="0" w:color="auto"/>
            </w:tcBorders>
            <w:shd w:val="clear" w:color="auto" w:fill="auto"/>
            <w:noWrap/>
            <w:vAlign w:val="bottom"/>
          </w:tcPr>
          <w:p w:rsidR="004E652A" w:rsidRPr="00A27A71" w:rsidRDefault="004E652A">
            <w:pPr>
              <w:jc w:val="right"/>
              <w:rPr>
                <w:color w:val="000000"/>
                <w:sz w:val="20"/>
                <w:szCs w:val="20"/>
              </w:rPr>
            </w:pPr>
            <w:r w:rsidRPr="00A27A71">
              <w:rPr>
                <w:color w:val="000000"/>
                <w:sz w:val="20"/>
                <w:szCs w:val="20"/>
              </w:rPr>
              <w:t>0</w:t>
            </w:r>
          </w:p>
        </w:tc>
        <w:tc>
          <w:tcPr>
            <w:tcW w:w="521" w:type="pct"/>
            <w:tcBorders>
              <w:top w:val="nil"/>
              <w:left w:val="nil"/>
              <w:bottom w:val="single" w:sz="4" w:space="0" w:color="auto"/>
              <w:right w:val="single" w:sz="4" w:space="0" w:color="auto"/>
            </w:tcBorders>
            <w:shd w:val="clear" w:color="auto" w:fill="auto"/>
            <w:noWrap/>
            <w:vAlign w:val="bottom"/>
          </w:tcPr>
          <w:p w:rsidR="004E652A" w:rsidRPr="00A27A71" w:rsidRDefault="004E652A">
            <w:pPr>
              <w:jc w:val="right"/>
              <w:rPr>
                <w:color w:val="000000"/>
                <w:sz w:val="20"/>
                <w:szCs w:val="20"/>
              </w:rPr>
            </w:pPr>
            <w:r w:rsidRPr="00A27A71">
              <w:rPr>
                <w:color w:val="000000"/>
                <w:sz w:val="20"/>
                <w:szCs w:val="20"/>
              </w:rPr>
              <w:t>0.49</w:t>
            </w:r>
          </w:p>
        </w:tc>
        <w:tc>
          <w:tcPr>
            <w:tcW w:w="567" w:type="pct"/>
            <w:tcBorders>
              <w:top w:val="single" w:sz="4" w:space="0" w:color="auto"/>
              <w:left w:val="nil"/>
              <w:bottom w:val="single" w:sz="4" w:space="0" w:color="auto"/>
              <w:right w:val="single" w:sz="4" w:space="0" w:color="auto"/>
            </w:tcBorders>
            <w:vAlign w:val="bottom"/>
          </w:tcPr>
          <w:p w:rsidR="004E652A" w:rsidRPr="00A27A71" w:rsidRDefault="004E652A">
            <w:pPr>
              <w:jc w:val="right"/>
              <w:rPr>
                <w:color w:val="000000"/>
                <w:sz w:val="20"/>
                <w:szCs w:val="20"/>
              </w:rPr>
            </w:pPr>
            <w:r w:rsidRPr="00A27A71">
              <w:rPr>
                <w:color w:val="000000"/>
                <w:sz w:val="20"/>
                <w:szCs w:val="20"/>
              </w:rPr>
              <w:t>0</w:t>
            </w:r>
          </w:p>
        </w:tc>
        <w:tc>
          <w:tcPr>
            <w:tcW w:w="520" w:type="pct"/>
            <w:tcBorders>
              <w:top w:val="nil"/>
              <w:left w:val="single" w:sz="4" w:space="0" w:color="auto"/>
              <w:bottom w:val="single" w:sz="4" w:space="0" w:color="auto"/>
              <w:right w:val="single" w:sz="4" w:space="0" w:color="auto"/>
            </w:tcBorders>
            <w:vAlign w:val="bottom"/>
          </w:tcPr>
          <w:p w:rsidR="004E652A" w:rsidRPr="00A27A71" w:rsidRDefault="004E652A">
            <w:pPr>
              <w:jc w:val="right"/>
              <w:rPr>
                <w:color w:val="000000"/>
                <w:sz w:val="20"/>
                <w:szCs w:val="20"/>
              </w:rPr>
            </w:pPr>
            <w:r w:rsidRPr="00A27A71">
              <w:rPr>
                <w:color w:val="000000"/>
                <w:sz w:val="20"/>
                <w:szCs w:val="20"/>
              </w:rPr>
              <w:t>0.18</w:t>
            </w:r>
          </w:p>
        </w:tc>
        <w:tc>
          <w:tcPr>
            <w:tcW w:w="568" w:type="pct"/>
            <w:tcBorders>
              <w:top w:val="nil"/>
              <w:left w:val="single" w:sz="4" w:space="0" w:color="auto"/>
              <w:bottom w:val="single" w:sz="4" w:space="0" w:color="auto"/>
              <w:right w:val="single" w:sz="4" w:space="0" w:color="auto"/>
            </w:tcBorders>
            <w:vAlign w:val="bottom"/>
          </w:tcPr>
          <w:p w:rsidR="004E652A" w:rsidRPr="00A27A71" w:rsidRDefault="004E652A">
            <w:pPr>
              <w:jc w:val="right"/>
              <w:rPr>
                <w:color w:val="000000"/>
                <w:sz w:val="20"/>
                <w:szCs w:val="20"/>
              </w:rPr>
            </w:pPr>
            <w:r w:rsidRPr="00A27A71">
              <w:rPr>
                <w:color w:val="000000"/>
                <w:sz w:val="20"/>
                <w:szCs w:val="20"/>
              </w:rPr>
              <w:t>0.10</w:t>
            </w:r>
          </w:p>
        </w:tc>
        <w:tc>
          <w:tcPr>
            <w:tcW w:w="814" w:type="pct"/>
            <w:tcBorders>
              <w:top w:val="nil"/>
              <w:left w:val="single" w:sz="4" w:space="0" w:color="auto"/>
              <w:bottom w:val="single" w:sz="4" w:space="0" w:color="auto"/>
              <w:right w:val="single" w:sz="4" w:space="0" w:color="auto"/>
            </w:tcBorders>
            <w:shd w:val="clear" w:color="auto" w:fill="auto"/>
            <w:noWrap/>
            <w:vAlign w:val="bottom"/>
          </w:tcPr>
          <w:p w:rsidR="004E652A" w:rsidRPr="00A27A71" w:rsidRDefault="004E652A">
            <w:pPr>
              <w:jc w:val="right"/>
              <w:rPr>
                <w:color w:val="000000"/>
                <w:sz w:val="20"/>
                <w:szCs w:val="20"/>
              </w:rPr>
            </w:pPr>
            <w:r w:rsidRPr="00A27A71">
              <w:rPr>
                <w:color w:val="000000"/>
                <w:sz w:val="20"/>
                <w:szCs w:val="20"/>
              </w:rPr>
              <w:t>0.11</w:t>
            </w:r>
          </w:p>
        </w:tc>
      </w:tr>
      <w:tr w:rsidR="004E652A" w:rsidRPr="00A27A71" w:rsidTr="006A38D1">
        <w:tc>
          <w:tcPr>
            <w:tcW w:w="14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E652A" w:rsidRPr="00A27A71" w:rsidRDefault="004E652A" w:rsidP="00E0480C">
            <w:pPr>
              <w:widowControl w:val="0"/>
              <w:jc w:val="left"/>
              <w:rPr>
                <w:color w:val="000000"/>
                <w:sz w:val="20"/>
                <w:szCs w:val="20"/>
              </w:rPr>
            </w:pPr>
            <w:r w:rsidRPr="00A27A71">
              <w:rPr>
                <w:color w:val="000000"/>
                <w:sz w:val="20"/>
                <w:szCs w:val="20"/>
              </w:rPr>
              <w:t>HCFC-124</w:t>
            </w:r>
          </w:p>
        </w:tc>
        <w:tc>
          <w:tcPr>
            <w:tcW w:w="521" w:type="pct"/>
            <w:tcBorders>
              <w:top w:val="nil"/>
              <w:left w:val="nil"/>
              <w:bottom w:val="single" w:sz="4" w:space="0" w:color="auto"/>
              <w:right w:val="single" w:sz="4" w:space="0" w:color="auto"/>
            </w:tcBorders>
            <w:shd w:val="clear" w:color="auto" w:fill="auto"/>
            <w:noWrap/>
            <w:vAlign w:val="bottom"/>
          </w:tcPr>
          <w:p w:rsidR="004E652A" w:rsidRPr="00A27A71" w:rsidRDefault="004E652A">
            <w:pPr>
              <w:jc w:val="right"/>
              <w:rPr>
                <w:color w:val="000000"/>
                <w:sz w:val="20"/>
                <w:szCs w:val="20"/>
              </w:rPr>
            </w:pPr>
            <w:r w:rsidRPr="00A27A71">
              <w:rPr>
                <w:color w:val="000000"/>
                <w:sz w:val="20"/>
                <w:szCs w:val="20"/>
              </w:rPr>
              <w:t>0.003</w:t>
            </w:r>
          </w:p>
        </w:tc>
        <w:tc>
          <w:tcPr>
            <w:tcW w:w="521" w:type="pct"/>
            <w:tcBorders>
              <w:top w:val="nil"/>
              <w:left w:val="nil"/>
              <w:bottom w:val="single" w:sz="4" w:space="0" w:color="auto"/>
              <w:right w:val="single" w:sz="4" w:space="0" w:color="auto"/>
            </w:tcBorders>
            <w:shd w:val="clear" w:color="auto" w:fill="auto"/>
            <w:noWrap/>
            <w:vAlign w:val="bottom"/>
          </w:tcPr>
          <w:p w:rsidR="004E652A" w:rsidRPr="00A27A71" w:rsidRDefault="004E652A">
            <w:pPr>
              <w:jc w:val="right"/>
              <w:rPr>
                <w:color w:val="000000"/>
                <w:sz w:val="20"/>
                <w:szCs w:val="20"/>
              </w:rPr>
            </w:pPr>
            <w:r w:rsidRPr="00A27A71">
              <w:rPr>
                <w:color w:val="000000"/>
                <w:sz w:val="20"/>
                <w:szCs w:val="20"/>
              </w:rPr>
              <w:t>0.04</w:t>
            </w:r>
          </w:p>
        </w:tc>
        <w:tc>
          <w:tcPr>
            <w:tcW w:w="567" w:type="pct"/>
            <w:tcBorders>
              <w:top w:val="single" w:sz="4" w:space="0" w:color="auto"/>
              <w:left w:val="nil"/>
              <w:bottom w:val="single" w:sz="4" w:space="0" w:color="auto"/>
              <w:right w:val="single" w:sz="4" w:space="0" w:color="auto"/>
            </w:tcBorders>
            <w:vAlign w:val="bottom"/>
          </w:tcPr>
          <w:p w:rsidR="004E652A" w:rsidRPr="00A27A71" w:rsidRDefault="004E652A">
            <w:pPr>
              <w:jc w:val="right"/>
              <w:rPr>
                <w:color w:val="000000"/>
                <w:sz w:val="20"/>
                <w:szCs w:val="20"/>
              </w:rPr>
            </w:pPr>
            <w:r w:rsidRPr="00A27A71">
              <w:rPr>
                <w:color w:val="000000"/>
                <w:sz w:val="20"/>
                <w:szCs w:val="20"/>
              </w:rPr>
              <w:t>0.01</w:t>
            </w:r>
          </w:p>
        </w:tc>
        <w:tc>
          <w:tcPr>
            <w:tcW w:w="520" w:type="pct"/>
            <w:tcBorders>
              <w:top w:val="nil"/>
              <w:left w:val="single" w:sz="4" w:space="0" w:color="auto"/>
              <w:bottom w:val="single" w:sz="4" w:space="0" w:color="auto"/>
              <w:right w:val="single" w:sz="4" w:space="0" w:color="auto"/>
            </w:tcBorders>
            <w:vAlign w:val="bottom"/>
          </w:tcPr>
          <w:p w:rsidR="004E652A" w:rsidRPr="00A27A71" w:rsidRDefault="004E652A">
            <w:pPr>
              <w:jc w:val="right"/>
              <w:rPr>
                <w:color w:val="000000"/>
                <w:sz w:val="20"/>
                <w:szCs w:val="20"/>
              </w:rPr>
            </w:pPr>
            <w:r w:rsidRPr="00A27A71">
              <w:rPr>
                <w:color w:val="000000"/>
                <w:sz w:val="20"/>
                <w:szCs w:val="20"/>
              </w:rPr>
              <w:t>0.06</w:t>
            </w:r>
          </w:p>
        </w:tc>
        <w:tc>
          <w:tcPr>
            <w:tcW w:w="568" w:type="pct"/>
            <w:tcBorders>
              <w:top w:val="nil"/>
              <w:left w:val="single" w:sz="4" w:space="0" w:color="auto"/>
              <w:bottom w:val="single" w:sz="4" w:space="0" w:color="auto"/>
              <w:right w:val="single" w:sz="4" w:space="0" w:color="auto"/>
            </w:tcBorders>
            <w:vAlign w:val="bottom"/>
          </w:tcPr>
          <w:p w:rsidR="004E652A" w:rsidRPr="00A27A71" w:rsidRDefault="004E652A">
            <w:pPr>
              <w:jc w:val="right"/>
              <w:rPr>
                <w:color w:val="000000"/>
                <w:sz w:val="20"/>
                <w:szCs w:val="20"/>
              </w:rPr>
            </w:pPr>
            <w:r w:rsidRPr="00A27A71">
              <w:rPr>
                <w:color w:val="000000"/>
                <w:sz w:val="20"/>
                <w:szCs w:val="20"/>
              </w:rPr>
              <w:t>0.00</w:t>
            </w:r>
          </w:p>
        </w:tc>
        <w:tc>
          <w:tcPr>
            <w:tcW w:w="814" w:type="pct"/>
            <w:tcBorders>
              <w:top w:val="nil"/>
              <w:left w:val="single" w:sz="4" w:space="0" w:color="auto"/>
              <w:bottom w:val="single" w:sz="4" w:space="0" w:color="auto"/>
              <w:right w:val="single" w:sz="4" w:space="0" w:color="auto"/>
            </w:tcBorders>
            <w:shd w:val="clear" w:color="auto" w:fill="auto"/>
            <w:noWrap/>
            <w:vAlign w:val="bottom"/>
          </w:tcPr>
          <w:p w:rsidR="004E652A" w:rsidRPr="00A27A71" w:rsidRDefault="004E652A">
            <w:pPr>
              <w:jc w:val="right"/>
              <w:rPr>
                <w:color w:val="000000"/>
                <w:sz w:val="20"/>
                <w:szCs w:val="20"/>
              </w:rPr>
            </w:pPr>
            <w:r w:rsidRPr="00A27A71">
              <w:rPr>
                <w:color w:val="000000"/>
                <w:sz w:val="20"/>
                <w:szCs w:val="20"/>
              </w:rPr>
              <w:t>0.00</w:t>
            </w:r>
          </w:p>
        </w:tc>
      </w:tr>
      <w:tr w:rsidR="004E652A" w:rsidRPr="00A27A71" w:rsidTr="006A38D1">
        <w:tc>
          <w:tcPr>
            <w:tcW w:w="14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E652A" w:rsidRPr="00A27A71" w:rsidRDefault="004E652A" w:rsidP="00E0480C">
            <w:pPr>
              <w:widowControl w:val="0"/>
              <w:jc w:val="left"/>
              <w:rPr>
                <w:color w:val="000000"/>
                <w:sz w:val="20"/>
                <w:szCs w:val="20"/>
              </w:rPr>
            </w:pPr>
            <w:r w:rsidRPr="00A27A71">
              <w:rPr>
                <w:color w:val="000000"/>
                <w:sz w:val="20"/>
                <w:szCs w:val="20"/>
              </w:rPr>
              <w:t>HCFC-141b</w:t>
            </w:r>
          </w:p>
        </w:tc>
        <w:tc>
          <w:tcPr>
            <w:tcW w:w="521" w:type="pct"/>
            <w:tcBorders>
              <w:top w:val="nil"/>
              <w:left w:val="nil"/>
              <w:bottom w:val="single" w:sz="4" w:space="0" w:color="auto"/>
              <w:right w:val="single" w:sz="4" w:space="0" w:color="auto"/>
            </w:tcBorders>
            <w:shd w:val="clear" w:color="auto" w:fill="auto"/>
            <w:noWrap/>
            <w:vAlign w:val="bottom"/>
          </w:tcPr>
          <w:p w:rsidR="004E652A" w:rsidRPr="00A27A71" w:rsidRDefault="004E652A">
            <w:pPr>
              <w:jc w:val="right"/>
              <w:rPr>
                <w:color w:val="000000"/>
                <w:sz w:val="20"/>
                <w:szCs w:val="20"/>
              </w:rPr>
            </w:pPr>
            <w:r w:rsidRPr="00A27A71">
              <w:rPr>
                <w:color w:val="000000"/>
                <w:sz w:val="20"/>
                <w:szCs w:val="20"/>
              </w:rPr>
              <w:t>224.77</w:t>
            </w:r>
          </w:p>
        </w:tc>
        <w:tc>
          <w:tcPr>
            <w:tcW w:w="521" w:type="pct"/>
            <w:tcBorders>
              <w:top w:val="nil"/>
              <w:left w:val="nil"/>
              <w:bottom w:val="single" w:sz="4" w:space="0" w:color="auto"/>
              <w:right w:val="single" w:sz="4" w:space="0" w:color="auto"/>
            </w:tcBorders>
            <w:shd w:val="clear" w:color="auto" w:fill="auto"/>
            <w:noWrap/>
            <w:vAlign w:val="bottom"/>
          </w:tcPr>
          <w:p w:rsidR="004E652A" w:rsidRPr="00A27A71" w:rsidRDefault="004E652A">
            <w:pPr>
              <w:jc w:val="right"/>
              <w:rPr>
                <w:color w:val="000000"/>
                <w:sz w:val="20"/>
                <w:szCs w:val="20"/>
              </w:rPr>
            </w:pPr>
            <w:r w:rsidRPr="00A27A71">
              <w:rPr>
                <w:color w:val="000000"/>
                <w:sz w:val="20"/>
                <w:szCs w:val="20"/>
              </w:rPr>
              <w:t>99.70</w:t>
            </w:r>
          </w:p>
        </w:tc>
        <w:tc>
          <w:tcPr>
            <w:tcW w:w="567" w:type="pct"/>
            <w:tcBorders>
              <w:top w:val="single" w:sz="4" w:space="0" w:color="auto"/>
              <w:left w:val="nil"/>
              <w:bottom w:val="single" w:sz="4" w:space="0" w:color="auto"/>
              <w:right w:val="single" w:sz="4" w:space="0" w:color="auto"/>
            </w:tcBorders>
            <w:vAlign w:val="bottom"/>
          </w:tcPr>
          <w:p w:rsidR="004E652A" w:rsidRPr="00A27A71" w:rsidRDefault="004E652A">
            <w:pPr>
              <w:jc w:val="right"/>
              <w:rPr>
                <w:color w:val="000000"/>
                <w:sz w:val="20"/>
                <w:szCs w:val="20"/>
              </w:rPr>
            </w:pPr>
            <w:r w:rsidRPr="00A27A71">
              <w:rPr>
                <w:color w:val="000000"/>
                <w:sz w:val="20"/>
                <w:szCs w:val="20"/>
              </w:rPr>
              <w:t>136.27</w:t>
            </w:r>
          </w:p>
        </w:tc>
        <w:tc>
          <w:tcPr>
            <w:tcW w:w="520" w:type="pct"/>
            <w:tcBorders>
              <w:top w:val="nil"/>
              <w:left w:val="single" w:sz="4" w:space="0" w:color="auto"/>
              <w:bottom w:val="single" w:sz="4" w:space="0" w:color="auto"/>
              <w:right w:val="single" w:sz="4" w:space="0" w:color="auto"/>
            </w:tcBorders>
            <w:vAlign w:val="bottom"/>
          </w:tcPr>
          <w:p w:rsidR="004E652A" w:rsidRPr="00A27A71" w:rsidRDefault="004E652A">
            <w:pPr>
              <w:jc w:val="right"/>
              <w:rPr>
                <w:color w:val="000000"/>
                <w:sz w:val="20"/>
                <w:szCs w:val="20"/>
              </w:rPr>
            </w:pPr>
            <w:r w:rsidRPr="00A27A71">
              <w:rPr>
                <w:color w:val="000000"/>
                <w:sz w:val="20"/>
                <w:szCs w:val="20"/>
              </w:rPr>
              <w:t>118.00</w:t>
            </w:r>
          </w:p>
        </w:tc>
        <w:tc>
          <w:tcPr>
            <w:tcW w:w="568" w:type="pct"/>
            <w:tcBorders>
              <w:top w:val="nil"/>
              <w:left w:val="single" w:sz="4" w:space="0" w:color="auto"/>
              <w:bottom w:val="single" w:sz="4" w:space="0" w:color="auto"/>
              <w:right w:val="single" w:sz="4" w:space="0" w:color="auto"/>
            </w:tcBorders>
            <w:vAlign w:val="bottom"/>
          </w:tcPr>
          <w:p w:rsidR="004E652A" w:rsidRPr="00A27A71" w:rsidRDefault="004E652A">
            <w:pPr>
              <w:jc w:val="right"/>
              <w:rPr>
                <w:color w:val="000000"/>
                <w:sz w:val="20"/>
                <w:szCs w:val="20"/>
              </w:rPr>
            </w:pPr>
            <w:r w:rsidRPr="00A27A71">
              <w:rPr>
                <w:color w:val="000000"/>
                <w:sz w:val="20"/>
                <w:szCs w:val="20"/>
              </w:rPr>
              <w:t>80.47</w:t>
            </w:r>
          </w:p>
        </w:tc>
        <w:tc>
          <w:tcPr>
            <w:tcW w:w="814" w:type="pct"/>
            <w:tcBorders>
              <w:top w:val="nil"/>
              <w:left w:val="single" w:sz="4" w:space="0" w:color="auto"/>
              <w:bottom w:val="single" w:sz="4" w:space="0" w:color="auto"/>
              <w:right w:val="single" w:sz="4" w:space="0" w:color="auto"/>
            </w:tcBorders>
            <w:shd w:val="clear" w:color="auto" w:fill="auto"/>
            <w:noWrap/>
            <w:vAlign w:val="bottom"/>
          </w:tcPr>
          <w:p w:rsidR="004E652A" w:rsidRPr="00A27A71" w:rsidRDefault="004E652A">
            <w:pPr>
              <w:jc w:val="right"/>
              <w:rPr>
                <w:color w:val="000000"/>
                <w:sz w:val="20"/>
                <w:szCs w:val="20"/>
              </w:rPr>
            </w:pPr>
            <w:r w:rsidRPr="00A27A71">
              <w:rPr>
                <w:color w:val="000000"/>
                <w:sz w:val="20"/>
                <w:szCs w:val="20"/>
              </w:rPr>
              <w:t>129.61</w:t>
            </w:r>
          </w:p>
        </w:tc>
      </w:tr>
      <w:tr w:rsidR="004E652A" w:rsidRPr="00A27A71" w:rsidTr="006A38D1">
        <w:tc>
          <w:tcPr>
            <w:tcW w:w="14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E652A" w:rsidRPr="00A27A71" w:rsidRDefault="004E652A" w:rsidP="00E0480C">
            <w:pPr>
              <w:widowControl w:val="0"/>
              <w:jc w:val="left"/>
              <w:rPr>
                <w:color w:val="000000"/>
                <w:sz w:val="20"/>
                <w:szCs w:val="20"/>
              </w:rPr>
            </w:pPr>
            <w:r w:rsidRPr="00A27A71">
              <w:rPr>
                <w:color w:val="000000"/>
                <w:sz w:val="20"/>
                <w:szCs w:val="20"/>
              </w:rPr>
              <w:t>HCFC-142b</w:t>
            </w:r>
          </w:p>
        </w:tc>
        <w:tc>
          <w:tcPr>
            <w:tcW w:w="521" w:type="pct"/>
            <w:tcBorders>
              <w:top w:val="nil"/>
              <w:left w:val="nil"/>
              <w:bottom w:val="single" w:sz="4" w:space="0" w:color="auto"/>
              <w:right w:val="single" w:sz="4" w:space="0" w:color="auto"/>
            </w:tcBorders>
            <w:shd w:val="clear" w:color="auto" w:fill="auto"/>
            <w:noWrap/>
            <w:vAlign w:val="bottom"/>
          </w:tcPr>
          <w:p w:rsidR="004E652A" w:rsidRPr="00A27A71" w:rsidRDefault="004E652A">
            <w:pPr>
              <w:jc w:val="right"/>
              <w:rPr>
                <w:color w:val="000000"/>
                <w:sz w:val="20"/>
                <w:szCs w:val="20"/>
              </w:rPr>
            </w:pPr>
            <w:r w:rsidRPr="00A27A71">
              <w:rPr>
                <w:color w:val="000000"/>
                <w:sz w:val="20"/>
                <w:szCs w:val="20"/>
              </w:rPr>
              <w:t>17.60</w:t>
            </w:r>
          </w:p>
        </w:tc>
        <w:tc>
          <w:tcPr>
            <w:tcW w:w="521" w:type="pct"/>
            <w:tcBorders>
              <w:top w:val="nil"/>
              <w:left w:val="nil"/>
              <w:bottom w:val="single" w:sz="4" w:space="0" w:color="auto"/>
              <w:right w:val="single" w:sz="4" w:space="0" w:color="auto"/>
            </w:tcBorders>
            <w:shd w:val="clear" w:color="auto" w:fill="auto"/>
            <w:noWrap/>
            <w:vAlign w:val="bottom"/>
          </w:tcPr>
          <w:p w:rsidR="004E652A" w:rsidRPr="00A27A71" w:rsidRDefault="004E652A">
            <w:pPr>
              <w:jc w:val="right"/>
              <w:rPr>
                <w:color w:val="000000"/>
                <w:sz w:val="20"/>
                <w:szCs w:val="20"/>
              </w:rPr>
            </w:pPr>
            <w:r w:rsidRPr="00A27A71">
              <w:rPr>
                <w:color w:val="000000"/>
                <w:sz w:val="20"/>
                <w:szCs w:val="20"/>
              </w:rPr>
              <w:t>8.87</w:t>
            </w:r>
          </w:p>
        </w:tc>
        <w:tc>
          <w:tcPr>
            <w:tcW w:w="567" w:type="pct"/>
            <w:tcBorders>
              <w:top w:val="single" w:sz="4" w:space="0" w:color="auto"/>
              <w:left w:val="nil"/>
              <w:bottom w:val="single" w:sz="4" w:space="0" w:color="auto"/>
              <w:right w:val="single" w:sz="4" w:space="0" w:color="auto"/>
            </w:tcBorders>
            <w:vAlign w:val="bottom"/>
          </w:tcPr>
          <w:p w:rsidR="004E652A" w:rsidRPr="00A27A71" w:rsidRDefault="004E652A">
            <w:pPr>
              <w:jc w:val="right"/>
              <w:rPr>
                <w:color w:val="000000"/>
                <w:sz w:val="20"/>
                <w:szCs w:val="20"/>
              </w:rPr>
            </w:pPr>
            <w:r w:rsidRPr="00A27A71">
              <w:rPr>
                <w:color w:val="000000"/>
                <w:sz w:val="20"/>
                <w:szCs w:val="20"/>
              </w:rPr>
              <w:t>9.52</w:t>
            </w:r>
          </w:p>
        </w:tc>
        <w:tc>
          <w:tcPr>
            <w:tcW w:w="520" w:type="pct"/>
            <w:tcBorders>
              <w:top w:val="nil"/>
              <w:left w:val="single" w:sz="4" w:space="0" w:color="auto"/>
              <w:bottom w:val="single" w:sz="4" w:space="0" w:color="auto"/>
              <w:right w:val="single" w:sz="4" w:space="0" w:color="auto"/>
            </w:tcBorders>
            <w:vAlign w:val="bottom"/>
          </w:tcPr>
          <w:p w:rsidR="004E652A" w:rsidRPr="00A27A71" w:rsidRDefault="004E652A">
            <w:pPr>
              <w:jc w:val="right"/>
              <w:rPr>
                <w:color w:val="000000"/>
                <w:sz w:val="20"/>
                <w:szCs w:val="20"/>
              </w:rPr>
            </w:pPr>
            <w:r w:rsidRPr="00A27A71">
              <w:rPr>
                <w:color w:val="000000"/>
                <w:sz w:val="20"/>
                <w:szCs w:val="20"/>
              </w:rPr>
              <w:t>2.73</w:t>
            </w:r>
          </w:p>
        </w:tc>
        <w:tc>
          <w:tcPr>
            <w:tcW w:w="568" w:type="pct"/>
            <w:tcBorders>
              <w:top w:val="nil"/>
              <w:left w:val="single" w:sz="4" w:space="0" w:color="auto"/>
              <w:bottom w:val="single" w:sz="4" w:space="0" w:color="auto"/>
              <w:right w:val="single" w:sz="4" w:space="0" w:color="auto"/>
            </w:tcBorders>
            <w:vAlign w:val="bottom"/>
          </w:tcPr>
          <w:p w:rsidR="004E652A" w:rsidRPr="00A27A71" w:rsidRDefault="004E652A">
            <w:pPr>
              <w:jc w:val="right"/>
              <w:rPr>
                <w:color w:val="000000"/>
                <w:sz w:val="20"/>
                <w:szCs w:val="20"/>
              </w:rPr>
            </w:pPr>
            <w:r w:rsidRPr="00A27A71">
              <w:rPr>
                <w:color w:val="000000"/>
                <w:sz w:val="20"/>
                <w:szCs w:val="20"/>
              </w:rPr>
              <w:t>3.74</w:t>
            </w:r>
          </w:p>
        </w:tc>
        <w:tc>
          <w:tcPr>
            <w:tcW w:w="814" w:type="pct"/>
            <w:tcBorders>
              <w:top w:val="nil"/>
              <w:left w:val="single" w:sz="4" w:space="0" w:color="auto"/>
              <w:bottom w:val="single" w:sz="4" w:space="0" w:color="auto"/>
              <w:right w:val="single" w:sz="4" w:space="0" w:color="auto"/>
            </w:tcBorders>
            <w:shd w:val="clear" w:color="auto" w:fill="auto"/>
            <w:noWrap/>
            <w:vAlign w:val="bottom"/>
          </w:tcPr>
          <w:p w:rsidR="004E652A" w:rsidRPr="00A27A71" w:rsidRDefault="004E652A" w:rsidP="000937F4">
            <w:pPr>
              <w:jc w:val="right"/>
              <w:rPr>
                <w:color w:val="000000"/>
                <w:sz w:val="20"/>
                <w:szCs w:val="20"/>
              </w:rPr>
            </w:pPr>
            <w:r w:rsidRPr="00A27A71">
              <w:rPr>
                <w:color w:val="000000"/>
                <w:sz w:val="20"/>
                <w:szCs w:val="20"/>
              </w:rPr>
              <w:t>16</w:t>
            </w:r>
            <w:r w:rsidR="000937F4" w:rsidRPr="00A27A71">
              <w:rPr>
                <w:color w:val="000000"/>
                <w:sz w:val="20"/>
                <w:szCs w:val="20"/>
              </w:rPr>
              <w:t>.36</w:t>
            </w:r>
          </w:p>
        </w:tc>
      </w:tr>
      <w:tr w:rsidR="00291652" w:rsidRPr="00A27A71" w:rsidTr="00291652">
        <w:tc>
          <w:tcPr>
            <w:tcW w:w="148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5007BF" w:rsidRPr="00A27A71" w:rsidRDefault="005007BF" w:rsidP="005007BF">
            <w:pPr>
              <w:jc w:val="left"/>
              <w:rPr>
                <w:rFonts w:eastAsiaTheme="minorHAnsi"/>
                <w:sz w:val="20"/>
                <w:szCs w:val="20"/>
              </w:rPr>
            </w:pPr>
            <w:r w:rsidRPr="00A27A71">
              <w:rPr>
                <w:sz w:val="20"/>
                <w:szCs w:val="20"/>
              </w:rPr>
              <w:t>Sub-total (ODP tonnes)</w:t>
            </w:r>
          </w:p>
        </w:tc>
        <w:tc>
          <w:tcPr>
            <w:tcW w:w="521" w:type="pct"/>
            <w:tcBorders>
              <w:top w:val="single" w:sz="4" w:space="0" w:color="auto"/>
              <w:left w:val="nil"/>
              <w:bottom w:val="single" w:sz="4" w:space="0" w:color="auto"/>
              <w:right w:val="single" w:sz="4" w:space="0" w:color="auto"/>
            </w:tcBorders>
            <w:shd w:val="clear" w:color="auto" w:fill="auto"/>
            <w:noWrap/>
            <w:vAlign w:val="center"/>
          </w:tcPr>
          <w:p w:rsidR="005007BF" w:rsidRPr="00A27A71" w:rsidRDefault="00291652" w:rsidP="004E652A">
            <w:pPr>
              <w:widowControl w:val="0"/>
              <w:jc w:val="right"/>
              <w:rPr>
                <w:color w:val="000000"/>
                <w:sz w:val="20"/>
                <w:szCs w:val="20"/>
              </w:rPr>
            </w:pPr>
            <w:r w:rsidRPr="00A27A71">
              <w:rPr>
                <w:color w:val="000000"/>
                <w:sz w:val="20"/>
                <w:szCs w:val="20"/>
              </w:rPr>
              <w:fldChar w:fldCharType="begin"/>
            </w:r>
            <w:r w:rsidRPr="00A27A71">
              <w:rPr>
                <w:color w:val="000000"/>
                <w:sz w:val="20"/>
                <w:szCs w:val="20"/>
              </w:rPr>
              <w:instrText xml:space="preserve"> =SUM(ABOVE) </w:instrText>
            </w:r>
            <w:r w:rsidRPr="00A27A71">
              <w:rPr>
                <w:color w:val="000000"/>
                <w:sz w:val="20"/>
                <w:szCs w:val="20"/>
              </w:rPr>
              <w:fldChar w:fldCharType="separate"/>
            </w:r>
            <w:r w:rsidRPr="00A27A71">
              <w:rPr>
                <w:noProof/>
                <w:color w:val="000000"/>
                <w:sz w:val="20"/>
                <w:szCs w:val="20"/>
              </w:rPr>
              <w:t>513.77</w:t>
            </w:r>
            <w:r w:rsidRPr="00A27A71">
              <w:rPr>
                <w:color w:val="000000"/>
                <w:sz w:val="20"/>
                <w:szCs w:val="20"/>
              </w:rPr>
              <w:fldChar w:fldCharType="end"/>
            </w:r>
          </w:p>
        </w:tc>
        <w:tc>
          <w:tcPr>
            <w:tcW w:w="521" w:type="pct"/>
            <w:tcBorders>
              <w:top w:val="single" w:sz="4" w:space="0" w:color="auto"/>
              <w:left w:val="nil"/>
              <w:bottom w:val="single" w:sz="4" w:space="0" w:color="auto"/>
              <w:right w:val="single" w:sz="4" w:space="0" w:color="auto"/>
            </w:tcBorders>
            <w:shd w:val="clear" w:color="auto" w:fill="auto"/>
            <w:noWrap/>
            <w:vAlign w:val="center"/>
          </w:tcPr>
          <w:p w:rsidR="005007BF" w:rsidRPr="00A27A71" w:rsidRDefault="00291652" w:rsidP="00E0480C">
            <w:pPr>
              <w:widowControl w:val="0"/>
              <w:jc w:val="right"/>
              <w:rPr>
                <w:color w:val="000000"/>
                <w:sz w:val="20"/>
                <w:szCs w:val="20"/>
              </w:rPr>
            </w:pPr>
            <w:r w:rsidRPr="00A27A71">
              <w:rPr>
                <w:color w:val="000000"/>
                <w:sz w:val="20"/>
                <w:szCs w:val="20"/>
              </w:rPr>
              <w:fldChar w:fldCharType="begin"/>
            </w:r>
            <w:r w:rsidRPr="00A27A71">
              <w:rPr>
                <w:color w:val="000000"/>
                <w:sz w:val="20"/>
                <w:szCs w:val="20"/>
              </w:rPr>
              <w:instrText xml:space="preserve"> =SUM(ABOVE) </w:instrText>
            </w:r>
            <w:r w:rsidRPr="00A27A71">
              <w:rPr>
                <w:color w:val="000000"/>
                <w:sz w:val="20"/>
                <w:szCs w:val="20"/>
              </w:rPr>
              <w:fldChar w:fldCharType="separate"/>
            </w:r>
            <w:r w:rsidRPr="00A27A71">
              <w:rPr>
                <w:noProof/>
                <w:color w:val="000000"/>
                <w:sz w:val="20"/>
                <w:szCs w:val="20"/>
              </w:rPr>
              <w:t>297.01</w:t>
            </w:r>
            <w:r w:rsidRPr="00A27A71">
              <w:rPr>
                <w:color w:val="000000"/>
                <w:sz w:val="20"/>
                <w:szCs w:val="20"/>
              </w:rPr>
              <w:fldChar w:fldCharType="end"/>
            </w:r>
          </w:p>
        </w:tc>
        <w:tc>
          <w:tcPr>
            <w:tcW w:w="567" w:type="pct"/>
            <w:tcBorders>
              <w:top w:val="single" w:sz="4" w:space="0" w:color="auto"/>
              <w:left w:val="nil"/>
              <w:bottom w:val="single" w:sz="4" w:space="0" w:color="auto"/>
              <w:right w:val="single" w:sz="4" w:space="0" w:color="auto"/>
            </w:tcBorders>
          </w:tcPr>
          <w:p w:rsidR="005007BF" w:rsidRPr="00A27A71" w:rsidRDefault="00291652" w:rsidP="00E0480C">
            <w:pPr>
              <w:jc w:val="right"/>
              <w:rPr>
                <w:color w:val="000000"/>
                <w:sz w:val="20"/>
                <w:szCs w:val="20"/>
              </w:rPr>
            </w:pPr>
            <w:r w:rsidRPr="00A27A71">
              <w:rPr>
                <w:color w:val="000000"/>
                <w:sz w:val="20"/>
                <w:szCs w:val="20"/>
              </w:rPr>
              <w:fldChar w:fldCharType="begin"/>
            </w:r>
            <w:r w:rsidRPr="00A27A71">
              <w:rPr>
                <w:color w:val="000000"/>
                <w:sz w:val="20"/>
                <w:szCs w:val="20"/>
              </w:rPr>
              <w:instrText xml:space="preserve"> =SUM(ABOVE) </w:instrText>
            </w:r>
            <w:r w:rsidRPr="00A27A71">
              <w:rPr>
                <w:color w:val="000000"/>
                <w:sz w:val="20"/>
                <w:szCs w:val="20"/>
              </w:rPr>
              <w:fldChar w:fldCharType="separate"/>
            </w:r>
            <w:r w:rsidRPr="00A27A71">
              <w:rPr>
                <w:noProof/>
                <w:color w:val="000000"/>
                <w:sz w:val="20"/>
                <w:szCs w:val="20"/>
              </w:rPr>
              <w:t>320.29</w:t>
            </w:r>
            <w:r w:rsidRPr="00A27A71">
              <w:rPr>
                <w:color w:val="000000"/>
                <w:sz w:val="20"/>
                <w:szCs w:val="20"/>
              </w:rPr>
              <w:fldChar w:fldCharType="end"/>
            </w:r>
          </w:p>
        </w:tc>
        <w:tc>
          <w:tcPr>
            <w:tcW w:w="520" w:type="pct"/>
            <w:tcBorders>
              <w:top w:val="single" w:sz="4" w:space="0" w:color="auto"/>
              <w:left w:val="single" w:sz="4" w:space="0" w:color="auto"/>
              <w:bottom w:val="single" w:sz="4" w:space="0" w:color="auto"/>
              <w:right w:val="single" w:sz="4" w:space="0" w:color="auto"/>
            </w:tcBorders>
          </w:tcPr>
          <w:p w:rsidR="005007BF" w:rsidRPr="00A27A71" w:rsidRDefault="00F4446A" w:rsidP="00E0480C">
            <w:pPr>
              <w:jc w:val="right"/>
              <w:rPr>
                <w:color w:val="000000"/>
                <w:sz w:val="20"/>
                <w:szCs w:val="20"/>
              </w:rPr>
            </w:pPr>
            <w:r w:rsidRPr="00A27A71">
              <w:rPr>
                <w:color w:val="000000"/>
                <w:sz w:val="20"/>
                <w:szCs w:val="20"/>
              </w:rPr>
              <w:t>343.12</w:t>
            </w:r>
          </w:p>
        </w:tc>
        <w:tc>
          <w:tcPr>
            <w:tcW w:w="568" w:type="pct"/>
            <w:tcBorders>
              <w:top w:val="single" w:sz="4" w:space="0" w:color="auto"/>
              <w:left w:val="single" w:sz="4" w:space="0" w:color="auto"/>
              <w:bottom w:val="single" w:sz="4" w:space="0" w:color="auto"/>
              <w:right w:val="single" w:sz="4" w:space="0" w:color="auto"/>
            </w:tcBorders>
          </w:tcPr>
          <w:p w:rsidR="005007BF" w:rsidRPr="00A27A71" w:rsidRDefault="00291652" w:rsidP="00E0480C">
            <w:pPr>
              <w:jc w:val="right"/>
              <w:rPr>
                <w:rFonts w:eastAsiaTheme="minorHAnsi"/>
                <w:color w:val="000000"/>
                <w:sz w:val="20"/>
                <w:szCs w:val="20"/>
              </w:rPr>
            </w:pPr>
            <w:r w:rsidRPr="00A27A71">
              <w:rPr>
                <w:rFonts w:eastAsiaTheme="minorHAnsi"/>
                <w:color w:val="000000"/>
                <w:sz w:val="20"/>
                <w:szCs w:val="20"/>
              </w:rPr>
              <w:fldChar w:fldCharType="begin"/>
            </w:r>
            <w:r w:rsidRPr="00A27A71">
              <w:rPr>
                <w:rFonts w:eastAsiaTheme="minorHAnsi"/>
                <w:color w:val="000000"/>
                <w:sz w:val="20"/>
                <w:szCs w:val="20"/>
              </w:rPr>
              <w:instrText xml:space="preserve"> =SUM(ABOVE) </w:instrText>
            </w:r>
            <w:r w:rsidRPr="00A27A71">
              <w:rPr>
                <w:rFonts w:eastAsiaTheme="minorHAnsi"/>
                <w:color w:val="000000"/>
                <w:sz w:val="20"/>
                <w:szCs w:val="20"/>
              </w:rPr>
              <w:fldChar w:fldCharType="separate"/>
            </w:r>
            <w:r w:rsidRPr="00A27A71">
              <w:rPr>
                <w:rFonts w:eastAsiaTheme="minorHAnsi"/>
                <w:noProof/>
                <w:color w:val="000000"/>
                <w:sz w:val="20"/>
                <w:szCs w:val="20"/>
              </w:rPr>
              <w:t>346.53</w:t>
            </w:r>
            <w:r w:rsidRPr="00A27A71">
              <w:rPr>
                <w:rFonts w:eastAsiaTheme="minorHAnsi"/>
                <w:color w:val="000000"/>
                <w:sz w:val="20"/>
                <w:szCs w:val="20"/>
              </w:rPr>
              <w:fldChar w:fldCharType="end"/>
            </w:r>
          </w:p>
        </w:tc>
        <w:tc>
          <w:tcPr>
            <w:tcW w:w="814" w:type="pct"/>
            <w:tcBorders>
              <w:top w:val="single" w:sz="4" w:space="0" w:color="auto"/>
              <w:left w:val="single" w:sz="4" w:space="0" w:color="auto"/>
              <w:bottom w:val="single" w:sz="4" w:space="0" w:color="auto"/>
              <w:right w:val="single" w:sz="4" w:space="0" w:color="auto"/>
            </w:tcBorders>
            <w:shd w:val="clear" w:color="auto" w:fill="auto"/>
            <w:noWrap/>
          </w:tcPr>
          <w:p w:rsidR="005007BF" w:rsidRPr="00A27A71" w:rsidRDefault="000937F4" w:rsidP="000937F4">
            <w:pPr>
              <w:jc w:val="right"/>
              <w:rPr>
                <w:rFonts w:eastAsiaTheme="minorHAnsi"/>
                <w:color w:val="000000"/>
                <w:sz w:val="20"/>
                <w:szCs w:val="20"/>
              </w:rPr>
            </w:pPr>
            <w:r w:rsidRPr="00A27A71">
              <w:rPr>
                <w:rFonts w:eastAsiaTheme="minorHAnsi"/>
                <w:color w:val="000000"/>
                <w:sz w:val="20"/>
                <w:szCs w:val="20"/>
              </w:rPr>
              <w:t>386.27</w:t>
            </w:r>
          </w:p>
        </w:tc>
      </w:tr>
      <w:tr w:rsidR="00291652" w:rsidRPr="00A27A71" w:rsidTr="00291652">
        <w:tc>
          <w:tcPr>
            <w:tcW w:w="148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5007BF" w:rsidRPr="00A27A71" w:rsidRDefault="005007BF" w:rsidP="00291652">
            <w:pPr>
              <w:jc w:val="left"/>
              <w:rPr>
                <w:color w:val="000000"/>
                <w:sz w:val="20"/>
                <w:szCs w:val="20"/>
              </w:rPr>
            </w:pPr>
            <w:r w:rsidRPr="00A27A71">
              <w:rPr>
                <w:color w:val="000000"/>
                <w:sz w:val="20"/>
                <w:szCs w:val="20"/>
              </w:rPr>
              <w:t>HCFC-141b in imported pre</w:t>
            </w:r>
            <w:r w:rsidR="00291652" w:rsidRPr="00A27A71">
              <w:rPr>
                <w:color w:val="000000"/>
                <w:sz w:val="20"/>
                <w:szCs w:val="20"/>
              </w:rPr>
              <w:noBreakHyphen/>
            </w:r>
            <w:r w:rsidRPr="00A27A71">
              <w:rPr>
                <w:color w:val="000000"/>
                <w:sz w:val="20"/>
                <w:szCs w:val="20"/>
              </w:rPr>
              <w:t>blended polyols</w:t>
            </w:r>
            <w:r w:rsidR="000C7747" w:rsidRPr="00A27A71">
              <w:rPr>
                <w:color w:val="000000"/>
                <w:sz w:val="20"/>
                <w:szCs w:val="20"/>
              </w:rPr>
              <w:t>*</w:t>
            </w:r>
            <w:r w:rsidRPr="00A27A71">
              <w:rPr>
                <w:color w:val="000000"/>
                <w:sz w:val="20"/>
                <w:szCs w:val="20"/>
              </w:rPr>
              <w:t xml:space="preserve"> </w:t>
            </w:r>
          </w:p>
        </w:tc>
        <w:tc>
          <w:tcPr>
            <w:tcW w:w="521" w:type="pct"/>
            <w:tcBorders>
              <w:top w:val="single" w:sz="4" w:space="0" w:color="auto"/>
              <w:left w:val="nil"/>
              <w:bottom w:val="single" w:sz="4" w:space="0" w:color="auto"/>
              <w:right w:val="single" w:sz="4" w:space="0" w:color="auto"/>
            </w:tcBorders>
            <w:shd w:val="clear" w:color="auto" w:fill="auto"/>
            <w:noWrap/>
          </w:tcPr>
          <w:p w:rsidR="005007BF" w:rsidRPr="00A27A71" w:rsidRDefault="005007BF" w:rsidP="00291652">
            <w:pPr>
              <w:jc w:val="right"/>
              <w:rPr>
                <w:sz w:val="20"/>
                <w:szCs w:val="20"/>
              </w:rPr>
            </w:pPr>
            <w:r w:rsidRPr="00A27A71">
              <w:rPr>
                <w:sz w:val="20"/>
                <w:szCs w:val="20"/>
              </w:rPr>
              <w:t>67.43</w:t>
            </w:r>
          </w:p>
        </w:tc>
        <w:tc>
          <w:tcPr>
            <w:tcW w:w="521" w:type="pct"/>
            <w:tcBorders>
              <w:top w:val="single" w:sz="4" w:space="0" w:color="auto"/>
              <w:left w:val="nil"/>
              <w:bottom w:val="single" w:sz="4" w:space="0" w:color="auto"/>
              <w:right w:val="single" w:sz="4" w:space="0" w:color="auto"/>
            </w:tcBorders>
            <w:shd w:val="clear" w:color="auto" w:fill="auto"/>
            <w:noWrap/>
          </w:tcPr>
          <w:p w:rsidR="00291652" w:rsidRPr="00A27A71" w:rsidRDefault="00291652" w:rsidP="00291652">
            <w:pPr>
              <w:jc w:val="right"/>
              <w:rPr>
                <w:sz w:val="20"/>
                <w:szCs w:val="20"/>
              </w:rPr>
            </w:pPr>
            <w:r w:rsidRPr="00A27A71">
              <w:rPr>
                <w:sz w:val="20"/>
                <w:szCs w:val="20"/>
              </w:rPr>
              <w:t>17.12</w:t>
            </w:r>
          </w:p>
        </w:tc>
        <w:tc>
          <w:tcPr>
            <w:tcW w:w="567" w:type="pct"/>
            <w:tcBorders>
              <w:top w:val="single" w:sz="4" w:space="0" w:color="auto"/>
              <w:left w:val="nil"/>
              <w:bottom w:val="single" w:sz="4" w:space="0" w:color="auto"/>
              <w:right w:val="single" w:sz="4" w:space="0" w:color="auto"/>
            </w:tcBorders>
          </w:tcPr>
          <w:p w:rsidR="005007BF" w:rsidRPr="00A27A71" w:rsidRDefault="005007BF" w:rsidP="00291652">
            <w:pPr>
              <w:jc w:val="right"/>
              <w:rPr>
                <w:sz w:val="20"/>
                <w:szCs w:val="20"/>
              </w:rPr>
            </w:pPr>
            <w:r w:rsidRPr="00A27A71">
              <w:rPr>
                <w:sz w:val="20"/>
                <w:szCs w:val="20"/>
              </w:rPr>
              <w:t>13.2</w:t>
            </w:r>
            <w:r w:rsidR="00291652" w:rsidRPr="00A27A71">
              <w:rPr>
                <w:sz w:val="20"/>
                <w:szCs w:val="20"/>
              </w:rPr>
              <w:t>0</w:t>
            </w:r>
          </w:p>
        </w:tc>
        <w:tc>
          <w:tcPr>
            <w:tcW w:w="520" w:type="pct"/>
            <w:tcBorders>
              <w:top w:val="single" w:sz="4" w:space="0" w:color="auto"/>
              <w:left w:val="single" w:sz="4" w:space="0" w:color="auto"/>
              <w:bottom w:val="single" w:sz="4" w:space="0" w:color="auto"/>
              <w:right w:val="single" w:sz="4" w:space="0" w:color="auto"/>
            </w:tcBorders>
          </w:tcPr>
          <w:p w:rsidR="00291652" w:rsidRPr="00A27A71" w:rsidRDefault="00291652" w:rsidP="00291652">
            <w:pPr>
              <w:jc w:val="right"/>
              <w:rPr>
                <w:rFonts w:eastAsiaTheme="minorHAnsi"/>
                <w:color w:val="000000"/>
                <w:sz w:val="20"/>
                <w:szCs w:val="20"/>
              </w:rPr>
            </w:pPr>
            <w:r w:rsidRPr="00A27A71">
              <w:rPr>
                <w:rFonts w:eastAsiaTheme="minorHAnsi"/>
                <w:color w:val="000000"/>
                <w:sz w:val="20"/>
                <w:szCs w:val="20"/>
              </w:rPr>
              <w:t>11.00</w:t>
            </w:r>
          </w:p>
        </w:tc>
        <w:tc>
          <w:tcPr>
            <w:tcW w:w="568" w:type="pct"/>
            <w:tcBorders>
              <w:top w:val="single" w:sz="4" w:space="0" w:color="auto"/>
              <w:left w:val="single" w:sz="4" w:space="0" w:color="auto"/>
              <w:bottom w:val="single" w:sz="4" w:space="0" w:color="auto"/>
              <w:right w:val="single" w:sz="4" w:space="0" w:color="auto"/>
            </w:tcBorders>
          </w:tcPr>
          <w:p w:rsidR="005007BF" w:rsidRPr="00A27A71" w:rsidRDefault="00291652" w:rsidP="00291652">
            <w:pPr>
              <w:jc w:val="right"/>
              <w:rPr>
                <w:rFonts w:eastAsiaTheme="minorHAnsi"/>
                <w:color w:val="000000"/>
                <w:sz w:val="20"/>
                <w:szCs w:val="20"/>
              </w:rPr>
            </w:pPr>
            <w:r w:rsidRPr="00A27A71">
              <w:rPr>
                <w:rFonts w:eastAsiaTheme="minorHAnsi"/>
                <w:color w:val="000000"/>
                <w:sz w:val="20"/>
                <w:szCs w:val="20"/>
              </w:rPr>
              <w:t>19.56</w:t>
            </w:r>
          </w:p>
        </w:tc>
        <w:tc>
          <w:tcPr>
            <w:tcW w:w="814" w:type="pct"/>
            <w:tcBorders>
              <w:top w:val="single" w:sz="4" w:space="0" w:color="auto"/>
              <w:left w:val="single" w:sz="4" w:space="0" w:color="auto"/>
              <w:bottom w:val="single" w:sz="4" w:space="0" w:color="auto"/>
              <w:right w:val="single" w:sz="4" w:space="0" w:color="auto"/>
            </w:tcBorders>
            <w:shd w:val="clear" w:color="auto" w:fill="auto"/>
            <w:noWrap/>
          </w:tcPr>
          <w:p w:rsidR="005007BF" w:rsidRPr="00A27A71" w:rsidRDefault="000C7747" w:rsidP="0088591E">
            <w:pPr>
              <w:jc w:val="right"/>
              <w:rPr>
                <w:rFonts w:eastAsiaTheme="minorHAnsi"/>
                <w:color w:val="000000"/>
                <w:sz w:val="20"/>
                <w:szCs w:val="20"/>
              </w:rPr>
            </w:pPr>
            <w:r w:rsidRPr="00A27A71">
              <w:rPr>
                <w:rFonts w:eastAsiaTheme="minorHAnsi"/>
                <w:color w:val="000000"/>
                <w:sz w:val="20"/>
                <w:szCs w:val="20"/>
              </w:rPr>
              <w:t>98.34</w:t>
            </w:r>
            <w:r w:rsidR="005007BF" w:rsidRPr="00A27A71">
              <w:rPr>
                <w:rFonts w:eastAsiaTheme="minorHAnsi"/>
                <w:color w:val="000000"/>
                <w:sz w:val="20"/>
                <w:szCs w:val="20"/>
              </w:rPr>
              <w:t>*</w:t>
            </w:r>
            <w:r w:rsidR="00F4446A" w:rsidRPr="00A27A71">
              <w:rPr>
                <w:rFonts w:eastAsiaTheme="minorHAnsi"/>
                <w:color w:val="000000"/>
                <w:sz w:val="20"/>
                <w:szCs w:val="20"/>
              </w:rPr>
              <w:t>*</w:t>
            </w:r>
          </w:p>
        </w:tc>
      </w:tr>
      <w:tr w:rsidR="00291652" w:rsidRPr="00DE50BB" w:rsidTr="006A38D1">
        <w:tc>
          <w:tcPr>
            <w:tcW w:w="148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91652" w:rsidRPr="00DE50BB" w:rsidRDefault="00291652" w:rsidP="00E0480C">
            <w:pPr>
              <w:widowControl w:val="0"/>
              <w:jc w:val="left"/>
              <w:rPr>
                <w:b/>
                <w:color w:val="000000"/>
                <w:sz w:val="20"/>
                <w:szCs w:val="20"/>
              </w:rPr>
            </w:pPr>
            <w:r w:rsidRPr="00DE50BB">
              <w:rPr>
                <w:b/>
                <w:color w:val="000000"/>
                <w:sz w:val="20"/>
                <w:szCs w:val="20"/>
              </w:rPr>
              <w:t>Total (ODP tonnes)</w:t>
            </w:r>
          </w:p>
        </w:tc>
        <w:tc>
          <w:tcPr>
            <w:tcW w:w="521" w:type="pct"/>
            <w:tcBorders>
              <w:top w:val="single" w:sz="4" w:space="0" w:color="auto"/>
              <w:left w:val="nil"/>
              <w:bottom w:val="single" w:sz="4" w:space="0" w:color="auto"/>
              <w:right w:val="single" w:sz="4" w:space="0" w:color="auto"/>
            </w:tcBorders>
            <w:shd w:val="clear" w:color="auto" w:fill="auto"/>
            <w:noWrap/>
          </w:tcPr>
          <w:p w:rsidR="00291652" w:rsidRPr="00DE50BB" w:rsidRDefault="00291652" w:rsidP="00291652">
            <w:pPr>
              <w:jc w:val="right"/>
              <w:rPr>
                <w:b/>
                <w:sz w:val="20"/>
                <w:szCs w:val="20"/>
              </w:rPr>
            </w:pPr>
            <w:r w:rsidRPr="00DE50BB">
              <w:rPr>
                <w:b/>
                <w:sz w:val="20"/>
                <w:szCs w:val="20"/>
              </w:rPr>
              <w:t>581.20</w:t>
            </w:r>
          </w:p>
        </w:tc>
        <w:tc>
          <w:tcPr>
            <w:tcW w:w="521" w:type="pct"/>
            <w:tcBorders>
              <w:top w:val="single" w:sz="4" w:space="0" w:color="auto"/>
              <w:left w:val="nil"/>
              <w:bottom w:val="single" w:sz="4" w:space="0" w:color="auto"/>
              <w:right w:val="single" w:sz="4" w:space="0" w:color="auto"/>
            </w:tcBorders>
            <w:shd w:val="clear" w:color="auto" w:fill="auto"/>
            <w:noWrap/>
          </w:tcPr>
          <w:p w:rsidR="00291652" w:rsidRPr="00DE50BB" w:rsidRDefault="00291652" w:rsidP="00291652">
            <w:pPr>
              <w:jc w:val="right"/>
              <w:rPr>
                <w:b/>
                <w:sz w:val="20"/>
                <w:szCs w:val="20"/>
              </w:rPr>
            </w:pPr>
            <w:r w:rsidRPr="00DE50BB">
              <w:rPr>
                <w:b/>
                <w:sz w:val="20"/>
                <w:szCs w:val="20"/>
              </w:rPr>
              <w:t>314.13</w:t>
            </w:r>
          </w:p>
        </w:tc>
        <w:tc>
          <w:tcPr>
            <w:tcW w:w="567" w:type="pct"/>
            <w:tcBorders>
              <w:top w:val="single" w:sz="4" w:space="0" w:color="auto"/>
              <w:left w:val="nil"/>
              <w:bottom w:val="single" w:sz="4" w:space="0" w:color="auto"/>
              <w:right w:val="single" w:sz="4" w:space="0" w:color="auto"/>
            </w:tcBorders>
          </w:tcPr>
          <w:p w:rsidR="00291652" w:rsidRPr="00DE50BB" w:rsidRDefault="00291652" w:rsidP="00291652">
            <w:pPr>
              <w:jc w:val="right"/>
              <w:rPr>
                <w:b/>
                <w:sz w:val="20"/>
                <w:szCs w:val="20"/>
              </w:rPr>
            </w:pPr>
            <w:r w:rsidRPr="00DE50BB">
              <w:rPr>
                <w:b/>
                <w:sz w:val="20"/>
                <w:szCs w:val="20"/>
              </w:rPr>
              <w:t>333.49</w:t>
            </w:r>
          </w:p>
        </w:tc>
        <w:tc>
          <w:tcPr>
            <w:tcW w:w="520" w:type="pct"/>
            <w:tcBorders>
              <w:top w:val="single" w:sz="4" w:space="0" w:color="auto"/>
              <w:left w:val="single" w:sz="4" w:space="0" w:color="auto"/>
              <w:bottom w:val="single" w:sz="4" w:space="0" w:color="auto"/>
              <w:right w:val="single" w:sz="4" w:space="0" w:color="auto"/>
            </w:tcBorders>
          </w:tcPr>
          <w:p w:rsidR="00291652" w:rsidRPr="00DE50BB" w:rsidRDefault="00F4446A" w:rsidP="00291652">
            <w:pPr>
              <w:jc w:val="right"/>
              <w:rPr>
                <w:b/>
                <w:sz w:val="20"/>
                <w:szCs w:val="20"/>
              </w:rPr>
            </w:pPr>
            <w:r w:rsidRPr="00DE50BB">
              <w:rPr>
                <w:b/>
                <w:sz w:val="20"/>
                <w:szCs w:val="20"/>
              </w:rPr>
              <w:t>354.12</w:t>
            </w:r>
          </w:p>
        </w:tc>
        <w:tc>
          <w:tcPr>
            <w:tcW w:w="568" w:type="pct"/>
            <w:tcBorders>
              <w:top w:val="single" w:sz="4" w:space="0" w:color="auto"/>
              <w:left w:val="single" w:sz="4" w:space="0" w:color="auto"/>
              <w:bottom w:val="single" w:sz="4" w:space="0" w:color="auto"/>
              <w:right w:val="single" w:sz="4" w:space="0" w:color="auto"/>
            </w:tcBorders>
          </w:tcPr>
          <w:p w:rsidR="00291652" w:rsidRPr="00DE50BB" w:rsidRDefault="00291652" w:rsidP="00291652">
            <w:pPr>
              <w:jc w:val="right"/>
              <w:rPr>
                <w:b/>
                <w:sz w:val="20"/>
                <w:szCs w:val="20"/>
              </w:rPr>
            </w:pPr>
            <w:r w:rsidRPr="00DE50BB">
              <w:rPr>
                <w:b/>
                <w:sz w:val="20"/>
                <w:szCs w:val="20"/>
              </w:rPr>
              <w:t>366.09</w:t>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37F4" w:rsidRPr="00DE50BB" w:rsidRDefault="004E652A" w:rsidP="000C7747">
            <w:pPr>
              <w:widowControl w:val="0"/>
              <w:jc w:val="right"/>
              <w:rPr>
                <w:b/>
                <w:color w:val="000000"/>
                <w:sz w:val="20"/>
                <w:szCs w:val="20"/>
              </w:rPr>
            </w:pPr>
            <w:r w:rsidRPr="00DE50BB">
              <w:rPr>
                <w:b/>
                <w:color w:val="000000"/>
                <w:sz w:val="20"/>
                <w:szCs w:val="20"/>
              </w:rPr>
              <w:t>4</w:t>
            </w:r>
            <w:r w:rsidR="000C7747" w:rsidRPr="00DE50BB">
              <w:rPr>
                <w:b/>
                <w:color w:val="000000"/>
                <w:sz w:val="20"/>
                <w:szCs w:val="20"/>
              </w:rPr>
              <w:t>84.64</w:t>
            </w:r>
          </w:p>
        </w:tc>
      </w:tr>
    </w:tbl>
    <w:p w:rsidR="00F4446A" w:rsidRPr="00A27A71" w:rsidRDefault="00F4446A" w:rsidP="00C905D9">
      <w:pPr>
        <w:rPr>
          <w:sz w:val="16"/>
          <w:szCs w:val="16"/>
        </w:rPr>
      </w:pPr>
      <w:r w:rsidRPr="00A27A71">
        <w:rPr>
          <w:sz w:val="16"/>
          <w:szCs w:val="16"/>
        </w:rPr>
        <w:t xml:space="preserve">* </w:t>
      </w:r>
      <w:r w:rsidR="00D468ED" w:rsidRPr="00A27A71">
        <w:rPr>
          <w:sz w:val="16"/>
          <w:szCs w:val="16"/>
        </w:rPr>
        <w:t xml:space="preserve"> Data from country programme (CP)</w:t>
      </w:r>
      <w:r w:rsidRPr="00A27A71">
        <w:rPr>
          <w:sz w:val="16"/>
          <w:szCs w:val="16"/>
        </w:rPr>
        <w:t xml:space="preserve"> implementation report</w:t>
      </w:r>
    </w:p>
    <w:p w:rsidR="00C905D9" w:rsidRPr="00A27A71" w:rsidRDefault="00C905D9" w:rsidP="00C905D9">
      <w:pPr>
        <w:rPr>
          <w:sz w:val="16"/>
          <w:szCs w:val="16"/>
        </w:rPr>
      </w:pPr>
      <w:r w:rsidRPr="00A27A71">
        <w:rPr>
          <w:sz w:val="16"/>
          <w:szCs w:val="16"/>
        </w:rPr>
        <w:t>*</w:t>
      </w:r>
      <w:r w:rsidR="00F4446A" w:rsidRPr="00A27A71">
        <w:rPr>
          <w:sz w:val="16"/>
          <w:szCs w:val="16"/>
        </w:rPr>
        <w:t>*</w:t>
      </w:r>
      <w:r w:rsidR="000C7747" w:rsidRPr="00A27A71">
        <w:rPr>
          <w:sz w:val="16"/>
          <w:szCs w:val="16"/>
        </w:rPr>
        <w:t>Starting point for aggregate reductions in consumption</w:t>
      </w:r>
    </w:p>
    <w:p w:rsidR="00C905D9" w:rsidRPr="00A27A71" w:rsidRDefault="00C905D9" w:rsidP="00C905D9"/>
    <w:p w:rsidR="00C905D9" w:rsidRPr="00A27A71" w:rsidRDefault="00D468ED" w:rsidP="001C73AD">
      <w:pPr>
        <w:pStyle w:val="Heading1"/>
      </w:pPr>
      <w:r w:rsidRPr="00A27A71">
        <w:t xml:space="preserve">It appears that the </w:t>
      </w:r>
      <w:r w:rsidR="0088591E" w:rsidRPr="00A27A71">
        <w:t>political unrest in 2013 and 20</w:t>
      </w:r>
      <w:r w:rsidRPr="00A27A71">
        <w:t xml:space="preserve">14 likely contributed to a reduction </w:t>
      </w:r>
      <w:r w:rsidR="00393A1F">
        <w:t>i</w:t>
      </w:r>
      <w:r w:rsidRPr="00A27A71">
        <w:t>n</w:t>
      </w:r>
      <w:r w:rsidR="0088591E" w:rsidRPr="00A27A71">
        <w:t xml:space="preserve"> consumption</w:t>
      </w:r>
      <w:r w:rsidRPr="00A27A71">
        <w:t xml:space="preserve"> relative to the baseline</w:t>
      </w:r>
      <w:r w:rsidR="0088591E" w:rsidRPr="00A27A71">
        <w:t>. Consumption in 2016 was 10</w:t>
      </w:r>
      <w:r w:rsidR="00982962" w:rsidRPr="00A27A71">
        <w:t> per cent</w:t>
      </w:r>
      <w:r w:rsidR="0088591E" w:rsidRPr="00A27A71">
        <w:t xml:space="preserve"> below baseline, in line with Egypt’s Agreement with the Executive Committee.</w:t>
      </w:r>
      <w:r w:rsidR="00E60F75" w:rsidRPr="00A27A71">
        <w:t xml:space="preserve"> Manufacturing, including the XPS</w:t>
      </w:r>
      <w:r w:rsidR="00314525" w:rsidRPr="00A27A71">
        <w:t xml:space="preserve"> foam</w:t>
      </w:r>
      <w:r w:rsidR="00E60F75" w:rsidRPr="00A27A71">
        <w:t>, PU</w:t>
      </w:r>
      <w:r w:rsidR="00314525" w:rsidRPr="00A27A71">
        <w:t xml:space="preserve"> foam</w:t>
      </w:r>
      <w:r w:rsidR="00E60F75" w:rsidRPr="00A27A71">
        <w:t>, and refrigeration</w:t>
      </w:r>
      <w:r w:rsidR="00F75F42" w:rsidRPr="00A27A71">
        <w:t xml:space="preserve"> and</w:t>
      </w:r>
      <w:r w:rsidR="00E60F75" w:rsidRPr="00A27A71">
        <w:t xml:space="preserve"> air-conditioning</w:t>
      </w:r>
      <w:r w:rsidR="00F75F42" w:rsidRPr="00A27A71">
        <w:t xml:space="preserve"> (RAC)</w:t>
      </w:r>
      <w:r w:rsidR="00E60F75" w:rsidRPr="00A27A71">
        <w:t xml:space="preserve"> manufacturing sectors, account for the majority (65</w:t>
      </w:r>
      <w:r w:rsidR="008E0439" w:rsidRPr="00A27A71">
        <w:t> </w:t>
      </w:r>
      <w:r w:rsidR="00E60F75" w:rsidRPr="00A27A71">
        <w:t>per cent) of Egypt’s consumption, with refrigeration servi</w:t>
      </w:r>
      <w:r w:rsidR="00773050" w:rsidRPr="00A27A71">
        <w:t>cing accounting for the rest (35</w:t>
      </w:r>
      <w:r w:rsidR="008E0439" w:rsidRPr="00A27A71">
        <w:t> </w:t>
      </w:r>
      <w:r w:rsidR="00E60F75" w:rsidRPr="00A27A71">
        <w:t xml:space="preserve">per cent).  </w:t>
      </w:r>
    </w:p>
    <w:p w:rsidR="00C905D9" w:rsidRPr="00A27A71" w:rsidRDefault="00C905D9" w:rsidP="00C905D9">
      <w:pPr>
        <w:pStyle w:val="Heading1"/>
      </w:pPr>
      <w:r w:rsidRPr="00A27A71">
        <w:lastRenderedPageBreak/>
        <w:t xml:space="preserve">Table </w:t>
      </w:r>
      <w:r w:rsidR="00B77D27" w:rsidRPr="00A27A71">
        <w:t>3</w:t>
      </w:r>
      <w:r w:rsidRPr="00A27A71">
        <w:t xml:space="preserve"> presents the consumption of HCFCs by sector as reported in the CP data for </w:t>
      </w:r>
      <w:r w:rsidR="00EA327B" w:rsidRPr="00A27A71">
        <w:t>2016</w:t>
      </w:r>
      <w:r w:rsidRPr="00A27A71">
        <w:t xml:space="preserve">. </w:t>
      </w:r>
      <w:r w:rsidR="00D468ED" w:rsidRPr="00A27A71">
        <w:t xml:space="preserve"> Consumption has been reported in</w:t>
      </w:r>
      <w:r w:rsidR="00393A1F">
        <w:t xml:space="preserve"> the</w:t>
      </w:r>
      <w:r w:rsidR="00D468ED" w:rsidRPr="00A27A71">
        <w:t xml:space="preserve"> foam and refrigeration sectors only.</w:t>
      </w:r>
    </w:p>
    <w:p w:rsidR="00C905D9" w:rsidRPr="00A27A71" w:rsidRDefault="00C905D9" w:rsidP="00C905D9">
      <w:pPr>
        <w:rPr>
          <w:b/>
        </w:rPr>
      </w:pPr>
      <w:r w:rsidRPr="00A27A71">
        <w:rPr>
          <w:b/>
        </w:rPr>
        <w:t xml:space="preserve">Table </w:t>
      </w:r>
      <w:r w:rsidR="00B77D27" w:rsidRPr="00A27A71">
        <w:rPr>
          <w:b/>
        </w:rPr>
        <w:t>3.</w:t>
      </w:r>
      <w:r w:rsidRPr="00A27A71">
        <w:rPr>
          <w:b/>
        </w:rPr>
        <w:t xml:space="preserve"> HCFC sector consumption in </w:t>
      </w:r>
      <w:r w:rsidR="00E0480C" w:rsidRPr="00A27A71">
        <w:rPr>
          <w:b/>
        </w:rPr>
        <w:t>Egypt</w:t>
      </w:r>
      <w:r w:rsidRPr="00A27A71">
        <w:rPr>
          <w:b/>
        </w:rPr>
        <w:t xml:space="preserve"> (</w:t>
      </w:r>
      <w:r w:rsidR="002E79B2" w:rsidRPr="00A27A71">
        <w:rPr>
          <w:b/>
        </w:rPr>
        <w:t>2016</w:t>
      </w:r>
      <w:r w:rsidRPr="00A27A71">
        <w:rPr>
          <w:b/>
        </w:rPr>
        <w:t>)</w:t>
      </w:r>
    </w:p>
    <w:tbl>
      <w:tblPr>
        <w:tblW w:w="4896" w:type="pct"/>
        <w:tblLayout w:type="fixed"/>
        <w:tblLook w:val="04A0" w:firstRow="1" w:lastRow="0" w:firstColumn="1" w:lastColumn="0" w:noHBand="0" w:noVBand="1"/>
      </w:tblPr>
      <w:tblGrid>
        <w:gridCol w:w="2384"/>
        <w:gridCol w:w="1412"/>
        <w:gridCol w:w="1408"/>
        <w:gridCol w:w="1408"/>
        <w:gridCol w:w="2701"/>
      </w:tblGrid>
      <w:tr w:rsidR="00C24B96" w:rsidRPr="00A27A71" w:rsidTr="00C24B96">
        <w:trPr>
          <w:tblHeader/>
        </w:trPr>
        <w:tc>
          <w:tcPr>
            <w:tcW w:w="128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15F64" w:rsidRPr="00A27A71" w:rsidRDefault="00515F64" w:rsidP="00E0480C">
            <w:pPr>
              <w:widowControl w:val="0"/>
              <w:jc w:val="left"/>
              <w:rPr>
                <w:b/>
                <w:bCs/>
                <w:color w:val="000000"/>
                <w:sz w:val="20"/>
                <w:szCs w:val="20"/>
              </w:rPr>
            </w:pPr>
            <w:r w:rsidRPr="00A27A71">
              <w:rPr>
                <w:b/>
                <w:bCs/>
                <w:color w:val="000000"/>
                <w:sz w:val="20"/>
                <w:szCs w:val="20"/>
              </w:rPr>
              <w:t>HCFC</w:t>
            </w:r>
          </w:p>
        </w:tc>
        <w:tc>
          <w:tcPr>
            <w:tcW w:w="758" w:type="pct"/>
            <w:tcBorders>
              <w:top w:val="single" w:sz="4" w:space="0" w:color="auto"/>
              <w:left w:val="single" w:sz="4" w:space="0" w:color="auto"/>
              <w:bottom w:val="single" w:sz="4" w:space="0" w:color="auto"/>
              <w:right w:val="single" w:sz="4" w:space="0" w:color="auto"/>
            </w:tcBorders>
            <w:shd w:val="clear" w:color="auto" w:fill="auto"/>
            <w:noWrap/>
            <w:hideMark/>
          </w:tcPr>
          <w:p w:rsidR="00515F64" w:rsidRPr="00A27A71" w:rsidRDefault="00515F64" w:rsidP="00E0480C">
            <w:pPr>
              <w:widowControl w:val="0"/>
              <w:jc w:val="center"/>
              <w:rPr>
                <w:b/>
                <w:bCs/>
                <w:color w:val="000000"/>
                <w:sz w:val="20"/>
                <w:szCs w:val="20"/>
              </w:rPr>
            </w:pPr>
            <w:r w:rsidRPr="00A27A71">
              <w:rPr>
                <w:b/>
                <w:sz w:val="20"/>
                <w:szCs w:val="20"/>
              </w:rPr>
              <w:t>Foam</w:t>
            </w:r>
          </w:p>
        </w:tc>
        <w:tc>
          <w:tcPr>
            <w:tcW w:w="756" w:type="pct"/>
            <w:tcBorders>
              <w:top w:val="single" w:sz="4" w:space="0" w:color="auto"/>
              <w:left w:val="nil"/>
              <w:bottom w:val="single" w:sz="4" w:space="0" w:color="auto"/>
              <w:right w:val="single" w:sz="4" w:space="0" w:color="auto"/>
            </w:tcBorders>
            <w:shd w:val="clear" w:color="auto" w:fill="auto"/>
            <w:noWrap/>
            <w:hideMark/>
          </w:tcPr>
          <w:p w:rsidR="00515F64" w:rsidRPr="00A27A71" w:rsidRDefault="00DE50BB" w:rsidP="00DE50BB">
            <w:pPr>
              <w:widowControl w:val="0"/>
              <w:jc w:val="center"/>
              <w:rPr>
                <w:b/>
                <w:bCs/>
                <w:color w:val="000000"/>
                <w:sz w:val="20"/>
                <w:szCs w:val="20"/>
              </w:rPr>
            </w:pPr>
            <w:r>
              <w:rPr>
                <w:b/>
                <w:sz w:val="20"/>
                <w:szCs w:val="20"/>
              </w:rPr>
              <w:t>Refrigeration</w:t>
            </w:r>
            <w:r w:rsidR="00515F64" w:rsidRPr="00A27A71">
              <w:rPr>
                <w:b/>
                <w:sz w:val="20"/>
                <w:szCs w:val="20"/>
              </w:rPr>
              <w:t xml:space="preserve"> manufac-turing</w:t>
            </w:r>
          </w:p>
        </w:tc>
        <w:tc>
          <w:tcPr>
            <w:tcW w:w="756" w:type="pct"/>
            <w:tcBorders>
              <w:top w:val="single" w:sz="4" w:space="0" w:color="auto"/>
              <w:left w:val="single" w:sz="4" w:space="0" w:color="auto"/>
              <w:bottom w:val="single" w:sz="4" w:space="0" w:color="auto"/>
              <w:right w:val="single" w:sz="4" w:space="0" w:color="auto"/>
            </w:tcBorders>
          </w:tcPr>
          <w:p w:rsidR="00515F64" w:rsidRPr="00A27A71" w:rsidRDefault="00DE50BB" w:rsidP="00E0480C">
            <w:pPr>
              <w:widowControl w:val="0"/>
              <w:jc w:val="center"/>
              <w:rPr>
                <w:b/>
                <w:bCs/>
                <w:color w:val="000000"/>
                <w:sz w:val="20"/>
                <w:szCs w:val="20"/>
              </w:rPr>
            </w:pPr>
            <w:r>
              <w:rPr>
                <w:b/>
                <w:sz w:val="20"/>
                <w:szCs w:val="20"/>
              </w:rPr>
              <w:t>Refrigeration</w:t>
            </w:r>
            <w:r w:rsidRPr="00A27A71">
              <w:rPr>
                <w:b/>
                <w:sz w:val="20"/>
                <w:szCs w:val="20"/>
              </w:rPr>
              <w:t xml:space="preserve"> </w:t>
            </w:r>
            <w:r w:rsidR="00515F64" w:rsidRPr="00A27A71">
              <w:rPr>
                <w:b/>
                <w:sz w:val="20"/>
                <w:szCs w:val="20"/>
              </w:rPr>
              <w:t>servicing</w:t>
            </w:r>
          </w:p>
        </w:tc>
        <w:tc>
          <w:tcPr>
            <w:tcW w:w="1450" w:type="pct"/>
            <w:tcBorders>
              <w:top w:val="single" w:sz="4" w:space="0" w:color="auto"/>
              <w:left w:val="single" w:sz="4" w:space="0" w:color="auto"/>
              <w:bottom w:val="single" w:sz="4" w:space="0" w:color="auto"/>
              <w:right w:val="single" w:sz="4" w:space="0" w:color="auto"/>
            </w:tcBorders>
            <w:shd w:val="clear" w:color="auto" w:fill="auto"/>
            <w:noWrap/>
            <w:hideMark/>
          </w:tcPr>
          <w:p w:rsidR="00515F64" w:rsidRPr="00A27A71" w:rsidRDefault="00515F64" w:rsidP="00E0480C">
            <w:pPr>
              <w:widowControl w:val="0"/>
              <w:jc w:val="center"/>
              <w:rPr>
                <w:b/>
                <w:bCs/>
                <w:color w:val="000000"/>
                <w:sz w:val="20"/>
                <w:szCs w:val="20"/>
              </w:rPr>
            </w:pPr>
            <w:r w:rsidRPr="00A27A71">
              <w:rPr>
                <w:b/>
                <w:sz w:val="20"/>
                <w:szCs w:val="20"/>
              </w:rPr>
              <w:t>Total</w:t>
            </w:r>
          </w:p>
        </w:tc>
      </w:tr>
      <w:tr w:rsidR="00C24B96" w:rsidRPr="00A27A71" w:rsidTr="00C24B96">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C24B96" w:rsidRPr="00A27A71" w:rsidRDefault="00C24B96" w:rsidP="00C24B96">
            <w:pPr>
              <w:widowControl w:val="0"/>
              <w:jc w:val="left"/>
              <w:rPr>
                <w:b/>
                <w:sz w:val="20"/>
                <w:szCs w:val="20"/>
              </w:rPr>
            </w:pPr>
            <w:r w:rsidRPr="00A27A71">
              <w:rPr>
                <w:b/>
                <w:bCs/>
                <w:color w:val="000000"/>
                <w:sz w:val="20"/>
                <w:szCs w:val="20"/>
              </w:rPr>
              <w:t>Metric tonnes</w:t>
            </w:r>
          </w:p>
        </w:tc>
      </w:tr>
      <w:tr w:rsidR="00C24B96" w:rsidRPr="00A27A71" w:rsidTr="00C24B96">
        <w:tc>
          <w:tcPr>
            <w:tcW w:w="128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15F64" w:rsidRPr="00A27A71" w:rsidRDefault="00515F64" w:rsidP="00E0480C">
            <w:pPr>
              <w:widowControl w:val="0"/>
              <w:jc w:val="left"/>
              <w:rPr>
                <w:color w:val="000000"/>
                <w:sz w:val="20"/>
                <w:szCs w:val="20"/>
              </w:rPr>
            </w:pPr>
            <w:r w:rsidRPr="00A27A71">
              <w:rPr>
                <w:color w:val="000000"/>
                <w:sz w:val="20"/>
                <w:szCs w:val="20"/>
              </w:rPr>
              <w:t>HCFC</w:t>
            </w:r>
            <w:r w:rsidRPr="00A27A71">
              <w:rPr>
                <w:color w:val="000000"/>
                <w:sz w:val="20"/>
                <w:szCs w:val="20"/>
              </w:rPr>
              <w:noBreakHyphen/>
              <w:t>22</w:t>
            </w:r>
          </w:p>
        </w:tc>
        <w:tc>
          <w:tcPr>
            <w:tcW w:w="758"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558.18</w:t>
            </w:r>
          </w:p>
        </w:tc>
        <w:tc>
          <w:tcPr>
            <w:tcW w:w="756" w:type="pct"/>
            <w:tcBorders>
              <w:top w:val="nil"/>
              <w:left w:val="nil"/>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1,907.28</w:t>
            </w:r>
          </w:p>
        </w:tc>
        <w:tc>
          <w:tcPr>
            <w:tcW w:w="756" w:type="pct"/>
            <w:tcBorders>
              <w:top w:val="nil"/>
              <w:left w:val="single" w:sz="4" w:space="0" w:color="auto"/>
              <w:bottom w:val="single" w:sz="4" w:space="0" w:color="auto"/>
              <w:right w:val="single" w:sz="4" w:space="0" w:color="auto"/>
            </w:tcBorders>
          </w:tcPr>
          <w:p w:rsidR="00515F64" w:rsidRPr="00A27A71" w:rsidRDefault="00515F64" w:rsidP="00C24B96">
            <w:pPr>
              <w:jc w:val="right"/>
              <w:rPr>
                <w:sz w:val="20"/>
                <w:szCs w:val="20"/>
              </w:rPr>
            </w:pPr>
            <w:r w:rsidRPr="00A27A71">
              <w:rPr>
                <w:sz w:val="20"/>
                <w:szCs w:val="20"/>
              </w:rPr>
              <w:t>2,301.82</w:t>
            </w:r>
          </w:p>
        </w:tc>
        <w:tc>
          <w:tcPr>
            <w:tcW w:w="1450" w:type="pct"/>
            <w:tcBorders>
              <w:top w:val="nil"/>
              <w:left w:val="single" w:sz="4" w:space="0" w:color="auto"/>
              <w:bottom w:val="single" w:sz="4" w:space="0" w:color="auto"/>
              <w:right w:val="single" w:sz="4" w:space="0" w:color="auto"/>
            </w:tcBorders>
            <w:shd w:val="clear" w:color="auto" w:fill="auto"/>
            <w:noWrap/>
          </w:tcPr>
          <w:p w:rsidR="00515F64" w:rsidRPr="00A27A71" w:rsidRDefault="00C24B96" w:rsidP="00C24B96">
            <w:pPr>
              <w:jc w:val="right"/>
              <w:rPr>
                <w:color w:val="000000"/>
                <w:sz w:val="20"/>
                <w:szCs w:val="20"/>
              </w:rPr>
            </w:pPr>
            <w:r w:rsidRPr="00A27A71">
              <w:rPr>
                <w:color w:val="000000"/>
                <w:sz w:val="20"/>
                <w:szCs w:val="20"/>
              </w:rPr>
              <w:t>4,767.2</w:t>
            </w:r>
          </w:p>
        </w:tc>
      </w:tr>
      <w:tr w:rsidR="00C24B96" w:rsidRPr="00A27A71" w:rsidTr="00C24B96">
        <w:tc>
          <w:tcPr>
            <w:tcW w:w="128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15F64" w:rsidRPr="00A27A71" w:rsidRDefault="00515F64" w:rsidP="00E0480C">
            <w:pPr>
              <w:widowControl w:val="0"/>
              <w:jc w:val="left"/>
              <w:rPr>
                <w:color w:val="000000"/>
                <w:sz w:val="20"/>
                <w:szCs w:val="20"/>
              </w:rPr>
            </w:pPr>
            <w:r w:rsidRPr="00A27A71">
              <w:rPr>
                <w:color w:val="000000"/>
                <w:sz w:val="20"/>
                <w:szCs w:val="20"/>
              </w:rPr>
              <w:t>HCFC</w:t>
            </w:r>
            <w:r w:rsidRPr="00A27A71">
              <w:rPr>
                <w:color w:val="000000"/>
                <w:sz w:val="20"/>
                <w:szCs w:val="20"/>
              </w:rPr>
              <w:noBreakHyphen/>
              <w:t>123</w:t>
            </w:r>
          </w:p>
        </w:tc>
        <w:tc>
          <w:tcPr>
            <w:tcW w:w="758"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0</w:t>
            </w:r>
          </w:p>
        </w:tc>
        <w:tc>
          <w:tcPr>
            <w:tcW w:w="756" w:type="pct"/>
            <w:tcBorders>
              <w:top w:val="nil"/>
              <w:left w:val="nil"/>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0</w:t>
            </w:r>
          </w:p>
        </w:tc>
        <w:tc>
          <w:tcPr>
            <w:tcW w:w="756" w:type="pct"/>
            <w:tcBorders>
              <w:top w:val="nil"/>
              <w:left w:val="single" w:sz="4" w:space="0" w:color="auto"/>
              <w:bottom w:val="single" w:sz="4" w:space="0" w:color="auto"/>
              <w:right w:val="single" w:sz="4" w:space="0" w:color="auto"/>
            </w:tcBorders>
          </w:tcPr>
          <w:p w:rsidR="00515F64" w:rsidRPr="00A27A71" w:rsidRDefault="00515F64" w:rsidP="00C24B96">
            <w:pPr>
              <w:jc w:val="right"/>
              <w:rPr>
                <w:sz w:val="20"/>
                <w:szCs w:val="20"/>
              </w:rPr>
            </w:pPr>
            <w:r w:rsidRPr="00A27A71">
              <w:rPr>
                <w:sz w:val="20"/>
                <w:szCs w:val="20"/>
              </w:rPr>
              <w:t>5.0</w:t>
            </w:r>
          </w:p>
        </w:tc>
        <w:tc>
          <w:tcPr>
            <w:tcW w:w="1450"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color w:val="000000"/>
                <w:sz w:val="20"/>
                <w:szCs w:val="20"/>
              </w:rPr>
            </w:pPr>
            <w:r w:rsidRPr="00A27A71">
              <w:rPr>
                <w:color w:val="000000"/>
                <w:sz w:val="20"/>
                <w:szCs w:val="20"/>
              </w:rPr>
              <w:t>5.0</w:t>
            </w:r>
          </w:p>
        </w:tc>
      </w:tr>
      <w:tr w:rsidR="00C24B96" w:rsidRPr="00A27A71" w:rsidTr="00C24B96">
        <w:tc>
          <w:tcPr>
            <w:tcW w:w="128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15F64" w:rsidRPr="00A27A71" w:rsidRDefault="00515F64" w:rsidP="00E0480C">
            <w:pPr>
              <w:widowControl w:val="0"/>
              <w:jc w:val="left"/>
              <w:rPr>
                <w:color w:val="000000"/>
                <w:sz w:val="20"/>
                <w:szCs w:val="20"/>
              </w:rPr>
            </w:pPr>
            <w:r w:rsidRPr="00A27A71">
              <w:rPr>
                <w:color w:val="000000"/>
                <w:sz w:val="20"/>
                <w:szCs w:val="20"/>
              </w:rPr>
              <w:t>HCFC</w:t>
            </w:r>
            <w:r w:rsidRPr="00A27A71">
              <w:rPr>
                <w:color w:val="000000"/>
                <w:sz w:val="20"/>
                <w:szCs w:val="20"/>
              </w:rPr>
              <w:noBreakHyphen/>
              <w:t>141b</w:t>
            </w:r>
          </w:p>
        </w:tc>
        <w:tc>
          <w:tcPr>
            <w:tcW w:w="758"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731.82</w:t>
            </w:r>
          </w:p>
        </w:tc>
        <w:tc>
          <w:tcPr>
            <w:tcW w:w="756" w:type="pct"/>
            <w:tcBorders>
              <w:top w:val="nil"/>
              <w:left w:val="nil"/>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0</w:t>
            </w:r>
          </w:p>
        </w:tc>
        <w:tc>
          <w:tcPr>
            <w:tcW w:w="756" w:type="pct"/>
            <w:tcBorders>
              <w:top w:val="nil"/>
              <w:left w:val="single" w:sz="4" w:space="0" w:color="auto"/>
              <w:bottom w:val="single" w:sz="4" w:space="0" w:color="auto"/>
              <w:right w:val="single" w:sz="4" w:space="0" w:color="auto"/>
            </w:tcBorders>
          </w:tcPr>
          <w:p w:rsidR="00515F64" w:rsidRPr="00A27A71" w:rsidRDefault="00515F64" w:rsidP="00C24B96">
            <w:pPr>
              <w:jc w:val="right"/>
              <w:rPr>
                <w:sz w:val="20"/>
                <w:szCs w:val="20"/>
              </w:rPr>
            </w:pPr>
            <w:r w:rsidRPr="00A27A71">
              <w:rPr>
                <w:sz w:val="20"/>
                <w:szCs w:val="20"/>
              </w:rPr>
              <w:t>0</w:t>
            </w:r>
          </w:p>
        </w:tc>
        <w:tc>
          <w:tcPr>
            <w:tcW w:w="1450"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color w:val="000000"/>
                <w:sz w:val="20"/>
                <w:szCs w:val="20"/>
              </w:rPr>
            </w:pPr>
            <w:r w:rsidRPr="00A27A71">
              <w:rPr>
                <w:color w:val="000000"/>
                <w:sz w:val="20"/>
                <w:szCs w:val="20"/>
              </w:rPr>
              <w:t>731.82</w:t>
            </w:r>
          </w:p>
        </w:tc>
      </w:tr>
      <w:tr w:rsidR="00C24B96" w:rsidRPr="00A27A71" w:rsidTr="00C24B96">
        <w:tc>
          <w:tcPr>
            <w:tcW w:w="128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15F64" w:rsidRPr="00A27A71" w:rsidRDefault="00515F64" w:rsidP="00E0480C">
            <w:pPr>
              <w:widowControl w:val="0"/>
              <w:jc w:val="left"/>
              <w:rPr>
                <w:color w:val="000000"/>
                <w:sz w:val="20"/>
                <w:szCs w:val="20"/>
              </w:rPr>
            </w:pPr>
            <w:r w:rsidRPr="00A27A71">
              <w:rPr>
                <w:color w:val="000000"/>
                <w:sz w:val="20"/>
                <w:szCs w:val="20"/>
              </w:rPr>
              <w:t>HCFC</w:t>
            </w:r>
            <w:r w:rsidRPr="00A27A71">
              <w:rPr>
                <w:color w:val="000000"/>
                <w:sz w:val="20"/>
                <w:szCs w:val="20"/>
              </w:rPr>
              <w:noBreakHyphen/>
              <w:t>142b</w:t>
            </w:r>
          </w:p>
        </w:tc>
        <w:tc>
          <w:tcPr>
            <w:tcW w:w="758"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24.62</w:t>
            </w:r>
          </w:p>
        </w:tc>
        <w:tc>
          <w:tcPr>
            <w:tcW w:w="756" w:type="pct"/>
            <w:tcBorders>
              <w:top w:val="nil"/>
              <w:left w:val="nil"/>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0</w:t>
            </w:r>
          </w:p>
        </w:tc>
        <w:tc>
          <w:tcPr>
            <w:tcW w:w="756" w:type="pct"/>
            <w:tcBorders>
              <w:top w:val="nil"/>
              <w:left w:val="single" w:sz="4" w:space="0" w:color="auto"/>
              <w:bottom w:val="single" w:sz="4" w:space="0" w:color="auto"/>
              <w:right w:val="single" w:sz="4" w:space="0" w:color="auto"/>
            </w:tcBorders>
          </w:tcPr>
          <w:p w:rsidR="00515F64" w:rsidRPr="00A27A71" w:rsidRDefault="00515F64" w:rsidP="00C24B96">
            <w:pPr>
              <w:jc w:val="right"/>
              <w:rPr>
                <w:sz w:val="20"/>
                <w:szCs w:val="20"/>
              </w:rPr>
            </w:pPr>
            <w:r w:rsidRPr="00A27A71">
              <w:rPr>
                <w:sz w:val="20"/>
                <w:szCs w:val="20"/>
              </w:rPr>
              <w:t>33.85</w:t>
            </w:r>
          </w:p>
        </w:tc>
        <w:tc>
          <w:tcPr>
            <w:tcW w:w="1450"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color w:val="000000"/>
                <w:sz w:val="20"/>
                <w:szCs w:val="20"/>
              </w:rPr>
            </w:pPr>
            <w:r w:rsidRPr="00A27A71">
              <w:rPr>
                <w:color w:val="000000"/>
                <w:sz w:val="20"/>
                <w:szCs w:val="20"/>
              </w:rPr>
              <w:t>58.47</w:t>
            </w:r>
          </w:p>
        </w:tc>
      </w:tr>
      <w:tr w:rsidR="00C24B96" w:rsidRPr="00A27A71" w:rsidTr="00C24B96">
        <w:tc>
          <w:tcPr>
            <w:tcW w:w="1280"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515F64" w:rsidRPr="00A27A71" w:rsidRDefault="00515F64" w:rsidP="002E79B2">
            <w:pPr>
              <w:rPr>
                <w:sz w:val="20"/>
                <w:szCs w:val="20"/>
              </w:rPr>
            </w:pPr>
            <w:r w:rsidRPr="00A27A71">
              <w:rPr>
                <w:sz w:val="20"/>
                <w:szCs w:val="20"/>
              </w:rPr>
              <w:t>Sub-total (mt)</w:t>
            </w:r>
          </w:p>
        </w:tc>
        <w:tc>
          <w:tcPr>
            <w:tcW w:w="758"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color w:val="000000"/>
                <w:sz w:val="20"/>
                <w:szCs w:val="20"/>
              </w:rPr>
            </w:pPr>
            <w:r w:rsidRPr="00A27A71">
              <w:rPr>
                <w:color w:val="000000"/>
                <w:sz w:val="20"/>
                <w:szCs w:val="20"/>
              </w:rPr>
              <w:t>1,314.62</w:t>
            </w:r>
          </w:p>
        </w:tc>
        <w:tc>
          <w:tcPr>
            <w:tcW w:w="756" w:type="pct"/>
            <w:tcBorders>
              <w:top w:val="nil"/>
              <w:left w:val="nil"/>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1,907.28</w:t>
            </w:r>
          </w:p>
        </w:tc>
        <w:tc>
          <w:tcPr>
            <w:tcW w:w="756" w:type="pct"/>
            <w:tcBorders>
              <w:top w:val="nil"/>
              <w:left w:val="single" w:sz="4" w:space="0" w:color="auto"/>
              <w:bottom w:val="single" w:sz="4" w:space="0" w:color="auto"/>
              <w:right w:val="single" w:sz="4" w:space="0" w:color="auto"/>
            </w:tcBorders>
          </w:tcPr>
          <w:p w:rsidR="00515F64" w:rsidRPr="00A27A71" w:rsidRDefault="00515F64" w:rsidP="00C24B96">
            <w:pPr>
              <w:jc w:val="right"/>
              <w:rPr>
                <w:color w:val="000000"/>
                <w:sz w:val="20"/>
                <w:szCs w:val="20"/>
              </w:rPr>
            </w:pPr>
            <w:r w:rsidRPr="00A27A71">
              <w:rPr>
                <w:color w:val="000000"/>
                <w:sz w:val="20"/>
                <w:szCs w:val="20"/>
              </w:rPr>
              <w:t>2,340.67</w:t>
            </w:r>
          </w:p>
        </w:tc>
        <w:tc>
          <w:tcPr>
            <w:tcW w:w="1450"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color w:val="000000"/>
                <w:sz w:val="20"/>
                <w:szCs w:val="20"/>
              </w:rPr>
            </w:pPr>
            <w:r w:rsidRPr="00A27A71">
              <w:rPr>
                <w:color w:val="000000"/>
                <w:sz w:val="20"/>
                <w:szCs w:val="20"/>
              </w:rPr>
              <w:fldChar w:fldCharType="begin"/>
            </w:r>
            <w:r w:rsidRPr="00A27A71">
              <w:rPr>
                <w:color w:val="000000"/>
                <w:sz w:val="20"/>
                <w:szCs w:val="20"/>
              </w:rPr>
              <w:instrText xml:space="preserve"> =SUM(left) </w:instrText>
            </w:r>
            <w:r w:rsidRPr="00A27A71">
              <w:rPr>
                <w:color w:val="000000"/>
                <w:sz w:val="20"/>
                <w:szCs w:val="20"/>
              </w:rPr>
              <w:fldChar w:fldCharType="separate"/>
            </w:r>
            <w:r w:rsidRPr="00A27A71">
              <w:rPr>
                <w:noProof/>
                <w:color w:val="000000"/>
                <w:sz w:val="20"/>
                <w:szCs w:val="20"/>
              </w:rPr>
              <w:t>5,562.57</w:t>
            </w:r>
            <w:r w:rsidRPr="00A27A71">
              <w:rPr>
                <w:color w:val="000000"/>
                <w:sz w:val="20"/>
                <w:szCs w:val="20"/>
              </w:rPr>
              <w:fldChar w:fldCharType="end"/>
            </w:r>
          </w:p>
        </w:tc>
      </w:tr>
      <w:tr w:rsidR="00C24B96" w:rsidRPr="00A27A71" w:rsidTr="00C24B96">
        <w:tc>
          <w:tcPr>
            <w:tcW w:w="1280"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rsidR="00515F64" w:rsidRPr="00A27A71" w:rsidRDefault="00515F64" w:rsidP="00C24B96">
            <w:pPr>
              <w:jc w:val="left"/>
              <w:rPr>
                <w:sz w:val="20"/>
                <w:szCs w:val="20"/>
              </w:rPr>
            </w:pPr>
            <w:r w:rsidRPr="00A27A71">
              <w:rPr>
                <w:sz w:val="20"/>
                <w:szCs w:val="20"/>
              </w:rPr>
              <w:t>HCFC-141b in imported pre</w:t>
            </w:r>
            <w:r w:rsidR="00C24B96" w:rsidRPr="00A27A71">
              <w:rPr>
                <w:sz w:val="20"/>
                <w:szCs w:val="20"/>
              </w:rPr>
              <w:noBreakHyphen/>
            </w:r>
            <w:r w:rsidRPr="00A27A71">
              <w:rPr>
                <w:sz w:val="20"/>
                <w:szCs w:val="20"/>
              </w:rPr>
              <w:t>blended polyols</w:t>
            </w:r>
          </w:p>
        </w:tc>
        <w:tc>
          <w:tcPr>
            <w:tcW w:w="758"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color w:val="000000"/>
                <w:sz w:val="20"/>
                <w:szCs w:val="20"/>
              </w:rPr>
            </w:pPr>
            <w:r w:rsidRPr="00A27A71">
              <w:rPr>
                <w:color w:val="000000"/>
                <w:sz w:val="20"/>
                <w:szCs w:val="20"/>
              </w:rPr>
              <w:t>178.18</w:t>
            </w:r>
          </w:p>
        </w:tc>
        <w:tc>
          <w:tcPr>
            <w:tcW w:w="756" w:type="pct"/>
            <w:tcBorders>
              <w:top w:val="nil"/>
              <w:left w:val="nil"/>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0</w:t>
            </w:r>
          </w:p>
        </w:tc>
        <w:tc>
          <w:tcPr>
            <w:tcW w:w="756" w:type="pct"/>
            <w:tcBorders>
              <w:top w:val="nil"/>
              <w:left w:val="single" w:sz="4" w:space="0" w:color="auto"/>
              <w:bottom w:val="single" w:sz="4" w:space="0" w:color="auto"/>
              <w:right w:val="single" w:sz="4" w:space="0" w:color="auto"/>
            </w:tcBorders>
          </w:tcPr>
          <w:p w:rsidR="00515F64" w:rsidRPr="00A27A71" w:rsidRDefault="00515F64" w:rsidP="00C24B96">
            <w:pPr>
              <w:jc w:val="right"/>
              <w:rPr>
                <w:color w:val="000000"/>
                <w:sz w:val="20"/>
                <w:szCs w:val="20"/>
              </w:rPr>
            </w:pPr>
            <w:r w:rsidRPr="00A27A71">
              <w:rPr>
                <w:color w:val="000000"/>
                <w:sz w:val="20"/>
                <w:szCs w:val="20"/>
              </w:rPr>
              <w:t>0</w:t>
            </w:r>
          </w:p>
        </w:tc>
        <w:tc>
          <w:tcPr>
            <w:tcW w:w="1450"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color w:val="000000"/>
                <w:sz w:val="20"/>
                <w:szCs w:val="20"/>
              </w:rPr>
            </w:pPr>
            <w:r w:rsidRPr="00A27A71">
              <w:rPr>
                <w:color w:val="000000"/>
                <w:sz w:val="20"/>
                <w:szCs w:val="20"/>
              </w:rPr>
              <w:t>178.18</w:t>
            </w:r>
          </w:p>
        </w:tc>
      </w:tr>
      <w:tr w:rsidR="00C24B96" w:rsidRPr="00A27A71" w:rsidTr="00C24B96">
        <w:tc>
          <w:tcPr>
            <w:tcW w:w="1280"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rsidR="00515F64" w:rsidRPr="00A27A71" w:rsidRDefault="00515F64" w:rsidP="00FB3F9A">
            <w:pPr>
              <w:jc w:val="left"/>
              <w:rPr>
                <w:b/>
                <w:sz w:val="20"/>
                <w:szCs w:val="20"/>
              </w:rPr>
            </w:pPr>
            <w:r w:rsidRPr="00A27A71">
              <w:rPr>
                <w:b/>
                <w:sz w:val="20"/>
                <w:szCs w:val="20"/>
              </w:rPr>
              <w:t>Total (mt)</w:t>
            </w:r>
          </w:p>
        </w:tc>
        <w:tc>
          <w:tcPr>
            <w:tcW w:w="758"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b/>
                <w:color w:val="000000"/>
                <w:sz w:val="20"/>
                <w:szCs w:val="20"/>
              </w:rPr>
            </w:pPr>
            <w:r w:rsidRPr="00A27A71">
              <w:rPr>
                <w:b/>
                <w:color w:val="000000"/>
                <w:sz w:val="20"/>
                <w:szCs w:val="20"/>
              </w:rPr>
              <w:t>1,492.8</w:t>
            </w:r>
          </w:p>
        </w:tc>
        <w:tc>
          <w:tcPr>
            <w:tcW w:w="756" w:type="pct"/>
            <w:tcBorders>
              <w:top w:val="nil"/>
              <w:left w:val="nil"/>
              <w:bottom w:val="single" w:sz="4" w:space="0" w:color="auto"/>
              <w:right w:val="single" w:sz="4" w:space="0" w:color="auto"/>
            </w:tcBorders>
            <w:shd w:val="clear" w:color="auto" w:fill="auto"/>
            <w:noWrap/>
          </w:tcPr>
          <w:p w:rsidR="00515F64" w:rsidRPr="00A27A71" w:rsidRDefault="00515F64" w:rsidP="00C24B96">
            <w:pPr>
              <w:jc w:val="right"/>
              <w:rPr>
                <w:b/>
                <w:color w:val="000000"/>
                <w:sz w:val="20"/>
                <w:szCs w:val="20"/>
              </w:rPr>
            </w:pPr>
            <w:r w:rsidRPr="00A27A71">
              <w:rPr>
                <w:b/>
                <w:sz w:val="20"/>
                <w:szCs w:val="20"/>
              </w:rPr>
              <w:t>1,907.28</w:t>
            </w:r>
          </w:p>
        </w:tc>
        <w:tc>
          <w:tcPr>
            <w:tcW w:w="756" w:type="pct"/>
            <w:tcBorders>
              <w:top w:val="nil"/>
              <w:left w:val="single" w:sz="4" w:space="0" w:color="auto"/>
              <w:bottom w:val="single" w:sz="4" w:space="0" w:color="auto"/>
              <w:right w:val="single" w:sz="4" w:space="0" w:color="auto"/>
            </w:tcBorders>
          </w:tcPr>
          <w:p w:rsidR="00515F64" w:rsidRPr="00A27A71" w:rsidRDefault="00515F64" w:rsidP="00C24B96">
            <w:pPr>
              <w:jc w:val="right"/>
              <w:rPr>
                <w:b/>
                <w:color w:val="000000"/>
                <w:sz w:val="20"/>
                <w:szCs w:val="20"/>
              </w:rPr>
            </w:pPr>
            <w:r w:rsidRPr="00A27A71">
              <w:rPr>
                <w:b/>
                <w:color w:val="000000"/>
                <w:sz w:val="20"/>
                <w:szCs w:val="20"/>
              </w:rPr>
              <w:t>2,340.67</w:t>
            </w:r>
          </w:p>
        </w:tc>
        <w:tc>
          <w:tcPr>
            <w:tcW w:w="1450"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b/>
                <w:color w:val="000000"/>
                <w:sz w:val="20"/>
                <w:szCs w:val="20"/>
              </w:rPr>
            </w:pPr>
            <w:r w:rsidRPr="00A27A71">
              <w:rPr>
                <w:b/>
                <w:color w:val="000000"/>
                <w:sz w:val="20"/>
                <w:szCs w:val="20"/>
              </w:rPr>
              <w:fldChar w:fldCharType="begin"/>
            </w:r>
            <w:r w:rsidRPr="00A27A71">
              <w:rPr>
                <w:b/>
                <w:color w:val="000000"/>
                <w:sz w:val="20"/>
                <w:szCs w:val="20"/>
              </w:rPr>
              <w:instrText xml:space="preserve"> =SUM(left) </w:instrText>
            </w:r>
            <w:r w:rsidRPr="00A27A71">
              <w:rPr>
                <w:b/>
                <w:color w:val="000000"/>
                <w:sz w:val="20"/>
                <w:szCs w:val="20"/>
              </w:rPr>
              <w:fldChar w:fldCharType="separate"/>
            </w:r>
            <w:r w:rsidRPr="00A27A71">
              <w:rPr>
                <w:b/>
                <w:noProof/>
                <w:color w:val="000000"/>
                <w:sz w:val="20"/>
                <w:szCs w:val="20"/>
              </w:rPr>
              <w:t>5,740.75</w:t>
            </w:r>
            <w:r w:rsidRPr="00A27A71">
              <w:rPr>
                <w:b/>
                <w:color w:val="000000"/>
                <w:sz w:val="20"/>
                <w:szCs w:val="20"/>
              </w:rPr>
              <w:fldChar w:fldCharType="end"/>
            </w:r>
          </w:p>
        </w:tc>
      </w:tr>
      <w:tr w:rsidR="00C24B96" w:rsidRPr="00A27A71" w:rsidTr="00C24B96">
        <w:tc>
          <w:tcPr>
            <w:tcW w:w="5000" w:type="pct"/>
            <w:gridSpan w:val="5"/>
            <w:tcBorders>
              <w:top w:val="nil"/>
              <w:left w:val="single" w:sz="4" w:space="0" w:color="auto"/>
              <w:bottom w:val="single" w:sz="4" w:space="0" w:color="auto"/>
              <w:right w:val="single" w:sz="4" w:space="0" w:color="auto"/>
            </w:tcBorders>
            <w:shd w:val="clear" w:color="auto" w:fill="auto"/>
            <w:noWrap/>
            <w:tcMar>
              <w:left w:w="43" w:type="dxa"/>
              <w:right w:w="43" w:type="dxa"/>
            </w:tcMar>
          </w:tcPr>
          <w:p w:rsidR="00C24B96" w:rsidRPr="00A27A71" w:rsidRDefault="00C24B96" w:rsidP="00C24B96">
            <w:pPr>
              <w:jc w:val="left"/>
              <w:rPr>
                <w:b/>
                <w:color w:val="000000"/>
                <w:sz w:val="20"/>
                <w:szCs w:val="20"/>
              </w:rPr>
            </w:pPr>
            <w:r w:rsidRPr="00A27A71">
              <w:rPr>
                <w:b/>
                <w:color w:val="000000"/>
                <w:sz w:val="20"/>
                <w:szCs w:val="20"/>
              </w:rPr>
              <w:t>ODP tonnes</w:t>
            </w:r>
          </w:p>
        </w:tc>
      </w:tr>
      <w:tr w:rsidR="00C24B96" w:rsidRPr="00A27A71" w:rsidTr="00C24B96">
        <w:tc>
          <w:tcPr>
            <w:tcW w:w="1280"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rsidR="00515F64" w:rsidRPr="00A27A71" w:rsidRDefault="00515F64" w:rsidP="00F76143">
            <w:pPr>
              <w:rPr>
                <w:sz w:val="20"/>
                <w:szCs w:val="20"/>
              </w:rPr>
            </w:pPr>
            <w:r w:rsidRPr="00A27A71">
              <w:rPr>
                <w:sz w:val="20"/>
                <w:szCs w:val="20"/>
              </w:rPr>
              <w:t>HCFC</w:t>
            </w:r>
            <w:r w:rsidR="00F76143">
              <w:rPr>
                <w:sz w:val="20"/>
                <w:szCs w:val="20"/>
              </w:rPr>
              <w:t>-</w:t>
            </w:r>
            <w:r w:rsidRPr="00A27A71">
              <w:rPr>
                <w:sz w:val="20"/>
                <w:szCs w:val="20"/>
              </w:rPr>
              <w:t>22</w:t>
            </w:r>
          </w:p>
        </w:tc>
        <w:tc>
          <w:tcPr>
            <w:tcW w:w="758"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30.7</w:t>
            </w:r>
          </w:p>
        </w:tc>
        <w:tc>
          <w:tcPr>
            <w:tcW w:w="756" w:type="pct"/>
            <w:tcBorders>
              <w:top w:val="nil"/>
              <w:left w:val="nil"/>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104.9</w:t>
            </w:r>
          </w:p>
        </w:tc>
        <w:tc>
          <w:tcPr>
            <w:tcW w:w="756" w:type="pct"/>
            <w:tcBorders>
              <w:top w:val="nil"/>
              <w:left w:val="single" w:sz="4" w:space="0" w:color="auto"/>
              <w:bottom w:val="single" w:sz="4" w:space="0" w:color="auto"/>
              <w:right w:val="single" w:sz="4" w:space="0" w:color="auto"/>
            </w:tcBorders>
          </w:tcPr>
          <w:p w:rsidR="00515F64" w:rsidRPr="00A27A71" w:rsidRDefault="00515F64" w:rsidP="00C24B96">
            <w:pPr>
              <w:jc w:val="right"/>
              <w:rPr>
                <w:sz w:val="20"/>
                <w:szCs w:val="20"/>
              </w:rPr>
            </w:pPr>
            <w:r w:rsidRPr="00A27A71">
              <w:rPr>
                <w:sz w:val="20"/>
                <w:szCs w:val="20"/>
              </w:rPr>
              <w:t>126.6</w:t>
            </w:r>
          </w:p>
        </w:tc>
        <w:tc>
          <w:tcPr>
            <w:tcW w:w="1450"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262.2</w:t>
            </w:r>
          </w:p>
        </w:tc>
      </w:tr>
      <w:tr w:rsidR="00C24B96" w:rsidRPr="00A27A71" w:rsidTr="00C24B96">
        <w:tc>
          <w:tcPr>
            <w:tcW w:w="1280"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rsidR="00515F64" w:rsidRPr="00A27A71" w:rsidRDefault="00515F64" w:rsidP="00F76143">
            <w:pPr>
              <w:rPr>
                <w:sz w:val="20"/>
                <w:szCs w:val="20"/>
              </w:rPr>
            </w:pPr>
            <w:r w:rsidRPr="00A27A71">
              <w:rPr>
                <w:sz w:val="20"/>
                <w:szCs w:val="20"/>
              </w:rPr>
              <w:t>HCFC</w:t>
            </w:r>
            <w:r w:rsidR="00F76143">
              <w:rPr>
                <w:sz w:val="20"/>
                <w:szCs w:val="20"/>
              </w:rPr>
              <w:t>-</w:t>
            </w:r>
            <w:r w:rsidRPr="00A27A71">
              <w:rPr>
                <w:sz w:val="20"/>
                <w:szCs w:val="20"/>
              </w:rPr>
              <w:t>123</w:t>
            </w:r>
          </w:p>
        </w:tc>
        <w:tc>
          <w:tcPr>
            <w:tcW w:w="758"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0</w:t>
            </w:r>
          </w:p>
        </w:tc>
        <w:tc>
          <w:tcPr>
            <w:tcW w:w="756" w:type="pct"/>
            <w:tcBorders>
              <w:top w:val="nil"/>
              <w:left w:val="nil"/>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0</w:t>
            </w:r>
          </w:p>
        </w:tc>
        <w:tc>
          <w:tcPr>
            <w:tcW w:w="756" w:type="pct"/>
            <w:tcBorders>
              <w:top w:val="nil"/>
              <w:left w:val="single" w:sz="4" w:space="0" w:color="auto"/>
              <w:bottom w:val="single" w:sz="4" w:space="0" w:color="auto"/>
              <w:right w:val="single" w:sz="4" w:space="0" w:color="auto"/>
            </w:tcBorders>
          </w:tcPr>
          <w:p w:rsidR="00515F64" w:rsidRPr="00A27A71" w:rsidRDefault="00515F64" w:rsidP="00C24B96">
            <w:pPr>
              <w:jc w:val="right"/>
              <w:rPr>
                <w:sz w:val="20"/>
                <w:szCs w:val="20"/>
              </w:rPr>
            </w:pPr>
            <w:r w:rsidRPr="00A27A71">
              <w:rPr>
                <w:sz w:val="20"/>
                <w:szCs w:val="20"/>
              </w:rPr>
              <w:t>0.1</w:t>
            </w:r>
          </w:p>
        </w:tc>
        <w:tc>
          <w:tcPr>
            <w:tcW w:w="1450"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0.1</w:t>
            </w:r>
          </w:p>
        </w:tc>
      </w:tr>
      <w:tr w:rsidR="00C24B96" w:rsidRPr="00A27A71" w:rsidTr="00C24B96">
        <w:tc>
          <w:tcPr>
            <w:tcW w:w="1280"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rsidR="00515F64" w:rsidRPr="00A27A71" w:rsidRDefault="00515F64" w:rsidP="00F76143">
            <w:pPr>
              <w:rPr>
                <w:sz w:val="20"/>
                <w:szCs w:val="20"/>
              </w:rPr>
            </w:pPr>
            <w:r w:rsidRPr="00A27A71">
              <w:rPr>
                <w:sz w:val="20"/>
                <w:szCs w:val="20"/>
              </w:rPr>
              <w:t>HCFC</w:t>
            </w:r>
            <w:r w:rsidR="00F76143">
              <w:rPr>
                <w:sz w:val="20"/>
                <w:szCs w:val="20"/>
              </w:rPr>
              <w:t>-</w:t>
            </w:r>
            <w:r w:rsidRPr="00A27A71">
              <w:rPr>
                <w:sz w:val="20"/>
                <w:szCs w:val="20"/>
              </w:rPr>
              <w:t>141b</w:t>
            </w:r>
          </w:p>
        </w:tc>
        <w:tc>
          <w:tcPr>
            <w:tcW w:w="758"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80.5</w:t>
            </w:r>
          </w:p>
        </w:tc>
        <w:tc>
          <w:tcPr>
            <w:tcW w:w="756" w:type="pct"/>
            <w:tcBorders>
              <w:top w:val="nil"/>
              <w:left w:val="nil"/>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0</w:t>
            </w:r>
          </w:p>
        </w:tc>
        <w:tc>
          <w:tcPr>
            <w:tcW w:w="756" w:type="pct"/>
            <w:tcBorders>
              <w:top w:val="nil"/>
              <w:left w:val="single" w:sz="4" w:space="0" w:color="auto"/>
              <w:bottom w:val="single" w:sz="4" w:space="0" w:color="auto"/>
              <w:right w:val="single" w:sz="4" w:space="0" w:color="auto"/>
            </w:tcBorders>
          </w:tcPr>
          <w:p w:rsidR="00515F64" w:rsidRPr="00A27A71" w:rsidRDefault="00515F64" w:rsidP="00C24B96">
            <w:pPr>
              <w:jc w:val="right"/>
              <w:rPr>
                <w:sz w:val="20"/>
                <w:szCs w:val="20"/>
              </w:rPr>
            </w:pPr>
            <w:r w:rsidRPr="00A27A71">
              <w:rPr>
                <w:sz w:val="20"/>
                <w:szCs w:val="20"/>
              </w:rPr>
              <w:t>0</w:t>
            </w:r>
          </w:p>
        </w:tc>
        <w:tc>
          <w:tcPr>
            <w:tcW w:w="1450"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80.5</w:t>
            </w:r>
          </w:p>
        </w:tc>
      </w:tr>
      <w:tr w:rsidR="00C24B96" w:rsidRPr="00A27A71" w:rsidTr="00C24B96">
        <w:tc>
          <w:tcPr>
            <w:tcW w:w="1280"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rsidR="00515F64" w:rsidRPr="00A27A71" w:rsidRDefault="00515F64" w:rsidP="00F76143">
            <w:pPr>
              <w:rPr>
                <w:sz w:val="20"/>
                <w:szCs w:val="20"/>
              </w:rPr>
            </w:pPr>
            <w:r w:rsidRPr="00A27A71">
              <w:rPr>
                <w:sz w:val="20"/>
                <w:szCs w:val="20"/>
              </w:rPr>
              <w:t>HCFC</w:t>
            </w:r>
            <w:r w:rsidR="00F76143">
              <w:rPr>
                <w:sz w:val="20"/>
                <w:szCs w:val="20"/>
              </w:rPr>
              <w:t>-</w:t>
            </w:r>
            <w:r w:rsidRPr="00A27A71">
              <w:rPr>
                <w:sz w:val="20"/>
                <w:szCs w:val="20"/>
              </w:rPr>
              <w:t>142b</w:t>
            </w:r>
          </w:p>
        </w:tc>
        <w:tc>
          <w:tcPr>
            <w:tcW w:w="758"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1.6</w:t>
            </w:r>
          </w:p>
        </w:tc>
        <w:tc>
          <w:tcPr>
            <w:tcW w:w="756" w:type="pct"/>
            <w:tcBorders>
              <w:top w:val="nil"/>
              <w:left w:val="nil"/>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0</w:t>
            </w:r>
          </w:p>
        </w:tc>
        <w:tc>
          <w:tcPr>
            <w:tcW w:w="756" w:type="pct"/>
            <w:tcBorders>
              <w:top w:val="nil"/>
              <w:left w:val="single" w:sz="4" w:space="0" w:color="auto"/>
              <w:bottom w:val="single" w:sz="4" w:space="0" w:color="auto"/>
              <w:right w:val="single" w:sz="4" w:space="0" w:color="auto"/>
            </w:tcBorders>
          </w:tcPr>
          <w:p w:rsidR="00515F64" w:rsidRPr="00A27A71" w:rsidRDefault="00515F64" w:rsidP="00C24B96">
            <w:pPr>
              <w:jc w:val="right"/>
              <w:rPr>
                <w:sz w:val="20"/>
                <w:szCs w:val="20"/>
              </w:rPr>
            </w:pPr>
            <w:r w:rsidRPr="00A27A71">
              <w:rPr>
                <w:sz w:val="20"/>
                <w:szCs w:val="20"/>
              </w:rPr>
              <w:t>2.2</w:t>
            </w:r>
          </w:p>
        </w:tc>
        <w:tc>
          <w:tcPr>
            <w:tcW w:w="1450"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3.8</w:t>
            </w:r>
          </w:p>
        </w:tc>
      </w:tr>
      <w:tr w:rsidR="00C24B96" w:rsidRPr="00A27A71" w:rsidTr="00C24B96">
        <w:tc>
          <w:tcPr>
            <w:tcW w:w="1280"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rsidR="00515F64" w:rsidRPr="00A27A71" w:rsidRDefault="00515F64" w:rsidP="000F3199">
            <w:pPr>
              <w:rPr>
                <w:sz w:val="20"/>
                <w:szCs w:val="20"/>
              </w:rPr>
            </w:pPr>
            <w:r w:rsidRPr="00A27A71">
              <w:rPr>
                <w:sz w:val="20"/>
                <w:szCs w:val="20"/>
              </w:rPr>
              <w:t>Sub-total (ODP tonnes)</w:t>
            </w:r>
          </w:p>
        </w:tc>
        <w:tc>
          <w:tcPr>
            <w:tcW w:w="758"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112.8</w:t>
            </w:r>
          </w:p>
        </w:tc>
        <w:tc>
          <w:tcPr>
            <w:tcW w:w="756" w:type="pct"/>
            <w:tcBorders>
              <w:top w:val="nil"/>
              <w:left w:val="nil"/>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104.9</w:t>
            </w:r>
          </w:p>
        </w:tc>
        <w:tc>
          <w:tcPr>
            <w:tcW w:w="756" w:type="pct"/>
            <w:tcBorders>
              <w:top w:val="nil"/>
              <w:left w:val="single" w:sz="4" w:space="0" w:color="auto"/>
              <w:bottom w:val="single" w:sz="4" w:space="0" w:color="auto"/>
              <w:right w:val="single" w:sz="4" w:space="0" w:color="auto"/>
            </w:tcBorders>
          </w:tcPr>
          <w:p w:rsidR="00515F64" w:rsidRPr="00A27A71" w:rsidRDefault="00515F64" w:rsidP="00C24B96">
            <w:pPr>
              <w:jc w:val="right"/>
              <w:rPr>
                <w:sz w:val="20"/>
                <w:szCs w:val="20"/>
              </w:rPr>
            </w:pPr>
            <w:r w:rsidRPr="00A27A71">
              <w:rPr>
                <w:sz w:val="20"/>
                <w:szCs w:val="20"/>
              </w:rPr>
              <w:t>128.9</w:t>
            </w:r>
          </w:p>
        </w:tc>
        <w:tc>
          <w:tcPr>
            <w:tcW w:w="1450"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346.6</w:t>
            </w:r>
          </w:p>
        </w:tc>
      </w:tr>
      <w:tr w:rsidR="00C24B96" w:rsidRPr="00A27A71" w:rsidTr="00C24B96">
        <w:tc>
          <w:tcPr>
            <w:tcW w:w="1280"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rsidR="00515F64" w:rsidRPr="00A27A71" w:rsidRDefault="00515F64" w:rsidP="000F3199">
            <w:pPr>
              <w:rPr>
                <w:sz w:val="20"/>
                <w:szCs w:val="20"/>
              </w:rPr>
            </w:pPr>
            <w:r w:rsidRPr="00A27A71">
              <w:rPr>
                <w:sz w:val="20"/>
                <w:szCs w:val="20"/>
              </w:rPr>
              <w:t>HCFC-141b in imported pre</w:t>
            </w:r>
            <w:r w:rsidR="00C24B96" w:rsidRPr="00A27A71">
              <w:rPr>
                <w:sz w:val="20"/>
                <w:szCs w:val="20"/>
              </w:rPr>
              <w:noBreakHyphen/>
            </w:r>
            <w:r w:rsidRPr="00A27A71">
              <w:rPr>
                <w:sz w:val="20"/>
                <w:szCs w:val="20"/>
              </w:rPr>
              <w:t xml:space="preserve"> blended polyols </w:t>
            </w:r>
          </w:p>
        </w:tc>
        <w:tc>
          <w:tcPr>
            <w:tcW w:w="758"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19.6</w:t>
            </w:r>
          </w:p>
        </w:tc>
        <w:tc>
          <w:tcPr>
            <w:tcW w:w="756" w:type="pct"/>
            <w:tcBorders>
              <w:top w:val="nil"/>
              <w:left w:val="nil"/>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0</w:t>
            </w:r>
          </w:p>
        </w:tc>
        <w:tc>
          <w:tcPr>
            <w:tcW w:w="756" w:type="pct"/>
            <w:tcBorders>
              <w:top w:val="nil"/>
              <w:left w:val="single" w:sz="4" w:space="0" w:color="auto"/>
              <w:bottom w:val="single" w:sz="4" w:space="0" w:color="auto"/>
              <w:right w:val="single" w:sz="4" w:space="0" w:color="auto"/>
            </w:tcBorders>
          </w:tcPr>
          <w:p w:rsidR="00515F64" w:rsidRPr="00A27A71" w:rsidRDefault="00515F64" w:rsidP="00C24B96">
            <w:pPr>
              <w:jc w:val="right"/>
              <w:rPr>
                <w:sz w:val="20"/>
                <w:szCs w:val="20"/>
              </w:rPr>
            </w:pPr>
            <w:r w:rsidRPr="00A27A71">
              <w:rPr>
                <w:sz w:val="20"/>
                <w:szCs w:val="20"/>
              </w:rPr>
              <w:t>0</w:t>
            </w:r>
          </w:p>
        </w:tc>
        <w:tc>
          <w:tcPr>
            <w:tcW w:w="1450"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sz w:val="20"/>
                <w:szCs w:val="20"/>
              </w:rPr>
            </w:pPr>
            <w:r w:rsidRPr="00A27A71">
              <w:rPr>
                <w:sz w:val="20"/>
                <w:szCs w:val="20"/>
              </w:rPr>
              <w:t>19.6</w:t>
            </w:r>
          </w:p>
        </w:tc>
      </w:tr>
      <w:tr w:rsidR="00C24B96" w:rsidRPr="00A27A71" w:rsidTr="00C24B96">
        <w:tc>
          <w:tcPr>
            <w:tcW w:w="1280"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rsidR="00515F64" w:rsidRPr="00A27A71" w:rsidRDefault="00515F64" w:rsidP="000F3199">
            <w:pPr>
              <w:rPr>
                <w:b/>
                <w:sz w:val="20"/>
                <w:szCs w:val="20"/>
              </w:rPr>
            </w:pPr>
            <w:r w:rsidRPr="00A27A71">
              <w:rPr>
                <w:b/>
                <w:sz w:val="20"/>
                <w:szCs w:val="20"/>
              </w:rPr>
              <w:t>Total (ODP tonnes)</w:t>
            </w:r>
          </w:p>
        </w:tc>
        <w:tc>
          <w:tcPr>
            <w:tcW w:w="758"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b/>
                <w:sz w:val="20"/>
                <w:szCs w:val="20"/>
              </w:rPr>
            </w:pPr>
            <w:r w:rsidRPr="00A27A71">
              <w:rPr>
                <w:b/>
                <w:sz w:val="20"/>
                <w:szCs w:val="20"/>
              </w:rPr>
              <w:t>132.4</w:t>
            </w:r>
          </w:p>
        </w:tc>
        <w:tc>
          <w:tcPr>
            <w:tcW w:w="756" w:type="pct"/>
            <w:tcBorders>
              <w:top w:val="nil"/>
              <w:left w:val="nil"/>
              <w:bottom w:val="single" w:sz="4" w:space="0" w:color="auto"/>
              <w:right w:val="single" w:sz="4" w:space="0" w:color="auto"/>
            </w:tcBorders>
            <w:shd w:val="clear" w:color="auto" w:fill="auto"/>
            <w:noWrap/>
          </w:tcPr>
          <w:p w:rsidR="00515F64" w:rsidRPr="00A27A71" w:rsidRDefault="00515F64" w:rsidP="00C24B96">
            <w:pPr>
              <w:jc w:val="right"/>
              <w:rPr>
                <w:b/>
                <w:sz w:val="20"/>
                <w:szCs w:val="20"/>
              </w:rPr>
            </w:pPr>
            <w:r w:rsidRPr="00A27A71">
              <w:rPr>
                <w:b/>
                <w:sz w:val="20"/>
                <w:szCs w:val="20"/>
              </w:rPr>
              <w:t>104.9</w:t>
            </w:r>
          </w:p>
        </w:tc>
        <w:tc>
          <w:tcPr>
            <w:tcW w:w="756" w:type="pct"/>
            <w:tcBorders>
              <w:top w:val="nil"/>
              <w:left w:val="single" w:sz="4" w:space="0" w:color="auto"/>
              <w:bottom w:val="single" w:sz="4" w:space="0" w:color="auto"/>
              <w:right w:val="single" w:sz="4" w:space="0" w:color="auto"/>
            </w:tcBorders>
          </w:tcPr>
          <w:p w:rsidR="00515F64" w:rsidRPr="00A27A71" w:rsidRDefault="00515F64" w:rsidP="00C24B96">
            <w:pPr>
              <w:jc w:val="right"/>
              <w:rPr>
                <w:b/>
                <w:sz w:val="20"/>
                <w:szCs w:val="20"/>
              </w:rPr>
            </w:pPr>
            <w:r w:rsidRPr="00A27A71">
              <w:rPr>
                <w:b/>
                <w:sz w:val="20"/>
                <w:szCs w:val="20"/>
              </w:rPr>
              <w:t>128.9</w:t>
            </w:r>
          </w:p>
        </w:tc>
        <w:tc>
          <w:tcPr>
            <w:tcW w:w="1450" w:type="pct"/>
            <w:tcBorders>
              <w:top w:val="nil"/>
              <w:left w:val="single" w:sz="4" w:space="0" w:color="auto"/>
              <w:bottom w:val="single" w:sz="4" w:space="0" w:color="auto"/>
              <w:right w:val="single" w:sz="4" w:space="0" w:color="auto"/>
            </w:tcBorders>
            <w:shd w:val="clear" w:color="auto" w:fill="auto"/>
            <w:noWrap/>
          </w:tcPr>
          <w:p w:rsidR="00515F64" w:rsidRPr="00A27A71" w:rsidRDefault="00515F64" w:rsidP="00C24B96">
            <w:pPr>
              <w:jc w:val="right"/>
              <w:rPr>
                <w:b/>
                <w:sz w:val="20"/>
                <w:szCs w:val="20"/>
              </w:rPr>
            </w:pPr>
            <w:r w:rsidRPr="00A27A71">
              <w:rPr>
                <w:b/>
                <w:sz w:val="20"/>
                <w:szCs w:val="20"/>
              </w:rPr>
              <w:t>366.2</w:t>
            </w:r>
          </w:p>
        </w:tc>
      </w:tr>
    </w:tbl>
    <w:p w:rsidR="00C905D9" w:rsidRPr="00A27A71" w:rsidRDefault="00C905D9" w:rsidP="00C905D9">
      <w:pPr>
        <w:rPr>
          <w:sz w:val="18"/>
          <w:szCs w:val="18"/>
        </w:rPr>
      </w:pPr>
    </w:p>
    <w:p w:rsidR="00C905D9" w:rsidRPr="00A27A71" w:rsidRDefault="005F635E" w:rsidP="00C905D9">
      <w:pPr>
        <w:pStyle w:val="Heading1"/>
      </w:pPr>
      <w:r w:rsidRPr="00A27A71">
        <w:t xml:space="preserve">Consumption of HCFC-141b in bulk and contained in imported pre-blended polyols decreased due to the implementation of conversion projects under </w:t>
      </w:r>
      <w:r w:rsidR="007F53A9" w:rsidRPr="00A27A71">
        <w:t>stage </w:t>
      </w:r>
      <w:r w:rsidRPr="00A27A71">
        <w:t xml:space="preserve">I, with further reductions expected with implementation of the remaining </w:t>
      </w:r>
      <w:r w:rsidR="007F53A9" w:rsidRPr="00A27A71">
        <w:t>stage </w:t>
      </w:r>
      <w:r w:rsidRPr="00A27A71">
        <w:t>I conversions. This decrease was more pronounced for HCFC</w:t>
      </w:r>
      <w:r w:rsidR="008E0439" w:rsidRPr="00A27A71">
        <w:noBreakHyphen/>
      </w:r>
      <w:r w:rsidRPr="00A27A71">
        <w:t xml:space="preserve">141b in bulk, while consumption of HCFC-141b contained in imported pre-blended polyols increased in 2016 </w:t>
      </w:r>
      <w:r w:rsidR="00393A1F">
        <w:t xml:space="preserve">relative to the previous three years </w:t>
      </w:r>
      <w:r w:rsidRPr="00A27A71">
        <w:t xml:space="preserve">due to market prices. </w:t>
      </w:r>
      <w:r w:rsidR="00DD04AF" w:rsidRPr="00A27A71">
        <w:t xml:space="preserve">In addition, </w:t>
      </w:r>
      <w:r w:rsidR="00C24B96" w:rsidRPr="00A27A71">
        <w:t xml:space="preserve">some </w:t>
      </w:r>
      <w:r w:rsidR="008F6570" w:rsidRPr="00A27A71">
        <w:t xml:space="preserve">systems </w:t>
      </w:r>
      <w:r w:rsidR="00393A1F">
        <w:t xml:space="preserve">houses </w:t>
      </w:r>
      <w:r w:rsidR="008F6570" w:rsidRPr="00A27A71">
        <w:t>export pre-blended polyols</w:t>
      </w:r>
      <w:r w:rsidR="00C24B96" w:rsidRPr="00A27A71">
        <w:t xml:space="preserve"> containing HCFC-141b</w:t>
      </w:r>
      <w:r w:rsidR="008F6570" w:rsidRPr="00A27A71">
        <w:t>; this export is not reflected in Egypt’s Article</w:t>
      </w:r>
      <w:r w:rsidR="0069138E" w:rsidRPr="00A27A71">
        <w:t> </w:t>
      </w:r>
      <w:r w:rsidR="008F6570" w:rsidRPr="00A27A71">
        <w:t xml:space="preserve">7 or CP report. </w:t>
      </w:r>
      <w:r w:rsidR="00237F54" w:rsidRPr="00A27A71">
        <w:t>Egypt exported 103</w:t>
      </w:r>
      <w:r w:rsidR="00982962" w:rsidRPr="00A27A71">
        <w:t> metric tonnes (mt)</w:t>
      </w:r>
      <w:r w:rsidR="00237F54" w:rsidRPr="00A27A71">
        <w:t xml:space="preserve"> of HCFC-141b contained in pre-blended polyols in 2016</w:t>
      </w:r>
      <w:r w:rsidR="007377D7" w:rsidRPr="00A27A71">
        <w:t>; no such export was reported in 2007-2009, when the starting point for the substance was established</w:t>
      </w:r>
      <w:r w:rsidR="00237F54" w:rsidRPr="00A27A71">
        <w:t xml:space="preserve">. </w:t>
      </w:r>
      <w:r w:rsidRPr="00A27A71">
        <w:t>Consumption of HCFC-142b fell dramatically (77</w:t>
      </w:r>
      <w:r w:rsidR="00982962" w:rsidRPr="00A27A71">
        <w:t> per cent</w:t>
      </w:r>
      <w:r w:rsidRPr="00A27A71">
        <w:t>)</w:t>
      </w:r>
      <w:r w:rsidR="00C24B96" w:rsidRPr="00A27A71">
        <w:t xml:space="preserve"> from the baseline</w:t>
      </w:r>
      <w:r w:rsidRPr="00A27A71">
        <w:t xml:space="preserve"> due to changes in the blowing agent formulations used for XPS foam, </w:t>
      </w:r>
      <w:r w:rsidR="00773050" w:rsidRPr="00A27A71">
        <w:t>with</w:t>
      </w:r>
      <w:r w:rsidRPr="00A27A71">
        <w:t xml:space="preserve"> consumption of HCFC-22 increasing for that purpose</w:t>
      </w:r>
      <w:r w:rsidR="000C7747" w:rsidRPr="00A27A71">
        <w:t>.</w:t>
      </w:r>
      <w:r w:rsidR="00117F2D" w:rsidRPr="00A27A71">
        <w:t xml:space="preserve"> </w:t>
      </w:r>
    </w:p>
    <w:p w:rsidR="00C905D9" w:rsidRPr="00A27A71" w:rsidRDefault="00C905D9" w:rsidP="00C905D9">
      <w:pPr>
        <w:spacing w:after="240"/>
        <w:outlineLvl w:val="0"/>
        <w:rPr>
          <w:u w:val="single"/>
        </w:rPr>
      </w:pPr>
      <w:r w:rsidRPr="00A27A71">
        <w:rPr>
          <w:u w:val="single"/>
        </w:rPr>
        <w:t xml:space="preserve">HCFC consumption in manufacturing sectors </w:t>
      </w:r>
    </w:p>
    <w:p w:rsidR="00C905D9" w:rsidRPr="00A27A71" w:rsidRDefault="00C905D9" w:rsidP="00C905D9">
      <w:pPr>
        <w:pStyle w:val="Heading1"/>
        <w:numPr>
          <w:ilvl w:val="0"/>
          <w:numId w:val="0"/>
        </w:numPr>
        <w:rPr>
          <w:i/>
        </w:rPr>
      </w:pPr>
      <w:r w:rsidRPr="00A27A71">
        <w:rPr>
          <w:i/>
        </w:rPr>
        <w:t>PU foam manufacturing</w:t>
      </w:r>
    </w:p>
    <w:p w:rsidR="00C905D9" w:rsidRPr="00A27A71" w:rsidRDefault="00C905D9" w:rsidP="00C905D9">
      <w:pPr>
        <w:numPr>
          <w:ilvl w:val="0"/>
          <w:numId w:val="1"/>
        </w:numPr>
        <w:tabs>
          <w:tab w:val="clear" w:pos="0"/>
        </w:tabs>
        <w:spacing w:after="240"/>
        <w:outlineLvl w:val="0"/>
      </w:pPr>
      <w:r w:rsidRPr="00A27A71">
        <w:t xml:space="preserve">Table </w:t>
      </w:r>
      <w:r w:rsidR="00B77D27" w:rsidRPr="00A27A71">
        <w:t>4</w:t>
      </w:r>
      <w:r w:rsidRPr="00A27A71">
        <w:t xml:space="preserve"> presents an estimate of the distribution the consumption of HCFC-141b in the foam sector </w:t>
      </w:r>
      <w:r w:rsidR="002161F7" w:rsidRPr="00A27A71">
        <w:t xml:space="preserve">at enterprises not assisted under </w:t>
      </w:r>
      <w:r w:rsidR="007F53A9" w:rsidRPr="00A27A71">
        <w:t>stage </w:t>
      </w:r>
      <w:r w:rsidR="002161F7" w:rsidRPr="00A27A71">
        <w:t>I in</w:t>
      </w:r>
      <w:r w:rsidRPr="00A27A71">
        <w:t xml:space="preserve"> </w:t>
      </w:r>
      <w:r w:rsidR="0001661A" w:rsidRPr="00A27A71">
        <w:t xml:space="preserve">domestic refrigeration, </w:t>
      </w:r>
      <w:r w:rsidR="002161F7" w:rsidRPr="00A27A71">
        <w:t xml:space="preserve">water heaters, and cold storage, commercial refrigeration and other small manufacturers </w:t>
      </w:r>
      <w:r w:rsidRPr="00A27A71">
        <w:t xml:space="preserve">for </w:t>
      </w:r>
      <w:r w:rsidR="002161F7" w:rsidRPr="00A27A71">
        <w:t>2015</w:t>
      </w:r>
      <w:r w:rsidRPr="00A27A71">
        <w:t>.</w:t>
      </w:r>
      <w:r w:rsidR="0038461A" w:rsidRPr="00A27A71">
        <w:rPr>
          <w:rStyle w:val="FootnoteReference"/>
        </w:rPr>
        <w:footnoteReference w:id="2"/>
      </w:r>
    </w:p>
    <w:p w:rsidR="00C905D9" w:rsidRPr="00A27A71" w:rsidRDefault="00C905D9" w:rsidP="005D1FF4">
      <w:pPr>
        <w:keepNext/>
        <w:keepLines/>
        <w:suppressLineNumbers/>
        <w:suppressAutoHyphens/>
        <w:rPr>
          <w:i/>
          <w:iCs/>
          <w:color w:val="000000"/>
          <w:lang w:bidi="en-US"/>
        </w:rPr>
      </w:pPr>
      <w:r w:rsidRPr="00A27A71">
        <w:rPr>
          <w:rFonts w:cs="Mangal"/>
          <w:b/>
          <w:iCs/>
          <w:lang w:bidi="en-US"/>
        </w:rPr>
        <w:lastRenderedPageBreak/>
        <w:t xml:space="preserve">Table </w:t>
      </w:r>
      <w:r w:rsidR="00B77D27" w:rsidRPr="00A27A71">
        <w:rPr>
          <w:rFonts w:cs="Mangal"/>
          <w:b/>
          <w:iCs/>
          <w:lang w:bidi="en-US"/>
        </w:rPr>
        <w:t>4</w:t>
      </w:r>
      <w:r w:rsidRPr="00A27A71">
        <w:rPr>
          <w:rFonts w:cs="Mangal"/>
          <w:b/>
          <w:iCs/>
          <w:lang w:bidi="en-US"/>
        </w:rPr>
        <w:t>.</w:t>
      </w:r>
      <w:r w:rsidRPr="00A27A71">
        <w:rPr>
          <w:rFonts w:cs="Mangal"/>
          <w:i/>
          <w:iCs/>
          <w:lang w:bidi="en-US"/>
        </w:rPr>
        <w:t xml:space="preserve"> </w:t>
      </w:r>
      <w:r w:rsidRPr="00A27A71">
        <w:rPr>
          <w:b/>
          <w:iCs/>
          <w:color w:val="000000"/>
          <w:lang w:bidi="en-US"/>
        </w:rPr>
        <w:t>Estimated distribution of HCFC-141b consumption for 201</w:t>
      </w:r>
      <w:r w:rsidR="0001661A" w:rsidRPr="00A27A71">
        <w:rPr>
          <w:b/>
          <w:iCs/>
          <w:color w:val="000000"/>
          <w:lang w:bidi="en-US"/>
        </w:rPr>
        <w:t>5</w:t>
      </w:r>
      <w:r w:rsidRPr="00A27A71">
        <w:rPr>
          <w:b/>
          <w:iCs/>
          <w:color w:val="000000"/>
          <w:lang w:bidi="en-US"/>
        </w:rPr>
        <w:t xml:space="preserve"> for applications in rigid PU foam</w:t>
      </w:r>
      <w:r w:rsidR="0060103E" w:rsidRPr="00A27A71">
        <w:rPr>
          <w:b/>
          <w:iCs/>
          <w:color w:val="000000"/>
          <w:lang w:bidi="en-US"/>
        </w:rPr>
        <w:t xml:space="preserve"> in enterprises not assisted under </w:t>
      </w:r>
      <w:r w:rsidR="007F53A9" w:rsidRPr="00A27A71">
        <w:rPr>
          <w:b/>
          <w:iCs/>
          <w:color w:val="000000"/>
          <w:lang w:bidi="en-US"/>
        </w:rPr>
        <w:t>stage </w:t>
      </w:r>
      <w:r w:rsidR="0060103E" w:rsidRPr="00A27A71">
        <w:rPr>
          <w:b/>
          <w:iCs/>
          <w:color w:val="000000"/>
          <w:lang w:bidi="en-US"/>
        </w:rPr>
        <w:t>I</w:t>
      </w:r>
      <w:r w:rsidRPr="00A27A71">
        <w:rPr>
          <w:i/>
          <w:iCs/>
          <w:color w:val="000000"/>
          <w:lang w:bidi="en-US"/>
        </w:rPr>
        <w:t xml:space="preserve">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1354"/>
        <w:gridCol w:w="2514"/>
        <w:gridCol w:w="2160"/>
      </w:tblGrid>
      <w:tr w:rsidR="00C24B96" w:rsidRPr="00A27A71" w:rsidTr="00C24B96">
        <w:trPr>
          <w:tblHeader/>
        </w:trPr>
        <w:tc>
          <w:tcPr>
            <w:tcW w:w="1816" w:type="pct"/>
            <w:vMerge w:val="restart"/>
            <w:shd w:val="clear" w:color="auto" w:fill="auto"/>
            <w:hideMark/>
          </w:tcPr>
          <w:p w:rsidR="00C24B96" w:rsidRPr="00A27A71" w:rsidRDefault="00C24B96" w:rsidP="005D1FF4">
            <w:pPr>
              <w:keepNext/>
              <w:keepLines/>
              <w:widowControl w:val="0"/>
              <w:jc w:val="center"/>
              <w:rPr>
                <w:b/>
                <w:bCs/>
                <w:color w:val="000000"/>
                <w:sz w:val="20"/>
                <w:szCs w:val="20"/>
              </w:rPr>
            </w:pPr>
            <w:r w:rsidRPr="00A27A71">
              <w:rPr>
                <w:b/>
                <w:bCs/>
                <w:color w:val="000000"/>
                <w:sz w:val="20"/>
                <w:szCs w:val="20"/>
              </w:rPr>
              <w:t>Application</w:t>
            </w:r>
          </w:p>
        </w:tc>
        <w:tc>
          <w:tcPr>
            <w:tcW w:w="715" w:type="pct"/>
            <w:vMerge w:val="restart"/>
            <w:shd w:val="clear" w:color="auto" w:fill="auto"/>
            <w:hideMark/>
          </w:tcPr>
          <w:p w:rsidR="00C24B96" w:rsidRPr="00A27A71" w:rsidRDefault="00C24B96" w:rsidP="005D1FF4">
            <w:pPr>
              <w:keepNext/>
              <w:keepLines/>
              <w:widowControl w:val="0"/>
              <w:jc w:val="center"/>
              <w:rPr>
                <w:b/>
                <w:bCs/>
                <w:color w:val="000000"/>
                <w:sz w:val="20"/>
                <w:szCs w:val="20"/>
              </w:rPr>
            </w:pPr>
            <w:r w:rsidRPr="00A27A71">
              <w:rPr>
                <w:b/>
                <w:bCs/>
                <w:color w:val="000000"/>
                <w:sz w:val="20"/>
                <w:szCs w:val="20"/>
              </w:rPr>
              <w:t>Number of enterprises</w:t>
            </w:r>
          </w:p>
        </w:tc>
        <w:tc>
          <w:tcPr>
            <w:tcW w:w="2469" w:type="pct"/>
            <w:gridSpan w:val="2"/>
            <w:shd w:val="clear" w:color="auto" w:fill="auto"/>
            <w:tcMar>
              <w:left w:w="0" w:type="dxa"/>
              <w:right w:w="0" w:type="dxa"/>
            </w:tcMar>
            <w:hideMark/>
          </w:tcPr>
          <w:p w:rsidR="00C24B96" w:rsidRPr="00A27A71" w:rsidRDefault="00C24B96" w:rsidP="005D1FF4">
            <w:pPr>
              <w:keepNext/>
              <w:keepLines/>
              <w:widowControl w:val="0"/>
              <w:jc w:val="center"/>
              <w:rPr>
                <w:b/>
                <w:bCs/>
                <w:color w:val="000000"/>
                <w:sz w:val="20"/>
                <w:szCs w:val="20"/>
              </w:rPr>
            </w:pPr>
            <w:r w:rsidRPr="00A27A71">
              <w:rPr>
                <w:b/>
                <w:bCs/>
                <w:color w:val="000000"/>
                <w:sz w:val="20"/>
                <w:szCs w:val="20"/>
              </w:rPr>
              <w:t>Consumption</w:t>
            </w:r>
          </w:p>
        </w:tc>
      </w:tr>
      <w:tr w:rsidR="00C24B96" w:rsidRPr="00A27A71" w:rsidTr="00C24B96">
        <w:trPr>
          <w:tblHeader/>
        </w:trPr>
        <w:tc>
          <w:tcPr>
            <w:tcW w:w="1816" w:type="pct"/>
            <w:vMerge/>
            <w:hideMark/>
          </w:tcPr>
          <w:p w:rsidR="00C24B96" w:rsidRPr="00A27A71" w:rsidRDefault="00C24B96" w:rsidP="005D1FF4">
            <w:pPr>
              <w:keepNext/>
              <w:keepLines/>
              <w:widowControl w:val="0"/>
              <w:jc w:val="center"/>
              <w:rPr>
                <w:b/>
                <w:bCs/>
                <w:color w:val="000000"/>
                <w:sz w:val="20"/>
                <w:szCs w:val="20"/>
              </w:rPr>
            </w:pPr>
          </w:p>
        </w:tc>
        <w:tc>
          <w:tcPr>
            <w:tcW w:w="715" w:type="pct"/>
            <w:vMerge/>
            <w:hideMark/>
          </w:tcPr>
          <w:p w:rsidR="00C24B96" w:rsidRPr="00A27A71" w:rsidRDefault="00C24B96" w:rsidP="005D1FF4">
            <w:pPr>
              <w:keepNext/>
              <w:keepLines/>
              <w:widowControl w:val="0"/>
              <w:jc w:val="center"/>
              <w:rPr>
                <w:b/>
                <w:bCs/>
                <w:color w:val="000000"/>
                <w:sz w:val="20"/>
                <w:szCs w:val="20"/>
              </w:rPr>
            </w:pPr>
          </w:p>
        </w:tc>
        <w:tc>
          <w:tcPr>
            <w:tcW w:w="1328" w:type="pct"/>
            <w:shd w:val="clear" w:color="auto" w:fill="auto"/>
            <w:hideMark/>
          </w:tcPr>
          <w:p w:rsidR="00C24B96" w:rsidRPr="00A27A71" w:rsidRDefault="00C24B96" w:rsidP="005D1FF4">
            <w:pPr>
              <w:keepNext/>
              <w:keepLines/>
              <w:widowControl w:val="0"/>
              <w:jc w:val="center"/>
              <w:rPr>
                <w:b/>
                <w:bCs/>
                <w:color w:val="000000"/>
                <w:sz w:val="20"/>
                <w:szCs w:val="20"/>
              </w:rPr>
            </w:pPr>
            <w:r w:rsidRPr="00A27A71">
              <w:rPr>
                <w:b/>
                <w:bCs/>
                <w:color w:val="000000"/>
                <w:sz w:val="20"/>
                <w:szCs w:val="20"/>
              </w:rPr>
              <w:t>mt</w:t>
            </w:r>
          </w:p>
        </w:tc>
        <w:tc>
          <w:tcPr>
            <w:tcW w:w="1140" w:type="pct"/>
            <w:shd w:val="clear" w:color="auto" w:fill="auto"/>
            <w:hideMark/>
          </w:tcPr>
          <w:p w:rsidR="00C24B96" w:rsidRPr="00A27A71" w:rsidRDefault="00C24B96" w:rsidP="005D1FF4">
            <w:pPr>
              <w:keepNext/>
              <w:keepLines/>
              <w:widowControl w:val="0"/>
              <w:jc w:val="center"/>
              <w:rPr>
                <w:b/>
                <w:bCs/>
                <w:color w:val="000000"/>
                <w:sz w:val="20"/>
                <w:szCs w:val="20"/>
              </w:rPr>
            </w:pPr>
            <w:r w:rsidRPr="00A27A71">
              <w:rPr>
                <w:b/>
                <w:bCs/>
                <w:color w:val="000000"/>
                <w:sz w:val="20"/>
                <w:szCs w:val="20"/>
              </w:rPr>
              <w:t>ODP tonnes</w:t>
            </w:r>
          </w:p>
        </w:tc>
      </w:tr>
      <w:tr w:rsidR="00C24B96" w:rsidRPr="00A27A71" w:rsidTr="00C24B96">
        <w:tc>
          <w:tcPr>
            <w:tcW w:w="1816" w:type="pct"/>
            <w:shd w:val="clear" w:color="auto" w:fill="auto"/>
            <w:hideMark/>
          </w:tcPr>
          <w:p w:rsidR="00C24B96" w:rsidRPr="00A27A71" w:rsidRDefault="00C24B96" w:rsidP="005D1FF4">
            <w:pPr>
              <w:keepNext/>
              <w:keepLines/>
              <w:widowControl w:val="0"/>
              <w:jc w:val="left"/>
              <w:rPr>
                <w:color w:val="000000"/>
                <w:sz w:val="20"/>
                <w:szCs w:val="20"/>
              </w:rPr>
            </w:pPr>
            <w:r w:rsidRPr="00A27A71">
              <w:rPr>
                <w:color w:val="000000"/>
                <w:sz w:val="20"/>
                <w:szCs w:val="20"/>
              </w:rPr>
              <w:t>Domestic refrigeration</w:t>
            </w:r>
          </w:p>
        </w:tc>
        <w:tc>
          <w:tcPr>
            <w:tcW w:w="715" w:type="pct"/>
            <w:shd w:val="clear" w:color="auto" w:fill="auto"/>
            <w:noWrap/>
          </w:tcPr>
          <w:p w:rsidR="00C24B96" w:rsidRPr="00A27A71" w:rsidRDefault="00C24B96" w:rsidP="005D1FF4">
            <w:pPr>
              <w:keepNext/>
              <w:keepLines/>
              <w:widowControl w:val="0"/>
              <w:jc w:val="right"/>
              <w:rPr>
                <w:color w:val="000000"/>
                <w:sz w:val="20"/>
                <w:szCs w:val="20"/>
              </w:rPr>
            </w:pPr>
            <w:r w:rsidRPr="00A27A71">
              <w:rPr>
                <w:color w:val="000000"/>
                <w:sz w:val="20"/>
                <w:szCs w:val="20"/>
              </w:rPr>
              <w:t>8</w:t>
            </w:r>
          </w:p>
        </w:tc>
        <w:tc>
          <w:tcPr>
            <w:tcW w:w="1328" w:type="pct"/>
            <w:shd w:val="clear" w:color="auto" w:fill="auto"/>
          </w:tcPr>
          <w:p w:rsidR="00C24B96" w:rsidRPr="00A27A71" w:rsidRDefault="006946CA" w:rsidP="005D1FF4">
            <w:pPr>
              <w:keepNext/>
              <w:keepLines/>
              <w:widowControl w:val="0"/>
              <w:jc w:val="right"/>
              <w:rPr>
                <w:color w:val="000000"/>
                <w:sz w:val="20"/>
                <w:szCs w:val="20"/>
              </w:rPr>
            </w:pPr>
            <w:r w:rsidRPr="00A27A71">
              <w:rPr>
                <w:color w:val="000000"/>
                <w:sz w:val="20"/>
                <w:szCs w:val="20"/>
              </w:rPr>
              <w:t>401.8</w:t>
            </w:r>
          </w:p>
        </w:tc>
        <w:tc>
          <w:tcPr>
            <w:tcW w:w="1140" w:type="pct"/>
            <w:shd w:val="clear" w:color="auto" w:fill="auto"/>
          </w:tcPr>
          <w:p w:rsidR="00C24B96" w:rsidRPr="00A27A71" w:rsidRDefault="00C24B96" w:rsidP="005D1FF4">
            <w:pPr>
              <w:keepNext/>
              <w:keepLines/>
              <w:jc w:val="right"/>
              <w:rPr>
                <w:color w:val="000000"/>
                <w:sz w:val="20"/>
                <w:szCs w:val="20"/>
              </w:rPr>
            </w:pPr>
            <w:r w:rsidRPr="00A27A71">
              <w:rPr>
                <w:color w:val="000000"/>
                <w:sz w:val="20"/>
                <w:szCs w:val="20"/>
              </w:rPr>
              <w:t xml:space="preserve">        </w:t>
            </w:r>
            <w:r w:rsidR="006946CA" w:rsidRPr="00A27A71">
              <w:rPr>
                <w:color w:val="000000"/>
                <w:sz w:val="20"/>
                <w:szCs w:val="20"/>
              </w:rPr>
              <w:t>44.20</w:t>
            </w:r>
            <w:r w:rsidRPr="00A27A71">
              <w:rPr>
                <w:color w:val="000000"/>
                <w:sz w:val="20"/>
                <w:szCs w:val="20"/>
              </w:rPr>
              <w:t xml:space="preserve"> </w:t>
            </w:r>
          </w:p>
        </w:tc>
      </w:tr>
      <w:tr w:rsidR="00C24B96" w:rsidRPr="00A27A71" w:rsidTr="00C24B96">
        <w:tc>
          <w:tcPr>
            <w:tcW w:w="1816" w:type="pct"/>
            <w:shd w:val="clear" w:color="auto" w:fill="auto"/>
            <w:hideMark/>
          </w:tcPr>
          <w:p w:rsidR="00C24B96" w:rsidRPr="00A27A71" w:rsidRDefault="00C24B96" w:rsidP="00C24B96">
            <w:pPr>
              <w:widowControl w:val="0"/>
              <w:jc w:val="left"/>
              <w:rPr>
                <w:color w:val="000000"/>
                <w:sz w:val="20"/>
                <w:szCs w:val="20"/>
              </w:rPr>
            </w:pPr>
            <w:r w:rsidRPr="00A27A71">
              <w:rPr>
                <w:color w:val="000000"/>
                <w:sz w:val="20"/>
                <w:szCs w:val="20"/>
              </w:rPr>
              <w:t>Water heaters</w:t>
            </w:r>
          </w:p>
        </w:tc>
        <w:tc>
          <w:tcPr>
            <w:tcW w:w="715" w:type="pct"/>
            <w:shd w:val="clear" w:color="auto" w:fill="auto"/>
          </w:tcPr>
          <w:p w:rsidR="00C24B96" w:rsidRPr="00A27A71" w:rsidRDefault="00C24B96" w:rsidP="00C24B96">
            <w:pPr>
              <w:widowControl w:val="0"/>
              <w:jc w:val="right"/>
              <w:rPr>
                <w:color w:val="000000"/>
                <w:sz w:val="20"/>
                <w:szCs w:val="20"/>
              </w:rPr>
            </w:pPr>
            <w:r w:rsidRPr="00A27A71">
              <w:rPr>
                <w:color w:val="000000"/>
                <w:sz w:val="20"/>
                <w:szCs w:val="20"/>
              </w:rPr>
              <w:t>2</w:t>
            </w:r>
          </w:p>
        </w:tc>
        <w:tc>
          <w:tcPr>
            <w:tcW w:w="1328" w:type="pct"/>
            <w:shd w:val="clear" w:color="auto" w:fill="auto"/>
          </w:tcPr>
          <w:p w:rsidR="00C24B96" w:rsidRPr="00A27A71" w:rsidRDefault="00C24B96" w:rsidP="00C24B96">
            <w:pPr>
              <w:widowControl w:val="0"/>
              <w:jc w:val="right"/>
              <w:rPr>
                <w:color w:val="000000"/>
                <w:sz w:val="20"/>
                <w:szCs w:val="20"/>
              </w:rPr>
            </w:pPr>
            <w:r w:rsidRPr="00A27A71">
              <w:rPr>
                <w:color w:val="000000"/>
                <w:sz w:val="20"/>
                <w:szCs w:val="20"/>
              </w:rPr>
              <w:t>43.7</w:t>
            </w:r>
          </w:p>
        </w:tc>
        <w:tc>
          <w:tcPr>
            <w:tcW w:w="1140" w:type="pct"/>
            <w:shd w:val="clear" w:color="auto" w:fill="auto"/>
          </w:tcPr>
          <w:p w:rsidR="00C24B96" w:rsidRPr="00A27A71" w:rsidRDefault="00C24B96" w:rsidP="00C24B96">
            <w:pPr>
              <w:jc w:val="right"/>
              <w:rPr>
                <w:color w:val="000000"/>
                <w:sz w:val="20"/>
                <w:szCs w:val="20"/>
              </w:rPr>
            </w:pPr>
            <w:r w:rsidRPr="00A27A71">
              <w:rPr>
                <w:color w:val="000000"/>
                <w:sz w:val="20"/>
                <w:szCs w:val="20"/>
              </w:rPr>
              <w:t xml:space="preserve">           4.81 </w:t>
            </w:r>
          </w:p>
        </w:tc>
      </w:tr>
      <w:tr w:rsidR="00C24B96" w:rsidRPr="00A27A71" w:rsidTr="00C24B96">
        <w:tc>
          <w:tcPr>
            <w:tcW w:w="1816" w:type="pct"/>
            <w:shd w:val="clear" w:color="auto" w:fill="auto"/>
          </w:tcPr>
          <w:p w:rsidR="00C24B96" w:rsidRPr="00A27A71" w:rsidRDefault="00C24B96" w:rsidP="00C24B96">
            <w:pPr>
              <w:widowControl w:val="0"/>
              <w:jc w:val="left"/>
              <w:rPr>
                <w:color w:val="000000"/>
                <w:sz w:val="20"/>
                <w:szCs w:val="20"/>
              </w:rPr>
            </w:pPr>
            <w:r w:rsidRPr="00A27A71">
              <w:rPr>
                <w:color w:val="000000"/>
                <w:sz w:val="20"/>
                <w:szCs w:val="20"/>
              </w:rPr>
              <w:t>Remaining small rigid foams applications not covered in stage I</w:t>
            </w:r>
          </w:p>
        </w:tc>
        <w:tc>
          <w:tcPr>
            <w:tcW w:w="715" w:type="pct"/>
            <w:shd w:val="clear" w:color="auto" w:fill="auto"/>
          </w:tcPr>
          <w:p w:rsidR="00C24B96" w:rsidRPr="00A27A71" w:rsidRDefault="00C24B96" w:rsidP="00C24B96">
            <w:pPr>
              <w:widowControl w:val="0"/>
              <w:contextualSpacing/>
              <w:jc w:val="right"/>
              <w:rPr>
                <w:color w:val="000000"/>
                <w:sz w:val="20"/>
                <w:szCs w:val="20"/>
              </w:rPr>
            </w:pPr>
            <w:r w:rsidRPr="00A27A71">
              <w:rPr>
                <w:color w:val="000000"/>
                <w:sz w:val="20"/>
                <w:szCs w:val="20"/>
              </w:rPr>
              <w:t>38</w:t>
            </w:r>
          </w:p>
        </w:tc>
        <w:tc>
          <w:tcPr>
            <w:tcW w:w="1328" w:type="pct"/>
            <w:shd w:val="clear" w:color="auto" w:fill="auto"/>
          </w:tcPr>
          <w:p w:rsidR="00C24B96" w:rsidRPr="00A27A71" w:rsidRDefault="00C24B96" w:rsidP="00C24B96">
            <w:pPr>
              <w:widowControl w:val="0"/>
              <w:contextualSpacing/>
              <w:jc w:val="right"/>
              <w:rPr>
                <w:color w:val="000000"/>
                <w:sz w:val="20"/>
                <w:szCs w:val="20"/>
              </w:rPr>
            </w:pPr>
            <w:r w:rsidRPr="00A27A71">
              <w:rPr>
                <w:color w:val="000000"/>
                <w:sz w:val="20"/>
                <w:szCs w:val="20"/>
              </w:rPr>
              <w:t>81.1</w:t>
            </w:r>
          </w:p>
        </w:tc>
        <w:tc>
          <w:tcPr>
            <w:tcW w:w="1140" w:type="pct"/>
            <w:shd w:val="clear" w:color="auto" w:fill="auto"/>
          </w:tcPr>
          <w:p w:rsidR="00C24B96" w:rsidRPr="00A27A71" w:rsidRDefault="00C24B96" w:rsidP="00C24B96">
            <w:pPr>
              <w:jc w:val="right"/>
              <w:rPr>
                <w:color w:val="000000"/>
                <w:sz w:val="20"/>
                <w:szCs w:val="20"/>
              </w:rPr>
            </w:pPr>
            <w:r w:rsidRPr="00A27A71">
              <w:rPr>
                <w:color w:val="000000"/>
                <w:sz w:val="20"/>
                <w:szCs w:val="20"/>
              </w:rPr>
              <w:t xml:space="preserve">           8.92 </w:t>
            </w:r>
          </w:p>
        </w:tc>
      </w:tr>
      <w:tr w:rsidR="00C24B96" w:rsidRPr="00A27A71" w:rsidTr="00C24B96">
        <w:tc>
          <w:tcPr>
            <w:tcW w:w="1816" w:type="pct"/>
            <w:shd w:val="clear" w:color="auto" w:fill="auto"/>
          </w:tcPr>
          <w:p w:rsidR="00C24B96" w:rsidRPr="00A27A71" w:rsidRDefault="00C24B96" w:rsidP="00C24B96">
            <w:pPr>
              <w:widowControl w:val="0"/>
              <w:jc w:val="left"/>
              <w:rPr>
                <w:b/>
                <w:bCs/>
                <w:iCs/>
                <w:color w:val="000000"/>
                <w:sz w:val="20"/>
                <w:szCs w:val="20"/>
              </w:rPr>
            </w:pPr>
            <w:r w:rsidRPr="00A27A71">
              <w:rPr>
                <w:b/>
                <w:bCs/>
                <w:iCs/>
                <w:color w:val="000000"/>
                <w:sz w:val="20"/>
                <w:szCs w:val="20"/>
              </w:rPr>
              <w:t xml:space="preserve">Sector sub-total </w:t>
            </w:r>
          </w:p>
        </w:tc>
        <w:tc>
          <w:tcPr>
            <w:tcW w:w="715" w:type="pct"/>
            <w:shd w:val="clear" w:color="auto" w:fill="auto"/>
          </w:tcPr>
          <w:p w:rsidR="00C24B96" w:rsidRPr="00A27A71" w:rsidRDefault="00C24B96" w:rsidP="00C24B96">
            <w:pPr>
              <w:widowControl w:val="0"/>
              <w:jc w:val="right"/>
              <w:rPr>
                <w:b/>
                <w:bCs/>
                <w:color w:val="000000"/>
                <w:sz w:val="20"/>
                <w:szCs w:val="20"/>
              </w:rPr>
            </w:pPr>
            <w:r w:rsidRPr="00A27A71">
              <w:rPr>
                <w:b/>
                <w:bCs/>
                <w:color w:val="000000"/>
                <w:sz w:val="20"/>
                <w:szCs w:val="20"/>
              </w:rPr>
              <w:t>48</w:t>
            </w:r>
          </w:p>
        </w:tc>
        <w:tc>
          <w:tcPr>
            <w:tcW w:w="1328" w:type="pct"/>
            <w:shd w:val="clear" w:color="auto" w:fill="auto"/>
          </w:tcPr>
          <w:p w:rsidR="00C24B96" w:rsidRPr="00A27A71" w:rsidRDefault="006946CA" w:rsidP="00C24B96">
            <w:pPr>
              <w:widowControl w:val="0"/>
              <w:jc w:val="right"/>
              <w:rPr>
                <w:b/>
                <w:bCs/>
                <w:color w:val="000000"/>
                <w:sz w:val="20"/>
                <w:szCs w:val="20"/>
              </w:rPr>
            </w:pPr>
            <w:r w:rsidRPr="00A27A71">
              <w:rPr>
                <w:b/>
                <w:bCs/>
                <w:color w:val="000000"/>
                <w:sz w:val="20"/>
                <w:szCs w:val="20"/>
              </w:rPr>
              <w:t>526</w:t>
            </w:r>
            <w:r w:rsidR="00C24B96" w:rsidRPr="00A27A71">
              <w:rPr>
                <w:b/>
                <w:bCs/>
                <w:color w:val="000000"/>
                <w:sz w:val="20"/>
                <w:szCs w:val="20"/>
              </w:rPr>
              <w:t>.6</w:t>
            </w:r>
          </w:p>
        </w:tc>
        <w:tc>
          <w:tcPr>
            <w:tcW w:w="1140" w:type="pct"/>
            <w:shd w:val="clear" w:color="auto" w:fill="auto"/>
          </w:tcPr>
          <w:p w:rsidR="00C24B96" w:rsidRPr="00A27A71" w:rsidRDefault="006946CA" w:rsidP="006946CA">
            <w:pPr>
              <w:widowControl w:val="0"/>
              <w:jc w:val="right"/>
              <w:rPr>
                <w:b/>
                <w:bCs/>
                <w:color w:val="000000"/>
                <w:sz w:val="20"/>
                <w:szCs w:val="20"/>
              </w:rPr>
            </w:pPr>
            <w:r w:rsidRPr="00A27A71">
              <w:rPr>
                <w:b/>
                <w:bCs/>
                <w:color w:val="000000"/>
                <w:sz w:val="20"/>
                <w:szCs w:val="20"/>
              </w:rPr>
              <w:t>57.93</w:t>
            </w:r>
          </w:p>
        </w:tc>
      </w:tr>
      <w:tr w:rsidR="00C24B96" w:rsidRPr="00A27A71" w:rsidTr="00C24B96">
        <w:tc>
          <w:tcPr>
            <w:tcW w:w="1816" w:type="pct"/>
            <w:shd w:val="clear" w:color="auto" w:fill="auto"/>
            <w:hideMark/>
          </w:tcPr>
          <w:p w:rsidR="00C24B96" w:rsidRPr="00A27A71" w:rsidRDefault="00C24B96" w:rsidP="00C24B96">
            <w:pPr>
              <w:widowControl w:val="0"/>
              <w:jc w:val="left"/>
              <w:rPr>
                <w:color w:val="000000"/>
                <w:sz w:val="20"/>
                <w:szCs w:val="20"/>
              </w:rPr>
            </w:pPr>
            <w:r w:rsidRPr="00A27A71">
              <w:rPr>
                <w:color w:val="000000"/>
                <w:sz w:val="20"/>
                <w:szCs w:val="20"/>
              </w:rPr>
              <w:t>Exported polyol</w:t>
            </w:r>
          </w:p>
        </w:tc>
        <w:tc>
          <w:tcPr>
            <w:tcW w:w="715" w:type="pct"/>
            <w:shd w:val="clear" w:color="auto" w:fill="auto"/>
          </w:tcPr>
          <w:p w:rsidR="00C24B96" w:rsidRPr="00A27A71" w:rsidRDefault="00C24B96" w:rsidP="00C24B96">
            <w:pPr>
              <w:widowControl w:val="0"/>
              <w:jc w:val="right"/>
              <w:rPr>
                <w:color w:val="000000"/>
                <w:sz w:val="20"/>
                <w:szCs w:val="20"/>
              </w:rPr>
            </w:pPr>
            <w:r w:rsidRPr="00A27A71">
              <w:rPr>
                <w:color w:val="000000"/>
                <w:sz w:val="20"/>
                <w:szCs w:val="20"/>
              </w:rPr>
              <w:t>4</w:t>
            </w:r>
          </w:p>
        </w:tc>
        <w:tc>
          <w:tcPr>
            <w:tcW w:w="1328" w:type="pct"/>
            <w:shd w:val="clear" w:color="auto" w:fill="auto"/>
          </w:tcPr>
          <w:p w:rsidR="00C24B96" w:rsidRPr="00A27A71" w:rsidRDefault="00C24B96" w:rsidP="00C24B96">
            <w:pPr>
              <w:widowControl w:val="0"/>
              <w:jc w:val="right"/>
              <w:rPr>
                <w:color w:val="000000"/>
                <w:sz w:val="20"/>
                <w:szCs w:val="20"/>
              </w:rPr>
            </w:pPr>
            <w:r w:rsidRPr="00A27A71">
              <w:rPr>
                <w:color w:val="000000"/>
                <w:sz w:val="20"/>
                <w:szCs w:val="20"/>
              </w:rPr>
              <w:t>100.0</w:t>
            </w:r>
          </w:p>
        </w:tc>
        <w:tc>
          <w:tcPr>
            <w:tcW w:w="1140" w:type="pct"/>
            <w:shd w:val="clear" w:color="auto" w:fill="auto"/>
          </w:tcPr>
          <w:p w:rsidR="00C24B96" w:rsidRPr="00A27A71" w:rsidRDefault="00C24B96" w:rsidP="00C24B96">
            <w:pPr>
              <w:jc w:val="right"/>
              <w:rPr>
                <w:color w:val="000000"/>
                <w:sz w:val="20"/>
                <w:szCs w:val="20"/>
              </w:rPr>
            </w:pPr>
            <w:r w:rsidRPr="00A27A71">
              <w:rPr>
                <w:color w:val="000000"/>
                <w:sz w:val="20"/>
                <w:szCs w:val="20"/>
              </w:rPr>
              <w:t xml:space="preserve">         11.00 </w:t>
            </w:r>
          </w:p>
        </w:tc>
      </w:tr>
    </w:tbl>
    <w:p w:rsidR="00C905D9" w:rsidRPr="00A27A71" w:rsidRDefault="00C905D9" w:rsidP="00C905D9">
      <w:pPr>
        <w:widowControl w:val="0"/>
        <w:rPr>
          <w:i/>
          <w:iCs/>
          <w:color w:val="000000"/>
          <w:lang w:bidi="en-US"/>
        </w:rPr>
      </w:pPr>
    </w:p>
    <w:p w:rsidR="002015EF" w:rsidRPr="00A27A71" w:rsidRDefault="002015EF" w:rsidP="002015EF">
      <w:pPr>
        <w:pStyle w:val="Heading1"/>
        <w:numPr>
          <w:ilvl w:val="0"/>
          <w:numId w:val="0"/>
        </w:numPr>
        <w:rPr>
          <w:i/>
        </w:rPr>
      </w:pPr>
      <w:r w:rsidRPr="00A27A71">
        <w:rPr>
          <w:i/>
        </w:rPr>
        <w:t>XPS foam manufacturing</w:t>
      </w:r>
    </w:p>
    <w:p w:rsidR="002015EF" w:rsidRPr="00A27A71" w:rsidRDefault="007F2DEC" w:rsidP="002015EF">
      <w:pPr>
        <w:numPr>
          <w:ilvl w:val="0"/>
          <w:numId w:val="1"/>
        </w:numPr>
        <w:tabs>
          <w:tab w:val="clear" w:pos="0"/>
        </w:tabs>
        <w:spacing w:after="240"/>
        <w:outlineLvl w:val="0"/>
      </w:pPr>
      <w:r w:rsidRPr="00A27A71">
        <w:t>F</w:t>
      </w:r>
      <w:r w:rsidR="002015EF" w:rsidRPr="00A27A71">
        <w:t xml:space="preserve">our XPS manufacturing enterprises were identified </w:t>
      </w:r>
      <w:r w:rsidRPr="00A27A71">
        <w:t>that</w:t>
      </w:r>
      <w:r w:rsidR="002015EF" w:rsidRPr="00A27A71">
        <w:t xml:space="preserve"> </w:t>
      </w:r>
      <w:r w:rsidRPr="00A27A71">
        <w:t>had a 2013-2015 average consumption of</w:t>
      </w:r>
      <w:r w:rsidR="002015EF" w:rsidRPr="00A27A71">
        <w:t xml:space="preserve"> </w:t>
      </w:r>
      <w:r w:rsidR="00AE0390" w:rsidRPr="00A27A71">
        <w:t>38.19</w:t>
      </w:r>
      <w:r w:rsidR="00982962" w:rsidRPr="00A27A71">
        <w:t> mt</w:t>
      </w:r>
      <w:r w:rsidR="002015EF" w:rsidRPr="00A27A71">
        <w:t xml:space="preserve"> of HCFC-142b and </w:t>
      </w:r>
      <w:r w:rsidR="00AE0390" w:rsidRPr="00A27A71">
        <w:t>405.52</w:t>
      </w:r>
      <w:r w:rsidR="00982962" w:rsidRPr="00A27A71">
        <w:t> mt</w:t>
      </w:r>
      <w:r w:rsidR="002015EF" w:rsidRPr="00A27A71">
        <w:t xml:space="preserve"> of HCFC-22. </w:t>
      </w:r>
      <w:r w:rsidR="00AE0390" w:rsidRPr="00A27A71">
        <w:t>XPS foam is used in th</w:t>
      </w:r>
      <w:r w:rsidR="00E36C65" w:rsidRPr="00A27A71">
        <w:t>e food and construction indus</w:t>
      </w:r>
      <w:r w:rsidR="00AE0390" w:rsidRPr="00A27A71">
        <w:t>t</w:t>
      </w:r>
      <w:r w:rsidR="00E36C65" w:rsidRPr="00A27A71">
        <w:t>r</w:t>
      </w:r>
      <w:r w:rsidR="00AE0390" w:rsidRPr="00A27A71">
        <w:t>y.</w:t>
      </w:r>
    </w:p>
    <w:p w:rsidR="00C905D9" w:rsidRPr="00A27A71" w:rsidRDefault="00C905D9" w:rsidP="00C905D9">
      <w:pPr>
        <w:widowControl w:val="0"/>
        <w:spacing w:after="240"/>
        <w:rPr>
          <w:i/>
          <w:caps/>
        </w:rPr>
      </w:pPr>
      <w:r w:rsidRPr="00A27A71">
        <w:rPr>
          <w:i/>
        </w:rPr>
        <w:t>RAC manufacturing sector</w:t>
      </w:r>
    </w:p>
    <w:p w:rsidR="00C905D9" w:rsidRPr="00A27A71" w:rsidRDefault="00C905D9" w:rsidP="00BB2B72">
      <w:pPr>
        <w:pStyle w:val="Heading1"/>
        <w:rPr>
          <w:bCs/>
          <w:color w:val="000000"/>
        </w:rPr>
      </w:pPr>
      <w:r w:rsidRPr="00A27A71">
        <w:rPr>
          <w:i/>
        </w:rPr>
        <w:t>Commercial refrigeration manufacturing</w:t>
      </w:r>
      <w:r w:rsidRPr="00A27A71">
        <w:t>:</w:t>
      </w:r>
      <w:r w:rsidR="00243DF2" w:rsidRPr="00A27A71">
        <w:t xml:space="preserve"> The commercial refrigeration manufacturing sector </w:t>
      </w:r>
      <w:r w:rsidR="00BB2B72" w:rsidRPr="00A27A71">
        <w:t>comprises one large manufacturer (MIRACO Carrier, 37</w:t>
      </w:r>
      <w:r w:rsidR="00982962" w:rsidRPr="00A27A71">
        <w:t> per cent</w:t>
      </w:r>
      <w:r w:rsidR="00BB2B72" w:rsidRPr="00A27A71">
        <w:t xml:space="preserve"> non-Article 5 owned), 39 </w:t>
      </w:r>
      <w:r w:rsidR="006C4663" w:rsidRPr="00A27A71">
        <w:t xml:space="preserve">registered </w:t>
      </w:r>
      <w:r w:rsidR="0069138E" w:rsidRPr="00A27A71">
        <w:t>enterprises</w:t>
      </w:r>
      <w:r w:rsidR="00BB2B72" w:rsidRPr="00A27A71">
        <w:t xml:space="preserve">, and 187 </w:t>
      </w:r>
      <w:r w:rsidR="006C4663" w:rsidRPr="00A27A71">
        <w:t xml:space="preserve">small service shops </w:t>
      </w:r>
      <w:r w:rsidR="00BB2B72" w:rsidRPr="00A27A71">
        <w:t xml:space="preserve">that assemble and charge a variety of refrigeration equipment, including supermarket display coolers, cold store, commercial and domestic deep freezers, commercial display cabinets, blast freezers, ice plants, ice makers, drinking water coolers, and chillers for low temperature applications. </w:t>
      </w:r>
      <w:r w:rsidR="002015EF" w:rsidRPr="00A27A71">
        <w:t>The estimated consumption of the sector in 2015 is approximately 350</w:t>
      </w:r>
      <w:r w:rsidR="00982962" w:rsidRPr="00A27A71">
        <w:t> mt</w:t>
      </w:r>
      <w:r w:rsidR="002015EF" w:rsidRPr="00A27A71">
        <w:t xml:space="preserve"> of HCFC-22.</w:t>
      </w:r>
    </w:p>
    <w:p w:rsidR="002015EF" w:rsidRPr="00A27A71" w:rsidRDefault="00223D78" w:rsidP="002015EF">
      <w:pPr>
        <w:pStyle w:val="Heading1"/>
        <w:rPr>
          <w:bCs/>
          <w:color w:val="000000"/>
        </w:rPr>
      </w:pPr>
      <w:r w:rsidRPr="00A27A71">
        <w:rPr>
          <w:i/>
        </w:rPr>
        <w:t>AC </w:t>
      </w:r>
      <w:r w:rsidR="00C905D9" w:rsidRPr="00A27A71">
        <w:rPr>
          <w:i/>
        </w:rPr>
        <w:t>manufacturing:</w:t>
      </w:r>
      <w:r w:rsidR="00C905D9" w:rsidRPr="00A27A71">
        <w:t xml:space="preserve"> </w:t>
      </w:r>
      <w:r w:rsidR="00200135" w:rsidRPr="00A27A71">
        <w:t>The AC manufacturing sector is dominated by</w:t>
      </w:r>
      <w:r w:rsidR="00FA7EC4" w:rsidRPr="00A27A71">
        <w:t xml:space="preserve"> the domestic </w:t>
      </w:r>
      <w:r w:rsidRPr="00A27A71">
        <w:t xml:space="preserve">AC </w:t>
      </w:r>
      <w:r w:rsidR="00FA7EC4" w:rsidRPr="00A27A71">
        <w:t xml:space="preserve">sector, which comprises </w:t>
      </w:r>
      <w:r w:rsidR="00C1374C" w:rsidRPr="00A27A71">
        <w:t>seven</w:t>
      </w:r>
      <w:r w:rsidR="00FA7EC4" w:rsidRPr="00A27A71">
        <w:t xml:space="preserve"> enterprises that manufacture split AC units with capacity between 9,000 and 64</w:t>
      </w:r>
      <w:r w:rsidR="009809BF" w:rsidRPr="00A27A71">
        <w:t>,</w:t>
      </w:r>
      <w:r w:rsidR="00FA7EC4" w:rsidRPr="00A27A71">
        <w:t>000</w:t>
      </w:r>
      <w:r w:rsidR="0013662C" w:rsidRPr="00A27A71">
        <w:t> British thermal unit (BTU)/</w:t>
      </w:r>
      <w:r w:rsidR="00FA7EC4" w:rsidRPr="00A27A71">
        <w:t>h</w:t>
      </w:r>
      <w:r w:rsidR="00243DF2" w:rsidRPr="00A27A71">
        <w:t xml:space="preserve"> (0.75 and 5.33</w:t>
      </w:r>
      <w:r w:rsidR="0013662C" w:rsidRPr="00A27A71">
        <w:t> </w:t>
      </w:r>
      <w:r w:rsidR="00243DF2" w:rsidRPr="00A27A71">
        <w:t>tonnes of refrigeration</w:t>
      </w:r>
      <w:r w:rsidR="0013662C" w:rsidRPr="00A27A71">
        <w:t xml:space="preserve"> (</w:t>
      </w:r>
      <w:r w:rsidR="00243DF2" w:rsidRPr="00A27A71">
        <w:t>TR</w:t>
      </w:r>
      <w:r w:rsidR="0013662C" w:rsidRPr="00A27A71">
        <w:t>)</w:t>
      </w:r>
      <w:r w:rsidR="00243DF2" w:rsidRPr="00A27A71">
        <w:t>)</w:t>
      </w:r>
      <w:r w:rsidR="00FA7EC4" w:rsidRPr="00A27A71">
        <w:t>. Most enterprises manufacture both HCFC-22 and R</w:t>
      </w:r>
      <w:r w:rsidR="0013662C" w:rsidRPr="00A27A71">
        <w:noBreakHyphen/>
      </w:r>
      <w:r w:rsidR="00FA7EC4" w:rsidRPr="00A27A71">
        <w:t>410A</w:t>
      </w:r>
      <w:r w:rsidR="0013662C" w:rsidRPr="00A27A71">
        <w:noBreakHyphen/>
      </w:r>
      <w:r w:rsidR="00FA7EC4" w:rsidRPr="00A27A71">
        <w:t xml:space="preserve">based equipment. In the commercial AC sector, </w:t>
      </w:r>
      <w:r w:rsidR="00243DF2" w:rsidRPr="00A27A71">
        <w:t>four</w:t>
      </w:r>
      <w:r w:rsidR="00FA7EC4" w:rsidRPr="00A27A71">
        <w:t xml:space="preserve"> enterprises manufacture a range of products based on HCFC-22, R-410A and R-407</w:t>
      </w:r>
      <w:r w:rsidR="00243DF2" w:rsidRPr="00A27A71">
        <w:t xml:space="preserve"> with a cooling capacity of 60,000 BTU/h (5 TR) and higher</w:t>
      </w:r>
      <w:r w:rsidR="00FA7EC4" w:rsidRPr="00A27A71">
        <w:t xml:space="preserve">. </w:t>
      </w:r>
      <w:r w:rsidR="002015EF" w:rsidRPr="00A27A71">
        <w:t xml:space="preserve">The estimated consumption of the </w:t>
      </w:r>
      <w:r w:rsidR="009C67E8" w:rsidRPr="00A27A71">
        <w:t xml:space="preserve">AC manufacturing </w:t>
      </w:r>
      <w:r w:rsidR="002015EF" w:rsidRPr="00A27A71">
        <w:t>sector in 2015 is approximately 1,881</w:t>
      </w:r>
      <w:r w:rsidR="00982962" w:rsidRPr="00A27A71">
        <w:t> mt</w:t>
      </w:r>
      <w:r w:rsidR="002015EF" w:rsidRPr="00A27A71">
        <w:t xml:space="preserve"> of HCFC-22.</w:t>
      </w:r>
    </w:p>
    <w:p w:rsidR="00C905D9" w:rsidRPr="00A27A71" w:rsidRDefault="00C905D9" w:rsidP="00C905D9">
      <w:pPr>
        <w:keepNext/>
        <w:spacing w:after="240"/>
        <w:outlineLvl w:val="0"/>
        <w:rPr>
          <w:u w:val="single"/>
        </w:rPr>
      </w:pPr>
      <w:r w:rsidRPr="00A27A71">
        <w:rPr>
          <w:u w:val="single"/>
        </w:rPr>
        <w:t>HCFC consumption in the refrigeration servicing sector</w:t>
      </w:r>
    </w:p>
    <w:p w:rsidR="00C905D9" w:rsidRPr="00A27A71" w:rsidRDefault="00C905D9" w:rsidP="00C905D9">
      <w:pPr>
        <w:numPr>
          <w:ilvl w:val="0"/>
          <w:numId w:val="1"/>
        </w:numPr>
        <w:tabs>
          <w:tab w:val="clear" w:pos="0"/>
        </w:tabs>
        <w:spacing w:after="240"/>
        <w:outlineLvl w:val="0"/>
      </w:pPr>
      <w:r w:rsidRPr="00A27A71">
        <w:t>The refrigeration servicing sector corresponds to</w:t>
      </w:r>
      <w:r w:rsidR="00E82A81" w:rsidRPr="00A27A71">
        <w:t xml:space="preserve"> </w:t>
      </w:r>
      <w:r w:rsidR="002472AB" w:rsidRPr="00A27A71">
        <w:t>33</w:t>
      </w:r>
      <w:r w:rsidR="00E61A05" w:rsidRPr="00A27A71">
        <w:t> per cent</w:t>
      </w:r>
      <w:r w:rsidRPr="00A27A71">
        <w:t xml:space="preserve"> of HCFC-22 consumption in </w:t>
      </w:r>
      <w:r w:rsidR="00E0480C" w:rsidRPr="00A27A71">
        <w:t>Egypt</w:t>
      </w:r>
      <w:r w:rsidR="00C1374C" w:rsidRPr="00A27A71">
        <w:t xml:space="preserve"> in 201</w:t>
      </w:r>
      <w:r w:rsidR="002472AB" w:rsidRPr="00A27A71">
        <w:t>5</w:t>
      </w:r>
      <w:r w:rsidRPr="00A27A71">
        <w:t xml:space="preserve">. </w:t>
      </w:r>
      <w:r w:rsidR="009331D9" w:rsidRPr="00A27A71">
        <w:t xml:space="preserve">In addition, </w:t>
      </w:r>
      <w:r w:rsidR="00130AF0" w:rsidRPr="00A27A71">
        <w:t>17.44</w:t>
      </w:r>
      <w:r w:rsidR="00982962" w:rsidRPr="00A27A71">
        <w:t> mt</w:t>
      </w:r>
      <w:r w:rsidR="009331D9" w:rsidRPr="00A27A71">
        <w:t xml:space="preserve"> of HCFC-142b were consumed </w:t>
      </w:r>
      <w:r w:rsidR="00ED6480" w:rsidRPr="00A27A71">
        <w:t xml:space="preserve">for servicing </w:t>
      </w:r>
      <w:r w:rsidR="009331D9" w:rsidRPr="00A27A71">
        <w:t>in 201</w:t>
      </w:r>
      <w:r w:rsidR="00130AF0" w:rsidRPr="00A27A71">
        <w:t>5</w:t>
      </w:r>
      <w:r w:rsidR="00ED6480" w:rsidRPr="00A27A71">
        <w:t>,</w:t>
      </w:r>
      <w:r w:rsidR="009331D9" w:rsidRPr="00A27A71">
        <w:t xml:space="preserve"> most likely as a component of R-406a, a blend (55</w:t>
      </w:r>
      <w:r w:rsidR="00982962" w:rsidRPr="00A27A71">
        <w:t> per cent</w:t>
      </w:r>
      <w:r w:rsidR="009331D9" w:rsidRPr="00A27A71">
        <w:t xml:space="preserve"> HCFC-22, 4</w:t>
      </w:r>
      <w:r w:rsidR="00982962" w:rsidRPr="00A27A71">
        <w:t> per cent</w:t>
      </w:r>
      <w:r w:rsidR="009331D9" w:rsidRPr="00A27A71">
        <w:t xml:space="preserve"> R-600a, and 41</w:t>
      </w:r>
      <w:r w:rsidR="00982962" w:rsidRPr="00A27A71">
        <w:t> per cent</w:t>
      </w:r>
      <w:r w:rsidR="009331D9" w:rsidRPr="00A27A71">
        <w:t xml:space="preserve"> HCFC-142b) used as a drop-in for CFC-12-based equipment. This consumption accounted for </w:t>
      </w:r>
      <w:r w:rsidR="00130AF0" w:rsidRPr="00A27A71">
        <w:t>41</w:t>
      </w:r>
      <w:r w:rsidR="00982962" w:rsidRPr="00A27A71">
        <w:t> per cent</w:t>
      </w:r>
      <w:r w:rsidR="009331D9" w:rsidRPr="00A27A71">
        <w:t xml:space="preserve"> of the HCFC</w:t>
      </w:r>
      <w:r w:rsidR="008E0439" w:rsidRPr="00A27A71">
        <w:noBreakHyphen/>
      </w:r>
      <w:r w:rsidR="009331D9" w:rsidRPr="00A27A71">
        <w:t>142b consumption in the country</w:t>
      </w:r>
      <w:r w:rsidR="00130AF0" w:rsidRPr="00A27A71">
        <w:t xml:space="preserve"> in 2015</w:t>
      </w:r>
      <w:r w:rsidR="009331D9" w:rsidRPr="00A27A71">
        <w:t>.</w:t>
      </w:r>
      <w:r w:rsidR="001E21C6" w:rsidRPr="00A27A71">
        <w:t xml:space="preserve"> </w:t>
      </w:r>
    </w:p>
    <w:p w:rsidR="00C905D9" w:rsidRPr="00A27A71" w:rsidRDefault="00C905D9" w:rsidP="00C905D9">
      <w:pPr>
        <w:pStyle w:val="ListParagraph"/>
        <w:ind w:left="0"/>
        <w:rPr>
          <w:rFonts w:eastAsia="Calibri"/>
          <w:b/>
          <w:color w:val="000000" w:themeColor="text1"/>
        </w:rPr>
      </w:pPr>
      <w:r w:rsidRPr="00A27A71">
        <w:rPr>
          <w:rFonts w:eastAsia="Calibri"/>
          <w:b/>
          <w:color w:val="000000" w:themeColor="text1"/>
        </w:rPr>
        <w:t xml:space="preserve">Proposed activities in </w:t>
      </w:r>
      <w:r w:rsidR="00E61A05" w:rsidRPr="00A27A71">
        <w:rPr>
          <w:rFonts w:eastAsia="Calibri"/>
          <w:b/>
          <w:color w:val="000000" w:themeColor="text1"/>
        </w:rPr>
        <w:t>stage </w:t>
      </w:r>
      <w:r w:rsidRPr="00A27A71">
        <w:rPr>
          <w:rFonts w:eastAsia="Calibri"/>
          <w:b/>
          <w:color w:val="000000" w:themeColor="text1"/>
        </w:rPr>
        <w:t>II of the HPMP</w:t>
      </w:r>
    </w:p>
    <w:p w:rsidR="00C905D9" w:rsidRPr="00A27A71" w:rsidRDefault="00C905D9" w:rsidP="00C905D9">
      <w:pPr>
        <w:pStyle w:val="ListParagraph"/>
        <w:ind w:left="0"/>
        <w:rPr>
          <w:rFonts w:eastAsia="Calibri"/>
          <w:b/>
          <w:color w:val="000000" w:themeColor="text1"/>
        </w:rPr>
      </w:pPr>
    </w:p>
    <w:p w:rsidR="00C905D9" w:rsidRPr="00A27A71" w:rsidRDefault="00C905D9" w:rsidP="00C905D9">
      <w:pPr>
        <w:widowControl w:val="0"/>
        <w:spacing w:after="240"/>
        <w:outlineLvl w:val="0"/>
        <w:rPr>
          <w:u w:val="single"/>
        </w:rPr>
      </w:pPr>
      <w:r w:rsidRPr="00A27A71">
        <w:rPr>
          <w:u w:val="single"/>
        </w:rPr>
        <w:t>Activities in the manufacturing sector</w:t>
      </w:r>
    </w:p>
    <w:p w:rsidR="00C905D9" w:rsidRPr="00A27A71" w:rsidRDefault="00C905D9" w:rsidP="00C905D9">
      <w:pPr>
        <w:widowControl w:val="0"/>
        <w:spacing w:after="240"/>
        <w:outlineLvl w:val="0"/>
        <w:rPr>
          <w:i/>
        </w:rPr>
      </w:pPr>
      <w:r w:rsidRPr="00A27A71">
        <w:rPr>
          <w:i/>
        </w:rPr>
        <w:t>PU foam manufacturing sector</w:t>
      </w:r>
    </w:p>
    <w:p w:rsidR="003F1276" w:rsidRPr="00A27A71" w:rsidRDefault="007F53A9" w:rsidP="00D950A3">
      <w:pPr>
        <w:pStyle w:val="Heading1"/>
      </w:pPr>
      <w:r w:rsidRPr="00A27A71">
        <w:t>Stage </w:t>
      </w:r>
      <w:r w:rsidR="003412AA" w:rsidRPr="00A27A71">
        <w:t>II proposed to phase</w:t>
      </w:r>
      <w:r w:rsidR="00223D78" w:rsidRPr="00A27A71">
        <w:t xml:space="preserve"> </w:t>
      </w:r>
      <w:r w:rsidR="003412AA" w:rsidRPr="00A27A71">
        <w:t xml:space="preserve">out the remaining eight enterprises </w:t>
      </w:r>
      <w:r w:rsidR="00D107D9" w:rsidRPr="00A27A71">
        <w:t xml:space="preserve">manufacturing domestic refrigerators </w:t>
      </w:r>
      <w:r w:rsidR="003412AA" w:rsidRPr="00A27A71">
        <w:t xml:space="preserve">consuming </w:t>
      </w:r>
      <w:r w:rsidR="00E67AD5" w:rsidRPr="00A27A71">
        <w:t>401.8</w:t>
      </w:r>
      <w:r w:rsidR="00982962" w:rsidRPr="00A27A71">
        <w:t> mt</w:t>
      </w:r>
      <w:r w:rsidR="003412AA" w:rsidRPr="00A27A71">
        <w:t xml:space="preserve"> (</w:t>
      </w:r>
      <w:r w:rsidR="00E67AD5" w:rsidRPr="00A27A71">
        <w:t>44.20</w:t>
      </w:r>
      <w:r w:rsidR="00982962" w:rsidRPr="00A27A71">
        <w:t> ODP tonnes</w:t>
      </w:r>
      <w:r w:rsidR="003412AA" w:rsidRPr="00A27A71">
        <w:t>) of HCFC</w:t>
      </w:r>
      <w:r w:rsidR="008E0439" w:rsidRPr="00A27A71">
        <w:noBreakHyphen/>
      </w:r>
      <w:r w:rsidR="003412AA" w:rsidRPr="00A27A71">
        <w:t xml:space="preserve">141b to </w:t>
      </w:r>
      <w:r w:rsidR="00D107D9" w:rsidRPr="00A27A71">
        <w:t>cyclopentane</w:t>
      </w:r>
      <w:r w:rsidR="003412AA" w:rsidRPr="00A27A71">
        <w:t xml:space="preserve"> technology</w:t>
      </w:r>
      <w:r w:rsidR="000B61AA" w:rsidRPr="00A27A71">
        <w:t>.</w:t>
      </w:r>
      <w:r w:rsidR="00CD7A3F" w:rsidRPr="00A27A71">
        <w:rPr>
          <w:rStyle w:val="FootnoteReference"/>
        </w:rPr>
        <w:footnoteReference w:id="3"/>
      </w:r>
      <w:r w:rsidR="000B61AA" w:rsidRPr="00A27A71">
        <w:t xml:space="preserve"> W</w:t>
      </w:r>
      <w:r w:rsidR="003412AA" w:rsidRPr="00A27A71">
        <w:t>here feasible, a third mixing head stream</w:t>
      </w:r>
      <w:r w:rsidR="00D950A3" w:rsidRPr="00A27A71">
        <w:t xml:space="preserve"> that allows the </w:t>
      </w:r>
      <w:r w:rsidR="000B61AA" w:rsidRPr="00A27A71">
        <w:t xml:space="preserve">direct injection of the cyclopentane, </w:t>
      </w:r>
      <w:r w:rsidR="00D950A3" w:rsidRPr="00A27A71">
        <w:t xml:space="preserve">and thus </w:t>
      </w:r>
      <w:r w:rsidR="00D950A3" w:rsidRPr="00A27A71">
        <w:lastRenderedPageBreak/>
        <w:t>obviates the need for a pre-mixer</w:t>
      </w:r>
      <w:r w:rsidR="000B61AA" w:rsidRPr="00A27A71">
        <w:t>, will be used</w:t>
      </w:r>
      <w:r w:rsidR="000C5F00" w:rsidRPr="00A27A71">
        <w:t>.</w:t>
      </w:r>
      <w:r w:rsidR="00D950A3" w:rsidRPr="00A27A71">
        <w:rPr>
          <w:rStyle w:val="FootnoteReference"/>
        </w:rPr>
        <w:footnoteReference w:id="4"/>
      </w:r>
      <w:r w:rsidR="000C5F00" w:rsidRPr="00A27A71">
        <w:t xml:space="preserve"> Funding is requested for dispenser replacement or retrofit, depending on which is more cost-effective; safety-related equipment and audit; </w:t>
      </w:r>
      <w:r w:rsidR="00D107D9" w:rsidRPr="00A27A71">
        <w:t xml:space="preserve">technical assistance; trials and commissioning; </w:t>
      </w:r>
      <w:r w:rsidR="000C5F00" w:rsidRPr="00A27A71">
        <w:t xml:space="preserve">and contingencies. No IOCs were requested. The </w:t>
      </w:r>
      <w:r w:rsidR="003F1276" w:rsidRPr="00A27A71">
        <w:t xml:space="preserve">total cost of the sub-sector as submitted was </w:t>
      </w:r>
      <w:r w:rsidR="0013662C" w:rsidRPr="00A27A71">
        <w:t>US $</w:t>
      </w:r>
      <w:r w:rsidR="00DC676D" w:rsidRPr="00A27A71">
        <w:t>3,821,360</w:t>
      </w:r>
      <w:r w:rsidR="001041CB" w:rsidRPr="00A27A71">
        <w:t xml:space="preserve"> (</w:t>
      </w:r>
      <w:r w:rsidR="00DC676D" w:rsidRPr="00A27A71">
        <w:t>US</w:t>
      </w:r>
      <w:r w:rsidR="008E0439" w:rsidRPr="00A27A71">
        <w:t> </w:t>
      </w:r>
      <w:r w:rsidR="00DC676D" w:rsidRPr="00A27A71">
        <w:t>$</w:t>
      </w:r>
      <w:r w:rsidR="00A0647D" w:rsidRPr="00A27A71">
        <w:t>9.51</w:t>
      </w:r>
      <w:r w:rsidR="00DC676D" w:rsidRPr="00A27A71">
        <w:t>/kg</w:t>
      </w:r>
      <w:r w:rsidR="001041CB" w:rsidRPr="00A27A71">
        <w:t>),</w:t>
      </w:r>
      <w:r w:rsidR="00DC676D" w:rsidRPr="00A27A71">
        <w:t xml:space="preserve"> noting that quantity of HCFC-141b used in bulk and in imported pre-blended polyols cannot be separately identified for the beneficiary enterprises</w:t>
      </w:r>
      <w:r w:rsidR="00EB769C" w:rsidRPr="00A27A71">
        <w:t xml:space="preserve"> as enterprises decide to blend in-house or purchase pre-blended polyols based on market prices</w:t>
      </w:r>
      <w:r w:rsidR="009F403B" w:rsidRPr="00A27A71">
        <w:t>,</w:t>
      </w:r>
      <w:r w:rsidR="00EB769C" w:rsidRPr="00A27A71">
        <w:t xml:space="preserve"> </w:t>
      </w:r>
      <w:r w:rsidR="009F403B" w:rsidRPr="00A27A71">
        <w:t xml:space="preserve">may change that decision multiple times per year, </w:t>
      </w:r>
      <w:r w:rsidR="00EB769C" w:rsidRPr="00A27A71">
        <w:t>and do not track such consumption</w:t>
      </w:r>
      <w:r w:rsidR="00393A1F" w:rsidRPr="00393A1F">
        <w:t xml:space="preserve"> </w:t>
      </w:r>
      <w:r w:rsidR="00393A1F" w:rsidRPr="00A27A71">
        <w:t>separate</w:t>
      </w:r>
      <w:r w:rsidR="00393A1F">
        <w:t>ly</w:t>
      </w:r>
      <w:r w:rsidR="003F1276" w:rsidRPr="00A27A71">
        <w:t>.</w:t>
      </w:r>
      <w:r w:rsidR="00ED6480" w:rsidRPr="00A27A71">
        <w:t xml:space="preserve"> Given that all HCFC</w:t>
      </w:r>
      <w:r w:rsidR="005D1FF4" w:rsidRPr="00A27A71">
        <w:noBreakHyphen/>
      </w:r>
      <w:r w:rsidR="00ED6480" w:rsidRPr="00A27A71">
        <w:t xml:space="preserve">141b will be phased out in </w:t>
      </w:r>
      <w:r w:rsidRPr="00A27A71">
        <w:t>stage </w:t>
      </w:r>
      <w:r w:rsidR="00ED6480" w:rsidRPr="00A27A71">
        <w:t xml:space="preserve">II, an umbrella project approach was used, </w:t>
      </w:r>
      <w:r w:rsidR="007076F6" w:rsidRPr="00A27A71">
        <w:t>whereby</w:t>
      </w:r>
      <w:r w:rsidR="00ED6480" w:rsidRPr="00A27A71">
        <w:t xml:space="preserve"> smaller enterprises </w:t>
      </w:r>
      <w:r w:rsidR="007076F6" w:rsidRPr="00A27A71">
        <w:t>may</w:t>
      </w:r>
      <w:r w:rsidR="00ED6480" w:rsidRPr="00A27A71">
        <w:t xml:space="preserve"> have a cost</w:t>
      </w:r>
      <w:r w:rsidR="0013662C" w:rsidRPr="00A27A71">
        <w:noBreakHyphen/>
      </w:r>
      <w:r w:rsidR="00ED6480" w:rsidRPr="00A27A71">
        <w:t>effectiveness</w:t>
      </w:r>
      <w:r w:rsidR="00A720C2" w:rsidRPr="00A27A71">
        <w:t xml:space="preserve"> (CE)</w:t>
      </w:r>
      <w:r w:rsidR="00ED6480" w:rsidRPr="00A27A71">
        <w:t xml:space="preserve"> no more than 100</w:t>
      </w:r>
      <w:r w:rsidR="00982962" w:rsidRPr="00A27A71">
        <w:t> per cent</w:t>
      </w:r>
      <w:r w:rsidR="00ED6480" w:rsidRPr="00A27A71">
        <w:t xml:space="preserve"> above the </w:t>
      </w:r>
      <w:r w:rsidR="00A720C2" w:rsidRPr="00A27A71">
        <w:t>CE</w:t>
      </w:r>
      <w:r w:rsidR="00ED6480" w:rsidRPr="00A27A71">
        <w:t xml:space="preserve"> threshold given that the sub-sector </w:t>
      </w:r>
      <w:r w:rsidR="00A720C2" w:rsidRPr="00A27A71">
        <w:t>CE</w:t>
      </w:r>
      <w:r w:rsidR="00ED6480" w:rsidRPr="00A27A71">
        <w:t xml:space="preserve"> was within the threshold.</w:t>
      </w:r>
    </w:p>
    <w:p w:rsidR="00D107D9" w:rsidRPr="00A27A71" w:rsidRDefault="00D107D9" w:rsidP="001F70A0">
      <w:pPr>
        <w:pStyle w:val="Heading1"/>
      </w:pPr>
      <w:r w:rsidRPr="00A27A71">
        <w:t>Stage II also proposed</w:t>
      </w:r>
      <w:r w:rsidR="007076F6" w:rsidRPr="00A27A71">
        <w:t xml:space="preserve"> the conversion of two enterprises (Kiriazi Gas Company and Electrostar) that manufacture electric water heaters</w:t>
      </w:r>
      <w:r w:rsidR="0070588F" w:rsidRPr="00A27A71">
        <w:t xml:space="preserve"> and consume 43.7</w:t>
      </w:r>
      <w:r w:rsidR="00982962" w:rsidRPr="00A27A71">
        <w:t> mt</w:t>
      </w:r>
      <w:r w:rsidRPr="00A27A71">
        <w:t xml:space="preserve"> (4.81 ODP tonnes)</w:t>
      </w:r>
      <w:r w:rsidR="0070588F" w:rsidRPr="00A27A71">
        <w:t xml:space="preserve"> of HCFC-141b</w:t>
      </w:r>
      <w:r w:rsidR="007076F6" w:rsidRPr="00A27A71">
        <w:t xml:space="preserve">, and the conversion of </w:t>
      </w:r>
      <w:r w:rsidR="0070588F" w:rsidRPr="00A27A71">
        <w:t>38</w:t>
      </w:r>
      <w:r w:rsidR="007F53A9" w:rsidRPr="00A27A71">
        <w:t> </w:t>
      </w:r>
      <w:r w:rsidR="0070588F" w:rsidRPr="00A27A71">
        <w:t>SMEs that consume 81.1</w:t>
      </w:r>
      <w:r w:rsidR="00982962" w:rsidRPr="00A27A71">
        <w:t> mt</w:t>
      </w:r>
      <w:r w:rsidRPr="00A27A71">
        <w:t xml:space="preserve"> (8.92 ODP tonnes)</w:t>
      </w:r>
      <w:r w:rsidR="0070588F" w:rsidRPr="00A27A71">
        <w:t xml:space="preserve"> of HCFC-141b through assistance to the </w:t>
      </w:r>
      <w:r w:rsidR="009F403B" w:rsidRPr="00A27A71">
        <w:t>systems house</w:t>
      </w:r>
      <w:r w:rsidR="0070588F" w:rsidRPr="00A27A71">
        <w:t xml:space="preserve"> (Beta Technical and Trading Bureau).</w:t>
      </w:r>
      <w:r w:rsidR="00CD7A3F" w:rsidRPr="00A27A71">
        <w:rPr>
          <w:rStyle w:val="FootnoteReference"/>
        </w:rPr>
        <w:footnoteReference w:id="5"/>
      </w:r>
      <w:r w:rsidR="0070588F" w:rsidRPr="00A27A71">
        <w:t xml:space="preserve"> The two electric water heater manufacturers will convert to </w:t>
      </w:r>
      <w:r w:rsidRPr="00A27A71">
        <w:t>cyclopentane</w:t>
      </w:r>
      <w:r w:rsidR="0070588F" w:rsidRPr="00A27A71">
        <w:t xml:space="preserve"> as the enterprises have experience with this alternative in their (separate) refrigeration manufacturing</w:t>
      </w:r>
      <w:r w:rsidRPr="00A27A71">
        <w:t xml:space="preserve"> lines</w:t>
      </w:r>
      <w:r w:rsidR="0070588F" w:rsidRPr="00A27A71">
        <w:t xml:space="preserve">. </w:t>
      </w:r>
      <w:r w:rsidRPr="00A27A71">
        <w:t>F</w:t>
      </w:r>
      <w:r w:rsidR="0070588F" w:rsidRPr="00A27A71">
        <w:t xml:space="preserve">unding is requested for dispenser replacement </w:t>
      </w:r>
      <w:r w:rsidR="00CB0373" w:rsidRPr="00A27A71">
        <w:t xml:space="preserve">(US $120,000/dispenser) </w:t>
      </w:r>
      <w:r w:rsidR="0070588F" w:rsidRPr="00A27A71">
        <w:t>or retrofit</w:t>
      </w:r>
      <w:r w:rsidR="00CB0373" w:rsidRPr="00A27A71">
        <w:t xml:space="preserve"> (US $40,000/retrofit)</w:t>
      </w:r>
      <w:r w:rsidR="0070588F" w:rsidRPr="00A27A71">
        <w:t>; safety-related equipment and audit;</w:t>
      </w:r>
      <w:r w:rsidRPr="00A27A71">
        <w:t xml:space="preserve"> technical assistance</w:t>
      </w:r>
      <w:r w:rsidR="00CB0373" w:rsidRPr="00A27A71">
        <w:t xml:space="preserve"> (US $20,000)</w:t>
      </w:r>
      <w:r w:rsidRPr="00A27A71">
        <w:t>; trials and commissioning</w:t>
      </w:r>
      <w:r w:rsidR="00CB0373" w:rsidRPr="00A27A71">
        <w:t xml:space="preserve"> (US $10,000)</w:t>
      </w:r>
      <w:r w:rsidRPr="00A27A71">
        <w:t>; and</w:t>
      </w:r>
      <w:r w:rsidR="0070588F" w:rsidRPr="00A27A71">
        <w:t xml:space="preserve"> contingencies</w:t>
      </w:r>
      <w:r w:rsidR="00F76143">
        <w:t>.  N</w:t>
      </w:r>
      <w:r w:rsidR="0070588F" w:rsidRPr="00A27A71">
        <w:t>o IOCs were requested. The 38 SMEs will be converted to methyl formate</w:t>
      </w:r>
      <w:r w:rsidR="0013662C" w:rsidRPr="00A27A71">
        <w:t xml:space="preserve"> (MF)</w:t>
      </w:r>
      <w:r w:rsidR="0070588F" w:rsidRPr="00A27A71">
        <w:t xml:space="preserve">. Funding was requested at the </w:t>
      </w:r>
      <w:r w:rsidR="000B61AA" w:rsidRPr="00A27A71">
        <w:t>systems house</w:t>
      </w:r>
      <w:r w:rsidR="0070588F" w:rsidRPr="00A27A71">
        <w:t xml:space="preserve"> for project management</w:t>
      </w:r>
      <w:r w:rsidR="00CB0373" w:rsidRPr="00A27A71">
        <w:t xml:space="preserve"> (US $1,000/down-stream user)</w:t>
      </w:r>
      <w:r w:rsidR="0070588F" w:rsidRPr="00A27A71">
        <w:t>, technology development</w:t>
      </w:r>
      <w:r w:rsidR="00CB0373" w:rsidRPr="00A27A71">
        <w:t xml:space="preserve"> (US $30,000)</w:t>
      </w:r>
      <w:r w:rsidR="0070588F" w:rsidRPr="00A27A71">
        <w:t>, trials, testing and training</w:t>
      </w:r>
      <w:r w:rsidR="00CB0373" w:rsidRPr="00A27A71">
        <w:t xml:space="preserve"> (US $3,000/down-stream user)</w:t>
      </w:r>
      <w:r w:rsidR="0070588F" w:rsidRPr="00A27A71">
        <w:t>, and contingencies</w:t>
      </w:r>
      <w:r w:rsidR="00F76143">
        <w:t>.  F</w:t>
      </w:r>
      <w:r w:rsidR="0070588F" w:rsidRPr="00A27A71">
        <w:t>or the down-stream customers, for retrofit packages depending on the baseline equipment</w:t>
      </w:r>
      <w:r w:rsidR="00CB0373" w:rsidRPr="00A27A71">
        <w:t xml:space="preserve"> (US $5,000-US $15,000, depending on equipment type)</w:t>
      </w:r>
      <w:r w:rsidR="0070588F" w:rsidRPr="00A27A71">
        <w:t>, contingencies, and IOCs.</w:t>
      </w:r>
      <w:r w:rsidR="001F70A0" w:rsidRPr="00A27A71">
        <w:t xml:space="preserve"> </w:t>
      </w:r>
    </w:p>
    <w:p w:rsidR="00C905D9" w:rsidRPr="00A27A71" w:rsidRDefault="001F70A0" w:rsidP="001F70A0">
      <w:pPr>
        <w:pStyle w:val="Heading1"/>
      </w:pPr>
      <w:r w:rsidRPr="00A27A71">
        <w:t xml:space="preserve">The total funding requested for these three sub-projects amounts to </w:t>
      </w:r>
      <w:r w:rsidR="0013662C" w:rsidRPr="00A27A71">
        <w:t>US $</w:t>
      </w:r>
      <w:r w:rsidRPr="00A27A71">
        <w:t>1,467,220 (</w:t>
      </w:r>
      <w:r w:rsidR="0013662C" w:rsidRPr="00A27A71">
        <w:t>US $</w:t>
      </w:r>
      <w:r w:rsidRPr="00A27A71">
        <w:t>11.76/kg)</w:t>
      </w:r>
      <w:r w:rsidR="00D107D9" w:rsidRPr="00A27A71">
        <w:t>, as shown in Table 5</w:t>
      </w:r>
      <w:r w:rsidRPr="00A27A71">
        <w:t>.</w:t>
      </w:r>
      <w:r w:rsidR="008E3F8C" w:rsidRPr="00A27A71">
        <w:t xml:space="preserve"> In the case of one enterprise (Siltal), the </w:t>
      </w:r>
      <w:r w:rsidR="00C40F10" w:rsidRPr="00A27A71">
        <w:t>CE was more than twice the CE threshold so the requested funding was adjusted.</w:t>
      </w:r>
      <w:r w:rsidR="008E3F8C" w:rsidRPr="00A27A71">
        <w:t xml:space="preserve"> </w:t>
      </w:r>
    </w:p>
    <w:p w:rsidR="00C905D9" w:rsidRPr="00A27A71" w:rsidRDefault="00C905D9" w:rsidP="00C905D9">
      <w:pPr>
        <w:pStyle w:val="Heading1"/>
        <w:numPr>
          <w:ilvl w:val="0"/>
          <w:numId w:val="0"/>
        </w:numPr>
        <w:spacing w:after="0"/>
        <w:rPr>
          <w:b/>
        </w:rPr>
      </w:pPr>
      <w:r w:rsidRPr="00A27A71">
        <w:rPr>
          <w:b/>
        </w:rPr>
        <w:t xml:space="preserve">Table </w:t>
      </w:r>
      <w:r w:rsidR="00B77D27" w:rsidRPr="00A27A71">
        <w:rPr>
          <w:b/>
        </w:rPr>
        <w:t>5</w:t>
      </w:r>
      <w:r w:rsidRPr="00A27A71">
        <w:rPr>
          <w:b/>
        </w:rPr>
        <w:t>. Total cost for the conversion of</w:t>
      </w:r>
      <w:r w:rsidR="00B149DE" w:rsidRPr="00A27A71">
        <w:rPr>
          <w:b/>
        </w:rPr>
        <w:t xml:space="preserve"> HCFC-141b in</w:t>
      </w:r>
      <w:r w:rsidRPr="00A27A71">
        <w:rPr>
          <w:b/>
        </w:rPr>
        <w:t xml:space="preserve"> the PU foam sector </w:t>
      </w:r>
    </w:p>
    <w:tbl>
      <w:tblPr>
        <w:tblW w:w="9825" w:type="dxa"/>
        <w:tblInd w:w="93" w:type="dxa"/>
        <w:tblLook w:val="04A0" w:firstRow="1" w:lastRow="0" w:firstColumn="1" w:lastColumn="0" w:noHBand="0" w:noVBand="1"/>
      </w:tblPr>
      <w:tblGrid>
        <w:gridCol w:w="1127"/>
        <w:gridCol w:w="1383"/>
        <w:gridCol w:w="1271"/>
        <w:gridCol w:w="821"/>
        <w:gridCol w:w="772"/>
        <w:gridCol w:w="1105"/>
        <w:gridCol w:w="766"/>
        <w:gridCol w:w="866"/>
        <w:gridCol w:w="1105"/>
        <w:gridCol w:w="666"/>
      </w:tblGrid>
      <w:tr w:rsidR="00B149DE" w:rsidRPr="00A27A71" w:rsidTr="00DE50BB">
        <w:trPr>
          <w:trHeight w:val="510"/>
          <w:tblHeader/>
        </w:trPr>
        <w:tc>
          <w:tcPr>
            <w:tcW w:w="1127" w:type="dxa"/>
            <w:tcBorders>
              <w:top w:val="single" w:sz="4" w:space="0" w:color="auto"/>
              <w:left w:val="single" w:sz="4" w:space="0" w:color="auto"/>
              <w:bottom w:val="single" w:sz="4" w:space="0" w:color="auto"/>
              <w:right w:val="single" w:sz="4" w:space="0" w:color="auto"/>
            </w:tcBorders>
            <w:shd w:val="clear" w:color="auto" w:fill="auto"/>
            <w:noWrap/>
            <w:hideMark/>
          </w:tcPr>
          <w:p w:rsidR="00B149DE" w:rsidRPr="00A27A71" w:rsidRDefault="00B149DE" w:rsidP="00DE50BB">
            <w:pPr>
              <w:jc w:val="left"/>
              <w:rPr>
                <w:b/>
                <w:bCs/>
                <w:color w:val="000000"/>
                <w:sz w:val="20"/>
                <w:szCs w:val="20"/>
              </w:rPr>
            </w:pPr>
            <w:r w:rsidRPr="00A27A71">
              <w:rPr>
                <w:b/>
                <w:bCs/>
                <w:color w:val="000000"/>
                <w:sz w:val="20"/>
                <w:szCs w:val="20"/>
              </w:rPr>
              <w:t>Enterprise</w:t>
            </w:r>
          </w:p>
        </w:tc>
        <w:tc>
          <w:tcPr>
            <w:tcW w:w="1383" w:type="dxa"/>
            <w:tcBorders>
              <w:top w:val="single" w:sz="4" w:space="0" w:color="auto"/>
              <w:left w:val="nil"/>
              <w:bottom w:val="single" w:sz="4" w:space="0" w:color="auto"/>
              <w:right w:val="single" w:sz="4" w:space="0" w:color="auto"/>
            </w:tcBorders>
            <w:shd w:val="clear" w:color="auto" w:fill="auto"/>
            <w:noWrap/>
            <w:hideMark/>
          </w:tcPr>
          <w:p w:rsidR="00B149DE" w:rsidRPr="00A27A71" w:rsidRDefault="00B149DE" w:rsidP="00DE50BB">
            <w:pPr>
              <w:jc w:val="left"/>
              <w:rPr>
                <w:b/>
                <w:bCs/>
                <w:color w:val="000000"/>
                <w:sz w:val="20"/>
                <w:szCs w:val="20"/>
              </w:rPr>
            </w:pPr>
            <w:r w:rsidRPr="00A27A71">
              <w:rPr>
                <w:b/>
                <w:bCs/>
                <w:color w:val="000000"/>
                <w:sz w:val="20"/>
                <w:szCs w:val="20"/>
              </w:rPr>
              <w:t>Applications</w:t>
            </w:r>
          </w:p>
        </w:tc>
        <w:tc>
          <w:tcPr>
            <w:tcW w:w="1271" w:type="dxa"/>
            <w:tcBorders>
              <w:top w:val="single" w:sz="4" w:space="0" w:color="auto"/>
              <w:left w:val="nil"/>
              <w:bottom w:val="single" w:sz="4" w:space="0" w:color="auto"/>
              <w:right w:val="single" w:sz="4" w:space="0" w:color="auto"/>
            </w:tcBorders>
            <w:shd w:val="clear" w:color="auto" w:fill="auto"/>
            <w:noWrap/>
            <w:hideMark/>
          </w:tcPr>
          <w:p w:rsidR="00B149DE" w:rsidRPr="00A27A71" w:rsidRDefault="00B149DE" w:rsidP="00DE50BB">
            <w:pPr>
              <w:jc w:val="left"/>
              <w:rPr>
                <w:b/>
                <w:bCs/>
                <w:color w:val="000000"/>
                <w:sz w:val="20"/>
                <w:szCs w:val="20"/>
              </w:rPr>
            </w:pPr>
            <w:r w:rsidRPr="00A27A71">
              <w:rPr>
                <w:b/>
                <w:bCs/>
                <w:color w:val="000000"/>
                <w:sz w:val="20"/>
                <w:szCs w:val="20"/>
              </w:rPr>
              <w:t>Technology</w:t>
            </w:r>
          </w:p>
        </w:tc>
        <w:tc>
          <w:tcPr>
            <w:tcW w:w="821" w:type="dxa"/>
            <w:tcBorders>
              <w:top w:val="single" w:sz="4" w:space="0" w:color="auto"/>
              <w:left w:val="nil"/>
              <w:bottom w:val="single" w:sz="4" w:space="0" w:color="auto"/>
              <w:right w:val="single" w:sz="4" w:space="0" w:color="auto"/>
            </w:tcBorders>
            <w:shd w:val="clear" w:color="auto" w:fill="auto"/>
            <w:noWrap/>
            <w:hideMark/>
          </w:tcPr>
          <w:p w:rsidR="00B149DE" w:rsidRPr="00A27A71" w:rsidRDefault="00B149DE" w:rsidP="00F94F72">
            <w:pPr>
              <w:jc w:val="center"/>
              <w:rPr>
                <w:b/>
                <w:bCs/>
                <w:color w:val="000000"/>
                <w:sz w:val="20"/>
                <w:szCs w:val="20"/>
              </w:rPr>
            </w:pPr>
            <w:r w:rsidRPr="00A27A71">
              <w:rPr>
                <w:b/>
                <w:bCs/>
                <w:color w:val="000000"/>
                <w:sz w:val="20"/>
                <w:szCs w:val="20"/>
              </w:rPr>
              <w:t>mt</w:t>
            </w:r>
          </w:p>
        </w:tc>
        <w:tc>
          <w:tcPr>
            <w:tcW w:w="772" w:type="dxa"/>
            <w:tcBorders>
              <w:top w:val="single" w:sz="4" w:space="0" w:color="auto"/>
              <w:left w:val="nil"/>
              <w:bottom w:val="single" w:sz="4" w:space="0" w:color="auto"/>
              <w:right w:val="single" w:sz="4" w:space="0" w:color="auto"/>
            </w:tcBorders>
            <w:shd w:val="clear" w:color="auto" w:fill="auto"/>
            <w:noWrap/>
            <w:hideMark/>
          </w:tcPr>
          <w:p w:rsidR="00B149DE" w:rsidRPr="00A27A71" w:rsidRDefault="00B149DE" w:rsidP="00F94F72">
            <w:pPr>
              <w:jc w:val="center"/>
              <w:rPr>
                <w:b/>
                <w:bCs/>
                <w:color w:val="000000"/>
                <w:sz w:val="20"/>
                <w:szCs w:val="20"/>
              </w:rPr>
            </w:pPr>
            <w:r w:rsidRPr="00A27A71">
              <w:rPr>
                <w:b/>
                <w:bCs/>
                <w:color w:val="000000"/>
                <w:sz w:val="20"/>
                <w:szCs w:val="20"/>
              </w:rPr>
              <w:t>ODP tonnes</w:t>
            </w:r>
          </w:p>
        </w:tc>
        <w:tc>
          <w:tcPr>
            <w:tcW w:w="1105" w:type="dxa"/>
            <w:tcBorders>
              <w:top w:val="single" w:sz="4" w:space="0" w:color="auto"/>
              <w:left w:val="nil"/>
              <w:bottom w:val="single" w:sz="4" w:space="0" w:color="auto"/>
              <w:right w:val="single" w:sz="4" w:space="0" w:color="auto"/>
            </w:tcBorders>
            <w:shd w:val="clear" w:color="auto" w:fill="auto"/>
            <w:hideMark/>
          </w:tcPr>
          <w:p w:rsidR="00B149DE" w:rsidRPr="00A27A71" w:rsidRDefault="00B149DE" w:rsidP="00B149DE">
            <w:pPr>
              <w:jc w:val="center"/>
              <w:rPr>
                <w:b/>
                <w:bCs/>
                <w:color w:val="000000"/>
                <w:sz w:val="20"/>
                <w:szCs w:val="20"/>
              </w:rPr>
            </w:pPr>
            <w:r w:rsidRPr="00A27A71">
              <w:rPr>
                <w:b/>
                <w:bCs/>
                <w:color w:val="000000"/>
                <w:sz w:val="20"/>
                <w:szCs w:val="20"/>
                <w:lang w:eastAsia="pt-BR"/>
              </w:rPr>
              <w:t>Incremen-tal capital cost (ICC) (US $)</w:t>
            </w:r>
          </w:p>
        </w:tc>
        <w:tc>
          <w:tcPr>
            <w:tcW w:w="766" w:type="dxa"/>
            <w:tcBorders>
              <w:top w:val="single" w:sz="4" w:space="0" w:color="auto"/>
              <w:left w:val="nil"/>
              <w:bottom w:val="single" w:sz="4" w:space="0" w:color="auto"/>
              <w:right w:val="single" w:sz="4" w:space="0" w:color="auto"/>
            </w:tcBorders>
            <w:shd w:val="clear" w:color="auto" w:fill="auto"/>
            <w:hideMark/>
          </w:tcPr>
          <w:p w:rsidR="00B149DE" w:rsidRPr="00A27A71" w:rsidRDefault="00B149DE" w:rsidP="00F94F72">
            <w:pPr>
              <w:jc w:val="center"/>
              <w:rPr>
                <w:b/>
                <w:bCs/>
                <w:color w:val="000000"/>
                <w:sz w:val="20"/>
                <w:szCs w:val="20"/>
              </w:rPr>
            </w:pPr>
            <w:r w:rsidRPr="00A27A71">
              <w:rPr>
                <w:b/>
                <w:bCs/>
                <w:color w:val="000000"/>
                <w:sz w:val="20"/>
                <w:szCs w:val="20"/>
              </w:rPr>
              <w:t>IOC (US $)</w:t>
            </w:r>
          </w:p>
        </w:tc>
        <w:tc>
          <w:tcPr>
            <w:tcW w:w="866" w:type="dxa"/>
            <w:tcBorders>
              <w:top w:val="single" w:sz="4" w:space="0" w:color="auto"/>
              <w:left w:val="nil"/>
              <w:bottom w:val="single" w:sz="4" w:space="0" w:color="auto"/>
              <w:right w:val="single" w:sz="4" w:space="0" w:color="auto"/>
            </w:tcBorders>
            <w:shd w:val="clear" w:color="auto" w:fill="auto"/>
            <w:hideMark/>
          </w:tcPr>
          <w:p w:rsidR="00B149DE" w:rsidRPr="00A27A71" w:rsidRDefault="00B149DE" w:rsidP="00F76143">
            <w:pPr>
              <w:jc w:val="center"/>
              <w:rPr>
                <w:b/>
                <w:bCs/>
                <w:color w:val="000000"/>
                <w:sz w:val="20"/>
                <w:szCs w:val="20"/>
              </w:rPr>
            </w:pPr>
            <w:r w:rsidRPr="00A27A71">
              <w:rPr>
                <w:b/>
                <w:bCs/>
                <w:color w:val="000000"/>
                <w:sz w:val="20"/>
                <w:szCs w:val="20"/>
              </w:rPr>
              <w:t>Total (US $)</w:t>
            </w:r>
          </w:p>
        </w:tc>
        <w:tc>
          <w:tcPr>
            <w:tcW w:w="1105" w:type="dxa"/>
            <w:tcBorders>
              <w:top w:val="single" w:sz="4" w:space="0" w:color="auto"/>
              <w:left w:val="nil"/>
              <w:bottom w:val="single" w:sz="4" w:space="0" w:color="auto"/>
              <w:right w:val="single" w:sz="4" w:space="0" w:color="auto"/>
            </w:tcBorders>
            <w:shd w:val="clear" w:color="auto" w:fill="auto"/>
            <w:hideMark/>
          </w:tcPr>
          <w:p w:rsidR="00B149DE" w:rsidRPr="00A27A71" w:rsidRDefault="00B149DE" w:rsidP="00F94F72">
            <w:pPr>
              <w:jc w:val="center"/>
              <w:rPr>
                <w:b/>
                <w:bCs/>
                <w:color w:val="000000"/>
                <w:sz w:val="20"/>
                <w:szCs w:val="20"/>
              </w:rPr>
            </w:pPr>
            <w:r w:rsidRPr="00A27A71">
              <w:rPr>
                <w:b/>
                <w:bCs/>
                <w:color w:val="000000"/>
                <w:sz w:val="20"/>
                <w:szCs w:val="20"/>
              </w:rPr>
              <w:t>Requested funding (US $)</w:t>
            </w:r>
          </w:p>
        </w:tc>
        <w:tc>
          <w:tcPr>
            <w:tcW w:w="609" w:type="dxa"/>
            <w:tcBorders>
              <w:top w:val="single" w:sz="4" w:space="0" w:color="auto"/>
              <w:left w:val="nil"/>
              <w:bottom w:val="single" w:sz="4" w:space="0" w:color="auto"/>
              <w:right w:val="single" w:sz="4" w:space="0" w:color="auto"/>
            </w:tcBorders>
          </w:tcPr>
          <w:p w:rsidR="00B149DE" w:rsidRPr="00A27A71" w:rsidRDefault="00B149DE" w:rsidP="00F94F72">
            <w:pPr>
              <w:jc w:val="center"/>
              <w:rPr>
                <w:b/>
                <w:bCs/>
                <w:color w:val="000000"/>
                <w:sz w:val="20"/>
                <w:szCs w:val="20"/>
                <w:highlight w:val="cyan"/>
              </w:rPr>
            </w:pPr>
            <w:r w:rsidRPr="00A27A71">
              <w:rPr>
                <w:b/>
                <w:bCs/>
                <w:color w:val="000000"/>
                <w:sz w:val="20"/>
                <w:szCs w:val="20"/>
              </w:rPr>
              <w:t>CE</w:t>
            </w:r>
          </w:p>
        </w:tc>
      </w:tr>
      <w:tr w:rsidR="003C5CB6" w:rsidRPr="00A27A71" w:rsidTr="00DE50BB">
        <w:trPr>
          <w:trHeight w:val="255"/>
        </w:trPr>
        <w:tc>
          <w:tcPr>
            <w:tcW w:w="1127" w:type="dxa"/>
            <w:tcBorders>
              <w:top w:val="nil"/>
              <w:left w:val="single" w:sz="4" w:space="0" w:color="auto"/>
              <w:bottom w:val="single" w:sz="4" w:space="0" w:color="auto"/>
              <w:right w:val="single" w:sz="4" w:space="0" w:color="auto"/>
            </w:tcBorders>
            <w:shd w:val="clear" w:color="auto" w:fill="auto"/>
            <w:hideMark/>
          </w:tcPr>
          <w:p w:rsidR="003C5CB6" w:rsidRPr="00A27A71" w:rsidRDefault="003C5CB6" w:rsidP="00DE50BB">
            <w:pPr>
              <w:jc w:val="left"/>
              <w:rPr>
                <w:color w:val="000000"/>
                <w:sz w:val="20"/>
                <w:szCs w:val="20"/>
              </w:rPr>
            </w:pPr>
            <w:r w:rsidRPr="00A27A71">
              <w:rPr>
                <w:color w:val="000000"/>
                <w:sz w:val="20"/>
                <w:szCs w:val="20"/>
              </w:rPr>
              <w:t>Bahgat</w:t>
            </w:r>
          </w:p>
        </w:tc>
        <w:tc>
          <w:tcPr>
            <w:tcW w:w="1383" w:type="dxa"/>
            <w:tcBorders>
              <w:top w:val="nil"/>
              <w:left w:val="nil"/>
              <w:bottom w:val="single" w:sz="4" w:space="0" w:color="auto"/>
              <w:right w:val="single" w:sz="4" w:space="0" w:color="auto"/>
            </w:tcBorders>
            <w:shd w:val="clear" w:color="auto" w:fill="auto"/>
            <w:noWrap/>
            <w:hideMark/>
          </w:tcPr>
          <w:p w:rsidR="003C5CB6" w:rsidRPr="00A27A71" w:rsidRDefault="00DE50BB" w:rsidP="00DE50BB">
            <w:pPr>
              <w:jc w:val="left"/>
              <w:rPr>
                <w:color w:val="000000"/>
                <w:sz w:val="20"/>
                <w:szCs w:val="20"/>
              </w:rPr>
            </w:pPr>
            <w:r>
              <w:rPr>
                <w:color w:val="000000"/>
                <w:sz w:val="20"/>
                <w:szCs w:val="20"/>
              </w:rPr>
              <w:t>D</w:t>
            </w:r>
            <w:r w:rsidR="003C5CB6" w:rsidRPr="00A27A71">
              <w:rPr>
                <w:color w:val="000000"/>
                <w:sz w:val="20"/>
                <w:szCs w:val="20"/>
              </w:rPr>
              <w:t>omestic refrigeration manufacturing</w:t>
            </w:r>
          </w:p>
        </w:tc>
        <w:tc>
          <w:tcPr>
            <w:tcW w:w="127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left"/>
              <w:rPr>
                <w:color w:val="000000"/>
                <w:sz w:val="20"/>
                <w:szCs w:val="20"/>
              </w:rPr>
            </w:pPr>
            <w:r w:rsidRPr="00A27A71">
              <w:rPr>
                <w:color w:val="000000"/>
                <w:sz w:val="20"/>
                <w:szCs w:val="20"/>
              </w:rPr>
              <w:t>cyclopentane</w:t>
            </w:r>
          </w:p>
        </w:tc>
        <w:tc>
          <w:tcPr>
            <w:tcW w:w="82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14.3</w:t>
            </w:r>
          </w:p>
        </w:tc>
        <w:tc>
          <w:tcPr>
            <w:tcW w:w="772"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1.57</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231,000</w:t>
            </w:r>
          </w:p>
        </w:tc>
        <w:tc>
          <w:tcPr>
            <w:tcW w:w="7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0</w:t>
            </w:r>
          </w:p>
        </w:tc>
        <w:tc>
          <w:tcPr>
            <w:tcW w:w="8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231,000</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231,000</w:t>
            </w:r>
          </w:p>
        </w:tc>
        <w:tc>
          <w:tcPr>
            <w:tcW w:w="609" w:type="dxa"/>
            <w:tcBorders>
              <w:top w:val="nil"/>
              <w:left w:val="nil"/>
              <w:bottom w:val="single" w:sz="4" w:space="0" w:color="auto"/>
              <w:right w:val="single" w:sz="4" w:space="0" w:color="auto"/>
            </w:tcBorders>
          </w:tcPr>
          <w:p w:rsidR="003C5CB6" w:rsidRPr="00A27A71" w:rsidRDefault="003C5CB6" w:rsidP="00DE50BB">
            <w:pPr>
              <w:jc w:val="right"/>
              <w:rPr>
                <w:color w:val="000000"/>
                <w:sz w:val="20"/>
                <w:szCs w:val="20"/>
              </w:rPr>
            </w:pPr>
            <w:r w:rsidRPr="00A27A71">
              <w:rPr>
                <w:color w:val="000000"/>
                <w:sz w:val="20"/>
                <w:szCs w:val="20"/>
              </w:rPr>
              <w:t>16.15</w:t>
            </w:r>
          </w:p>
        </w:tc>
      </w:tr>
      <w:tr w:rsidR="003C5CB6" w:rsidRPr="00A27A71" w:rsidTr="00DE50BB">
        <w:trPr>
          <w:trHeight w:val="255"/>
        </w:trPr>
        <w:tc>
          <w:tcPr>
            <w:tcW w:w="1127" w:type="dxa"/>
            <w:tcBorders>
              <w:top w:val="nil"/>
              <w:left w:val="single" w:sz="4" w:space="0" w:color="auto"/>
              <w:bottom w:val="single" w:sz="4" w:space="0" w:color="auto"/>
              <w:right w:val="single" w:sz="4" w:space="0" w:color="auto"/>
            </w:tcBorders>
            <w:shd w:val="clear" w:color="auto" w:fill="auto"/>
            <w:hideMark/>
          </w:tcPr>
          <w:p w:rsidR="003C5CB6" w:rsidRPr="00A27A71" w:rsidRDefault="003C5CB6" w:rsidP="00DE50BB">
            <w:pPr>
              <w:jc w:val="left"/>
              <w:rPr>
                <w:color w:val="000000"/>
                <w:sz w:val="20"/>
                <w:szCs w:val="20"/>
              </w:rPr>
            </w:pPr>
            <w:r w:rsidRPr="00A27A71">
              <w:rPr>
                <w:color w:val="000000"/>
                <w:sz w:val="20"/>
                <w:szCs w:val="20"/>
              </w:rPr>
              <w:t>Everest</w:t>
            </w:r>
          </w:p>
        </w:tc>
        <w:tc>
          <w:tcPr>
            <w:tcW w:w="1383" w:type="dxa"/>
            <w:tcBorders>
              <w:top w:val="nil"/>
              <w:left w:val="nil"/>
              <w:bottom w:val="single" w:sz="4" w:space="0" w:color="auto"/>
              <w:right w:val="single" w:sz="4" w:space="0" w:color="auto"/>
            </w:tcBorders>
            <w:shd w:val="clear" w:color="auto" w:fill="auto"/>
            <w:noWrap/>
            <w:hideMark/>
          </w:tcPr>
          <w:p w:rsidR="003C5CB6" w:rsidRPr="00A27A71" w:rsidRDefault="00DE50BB" w:rsidP="00DE50BB">
            <w:pPr>
              <w:jc w:val="left"/>
              <w:rPr>
                <w:color w:val="000000"/>
                <w:sz w:val="20"/>
                <w:szCs w:val="20"/>
              </w:rPr>
            </w:pPr>
            <w:r>
              <w:rPr>
                <w:color w:val="000000"/>
                <w:sz w:val="20"/>
                <w:szCs w:val="20"/>
              </w:rPr>
              <w:t>D</w:t>
            </w:r>
            <w:r w:rsidR="003C5CB6" w:rsidRPr="00A27A71">
              <w:rPr>
                <w:color w:val="000000"/>
                <w:sz w:val="20"/>
                <w:szCs w:val="20"/>
              </w:rPr>
              <w:t>omestic refrigeration manufacturing</w:t>
            </w:r>
          </w:p>
        </w:tc>
        <w:tc>
          <w:tcPr>
            <w:tcW w:w="127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left"/>
              <w:rPr>
                <w:color w:val="000000"/>
                <w:sz w:val="20"/>
                <w:szCs w:val="20"/>
              </w:rPr>
            </w:pPr>
            <w:r w:rsidRPr="00A27A71">
              <w:rPr>
                <w:color w:val="000000"/>
                <w:sz w:val="20"/>
                <w:szCs w:val="20"/>
              </w:rPr>
              <w:t>cyclopentane</w:t>
            </w:r>
          </w:p>
        </w:tc>
        <w:tc>
          <w:tcPr>
            <w:tcW w:w="82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74.3</w:t>
            </w:r>
          </w:p>
        </w:tc>
        <w:tc>
          <w:tcPr>
            <w:tcW w:w="772"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8.17</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308,000</w:t>
            </w:r>
          </w:p>
        </w:tc>
        <w:tc>
          <w:tcPr>
            <w:tcW w:w="7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0</w:t>
            </w:r>
          </w:p>
        </w:tc>
        <w:tc>
          <w:tcPr>
            <w:tcW w:w="8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308,000</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308,000</w:t>
            </w:r>
          </w:p>
        </w:tc>
        <w:tc>
          <w:tcPr>
            <w:tcW w:w="609" w:type="dxa"/>
            <w:tcBorders>
              <w:top w:val="nil"/>
              <w:left w:val="nil"/>
              <w:bottom w:val="single" w:sz="4" w:space="0" w:color="auto"/>
              <w:right w:val="single" w:sz="4" w:space="0" w:color="auto"/>
            </w:tcBorders>
          </w:tcPr>
          <w:p w:rsidR="003C5CB6" w:rsidRPr="00A27A71" w:rsidRDefault="003C5CB6" w:rsidP="00DE50BB">
            <w:pPr>
              <w:jc w:val="right"/>
              <w:rPr>
                <w:color w:val="000000"/>
                <w:sz w:val="20"/>
                <w:szCs w:val="20"/>
              </w:rPr>
            </w:pPr>
            <w:r w:rsidRPr="00A27A71">
              <w:rPr>
                <w:color w:val="000000"/>
                <w:sz w:val="20"/>
                <w:szCs w:val="20"/>
              </w:rPr>
              <w:t>4.15</w:t>
            </w:r>
          </w:p>
        </w:tc>
      </w:tr>
      <w:tr w:rsidR="003C5CB6" w:rsidRPr="00A27A71" w:rsidTr="00DE50BB">
        <w:trPr>
          <w:trHeight w:val="255"/>
        </w:trPr>
        <w:tc>
          <w:tcPr>
            <w:tcW w:w="1127" w:type="dxa"/>
            <w:tcBorders>
              <w:top w:val="nil"/>
              <w:left w:val="single" w:sz="4" w:space="0" w:color="auto"/>
              <w:bottom w:val="single" w:sz="4" w:space="0" w:color="auto"/>
              <w:right w:val="single" w:sz="4" w:space="0" w:color="auto"/>
            </w:tcBorders>
            <w:shd w:val="clear" w:color="auto" w:fill="auto"/>
            <w:hideMark/>
          </w:tcPr>
          <w:p w:rsidR="003C5CB6" w:rsidRPr="00A27A71" w:rsidRDefault="003C5CB6" w:rsidP="00DE50BB">
            <w:pPr>
              <w:jc w:val="left"/>
              <w:rPr>
                <w:color w:val="000000"/>
                <w:sz w:val="20"/>
                <w:szCs w:val="20"/>
              </w:rPr>
            </w:pPr>
            <w:r w:rsidRPr="00A27A71">
              <w:rPr>
                <w:color w:val="000000"/>
                <w:sz w:val="20"/>
                <w:szCs w:val="20"/>
              </w:rPr>
              <w:t>Fresh</w:t>
            </w:r>
          </w:p>
        </w:tc>
        <w:tc>
          <w:tcPr>
            <w:tcW w:w="1383" w:type="dxa"/>
            <w:tcBorders>
              <w:top w:val="nil"/>
              <w:left w:val="nil"/>
              <w:bottom w:val="single" w:sz="4" w:space="0" w:color="auto"/>
              <w:right w:val="single" w:sz="4" w:space="0" w:color="auto"/>
            </w:tcBorders>
            <w:shd w:val="clear" w:color="auto" w:fill="auto"/>
            <w:noWrap/>
            <w:hideMark/>
          </w:tcPr>
          <w:p w:rsidR="003C5CB6" w:rsidRPr="00A27A71" w:rsidRDefault="00DE50BB" w:rsidP="00DE50BB">
            <w:pPr>
              <w:jc w:val="left"/>
              <w:rPr>
                <w:color w:val="000000"/>
                <w:sz w:val="20"/>
                <w:szCs w:val="20"/>
              </w:rPr>
            </w:pPr>
            <w:r>
              <w:rPr>
                <w:color w:val="000000"/>
                <w:sz w:val="20"/>
                <w:szCs w:val="20"/>
              </w:rPr>
              <w:t>D</w:t>
            </w:r>
            <w:r w:rsidR="003C5CB6" w:rsidRPr="00A27A71">
              <w:rPr>
                <w:color w:val="000000"/>
                <w:sz w:val="20"/>
                <w:szCs w:val="20"/>
              </w:rPr>
              <w:t>omestic refrigeration manufacturing</w:t>
            </w:r>
          </w:p>
        </w:tc>
        <w:tc>
          <w:tcPr>
            <w:tcW w:w="127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left"/>
              <w:rPr>
                <w:color w:val="000000"/>
                <w:sz w:val="20"/>
                <w:szCs w:val="20"/>
              </w:rPr>
            </w:pPr>
            <w:r w:rsidRPr="00A27A71">
              <w:rPr>
                <w:color w:val="000000"/>
                <w:sz w:val="20"/>
                <w:szCs w:val="20"/>
              </w:rPr>
              <w:t>cyclopentane</w:t>
            </w:r>
          </w:p>
        </w:tc>
        <w:tc>
          <w:tcPr>
            <w:tcW w:w="82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102.0</w:t>
            </w:r>
          </w:p>
        </w:tc>
        <w:tc>
          <w:tcPr>
            <w:tcW w:w="772"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11.22</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874,500</w:t>
            </w:r>
          </w:p>
        </w:tc>
        <w:tc>
          <w:tcPr>
            <w:tcW w:w="7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0</w:t>
            </w:r>
          </w:p>
        </w:tc>
        <w:tc>
          <w:tcPr>
            <w:tcW w:w="8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874,500</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874,500</w:t>
            </w:r>
          </w:p>
        </w:tc>
        <w:tc>
          <w:tcPr>
            <w:tcW w:w="609" w:type="dxa"/>
            <w:tcBorders>
              <w:top w:val="nil"/>
              <w:left w:val="nil"/>
              <w:bottom w:val="single" w:sz="4" w:space="0" w:color="auto"/>
              <w:right w:val="single" w:sz="4" w:space="0" w:color="auto"/>
            </w:tcBorders>
          </w:tcPr>
          <w:p w:rsidR="003C5CB6" w:rsidRPr="00A27A71" w:rsidRDefault="003C5CB6" w:rsidP="00DE50BB">
            <w:pPr>
              <w:jc w:val="right"/>
              <w:rPr>
                <w:color w:val="000000"/>
                <w:sz w:val="20"/>
                <w:szCs w:val="20"/>
              </w:rPr>
            </w:pPr>
            <w:r w:rsidRPr="00A27A71">
              <w:rPr>
                <w:color w:val="000000"/>
                <w:sz w:val="20"/>
                <w:szCs w:val="20"/>
              </w:rPr>
              <w:t>8.57</w:t>
            </w:r>
          </w:p>
        </w:tc>
      </w:tr>
      <w:tr w:rsidR="003C5CB6" w:rsidRPr="00A27A71" w:rsidTr="00DE50BB">
        <w:trPr>
          <w:trHeight w:val="255"/>
        </w:trPr>
        <w:tc>
          <w:tcPr>
            <w:tcW w:w="1127" w:type="dxa"/>
            <w:tcBorders>
              <w:top w:val="nil"/>
              <w:left w:val="single" w:sz="4" w:space="0" w:color="auto"/>
              <w:bottom w:val="single" w:sz="4" w:space="0" w:color="auto"/>
              <w:right w:val="single" w:sz="4" w:space="0" w:color="auto"/>
            </w:tcBorders>
            <w:shd w:val="clear" w:color="auto" w:fill="auto"/>
            <w:hideMark/>
          </w:tcPr>
          <w:p w:rsidR="003C5CB6" w:rsidRPr="00A27A71" w:rsidRDefault="003C5CB6" w:rsidP="00DE50BB">
            <w:pPr>
              <w:jc w:val="left"/>
              <w:rPr>
                <w:color w:val="000000"/>
                <w:sz w:val="20"/>
                <w:szCs w:val="20"/>
              </w:rPr>
            </w:pPr>
            <w:r w:rsidRPr="00A27A71">
              <w:rPr>
                <w:color w:val="000000"/>
                <w:sz w:val="20"/>
                <w:szCs w:val="20"/>
              </w:rPr>
              <w:t>Ocean</w:t>
            </w:r>
          </w:p>
        </w:tc>
        <w:tc>
          <w:tcPr>
            <w:tcW w:w="1383" w:type="dxa"/>
            <w:tcBorders>
              <w:top w:val="nil"/>
              <w:left w:val="nil"/>
              <w:bottom w:val="single" w:sz="4" w:space="0" w:color="auto"/>
              <w:right w:val="single" w:sz="4" w:space="0" w:color="auto"/>
            </w:tcBorders>
            <w:shd w:val="clear" w:color="auto" w:fill="auto"/>
            <w:noWrap/>
            <w:hideMark/>
          </w:tcPr>
          <w:p w:rsidR="003C5CB6" w:rsidRPr="00A27A71" w:rsidRDefault="00DE50BB" w:rsidP="00DE50BB">
            <w:pPr>
              <w:jc w:val="left"/>
              <w:rPr>
                <w:color w:val="000000"/>
                <w:sz w:val="20"/>
                <w:szCs w:val="20"/>
              </w:rPr>
            </w:pPr>
            <w:r>
              <w:rPr>
                <w:color w:val="000000"/>
                <w:sz w:val="20"/>
                <w:szCs w:val="20"/>
              </w:rPr>
              <w:t>D</w:t>
            </w:r>
            <w:r w:rsidR="003C5CB6" w:rsidRPr="00A27A71">
              <w:rPr>
                <w:color w:val="000000"/>
                <w:sz w:val="20"/>
                <w:szCs w:val="20"/>
              </w:rPr>
              <w:t>omestic refrigeration manufacturing</w:t>
            </w:r>
          </w:p>
        </w:tc>
        <w:tc>
          <w:tcPr>
            <w:tcW w:w="127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left"/>
              <w:rPr>
                <w:color w:val="000000"/>
                <w:sz w:val="20"/>
                <w:szCs w:val="20"/>
              </w:rPr>
            </w:pPr>
            <w:r w:rsidRPr="00A27A71">
              <w:rPr>
                <w:color w:val="000000"/>
                <w:sz w:val="20"/>
                <w:szCs w:val="20"/>
              </w:rPr>
              <w:t>cyclopentane</w:t>
            </w:r>
          </w:p>
        </w:tc>
        <w:tc>
          <w:tcPr>
            <w:tcW w:w="82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16.0</w:t>
            </w:r>
          </w:p>
        </w:tc>
        <w:tc>
          <w:tcPr>
            <w:tcW w:w="772"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1.76</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225,500</w:t>
            </w:r>
          </w:p>
        </w:tc>
        <w:tc>
          <w:tcPr>
            <w:tcW w:w="7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0</w:t>
            </w:r>
          </w:p>
        </w:tc>
        <w:tc>
          <w:tcPr>
            <w:tcW w:w="8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225,500</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225,500</w:t>
            </w:r>
          </w:p>
        </w:tc>
        <w:tc>
          <w:tcPr>
            <w:tcW w:w="609" w:type="dxa"/>
            <w:tcBorders>
              <w:top w:val="nil"/>
              <w:left w:val="nil"/>
              <w:bottom w:val="single" w:sz="4" w:space="0" w:color="auto"/>
              <w:right w:val="single" w:sz="4" w:space="0" w:color="auto"/>
            </w:tcBorders>
          </w:tcPr>
          <w:p w:rsidR="003C5CB6" w:rsidRPr="00A27A71" w:rsidRDefault="003C5CB6" w:rsidP="00DE50BB">
            <w:pPr>
              <w:jc w:val="right"/>
              <w:rPr>
                <w:color w:val="000000"/>
                <w:sz w:val="20"/>
                <w:szCs w:val="20"/>
              </w:rPr>
            </w:pPr>
            <w:r w:rsidRPr="00A27A71">
              <w:rPr>
                <w:color w:val="000000"/>
                <w:sz w:val="20"/>
                <w:szCs w:val="20"/>
              </w:rPr>
              <w:t>14.09</w:t>
            </w:r>
          </w:p>
        </w:tc>
      </w:tr>
      <w:tr w:rsidR="003C5CB6" w:rsidRPr="00A27A71" w:rsidTr="00DE50BB">
        <w:trPr>
          <w:trHeight w:val="255"/>
        </w:trPr>
        <w:tc>
          <w:tcPr>
            <w:tcW w:w="1127" w:type="dxa"/>
            <w:tcBorders>
              <w:top w:val="nil"/>
              <w:left w:val="single" w:sz="4" w:space="0" w:color="auto"/>
              <w:bottom w:val="single" w:sz="4" w:space="0" w:color="auto"/>
              <w:right w:val="single" w:sz="4" w:space="0" w:color="auto"/>
            </w:tcBorders>
            <w:shd w:val="clear" w:color="auto" w:fill="auto"/>
            <w:hideMark/>
          </w:tcPr>
          <w:p w:rsidR="003C5CB6" w:rsidRPr="00A27A71" w:rsidRDefault="003C5CB6" w:rsidP="00DE50BB">
            <w:pPr>
              <w:jc w:val="left"/>
              <w:rPr>
                <w:color w:val="000000"/>
                <w:sz w:val="20"/>
                <w:szCs w:val="20"/>
              </w:rPr>
            </w:pPr>
            <w:r w:rsidRPr="00A27A71">
              <w:rPr>
                <w:color w:val="000000"/>
                <w:sz w:val="20"/>
                <w:szCs w:val="20"/>
              </w:rPr>
              <w:t>Siltal</w:t>
            </w:r>
          </w:p>
        </w:tc>
        <w:tc>
          <w:tcPr>
            <w:tcW w:w="1383" w:type="dxa"/>
            <w:tcBorders>
              <w:top w:val="nil"/>
              <w:left w:val="nil"/>
              <w:bottom w:val="single" w:sz="4" w:space="0" w:color="auto"/>
              <w:right w:val="single" w:sz="4" w:space="0" w:color="auto"/>
            </w:tcBorders>
            <w:shd w:val="clear" w:color="auto" w:fill="auto"/>
            <w:noWrap/>
            <w:hideMark/>
          </w:tcPr>
          <w:p w:rsidR="003C5CB6" w:rsidRPr="00A27A71" w:rsidRDefault="00DE50BB" w:rsidP="00DE50BB">
            <w:pPr>
              <w:jc w:val="left"/>
              <w:rPr>
                <w:color w:val="000000"/>
                <w:sz w:val="20"/>
                <w:szCs w:val="20"/>
              </w:rPr>
            </w:pPr>
            <w:r>
              <w:rPr>
                <w:color w:val="000000"/>
                <w:sz w:val="20"/>
                <w:szCs w:val="20"/>
              </w:rPr>
              <w:t>D</w:t>
            </w:r>
            <w:r w:rsidR="003C5CB6" w:rsidRPr="00A27A71">
              <w:rPr>
                <w:color w:val="000000"/>
                <w:sz w:val="20"/>
                <w:szCs w:val="20"/>
              </w:rPr>
              <w:t>omestic refrigeration manufacturing</w:t>
            </w:r>
          </w:p>
        </w:tc>
        <w:tc>
          <w:tcPr>
            <w:tcW w:w="127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left"/>
              <w:rPr>
                <w:color w:val="000000"/>
                <w:sz w:val="20"/>
                <w:szCs w:val="20"/>
              </w:rPr>
            </w:pPr>
            <w:r w:rsidRPr="00A27A71">
              <w:rPr>
                <w:color w:val="000000"/>
                <w:sz w:val="20"/>
                <w:szCs w:val="20"/>
              </w:rPr>
              <w:t>cyclopentane</w:t>
            </w:r>
          </w:p>
        </w:tc>
        <w:tc>
          <w:tcPr>
            <w:tcW w:w="82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15.0</w:t>
            </w:r>
          </w:p>
        </w:tc>
        <w:tc>
          <w:tcPr>
            <w:tcW w:w="772"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1.65</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429,000</w:t>
            </w:r>
          </w:p>
        </w:tc>
        <w:tc>
          <w:tcPr>
            <w:tcW w:w="7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0</w:t>
            </w:r>
          </w:p>
        </w:tc>
        <w:tc>
          <w:tcPr>
            <w:tcW w:w="8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429,000</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328,860</w:t>
            </w:r>
          </w:p>
        </w:tc>
        <w:tc>
          <w:tcPr>
            <w:tcW w:w="609" w:type="dxa"/>
            <w:tcBorders>
              <w:top w:val="nil"/>
              <w:left w:val="nil"/>
              <w:bottom w:val="single" w:sz="4" w:space="0" w:color="auto"/>
              <w:right w:val="single" w:sz="4" w:space="0" w:color="auto"/>
            </w:tcBorders>
          </w:tcPr>
          <w:p w:rsidR="003C5CB6" w:rsidRPr="00A27A71" w:rsidRDefault="003C5CB6" w:rsidP="00DE50BB">
            <w:pPr>
              <w:jc w:val="right"/>
              <w:rPr>
                <w:color w:val="000000"/>
                <w:sz w:val="20"/>
                <w:szCs w:val="20"/>
              </w:rPr>
            </w:pPr>
            <w:r w:rsidRPr="00A27A71">
              <w:rPr>
                <w:color w:val="000000"/>
                <w:sz w:val="20"/>
                <w:szCs w:val="20"/>
              </w:rPr>
              <w:t>21.92</w:t>
            </w:r>
          </w:p>
        </w:tc>
      </w:tr>
      <w:tr w:rsidR="003C5CB6" w:rsidRPr="00A27A71" w:rsidTr="00DE50BB">
        <w:trPr>
          <w:trHeight w:val="255"/>
        </w:trPr>
        <w:tc>
          <w:tcPr>
            <w:tcW w:w="1127" w:type="dxa"/>
            <w:tcBorders>
              <w:top w:val="nil"/>
              <w:left w:val="single" w:sz="4" w:space="0" w:color="auto"/>
              <w:bottom w:val="single" w:sz="4" w:space="0" w:color="auto"/>
              <w:right w:val="single" w:sz="4" w:space="0" w:color="auto"/>
            </w:tcBorders>
            <w:shd w:val="clear" w:color="auto" w:fill="auto"/>
            <w:hideMark/>
          </w:tcPr>
          <w:p w:rsidR="003C5CB6" w:rsidRPr="00A27A71" w:rsidRDefault="003C5CB6" w:rsidP="00DE50BB">
            <w:pPr>
              <w:jc w:val="left"/>
              <w:rPr>
                <w:color w:val="000000"/>
                <w:sz w:val="20"/>
                <w:szCs w:val="20"/>
              </w:rPr>
            </w:pPr>
            <w:r w:rsidRPr="00A27A71">
              <w:rPr>
                <w:color w:val="000000"/>
                <w:sz w:val="20"/>
                <w:szCs w:val="20"/>
              </w:rPr>
              <w:t>Star</w:t>
            </w:r>
          </w:p>
        </w:tc>
        <w:tc>
          <w:tcPr>
            <w:tcW w:w="1383" w:type="dxa"/>
            <w:tcBorders>
              <w:top w:val="nil"/>
              <w:left w:val="nil"/>
              <w:bottom w:val="single" w:sz="4" w:space="0" w:color="auto"/>
              <w:right w:val="single" w:sz="4" w:space="0" w:color="auto"/>
            </w:tcBorders>
            <w:shd w:val="clear" w:color="auto" w:fill="auto"/>
            <w:noWrap/>
            <w:hideMark/>
          </w:tcPr>
          <w:p w:rsidR="003C5CB6" w:rsidRPr="00A27A71" w:rsidRDefault="00DE50BB" w:rsidP="00DE50BB">
            <w:pPr>
              <w:jc w:val="left"/>
              <w:rPr>
                <w:color w:val="000000"/>
                <w:sz w:val="20"/>
                <w:szCs w:val="20"/>
              </w:rPr>
            </w:pPr>
            <w:r>
              <w:rPr>
                <w:color w:val="000000"/>
                <w:sz w:val="20"/>
                <w:szCs w:val="20"/>
              </w:rPr>
              <w:t>D</w:t>
            </w:r>
            <w:r w:rsidR="003C5CB6" w:rsidRPr="00A27A71">
              <w:rPr>
                <w:color w:val="000000"/>
                <w:sz w:val="20"/>
                <w:szCs w:val="20"/>
              </w:rPr>
              <w:t>omestic refrigeration manufacturing</w:t>
            </w:r>
          </w:p>
        </w:tc>
        <w:tc>
          <w:tcPr>
            <w:tcW w:w="127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left"/>
              <w:rPr>
                <w:color w:val="000000"/>
                <w:sz w:val="20"/>
                <w:szCs w:val="20"/>
              </w:rPr>
            </w:pPr>
            <w:r w:rsidRPr="00A27A71">
              <w:rPr>
                <w:color w:val="000000"/>
                <w:sz w:val="20"/>
                <w:szCs w:val="20"/>
              </w:rPr>
              <w:t>cyclopentane</w:t>
            </w:r>
          </w:p>
        </w:tc>
        <w:tc>
          <w:tcPr>
            <w:tcW w:w="821" w:type="dxa"/>
            <w:tcBorders>
              <w:top w:val="nil"/>
              <w:left w:val="nil"/>
              <w:bottom w:val="single" w:sz="4" w:space="0" w:color="auto"/>
              <w:right w:val="single" w:sz="4" w:space="0" w:color="auto"/>
            </w:tcBorders>
            <w:shd w:val="clear" w:color="auto" w:fill="auto"/>
            <w:noWrap/>
            <w:hideMark/>
          </w:tcPr>
          <w:p w:rsidR="003C5CB6" w:rsidRPr="00A27A71" w:rsidRDefault="002105BB" w:rsidP="00DE50BB">
            <w:pPr>
              <w:jc w:val="right"/>
              <w:rPr>
                <w:color w:val="000000"/>
                <w:sz w:val="20"/>
                <w:szCs w:val="20"/>
              </w:rPr>
            </w:pPr>
            <w:r w:rsidRPr="00A27A71">
              <w:rPr>
                <w:color w:val="000000"/>
                <w:sz w:val="20"/>
                <w:szCs w:val="20"/>
              </w:rPr>
              <w:t>55</w:t>
            </w:r>
            <w:r w:rsidR="003C5CB6" w:rsidRPr="00A27A71">
              <w:rPr>
                <w:color w:val="000000"/>
                <w:sz w:val="20"/>
                <w:szCs w:val="20"/>
              </w:rPr>
              <w:t>.0</w:t>
            </w:r>
          </w:p>
        </w:tc>
        <w:tc>
          <w:tcPr>
            <w:tcW w:w="772" w:type="dxa"/>
            <w:tcBorders>
              <w:top w:val="nil"/>
              <w:left w:val="nil"/>
              <w:bottom w:val="single" w:sz="4" w:space="0" w:color="auto"/>
              <w:right w:val="single" w:sz="4" w:space="0" w:color="auto"/>
            </w:tcBorders>
            <w:shd w:val="clear" w:color="auto" w:fill="auto"/>
            <w:noWrap/>
            <w:hideMark/>
          </w:tcPr>
          <w:p w:rsidR="003C5CB6" w:rsidRPr="00A27A71" w:rsidRDefault="002105BB" w:rsidP="00DE50BB">
            <w:pPr>
              <w:jc w:val="right"/>
              <w:rPr>
                <w:color w:val="000000"/>
                <w:sz w:val="20"/>
                <w:szCs w:val="20"/>
              </w:rPr>
            </w:pPr>
            <w:r w:rsidRPr="00A27A71">
              <w:rPr>
                <w:color w:val="000000"/>
                <w:sz w:val="20"/>
                <w:szCs w:val="20"/>
              </w:rPr>
              <w:t>6.05</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588,500</w:t>
            </w:r>
          </w:p>
        </w:tc>
        <w:tc>
          <w:tcPr>
            <w:tcW w:w="7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0</w:t>
            </w:r>
          </w:p>
        </w:tc>
        <w:tc>
          <w:tcPr>
            <w:tcW w:w="8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588,500</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588,500</w:t>
            </w:r>
          </w:p>
        </w:tc>
        <w:tc>
          <w:tcPr>
            <w:tcW w:w="609" w:type="dxa"/>
            <w:tcBorders>
              <w:top w:val="nil"/>
              <w:left w:val="nil"/>
              <w:bottom w:val="single" w:sz="4" w:space="0" w:color="auto"/>
              <w:right w:val="single" w:sz="4" w:space="0" w:color="auto"/>
            </w:tcBorders>
          </w:tcPr>
          <w:p w:rsidR="003C5CB6" w:rsidRPr="00A27A71" w:rsidRDefault="002105BB" w:rsidP="00DE50BB">
            <w:pPr>
              <w:jc w:val="right"/>
              <w:rPr>
                <w:color w:val="000000"/>
                <w:sz w:val="20"/>
                <w:szCs w:val="20"/>
              </w:rPr>
            </w:pPr>
            <w:r w:rsidRPr="00A27A71">
              <w:rPr>
                <w:color w:val="000000"/>
                <w:sz w:val="20"/>
                <w:szCs w:val="20"/>
              </w:rPr>
              <w:t>10.70</w:t>
            </w:r>
          </w:p>
        </w:tc>
      </w:tr>
      <w:tr w:rsidR="003C5CB6" w:rsidRPr="00A27A71" w:rsidTr="00DE50BB">
        <w:trPr>
          <w:trHeight w:val="255"/>
        </w:trPr>
        <w:tc>
          <w:tcPr>
            <w:tcW w:w="1127" w:type="dxa"/>
            <w:tcBorders>
              <w:top w:val="nil"/>
              <w:left w:val="single" w:sz="4" w:space="0" w:color="auto"/>
              <w:bottom w:val="single" w:sz="4" w:space="0" w:color="auto"/>
              <w:right w:val="single" w:sz="4" w:space="0" w:color="auto"/>
            </w:tcBorders>
            <w:shd w:val="clear" w:color="auto" w:fill="auto"/>
            <w:hideMark/>
          </w:tcPr>
          <w:p w:rsidR="003C5CB6" w:rsidRPr="00A27A71" w:rsidRDefault="003C5CB6" w:rsidP="00DE50BB">
            <w:pPr>
              <w:jc w:val="left"/>
              <w:rPr>
                <w:color w:val="000000"/>
                <w:sz w:val="20"/>
                <w:szCs w:val="20"/>
              </w:rPr>
            </w:pPr>
            <w:r w:rsidRPr="00A27A71">
              <w:rPr>
                <w:color w:val="000000"/>
                <w:sz w:val="20"/>
                <w:szCs w:val="20"/>
              </w:rPr>
              <w:lastRenderedPageBreak/>
              <w:t>TopMaker</w:t>
            </w:r>
          </w:p>
        </w:tc>
        <w:tc>
          <w:tcPr>
            <w:tcW w:w="1383" w:type="dxa"/>
            <w:tcBorders>
              <w:top w:val="nil"/>
              <w:left w:val="nil"/>
              <w:bottom w:val="single" w:sz="4" w:space="0" w:color="auto"/>
              <w:right w:val="single" w:sz="4" w:space="0" w:color="auto"/>
            </w:tcBorders>
            <w:shd w:val="clear" w:color="auto" w:fill="auto"/>
            <w:noWrap/>
            <w:hideMark/>
          </w:tcPr>
          <w:p w:rsidR="003C5CB6" w:rsidRPr="00A27A71" w:rsidRDefault="00DE50BB" w:rsidP="00DE50BB">
            <w:pPr>
              <w:jc w:val="left"/>
              <w:rPr>
                <w:color w:val="000000"/>
                <w:sz w:val="20"/>
                <w:szCs w:val="20"/>
              </w:rPr>
            </w:pPr>
            <w:r>
              <w:rPr>
                <w:color w:val="000000"/>
                <w:sz w:val="20"/>
                <w:szCs w:val="20"/>
              </w:rPr>
              <w:t>D</w:t>
            </w:r>
            <w:r w:rsidR="003C5CB6" w:rsidRPr="00A27A71">
              <w:rPr>
                <w:color w:val="000000"/>
                <w:sz w:val="20"/>
                <w:szCs w:val="20"/>
              </w:rPr>
              <w:t>omestic refrigeration manufacturing</w:t>
            </w:r>
          </w:p>
        </w:tc>
        <w:tc>
          <w:tcPr>
            <w:tcW w:w="127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left"/>
              <w:rPr>
                <w:color w:val="000000"/>
                <w:sz w:val="20"/>
                <w:szCs w:val="20"/>
              </w:rPr>
            </w:pPr>
            <w:r w:rsidRPr="00A27A71">
              <w:rPr>
                <w:color w:val="000000"/>
                <w:sz w:val="20"/>
                <w:szCs w:val="20"/>
              </w:rPr>
              <w:t>cyclopentane</w:t>
            </w:r>
          </w:p>
        </w:tc>
        <w:tc>
          <w:tcPr>
            <w:tcW w:w="82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27.2</w:t>
            </w:r>
          </w:p>
        </w:tc>
        <w:tc>
          <w:tcPr>
            <w:tcW w:w="772"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2.99</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467,500</w:t>
            </w:r>
          </w:p>
        </w:tc>
        <w:tc>
          <w:tcPr>
            <w:tcW w:w="7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0</w:t>
            </w:r>
          </w:p>
        </w:tc>
        <w:tc>
          <w:tcPr>
            <w:tcW w:w="8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467,500</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467,500</w:t>
            </w:r>
          </w:p>
        </w:tc>
        <w:tc>
          <w:tcPr>
            <w:tcW w:w="609" w:type="dxa"/>
            <w:tcBorders>
              <w:top w:val="nil"/>
              <w:left w:val="nil"/>
              <w:bottom w:val="single" w:sz="4" w:space="0" w:color="auto"/>
              <w:right w:val="single" w:sz="4" w:space="0" w:color="auto"/>
            </w:tcBorders>
          </w:tcPr>
          <w:p w:rsidR="003C5CB6" w:rsidRPr="00A27A71" w:rsidRDefault="003C5CB6" w:rsidP="00DE50BB">
            <w:pPr>
              <w:jc w:val="right"/>
              <w:rPr>
                <w:color w:val="000000"/>
                <w:sz w:val="20"/>
                <w:szCs w:val="20"/>
              </w:rPr>
            </w:pPr>
            <w:r w:rsidRPr="00A27A71">
              <w:rPr>
                <w:color w:val="000000"/>
                <w:sz w:val="20"/>
                <w:szCs w:val="20"/>
              </w:rPr>
              <w:t>17.19</w:t>
            </w:r>
          </w:p>
        </w:tc>
      </w:tr>
      <w:tr w:rsidR="003C5CB6" w:rsidRPr="00A27A71" w:rsidTr="00DE50BB">
        <w:trPr>
          <w:trHeight w:val="255"/>
        </w:trPr>
        <w:tc>
          <w:tcPr>
            <w:tcW w:w="1127" w:type="dxa"/>
            <w:tcBorders>
              <w:top w:val="nil"/>
              <w:left w:val="single" w:sz="4" w:space="0" w:color="auto"/>
              <w:bottom w:val="single" w:sz="4" w:space="0" w:color="auto"/>
              <w:right w:val="single" w:sz="4" w:space="0" w:color="auto"/>
            </w:tcBorders>
            <w:shd w:val="clear" w:color="auto" w:fill="auto"/>
            <w:hideMark/>
          </w:tcPr>
          <w:p w:rsidR="003C5CB6" w:rsidRPr="00A27A71" w:rsidRDefault="003C5CB6" w:rsidP="00DE50BB">
            <w:pPr>
              <w:jc w:val="left"/>
              <w:rPr>
                <w:color w:val="000000"/>
                <w:sz w:val="20"/>
                <w:szCs w:val="20"/>
              </w:rPr>
            </w:pPr>
            <w:r w:rsidRPr="00A27A71">
              <w:rPr>
                <w:color w:val="000000"/>
                <w:sz w:val="20"/>
                <w:szCs w:val="20"/>
              </w:rPr>
              <w:t>Tredco</w:t>
            </w:r>
          </w:p>
        </w:tc>
        <w:tc>
          <w:tcPr>
            <w:tcW w:w="1383" w:type="dxa"/>
            <w:tcBorders>
              <w:top w:val="nil"/>
              <w:left w:val="nil"/>
              <w:bottom w:val="single" w:sz="4" w:space="0" w:color="auto"/>
              <w:right w:val="single" w:sz="4" w:space="0" w:color="auto"/>
            </w:tcBorders>
            <w:shd w:val="clear" w:color="auto" w:fill="auto"/>
            <w:noWrap/>
            <w:hideMark/>
          </w:tcPr>
          <w:p w:rsidR="003C5CB6" w:rsidRPr="00A27A71" w:rsidRDefault="00DE50BB" w:rsidP="00DE50BB">
            <w:pPr>
              <w:jc w:val="left"/>
              <w:rPr>
                <w:color w:val="000000"/>
                <w:sz w:val="20"/>
                <w:szCs w:val="20"/>
              </w:rPr>
            </w:pPr>
            <w:r>
              <w:rPr>
                <w:color w:val="000000"/>
                <w:sz w:val="20"/>
                <w:szCs w:val="20"/>
              </w:rPr>
              <w:t>D</w:t>
            </w:r>
            <w:r w:rsidR="003C5CB6" w:rsidRPr="00A27A71">
              <w:rPr>
                <w:color w:val="000000"/>
                <w:sz w:val="20"/>
                <w:szCs w:val="20"/>
              </w:rPr>
              <w:t>omestic refrigeration manufacturing</w:t>
            </w:r>
          </w:p>
        </w:tc>
        <w:tc>
          <w:tcPr>
            <w:tcW w:w="127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left"/>
              <w:rPr>
                <w:color w:val="000000"/>
                <w:sz w:val="20"/>
                <w:szCs w:val="20"/>
              </w:rPr>
            </w:pPr>
            <w:r w:rsidRPr="00A27A71">
              <w:rPr>
                <w:color w:val="000000"/>
                <w:sz w:val="20"/>
                <w:szCs w:val="20"/>
              </w:rPr>
              <w:t>cyclopentane</w:t>
            </w:r>
          </w:p>
        </w:tc>
        <w:tc>
          <w:tcPr>
            <w:tcW w:w="82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98.0</w:t>
            </w:r>
          </w:p>
        </w:tc>
        <w:tc>
          <w:tcPr>
            <w:tcW w:w="772"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10.78</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797,500</w:t>
            </w:r>
          </w:p>
        </w:tc>
        <w:tc>
          <w:tcPr>
            <w:tcW w:w="7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0</w:t>
            </w:r>
          </w:p>
        </w:tc>
        <w:tc>
          <w:tcPr>
            <w:tcW w:w="8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797,500</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797,500</w:t>
            </w:r>
          </w:p>
        </w:tc>
        <w:tc>
          <w:tcPr>
            <w:tcW w:w="609" w:type="dxa"/>
            <w:tcBorders>
              <w:top w:val="nil"/>
              <w:left w:val="nil"/>
              <w:bottom w:val="single" w:sz="4" w:space="0" w:color="auto"/>
              <w:right w:val="single" w:sz="4" w:space="0" w:color="auto"/>
            </w:tcBorders>
          </w:tcPr>
          <w:p w:rsidR="003C5CB6" w:rsidRPr="00A27A71" w:rsidRDefault="003C5CB6" w:rsidP="00DE50BB">
            <w:pPr>
              <w:jc w:val="right"/>
              <w:rPr>
                <w:color w:val="000000"/>
                <w:sz w:val="20"/>
                <w:szCs w:val="20"/>
              </w:rPr>
            </w:pPr>
            <w:r w:rsidRPr="00A27A71">
              <w:rPr>
                <w:color w:val="000000"/>
                <w:sz w:val="20"/>
                <w:szCs w:val="20"/>
              </w:rPr>
              <w:t>8.14</w:t>
            </w:r>
          </w:p>
        </w:tc>
      </w:tr>
      <w:tr w:rsidR="003C5CB6" w:rsidRPr="00A27A71" w:rsidTr="00DE50BB">
        <w:trPr>
          <w:trHeight w:val="255"/>
        </w:trPr>
        <w:tc>
          <w:tcPr>
            <w:tcW w:w="1127" w:type="dxa"/>
            <w:tcBorders>
              <w:top w:val="nil"/>
              <w:left w:val="single" w:sz="4" w:space="0" w:color="auto"/>
              <w:bottom w:val="single" w:sz="4" w:space="0" w:color="auto"/>
              <w:right w:val="single" w:sz="4" w:space="0" w:color="auto"/>
            </w:tcBorders>
            <w:shd w:val="clear" w:color="auto" w:fill="auto"/>
            <w:noWrap/>
            <w:hideMark/>
          </w:tcPr>
          <w:p w:rsidR="003C5CB6" w:rsidRPr="00A27A71" w:rsidRDefault="003C5CB6" w:rsidP="00DE50BB">
            <w:pPr>
              <w:jc w:val="left"/>
              <w:rPr>
                <w:color w:val="000000"/>
                <w:sz w:val="20"/>
                <w:szCs w:val="20"/>
              </w:rPr>
            </w:pPr>
            <w:r w:rsidRPr="00A27A71">
              <w:rPr>
                <w:color w:val="000000"/>
                <w:sz w:val="20"/>
                <w:szCs w:val="20"/>
              </w:rPr>
              <w:t>Kiriazi</w:t>
            </w:r>
          </w:p>
        </w:tc>
        <w:tc>
          <w:tcPr>
            <w:tcW w:w="1383"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left"/>
              <w:rPr>
                <w:color w:val="000000"/>
                <w:sz w:val="20"/>
                <w:szCs w:val="20"/>
              </w:rPr>
            </w:pPr>
            <w:r w:rsidRPr="00A27A71">
              <w:rPr>
                <w:color w:val="000000"/>
                <w:sz w:val="20"/>
                <w:szCs w:val="20"/>
              </w:rPr>
              <w:t>Water heater</w:t>
            </w:r>
          </w:p>
        </w:tc>
        <w:tc>
          <w:tcPr>
            <w:tcW w:w="127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left"/>
              <w:rPr>
                <w:color w:val="000000"/>
                <w:sz w:val="20"/>
                <w:szCs w:val="20"/>
              </w:rPr>
            </w:pPr>
            <w:r w:rsidRPr="00A27A71">
              <w:rPr>
                <w:color w:val="000000"/>
                <w:sz w:val="20"/>
                <w:szCs w:val="20"/>
              </w:rPr>
              <w:t>cyclopentane</w:t>
            </w:r>
          </w:p>
        </w:tc>
        <w:tc>
          <w:tcPr>
            <w:tcW w:w="82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18.7</w:t>
            </w:r>
          </w:p>
        </w:tc>
        <w:tc>
          <w:tcPr>
            <w:tcW w:w="772"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2.06</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176,000</w:t>
            </w:r>
          </w:p>
        </w:tc>
        <w:tc>
          <w:tcPr>
            <w:tcW w:w="7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0</w:t>
            </w:r>
          </w:p>
        </w:tc>
        <w:tc>
          <w:tcPr>
            <w:tcW w:w="8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176,000</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176,000</w:t>
            </w:r>
          </w:p>
        </w:tc>
        <w:tc>
          <w:tcPr>
            <w:tcW w:w="609" w:type="dxa"/>
            <w:tcBorders>
              <w:top w:val="nil"/>
              <w:left w:val="nil"/>
              <w:bottom w:val="single" w:sz="4" w:space="0" w:color="auto"/>
              <w:right w:val="single" w:sz="4" w:space="0" w:color="auto"/>
            </w:tcBorders>
          </w:tcPr>
          <w:p w:rsidR="003C5CB6" w:rsidRPr="00A27A71" w:rsidRDefault="003C5CB6" w:rsidP="00DE50BB">
            <w:pPr>
              <w:jc w:val="right"/>
              <w:rPr>
                <w:color w:val="000000"/>
                <w:sz w:val="20"/>
                <w:szCs w:val="20"/>
              </w:rPr>
            </w:pPr>
            <w:r w:rsidRPr="00A27A71">
              <w:rPr>
                <w:color w:val="000000"/>
                <w:sz w:val="20"/>
                <w:szCs w:val="20"/>
              </w:rPr>
              <w:t>9.41</w:t>
            </w:r>
          </w:p>
        </w:tc>
      </w:tr>
      <w:tr w:rsidR="003C5CB6" w:rsidRPr="00A27A71" w:rsidTr="00DE50BB">
        <w:trPr>
          <w:trHeight w:val="255"/>
        </w:trPr>
        <w:tc>
          <w:tcPr>
            <w:tcW w:w="1127" w:type="dxa"/>
            <w:tcBorders>
              <w:top w:val="nil"/>
              <w:left w:val="single" w:sz="4" w:space="0" w:color="auto"/>
              <w:bottom w:val="single" w:sz="4" w:space="0" w:color="auto"/>
              <w:right w:val="single" w:sz="4" w:space="0" w:color="auto"/>
            </w:tcBorders>
            <w:shd w:val="clear" w:color="auto" w:fill="auto"/>
            <w:noWrap/>
            <w:hideMark/>
          </w:tcPr>
          <w:p w:rsidR="003C5CB6" w:rsidRPr="00A27A71" w:rsidRDefault="003C5CB6" w:rsidP="00DE50BB">
            <w:pPr>
              <w:jc w:val="left"/>
              <w:rPr>
                <w:color w:val="000000"/>
                <w:sz w:val="20"/>
                <w:szCs w:val="20"/>
              </w:rPr>
            </w:pPr>
            <w:r w:rsidRPr="00A27A71">
              <w:rPr>
                <w:color w:val="000000"/>
                <w:sz w:val="20"/>
                <w:szCs w:val="20"/>
              </w:rPr>
              <w:t>Electrostar</w:t>
            </w:r>
          </w:p>
        </w:tc>
        <w:tc>
          <w:tcPr>
            <w:tcW w:w="1383"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left"/>
              <w:rPr>
                <w:color w:val="000000"/>
                <w:sz w:val="20"/>
                <w:szCs w:val="20"/>
              </w:rPr>
            </w:pPr>
            <w:r w:rsidRPr="00A27A71">
              <w:rPr>
                <w:color w:val="000000"/>
                <w:sz w:val="20"/>
                <w:szCs w:val="20"/>
              </w:rPr>
              <w:t>Water heater</w:t>
            </w:r>
          </w:p>
        </w:tc>
        <w:tc>
          <w:tcPr>
            <w:tcW w:w="127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left"/>
              <w:rPr>
                <w:color w:val="000000"/>
                <w:sz w:val="20"/>
                <w:szCs w:val="20"/>
              </w:rPr>
            </w:pPr>
            <w:r w:rsidRPr="00A27A71">
              <w:rPr>
                <w:color w:val="000000"/>
                <w:sz w:val="20"/>
                <w:szCs w:val="20"/>
              </w:rPr>
              <w:t>cyclopentane</w:t>
            </w:r>
          </w:p>
        </w:tc>
        <w:tc>
          <w:tcPr>
            <w:tcW w:w="82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25</w:t>
            </w:r>
          </w:p>
        </w:tc>
        <w:tc>
          <w:tcPr>
            <w:tcW w:w="772"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2.75</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418,000</w:t>
            </w:r>
          </w:p>
        </w:tc>
        <w:tc>
          <w:tcPr>
            <w:tcW w:w="7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0</w:t>
            </w:r>
          </w:p>
        </w:tc>
        <w:tc>
          <w:tcPr>
            <w:tcW w:w="8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418,000</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418,000</w:t>
            </w:r>
          </w:p>
        </w:tc>
        <w:tc>
          <w:tcPr>
            <w:tcW w:w="609" w:type="dxa"/>
            <w:tcBorders>
              <w:top w:val="nil"/>
              <w:left w:val="nil"/>
              <w:bottom w:val="single" w:sz="4" w:space="0" w:color="auto"/>
              <w:right w:val="single" w:sz="4" w:space="0" w:color="auto"/>
            </w:tcBorders>
          </w:tcPr>
          <w:p w:rsidR="003C5CB6" w:rsidRPr="00A27A71" w:rsidRDefault="003C5CB6" w:rsidP="00DE50BB">
            <w:pPr>
              <w:jc w:val="right"/>
              <w:rPr>
                <w:color w:val="000000"/>
                <w:sz w:val="20"/>
                <w:szCs w:val="20"/>
              </w:rPr>
            </w:pPr>
            <w:r w:rsidRPr="00A27A71">
              <w:rPr>
                <w:color w:val="000000"/>
                <w:sz w:val="20"/>
                <w:szCs w:val="20"/>
              </w:rPr>
              <w:t>16.72</w:t>
            </w:r>
          </w:p>
        </w:tc>
      </w:tr>
      <w:tr w:rsidR="003C5CB6" w:rsidRPr="00A27A71" w:rsidTr="00DE50BB">
        <w:trPr>
          <w:trHeight w:val="255"/>
        </w:trPr>
        <w:tc>
          <w:tcPr>
            <w:tcW w:w="1127" w:type="dxa"/>
            <w:tcBorders>
              <w:top w:val="nil"/>
              <w:left w:val="single" w:sz="4" w:space="0" w:color="auto"/>
              <w:bottom w:val="single" w:sz="4" w:space="0" w:color="auto"/>
              <w:right w:val="single" w:sz="4" w:space="0" w:color="auto"/>
            </w:tcBorders>
            <w:shd w:val="clear" w:color="auto" w:fill="auto"/>
            <w:noWrap/>
            <w:hideMark/>
          </w:tcPr>
          <w:p w:rsidR="003C5CB6" w:rsidRPr="00A27A71" w:rsidRDefault="003C5CB6" w:rsidP="00DE50BB">
            <w:pPr>
              <w:jc w:val="left"/>
              <w:rPr>
                <w:color w:val="000000"/>
                <w:sz w:val="20"/>
                <w:szCs w:val="20"/>
              </w:rPr>
            </w:pPr>
            <w:r w:rsidRPr="00A27A71">
              <w:rPr>
                <w:color w:val="000000"/>
                <w:sz w:val="20"/>
                <w:szCs w:val="20"/>
              </w:rPr>
              <w:t>38 SMEs</w:t>
            </w:r>
          </w:p>
        </w:tc>
        <w:tc>
          <w:tcPr>
            <w:tcW w:w="1383"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left"/>
              <w:rPr>
                <w:color w:val="000000"/>
                <w:sz w:val="20"/>
                <w:szCs w:val="20"/>
              </w:rPr>
            </w:pPr>
            <w:r w:rsidRPr="00A27A71">
              <w:rPr>
                <w:color w:val="000000"/>
                <w:sz w:val="20"/>
                <w:szCs w:val="20"/>
              </w:rPr>
              <w:t>Various</w:t>
            </w:r>
          </w:p>
        </w:tc>
        <w:tc>
          <w:tcPr>
            <w:tcW w:w="127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left"/>
              <w:rPr>
                <w:color w:val="000000"/>
                <w:sz w:val="20"/>
                <w:szCs w:val="20"/>
              </w:rPr>
            </w:pPr>
            <w:r w:rsidRPr="00A27A71">
              <w:rPr>
                <w:color w:val="000000"/>
                <w:sz w:val="20"/>
                <w:szCs w:val="20"/>
              </w:rPr>
              <w:t>MF</w:t>
            </w:r>
          </w:p>
        </w:tc>
        <w:tc>
          <w:tcPr>
            <w:tcW w:w="821"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81.1</w:t>
            </w:r>
          </w:p>
        </w:tc>
        <w:tc>
          <w:tcPr>
            <w:tcW w:w="772"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8.92</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799,700</w:t>
            </w:r>
          </w:p>
        </w:tc>
        <w:tc>
          <w:tcPr>
            <w:tcW w:w="7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73,520</w:t>
            </w:r>
          </w:p>
        </w:tc>
        <w:tc>
          <w:tcPr>
            <w:tcW w:w="866"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873,220</w:t>
            </w:r>
          </w:p>
        </w:tc>
        <w:tc>
          <w:tcPr>
            <w:tcW w:w="1105" w:type="dxa"/>
            <w:tcBorders>
              <w:top w:val="nil"/>
              <w:left w:val="nil"/>
              <w:bottom w:val="single" w:sz="4" w:space="0" w:color="auto"/>
              <w:right w:val="single" w:sz="4" w:space="0" w:color="auto"/>
            </w:tcBorders>
            <w:shd w:val="clear" w:color="auto" w:fill="auto"/>
            <w:noWrap/>
            <w:hideMark/>
          </w:tcPr>
          <w:p w:rsidR="003C5CB6" w:rsidRPr="00A27A71" w:rsidRDefault="003C5CB6" w:rsidP="00DE50BB">
            <w:pPr>
              <w:jc w:val="right"/>
              <w:rPr>
                <w:color w:val="000000"/>
                <w:sz w:val="20"/>
                <w:szCs w:val="20"/>
              </w:rPr>
            </w:pPr>
            <w:r w:rsidRPr="00A27A71">
              <w:rPr>
                <w:color w:val="000000"/>
                <w:sz w:val="20"/>
                <w:szCs w:val="20"/>
              </w:rPr>
              <w:t>873,220</w:t>
            </w:r>
          </w:p>
        </w:tc>
        <w:tc>
          <w:tcPr>
            <w:tcW w:w="609" w:type="dxa"/>
            <w:tcBorders>
              <w:top w:val="nil"/>
              <w:left w:val="nil"/>
              <w:bottom w:val="single" w:sz="4" w:space="0" w:color="auto"/>
              <w:right w:val="single" w:sz="4" w:space="0" w:color="auto"/>
            </w:tcBorders>
          </w:tcPr>
          <w:p w:rsidR="003C5CB6" w:rsidRPr="00A27A71" w:rsidRDefault="003C5CB6" w:rsidP="00DE50BB">
            <w:pPr>
              <w:jc w:val="right"/>
              <w:rPr>
                <w:color w:val="000000"/>
                <w:sz w:val="20"/>
                <w:szCs w:val="20"/>
              </w:rPr>
            </w:pPr>
            <w:r w:rsidRPr="00A27A71">
              <w:rPr>
                <w:color w:val="000000"/>
                <w:sz w:val="20"/>
                <w:szCs w:val="20"/>
              </w:rPr>
              <w:t>10.77</w:t>
            </w:r>
          </w:p>
        </w:tc>
      </w:tr>
      <w:tr w:rsidR="00B149DE" w:rsidRPr="00A27A71" w:rsidTr="00DE50BB">
        <w:trPr>
          <w:trHeight w:val="255"/>
        </w:trPr>
        <w:tc>
          <w:tcPr>
            <w:tcW w:w="378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B149DE" w:rsidRPr="00A27A71" w:rsidRDefault="00B149DE" w:rsidP="00DE50BB">
            <w:pPr>
              <w:jc w:val="left"/>
              <w:rPr>
                <w:b/>
                <w:bCs/>
                <w:color w:val="000000"/>
                <w:sz w:val="20"/>
                <w:szCs w:val="20"/>
              </w:rPr>
            </w:pPr>
            <w:r w:rsidRPr="00A27A71">
              <w:rPr>
                <w:b/>
                <w:bCs/>
                <w:color w:val="000000"/>
                <w:sz w:val="20"/>
                <w:szCs w:val="20"/>
              </w:rPr>
              <w:t>Total</w:t>
            </w:r>
          </w:p>
        </w:tc>
        <w:tc>
          <w:tcPr>
            <w:tcW w:w="821" w:type="dxa"/>
            <w:tcBorders>
              <w:top w:val="nil"/>
              <w:left w:val="nil"/>
              <w:bottom w:val="single" w:sz="4" w:space="0" w:color="auto"/>
              <w:right w:val="single" w:sz="4" w:space="0" w:color="auto"/>
            </w:tcBorders>
            <w:shd w:val="clear" w:color="auto" w:fill="auto"/>
            <w:noWrap/>
            <w:hideMark/>
          </w:tcPr>
          <w:p w:rsidR="00B149DE" w:rsidRPr="00A27A71" w:rsidRDefault="002105BB" w:rsidP="00DE50BB">
            <w:pPr>
              <w:jc w:val="right"/>
              <w:rPr>
                <w:b/>
                <w:bCs/>
                <w:color w:val="000000"/>
                <w:sz w:val="20"/>
                <w:szCs w:val="20"/>
              </w:rPr>
            </w:pPr>
            <w:r w:rsidRPr="00A27A71">
              <w:rPr>
                <w:b/>
                <w:bCs/>
                <w:color w:val="000000"/>
                <w:sz w:val="20"/>
                <w:szCs w:val="20"/>
              </w:rPr>
              <w:t>526.6</w:t>
            </w:r>
          </w:p>
        </w:tc>
        <w:tc>
          <w:tcPr>
            <w:tcW w:w="772" w:type="dxa"/>
            <w:tcBorders>
              <w:top w:val="nil"/>
              <w:left w:val="nil"/>
              <w:bottom w:val="single" w:sz="4" w:space="0" w:color="auto"/>
              <w:right w:val="single" w:sz="4" w:space="0" w:color="auto"/>
            </w:tcBorders>
            <w:shd w:val="clear" w:color="auto" w:fill="auto"/>
            <w:noWrap/>
            <w:hideMark/>
          </w:tcPr>
          <w:p w:rsidR="00B149DE" w:rsidRPr="00A27A71" w:rsidRDefault="002105BB" w:rsidP="00DE50BB">
            <w:pPr>
              <w:jc w:val="right"/>
              <w:rPr>
                <w:b/>
                <w:bCs/>
                <w:color w:val="000000"/>
                <w:sz w:val="20"/>
                <w:szCs w:val="20"/>
              </w:rPr>
            </w:pPr>
            <w:r w:rsidRPr="00A27A71">
              <w:rPr>
                <w:b/>
                <w:bCs/>
                <w:color w:val="000000"/>
                <w:sz w:val="20"/>
                <w:szCs w:val="20"/>
              </w:rPr>
              <w:t>57.92</w:t>
            </w:r>
          </w:p>
        </w:tc>
        <w:tc>
          <w:tcPr>
            <w:tcW w:w="1105" w:type="dxa"/>
            <w:tcBorders>
              <w:top w:val="nil"/>
              <w:left w:val="nil"/>
              <w:bottom w:val="single" w:sz="4" w:space="0" w:color="auto"/>
              <w:right w:val="single" w:sz="4" w:space="0" w:color="auto"/>
            </w:tcBorders>
            <w:shd w:val="clear" w:color="auto" w:fill="auto"/>
            <w:noWrap/>
            <w:hideMark/>
          </w:tcPr>
          <w:p w:rsidR="00B149DE" w:rsidRPr="00A27A71" w:rsidRDefault="00B149DE" w:rsidP="00DE50BB">
            <w:pPr>
              <w:jc w:val="right"/>
              <w:rPr>
                <w:b/>
                <w:bCs/>
                <w:color w:val="000000"/>
                <w:sz w:val="20"/>
                <w:szCs w:val="20"/>
              </w:rPr>
            </w:pPr>
            <w:r w:rsidRPr="00A27A71">
              <w:rPr>
                <w:b/>
                <w:bCs/>
                <w:color w:val="000000"/>
                <w:sz w:val="20"/>
                <w:szCs w:val="20"/>
              </w:rPr>
              <w:t>5,315,200</w:t>
            </w:r>
          </w:p>
        </w:tc>
        <w:tc>
          <w:tcPr>
            <w:tcW w:w="766" w:type="dxa"/>
            <w:tcBorders>
              <w:top w:val="nil"/>
              <w:left w:val="nil"/>
              <w:bottom w:val="single" w:sz="4" w:space="0" w:color="auto"/>
              <w:right w:val="single" w:sz="4" w:space="0" w:color="auto"/>
            </w:tcBorders>
            <w:shd w:val="clear" w:color="auto" w:fill="auto"/>
            <w:noWrap/>
            <w:hideMark/>
          </w:tcPr>
          <w:p w:rsidR="00B149DE" w:rsidRPr="00A27A71" w:rsidRDefault="00B149DE" w:rsidP="00DE50BB">
            <w:pPr>
              <w:jc w:val="right"/>
              <w:rPr>
                <w:b/>
                <w:bCs/>
                <w:color w:val="000000"/>
                <w:sz w:val="20"/>
                <w:szCs w:val="20"/>
              </w:rPr>
            </w:pPr>
            <w:r w:rsidRPr="00A27A71">
              <w:rPr>
                <w:b/>
                <w:bCs/>
                <w:color w:val="000000"/>
                <w:sz w:val="20"/>
                <w:szCs w:val="20"/>
              </w:rPr>
              <w:t>73,520</w:t>
            </w:r>
          </w:p>
        </w:tc>
        <w:tc>
          <w:tcPr>
            <w:tcW w:w="1971" w:type="dxa"/>
            <w:gridSpan w:val="2"/>
            <w:tcBorders>
              <w:top w:val="single" w:sz="4" w:space="0" w:color="auto"/>
              <w:left w:val="nil"/>
              <w:bottom w:val="single" w:sz="4" w:space="0" w:color="auto"/>
              <w:right w:val="single" w:sz="4" w:space="0" w:color="000000"/>
            </w:tcBorders>
            <w:shd w:val="clear" w:color="auto" w:fill="auto"/>
            <w:noWrap/>
            <w:hideMark/>
          </w:tcPr>
          <w:p w:rsidR="00B149DE" w:rsidRPr="00A27A71" w:rsidRDefault="00B149DE" w:rsidP="00DE50BB">
            <w:pPr>
              <w:jc w:val="right"/>
              <w:rPr>
                <w:b/>
                <w:bCs/>
                <w:color w:val="000000"/>
                <w:sz w:val="20"/>
                <w:szCs w:val="20"/>
                <w:highlight w:val="cyan"/>
              </w:rPr>
            </w:pPr>
            <w:r w:rsidRPr="00A27A71">
              <w:rPr>
                <w:b/>
                <w:bCs/>
                <w:color w:val="000000"/>
                <w:sz w:val="20"/>
                <w:szCs w:val="20"/>
              </w:rPr>
              <w:t>5,388,720</w:t>
            </w:r>
          </w:p>
        </w:tc>
        <w:tc>
          <w:tcPr>
            <w:tcW w:w="609" w:type="dxa"/>
            <w:tcBorders>
              <w:top w:val="single" w:sz="4" w:space="0" w:color="auto"/>
              <w:left w:val="nil"/>
              <w:bottom w:val="single" w:sz="4" w:space="0" w:color="auto"/>
              <w:right w:val="single" w:sz="4" w:space="0" w:color="000000"/>
            </w:tcBorders>
          </w:tcPr>
          <w:p w:rsidR="00B149DE" w:rsidRPr="00A27A71" w:rsidRDefault="002105BB" w:rsidP="00DE50BB">
            <w:pPr>
              <w:jc w:val="right"/>
              <w:rPr>
                <w:b/>
                <w:bCs/>
                <w:color w:val="000000"/>
                <w:sz w:val="20"/>
                <w:szCs w:val="20"/>
              </w:rPr>
            </w:pPr>
            <w:r w:rsidRPr="00A27A71">
              <w:rPr>
                <w:b/>
                <w:bCs/>
                <w:color w:val="000000"/>
                <w:sz w:val="20"/>
                <w:szCs w:val="20"/>
              </w:rPr>
              <w:t>10.23</w:t>
            </w:r>
          </w:p>
        </w:tc>
      </w:tr>
      <w:tr w:rsidR="00B149DE" w:rsidRPr="00A27A71" w:rsidTr="00DE50BB">
        <w:trPr>
          <w:trHeight w:val="255"/>
        </w:trPr>
        <w:tc>
          <w:tcPr>
            <w:tcW w:w="378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B149DE" w:rsidRPr="00A27A71" w:rsidRDefault="00B149DE" w:rsidP="00DE50BB">
            <w:pPr>
              <w:jc w:val="left"/>
              <w:rPr>
                <w:b/>
                <w:bCs/>
                <w:color w:val="000000"/>
                <w:sz w:val="20"/>
                <w:szCs w:val="20"/>
              </w:rPr>
            </w:pPr>
            <w:r w:rsidRPr="00A27A71">
              <w:rPr>
                <w:b/>
                <w:bCs/>
                <w:color w:val="000000"/>
                <w:sz w:val="20"/>
                <w:szCs w:val="20"/>
              </w:rPr>
              <w:t>Funds requested</w:t>
            </w:r>
          </w:p>
        </w:tc>
        <w:tc>
          <w:tcPr>
            <w:tcW w:w="821" w:type="dxa"/>
            <w:tcBorders>
              <w:top w:val="nil"/>
              <w:left w:val="nil"/>
              <w:bottom w:val="single" w:sz="4" w:space="0" w:color="auto"/>
              <w:right w:val="single" w:sz="4" w:space="0" w:color="auto"/>
            </w:tcBorders>
            <w:shd w:val="clear" w:color="auto" w:fill="auto"/>
            <w:noWrap/>
            <w:hideMark/>
          </w:tcPr>
          <w:p w:rsidR="00B149DE" w:rsidRPr="00A27A71" w:rsidRDefault="002105BB" w:rsidP="00DE50BB">
            <w:pPr>
              <w:jc w:val="right"/>
              <w:rPr>
                <w:b/>
                <w:bCs/>
                <w:color w:val="000000"/>
                <w:sz w:val="20"/>
                <w:szCs w:val="20"/>
              </w:rPr>
            </w:pPr>
            <w:r w:rsidRPr="00A27A71">
              <w:rPr>
                <w:b/>
                <w:bCs/>
                <w:color w:val="000000"/>
                <w:sz w:val="20"/>
                <w:szCs w:val="20"/>
              </w:rPr>
              <w:t>526.6</w:t>
            </w:r>
          </w:p>
        </w:tc>
        <w:tc>
          <w:tcPr>
            <w:tcW w:w="772" w:type="dxa"/>
            <w:tcBorders>
              <w:top w:val="nil"/>
              <w:left w:val="nil"/>
              <w:bottom w:val="single" w:sz="4" w:space="0" w:color="auto"/>
              <w:right w:val="single" w:sz="4" w:space="0" w:color="auto"/>
            </w:tcBorders>
            <w:shd w:val="clear" w:color="auto" w:fill="auto"/>
            <w:noWrap/>
            <w:hideMark/>
          </w:tcPr>
          <w:p w:rsidR="00B149DE" w:rsidRPr="00A27A71" w:rsidRDefault="002105BB" w:rsidP="00DE50BB">
            <w:pPr>
              <w:jc w:val="right"/>
              <w:rPr>
                <w:b/>
                <w:bCs/>
                <w:color w:val="000000"/>
                <w:sz w:val="20"/>
                <w:szCs w:val="20"/>
              </w:rPr>
            </w:pPr>
            <w:r w:rsidRPr="00A27A71">
              <w:rPr>
                <w:b/>
                <w:bCs/>
                <w:color w:val="000000"/>
                <w:sz w:val="20"/>
                <w:szCs w:val="20"/>
              </w:rPr>
              <w:t>57.92</w:t>
            </w:r>
          </w:p>
        </w:tc>
        <w:tc>
          <w:tcPr>
            <w:tcW w:w="1105" w:type="dxa"/>
            <w:tcBorders>
              <w:top w:val="nil"/>
              <w:left w:val="nil"/>
              <w:bottom w:val="single" w:sz="4" w:space="0" w:color="auto"/>
              <w:right w:val="single" w:sz="4" w:space="0" w:color="auto"/>
            </w:tcBorders>
            <w:shd w:val="clear" w:color="auto" w:fill="auto"/>
            <w:noWrap/>
            <w:hideMark/>
          </w:tcPr>
          <w:p w:rsidR="00B149DE" w:rsidRPr="00A27A71" w:rsidRDefault="00B149DE" w:rsidP="00DE50BB">
            <w:pPr>
              <w:jc w:val="right"/>
              <w:rPr>
                <w:b/>
                <w:bCs/>
                <w:color w:val="000000"/>
                <w:sz w:val="20"/>
                <w:szCs w:val="20"/>
              </w:rPr>
            </w:pPr>
            <w:r w:rsidRPr="00A27A71">
              <w:rPr>
                <w:b/>
                <w:bCs/>
                <w:color w:val="000000"/>
                <w:sz w:val="20"/>
                <w:szCs w:val="20"/>
              </w:rPr>
              <w:t>5,315,200</w:t>
            </w:r>
          </w:p>
        </w:tc>
        <w:tc>
          <w:tcPr>
            <w:tcW w:w="766" w:type="dxa"/>
            <w:tcBorders>
              <w:top w:val="nil"/>
              <w:left w:val="nil"/>
              <w:bottom w:val="single" w:sz="4" w:space="0" w:color="auto"/>
              <w:right w:val="single" w:sz="4" w:space="0" w:color="auto"/>
            </w:tcBorders>
            <w:shd w:val="clear" w:color="auto" w:fill="auto"/>
            <w:noWrap/>
            <w:hideMark/>
          </w:tcPr>
          <w:p w:rsidR="00B149DE" w:rsidRPr="00A27A71" w:rsidRDefault="00B149DE" w:rsidP="00DE50BB">
            <w:pPr>
              <w:jc w:val="right"/>
              <w:rPr>
                <w:b/>
                <w:bCs/>
                <w:color w:val="000000"/>
                <w:sz w:val="20"/>
                <w:szCs w:val="20"/>
              </w:rPr>
            </w:pPr>
            <w:r w:rsidRPr="00A27A71">
              <w:rPr>
                <w:b/>
                <w:bCs/>
                <w:color w:val="000000"/>
                <w:sz w:val="20"/>
                <w:szCs w:val="20"/>
              </w:rPr>
              <w:t>73,520</w:t>
            </w:r>
          </w:p>
        </w:tc>
        <w:tc>
          <w:tcPr>
            <w:tcW w:w="1971" w:type="dxa"/>
            <w:gridSpan w:val="2"/>
            <w:tcBorders>
              <w:top w:val="single" w:sz="4" w:space="0" w:color="auto"/>
              <w:left w:val="nil"/>
              <w:bottom w:val="single" w:sz="4" w:space="0" w:color="auto"/>
              <w:right w:val="single" w:sz="4" w:space="0" w:color="000000"/>
            </w:tcBorders>
            <w:shd w:val="clear" w:color="auto" w:fill="auto"/>
            <w:noWrap/>
            <w:hideMark/>
          </w:tcPr>
          <w:p w:rsidR="00B149DE" w:rsidRPr="00A27A71" w:rsidRDefault="00B149DE" w:rsidP="00DE50BB">
            <w:pPr>
              <w:jc w:val="right"/>
              <w:rPr>
                <w:b/>
                <w:bCs/>
                <w:color w:val="000000"/>
                <w:sz w:val="20"/>
                <w:szCs w:val="20"/>
                <w:highlight w:val="cyan"/>
              </w:rPr>
            </w:pPr>
            <w:r w:rsidRPr="00A27A71">
              <w:rPr>
                <w:b/>
                <w:bCs/>
                <w:color w:val="000000"/>
                <w:sz w:val="20"/>
                <w:szCs w:val="20"/>
              </w:rPr>
              <w:t>5,288,580</w:t>
            </w:r>
          </w:p>
        </w:tc>
        <w:tc>
          <w:tcPr>
            <w:tcW w:w="609" w:type="dxa"/>
            <w:tcBorders>
              <w:top w:val="single" w:sz="4" w:space="0" w:color="auto"/>
              <w:left w:val="nil"/>
              <w:bottom w:val="single" w:sz="4" w:space="0" w:color="auto"/>
              <w:right w:val="single" w:sz="4" w:space="0" w:color="000000"/>
            </w:tcBorders>
          </w:tcPr>
          <w:p w:rsidR="00B149DE" w:rsidRPr="00A27A71" w:rsidRDefault="002105BB" w:rsidP="00DE50BB">
            <w:pPr>
              <w:jc w:val="right"/>
              <w:rPr>
                <w:b/>
                <w:bCs/>
                <w:color w:val="000000"/>
                <w:sz w:val="20"/>
                <w:szCs w:val="20"/>
              </w:rPr>
            </w:pPr>
            <w:r w:rsidRPr="00A27A71">
              <w:rPr>
                <w:b/>
                <w:bCs/>
                <w:color w:val="000000"/>
                <w:sz w:val="20"/>
                <w:szCs w:val="20"/>
              </w:rPr>
              <w:t>10.04</w:t>
            </w:r>
          </w:p>
        </w:tc>
      </w:tr>
    </w:tbl>
    <w:p w:rsidR="0008367B" w:rsidRPr="00A27A71" w:rsidRDefault="0008367B" w:rsidP="0008367B">
      <w:pPr>
        <w:rPr>
          <w:rFonts w:eastAsia="Calibri"/>
        </w:rPr>
      </w:pPr>
    </w:p>
    <w:p w:rsidR="00AE0390" w:rsidRPr="00A27A71" w:rsidRDefault="00AE0390" w:rsidP="00AE0390">
      <w:pPr>
        <w:widowControl w:val="0"/>
        <w:spacing w:after="240"/>
        <w:outlineLvl w:val="0"/>
        <w:rPr>
          <w:i/>
        </w:rPr>
      </w:pPr>
      <w:r w:rsidRPr="00A27A71">
        <w:rPr>
          <w:i/>
        </w:rPr>
        <w:t>XPS foam manufacturing sector</w:t>
      </w:r>
    </w:p>
    <w:p w:rsidR="00AE0390" w:rsidRPr="00A27A71" w:rsidRDefault="00AE0390" w:rsidP="00AE0390">
      <w:pPr>
        <w:pStyle w:val="Heading1"/>
        <w:rPr>
          <w:rFonts w:eastAsia="Calibri"/>
        </w:rPr>
      </w:pPr>
      <w:r w:rsidRPr="00A27A71">
        <w:rPr>
          <w:rFonts w:eastAsia="Calibri"/>
        </w:rPr>
        <w:t>Four XPS manufacturers with an average 2013-2015 HCFC consumption between 55 and 198</w:t>
      </w:r>
      <w:r w:rsidR="008E0439" w:rsidRPr="00A27A71">
        <w:rPr>
          <w:rFonts w:eastAsia="Calibri"/>
        </w:rPr>
        <w:t> </w:t>
      </w:r>
      <w:r w:rsidRPr="00A27A71">
        <w:rPr>
          <w:rFonts w:eastAsia="Calibri"/>
        </w:rPr>
        <w:t xml:space="preserve">mt will convert to </w:t>
      </w:r>
      <w:r w:rsidR="003908C1" w:rsidRPr="00A27A71">
        <w:rPr>
          <w:rFonts w:eastAsia="Calibri"/>
        </w:rPr>
        <w:t>a 60/40 blend of HFO-1234za and dimethyl ether (DME). Funding is requested for retrofit of the extruder feed screws</w:t>
      </w:r>
      <w:r w:rsidR="00C40F10" w:rsidRPr="00A27A71">
        <w:rPr>
          <w:rFonts w:eastAsia="Calibri"/>
        </w:rPr>
        <w:t xml:space="preserve"> (US $40,000/screw and US $50,000 for secondary screw re-engineering for Modern Plastics)</w:t>
      </w:r>
      <w:r w:rsidR="003908C1" w:rsidRPr="00A27A71">
        <w:rPr>
          <w:rFonts w:eastAsia="Calibri"/>
        </w:rPr>
        <w:t xml:space="preserve">, DME storage tanks </w:t>
      </w:r>
      <w:r w:rsidR="00C40F10" w:rsidRPr="00A27A71">
        <w:rPr>
          <w:rFonts w:eastAsia="Calibri"/>
        </w:rPr>
        <w:t>(US $75,000/tan</w:t>
      </w:r>
      <w:r w:rsidR="00F76143">
        <w:rPr>
          <w:rFonts w:eastAsia="Calibri"/>
        </w:rPr>
        <w:t>k</w:t>
      </w:r>
      <w:r w:rsidR="00C40F10" w:rsidRPr="00A27A71">
        <w:rPr>
          <w:rFonts w:eastAsia="Calibri"/>
        </w:rPr>
        <w:t xml:space="preserve">) </w:t>
      </w:r>
      <w:r w:rsidR="003908C1" w:rsidRPr="00A27A71">
        <w:rPr>
          <w:rFonts w:eastAsia="Calibri"/>
        </w:rPr>
        <w:t>and feed pumps</w:t>
      </w:r>
      <w:r w:rsidR="00C40F10" w:rsidRPr="00A27A71">
        <w:rPr>
          <w:rFonts w:eastAsia="Calibri"/>
        </w:rPr>
        <w:t xml:space="preserve"> (US $50,000/pump)</w:t>
      </w:r>
      <w:r w:rsidR="003908C1" w:rsidRPr="00A27A71">
        <w:rPr>
          <w:rFonts w:eastAsia="Calibri"/>
        </w:rPr>
        <w:t>, safety related equipment and audit</w:t>
      </w:r>
      <w:r w:rsidR="00C40F10" w:rsidRPr="00A27A71">
        <w:rPr>
          <w:rFonts w:eastAsia="Calibri"/>
        </w:rPr>
        <w:t xml:space="preserve"> (between US $55,000-</w:t>
      </w:r>
      <w:r w:rsidR="00F76143">
        <w:rPr>
          <w:rFonts w:eastAsia="Calibri"/>
        </w:rPr>
        <w:t>US $</w:t>
      </w:r>
      <w:r w:rsidR="00C40F10" w:rsidRPr="00A27A71">
        <w:rPr>
          <w:rFonts w:eastAsia="Calibri"/>
        </w:rPr>
        <w:t>145,000 depending on the enterprise)</w:t>
      </w:r>
      <w:r w:rsidR="003908C1" w:rsidRPr="00A27A71">
        <w:rPr>
          <w:rFonts w:eastAsia="Calibri"/>
        </w:rPr>
        <w:t>, local works</w:t>
      </w:r>
      <w:r w:rsidR="00C40F10" w:rsidRPr="00A27A71">
        <w:rPr>
          <w:rFonts w:eastAsia="Calibri"/>
        </w:rPr>
        <w:t xml:space="preserve"> (US $20,000/extruder)</w:t>
      </w:r>
      <w:r w:rsidR="003908C1" w:rsidRPr="00A27A71">
        <w:rPr>
          <w:rFonts w:eastAsia="Calibri"/>
        </w:rPr>
        <w:t xml:space="preserve">, </w:t>
      </w:r>
      <w:r w:rsidR="00B149DE" w:rsidRPr="00A27A71">
        <w:rPr>
          <w:rFonts w:eastAsia="Calibri"/>
        </w:rPr>
        <w:t>technical assistance</w:t>
      </w:r>
      <w:r w:rsidR="00C40F10" w:rsidRPr="00A27A71">
        <w:rPr>
          <w:rFonts w:eastAsia="Calibri"/>
        </w:rPr>
        <w:t xml:space="preserve"> (US $25,000/extruder)</w:t>
      </w:r>
      <w:r w:rsidR="00B149DE" w:rsidRPr="00A27A71">
        <w:rPr>
          <w:rFonts w:eastAsia="Calibri"/>
        </w:rPr>
        <w:t>, trials</w:t>
      </w:r>
      <w:r w:rsidR="00C40F10" w:rsidRPr="00A27A71">
        <w:rPr>
          <w:rFonts w:eastAsia="Calibri"/>
        </w:rPr>
        <w:t xml:space="preserve"> (between US $40,000</w:t>
      </w:r>
      <w:r w:rsidR="00F76143">
        <w:rPr>
          <w:rFonts w:eastAsia="Calibri"/>
        </w:rPr>
        <w:noBreakHyphen/>
        <w:t>US $</w:t>
      </w:r>
      <w:r w:rsidR="00C40F10" w:rsidRPr="00A27A71">
        <w:rPr>
          <w:rFonts w:eastAsia="Calibri"/>
        </w:rPr>
        <w:t>60,000 depending on the enterprise)</w:t>
      </w:r>
      <w:r w:rsidR="00B149DE" w:rsidRPr="00A27A71">
        <w:rPr>
          <w:rFonts w:eastAsia="Calibri"/>
        </w:rPr>
        <w:t xml:space="preserve">, </w:t>
      </w:r>
      <w:r w:rsidR="003908C1" w:rsidRPr="00A27A71">
        <w:rPr>
          <w:rFonts w:eastAsia="Calibri"/>
        </w:rPr>
        <w:t xml:space="preserve">contingencies and IOCs as shown in </w:t>
      </w:r>
      <w:r w:rsidR="00223D78" w:rsidRPr="00A27A71">
        <w:rPr>
          <w:rFonts w:eastAsia="Calibri"/>
        </w:rPr>
        <w:t>T</w:t>
      </w:r>
      <w:r w:rsidR="003908C1" w:rsidRPr="00A27A71">
        <w:rPr>
          <w:rFonts w:eastAsia="Calibri"/>
        </w:rPr>
        <w:t xml:space="preserve">able 6. </w:t>
      </w:r>
    </w:p>
    <w:p w:rsidR="003908C1" w:rsidRPr="00A27A71" w:rsidRDefault="003908C1" w:rsidP="003908C1">
      <w:pPr>
        <w:pStyle w:val="Heading1"/>
        <w:numPr>
          <w:ilvl w:val="0"/>
          <w:numId w:val="0"/>
        </w:numPr>
        <w:spacing w:after="0"/>
        <w:rPr>
          <w:b/>
        </w:rPr>
      </w:pPr>
      <w:r w:rsidRPr="00A27A71">
        <w:rPr>
          <w:b/>
        </w:rPr>
        <w:t xml:space="preserve">Table 6. Total cost for the conversion of the XPS foam sector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1530"/>
        <w:gridCol w:w="1530"/>
        <w:gridCol w:w="1530"/>
        <w:gridCol w:w="1530"/>
        <w:gridCol w:w="1528"/>
      </w:tblGrid>
      <w:tr w:rsidR="00B149DE" w:rsidRPr="00A27A71" w:rsidTr="00267ECD">
        <w:trPr>
          <w:trHeight w:val="143"/>
        </w:trPr>
        <w:tc>
          <w:tcPr>
            <w:tcW w:w="961" w:type="pct"/>
            <w:shd w:val="clear" w:color="auto" w:fill="auto"/>
            <w:noWrap/>
            <w:hideMark/>
          </w:tcPr>
          <w:p w:rsidR="00B149DE" w:rsidRPr="00A27A71" w:rsidRDefault="00B149DE" w:rsidP="00A720C2">
            <w:pPr>
              <w:jc w:val="center"/>
              <w:rPr>
                <w:b/>
                <w:bCs/>
                <w:color w:val="000000"/>
                <w:sz w:val="20"/>
                <w:szCs w:val="20"/>
              </w:rPr>
            </w:pPr>
            <w:r w:rsidRPr="00A27A71">
              <w:rPr>
                <w:b/>
                <w:bCs/>
                <w:color w:val="000000"/>
                <w:sz w:val="20"/>
                <w:szCs w:val="20"/>
              </w:rPr>
              <w:t>Enterprise</w:t>
            </w:r>
          </w:p>
        </w:tc>
        <w:tc>
          <w:tcPr>
            <w:tcW w:w="808" w:type="pct"/>
            <w:shd w:val="clear" w:color="auto" w:fill="auto"/>
            <w:noWrap/>
            <w:hideMark/>
          </w:tcPr>
          <w:p w:rsidR="00B149DE" w:rsidRPr="00A27A71" w:rsidRDefault="00B149DE" w:rsidP="00A720C2">
            <w:pPr>
              <w:jc w:val="center"/>
              <w:rPr>
                <w:b/>
                <w:bCs/>
                <w:color w:val="000000"/>
                <w:sz w:val="20"/>
                <w:szCs w:val="20"/>
              </w:rPr>
            </w:pPr>
            <w:r w:rsidRPr="00A27A71">
              <w:rPr>
                <w:b/>
                <w:bCs/>
                <w:color w:val="000000"/>
                <w:sz w:val="20"/>
                <w:szCs w:val="20"/>
              </w:rPr>
              <w:t>mt</w:t>
            </w:r>
          </w:p>
        </w:tc>
        <w:tc>
          <w:tcPr>
            <w:tcW w:w="808" w:type="pct"/>
            <w:shd w:val="clear" w:color="auto" w:fill="auto"/>
            <w:hideMark/>
          </w:tcPr>
          <w:p w:rsidR="00B149DE" w:rsidRPr="00A27A71" w:rsidRDefault="00B149DE" w:rsidP="00A720C2">
            <w:pPr>
              <w:jc w:val="center"/>
              <w:rPr>
                <w:b/>
                <w:bCs/>
                <w:color w:val="000000"/>
                <w:sz w:val="20"/>
                <w:szCs w:val="20"/>
              </w:rPr>
            </w:pPr>
            <w:r w:rsidRPr="00A27A71">
              <w:rPr>
                <w:b/>
                <w:bCs/>
                <w:color w:val="000000"/>
                <w:sz w:val="20"/>
                <w:szCs w:val="20"/>
                <w:lang w:eastAsia="pt-BR"/>
              </w:rPr>
              <w:t>ICC (US $)</w:t>
            </w:r>
          </w:p>
        </w:tc>
        <w:tc>
          <w:tcPr>
            <w:tcW w:w="808" w:type="pct"/>
            <w:shd w:val="clear" w:color="auto" w:fill="auto"/>
            <w:hideMark/>
          </w:tcPr>
          <w:p w:rsidR="00B149DE" w:rsidRPr="00A27A71" w:rsidRDefault="00B149DE" w:rsidP="00A720C2">
            <w:pPr>
              <w:jc w:val="center"/>
              <w:rPr>
                <w:b/>
                <w:bCs/>
                <w:color w:val="000000"/>
                <w:sz w:val="20"/>
                <w:szCs w:val="20"/>
              </w:rPr>
            </w:pPr>
            <w:r w:rsidRPr="00A27A71">
              <w:rPr>
                <w:b/>
                <w:bCs/>
                <w:color w:val="000000"/>
                <w:sz w:val="20"/>
                <w:szCs w:val="20"/>
              </w:rPr>
              <w:t>IOC (US $)</w:t>
            </w:r>
          </w:p>
        </w:tc>
        <w:tc>
          <w:tcPr>
            <w:tcW w:w="808" w:type="pct"/>
            <w:shd w:val="clear" w:color="auto" w:fill="auto"/>
            <w:hideMark/>
          </w:tcPr>
          <w:p w:rsidR="00B149DE" w:rsidRPr="00A27A71" w:rsidRDefault="00B149DE" w:rsidP="00A720C2">
            <w:pPr>
              <w:jc w:val="center"/>
              <w:rPr>
                <w:b/>
                <w:bCs/>
                <w:color w:val="000000"/>
                <w:sz w:val="20"/>
                <w:szCs w:val="20"/>
              </w:rPr>
            </w:pPr>
            <w:r w:rsidRPr="00A27A71">
              <w:rPr>
                <w:b/>
                <w:bCs/>
                <w:color w:val="000000"/>
                <w:sz w:val="20"/>
                <w:szCs w:val="20"/>
              </w:rPr>
              <w:t>Total (US $)</w:t>
            </w:r>
          </w:p>
        </w:tc>
        <w:tc>
          <w:tcPr>
            <w:tcW w:w="808" w:type="pct"/>
          </w:tcPr>
          <w:p w:rsidR="00B149DE" w:rsidRPr="00A27A71" w:rsidRDefault="00B149DE" w:rsidP="00A720C2">
            <w:pPr>
              <w:jc w:val="center"/>
              <w:rPr>
                <w:b/>
                <w:bCs/>
                <w:color w:val="000000"/>
                <w:sz w:val="20"/>
                <w:szCs w:val="20"/>
                <w:highlight w:val="cyan"/>
              </w:rPr>
            </w:pPr>
            <w:r w:rsidRPr="00A27A71">
              <w:rPr>
                <w:b/>
                <w:bCs/>
                <w:color w:val="000000"/>
                <w:sz w:val="20"/>
                <w:szCs w:val="20"/>
              </w:rPr>
              <w:t>CE</w:t>
            </w:r>
            <w:r w:rsidR="00267ECD" w:rsidRPr="00A27A71">
              <w:rPr>
                <w:b/>
                <w:bCs/>
                <w:color w:val="000000"/>
                <w:sz w:val="20"/>
                <w:szCs w:val="20"/>
              </w:rPr>
              <w:t xml:space="preserve"> (US $/kg)</w:t>
            </w:r>
          </w:p>
        </w:tc>
      </w:tr>
      <w:tr w:rsidR="00267ECD" w:rsidRPr="00A27A71" w:rsidTr="00267ECD">
        <w:trPr>
          <w:trHeight w:val="80"/>
        </w:trPr>
        <w:tc>
          <w:tcPr>
            <w:tcW w:w="961" w:type="pct"/>
            <w:shd w:val="clear" w:color="auto" w:fill="auto"/>
            <w:hideMark/>
          </w:tcPr>
          <w:p w:rsidR="00267ECD" w:rsidRPr="00A27A71" w:rsidRDefault="00267ECD" w:rsidP="00A720C2">
            <w:pPr>
              <w:jc w:val="left"/>
              <w:rPr>
                <w:color w:val="000000"/>
                <w:sz w:val="20"/>
                <w:szCs w:val="20"/>
              </w:rPr>
            </w:pPr>
            <w:r w:rsidRPr="00A27A71">
              <w:rPr>
                <w:color w:val="000000"/>
                <w:sz w:val="20"/>
                <w:szCs w:val="20"/>
              </w:rPr>
              <w:t>CMB</w:t>
            </w:r>
          </w:p>
        </w:tc>
        <w:tc>
          <w:tcPr>
            <w:tcW w:w="808" w:type="pct"/>
            <w:shd w:val="clear" w:color="auto" w:fill="auto"/>
            <w:noWrap/>
            <w:hideMark/>
          </w:tcPr>
          <w:p w:rsidR="00267ECD" w:rsidRPr="00A27A71" w:rsidRDefault="00267ECD" w:rsidP="00A720C2">
            <w:pPr>
              <w:jc w:val="right"/>
              <w:rPr>
                <w:color w:val="000000"/>
                <w:sz w:val="20"/>
                <w:szCs w:val="20"/>
              </w:rPr>
            </w:pPr>
            <w:r w:rsidRPr="00A27A71">
              <w:rPr>
                <w:color w:val="000000"/>
                <w:sz w:val="20"/>
                <w:szCs w:val="20"/>
              </w:rPr>
              <w:t>98</w:t>
            </w:r>
          </w:p>
        </w:tc>
        <w:tc>
          <w:tcPr>
            <w:tcW w:w="808" w:type="pct"/>
            <w:shd w:val="clear" w:color="auto" w:fill="auto"/>
            <w:noWrap/>
            <w:hideMark/>
          </w:tcPr>
          <w:p w:rsidR="00267ECD" w:rsidRPr="00A27A71" w:rsidRDefault="00267ECD" w:rsidP="00A720C2">
            <w:pPr>
              <w:jc w:val="right"/>
              <w:rPr>
                <w:color w:val="000000"/>
                <w:sz w:val="20"/>
                <w:szCs w:val="20"/>
              </w:rPr>
            </w:pPr>
            <w:r w:rsidRPr="00A27A71">
              <w:rPr>
                <w:color w:val="000000"/>
                <w:sz w:val="20"/>
                <w:szCs w:val="20"/>
              </w:rPr>
              <w:t>836,000</w:t>
            </w:r>
          </w:p>
        </w:tc>
        <w:tc>
          <w:tcPr>
            <w:tcW w:w="808" w:type="pct"/>
            <w:shd w:val="clear" w:color="auto" w:fill="auto"/>
            <w:noWrap/>
            <w:hideMark/>
          </w:tcPr>
          <w:p w:rsidR="00267ECD" w:rsidRPr="00A27A71" w:rsidRDefault="00267ECD" w:rsidP="00A720C2">
            <w:pPr>
              <w:jc w:val="right"/>
              <w:rPr>
                <w:color w:val="000000"/>
                <w:sz w:val="20"/>
                <w:szCs w:val="20"/>
              </w:rPr>
            </w:pPr>
            <w:r w:rsidRPr="00A27A71">
              <w:rPr>
                <w:color w:val="000000"/>
                <w:sz w:val="20"/>
                <w:szCs w:val="20"/>
              </w:rPr>
              <w:t xml:space="preserve">313,600 </w:t>
            </w:r>
          </w:p>
        </w:tc>
        <w:tc>
          <w:tcPr>
            <w:tcW w:w="808" w:type="pct"/>
            <w:shd w:val="clear" w:color="auto" w:fill="auto"/>
            <w:noWrap/>
            <w:hideMark/>
          </w:tcPr>
          <w:p w:rsidR="00267ECD" w:rsidRPr="00A27A71" w:rsidRDefault="00267ECD" w:rsidP="00A720C2">
            <w:pPr>
              <w:jc w:val="right"/>
              <w:rPr>
                <w:color w:val="000000"/>
                <w:sz w:val="20"/>
                <w:szCs w:val="20"/>
              </w:rPr>
            </w:pPr>
            <w:r w:rsidRPr="00A27A71">
              <w:rPr>
                <w:color w:val="000000"/>
                <w:sz w:val="20"/>
                <w:szCs w:val="20"/>
              </w:rPr>
              <w:t>1,149,600</w:t>
            </w:r>
          </w:p>
        </w:tc>
        <w:tc>
          <w:tcPr>
            <w:tcW w:w="808" w:type="pct"/>
            <w:vAlign w:val="bottom"/>
          </w:tcPr>
          <w:p w:rsidR="00267ECD" w:rsidRPr="00A27A71" w:rsidRDefault="00267ECD">
            <w:pPr>
              <w:rPr>
                <w:color w:val="000000"/>
                <w:sz w:val="20"/>
                <w:szCs w:val="20"/>
              </w:rPr>
            </w:pPr>
            <w:r w:rsidRPr="00A27A71">
              <w:rPr>
                <w:color w:val="000000"/>
                <w:sz w:val="20"/>
                <w:szCs w:val="20"/>
              </w:rPr>
              <w:t xml:space="preserve">        11.73 </w:t>
            </w:r>
          </w:p>
        </w:tc>
      </w:tr>
      <w:tr w:rsidR="00267ECD" w:rsidRPr="00A27A71" w:rsidTr="00267ECD">
        <w:trPr>
          <w:trHeight w:val="116"/>
        </w:trPr>
        <w:tc>
          <w:tcPr>
            <w:tcW w:w="961" w:type="pct"/>
            <w:shd w:val="clear" w:color="auto" w:fill="auto"/>
            <w:hideMark/>
          </w:tcPr>
          <w:p w:rsidR="00267ECD" w:rsidRPr="00A27A71" w:rsidRDefault="00267ECD" w:rsidP="00A720C2">
            <w:pPr>
              <w:jc w:val="left"/>
              <w:rPr>
                <w:color w:val="000000"/>
                <w:sz w:val="20"/>
                <w:szCs w:val="20"/>
              </w:rPr>
            </w:pPr>
            <w:r w:rsidRPr="00A27A71">
              <w:rPr>
                <w:color w:val="000000"/>
                <w:sz w:val="20"/>
                <w:szCs w:val="20"/>
              </w:rPr>
              <w:t>Insutech</w:t>
            </w:r>
          </w:p>
        </w:tc>
        <w:tc>
          <w:tcPr>
            <w:tcW w:w="808" w:type="pct"/>
            <w:shd w:val="clear" w:color="auto" w:fill="auto"/>
            <w:noWrap/>
            <w:hideMark/>
          </w:tcPr>
          <w:p w:rsidR="00267ECD" w:rsidRPr="00A27A71" w:rsidRDefault="00267ECD" w:rsidP="00A720C2">
            <w:pPr>
              <w:jc w:val="right"/>
              <w:rPr>
                <w:color w:val="000000"/>
                <w:sz w:val="20"/>
                <w:szCs w:val="20"/>
              </w:rPr>
            </w:pPr>
            <w:r w:rsidRPr="00A27A71">
              <w:rPr>
                <w:color w:val="000000"/>
                <w:sz w:val="20"/>
                <w:szCs w:val="20"/>
              </w:rPr>
              <w:t>198</w:t>
            </w:r>
          </w:p>
        </w:tc>
        <w:tc>
          <w:tcPr>
            <w:tcW w:w="808" w:type="pct"/>
            <w:shd w:val="clear" w:color="auto" w:fill="auto"/>
            <w:noWrap/>
            <w:hideMark/>
          </w:tcPr>
          <w:p w:rsidR="00267ECD" w:rsidRPr="00A27A71" w:rsidRDefault="00267ECD" w:rsidP="00A720C2">
            <w:pPr>
              <w:jc w:val="right"/>
              <w:rPr>
                <w:color w:val="000000"/>
                <w:sz w:val="20"/>
                <w:szCs w:val="20"/>
              </w:rPr>
            </w:pPr>
            <w:r w:rsidRPr="00A27A71">
              <w:rPr>
                <w:color w:val="000000"/>
                <w:sz w:val="20"/>
                <w:szCs w:val="20"/>
              </w:rPr>
              <w:t>522,500</w:t>
            </w:r>
          </w:p>
        </w:tc>
        <w:tc>
          <w:tcPr>
            <w:tcW w:w="808" w:type="pct"/>
            <w:shd w:val="clear" w:color="auto" w:fill="auto"/>
            <w:noWrap/>
            <w:hideMark/>
          </w:tcPr>
          <w:p w:rsidR="00267ECD" w:rsidRPr="00A27A71" w:rsidRDefault="00267ECD" w:rsidP="00A720C2">
            <w:pPr>
              <w:jc w:val="right"/>
              <w:rPr>
                <w:color w:val="000000"/>
                <w:sz w:val="20"/>
                <w:szCs w:val="20"/>
              </w:rPr>
            </w:pPr>
            <w:r w:rsidRPr="00A27A71">
              <w:rPr>
                <w:color w:val="000000"/>
                <w:sz w:val="20"/>
                <w:szCs w:val="20"/>
              </w:rPr>
              <w:t xml:space="preserve">633,600 </w:t>
            </w:r>
          </w:p>
        </w:tc>
        <w:tc>
          <w:tcPr>
            <w:tcW w:w="808" w:type="pct"/>
            <w:shd w:val="clear" w:color="auto" w:fill="auto"/>
            <w:noWrap/>
            <w:hideMark/>
          </w:tcPr>
          <w:p w:rsidR="00267ECD" w:rsidRPr="00A27A71" w:rsidRDefault="00267ECD" w:rsidP="00A720C2">
            <w:pPr>
              <w:jc w:val="right"/>
              <w:rPr>
                <w:color w:val="000000"/>
                <w:sz w:val="20"/>
                <w:szCs w:val="20"/>
              </w:rPr>
            </w:pPr>
            <w:r w:rsidRPr="00A27A71">
              <w:rPr>
                <w:color w:val="000000"/>
                <w:sz w:val="20"/>
                <w:szCs w:val="20"/>
              </w:rPr>
              <w:t>1,156,100</w:t>
            </w:r>
          </w:p>
        </w:tc>
        <w:tc>
          <w:tcPr>
            <w:tcW w:w="808" w:type="pct"/>
            <w:vAlign w:val="bottom"/>
          </w:tcPr>
          <w:p w:rsidR="00267ECD" w:rsidRPr="00A27A71" w:rsidRDefault="00267ECD">
            <w:pPr>
              <w:rPr>
                <w:color w:val="000000"/>
                <w:sz w:val="20"/>
                <w:szCs w:val="20"/>
              </w:rPr>
            </w:pPr>
            <w:r w:rsidRPr="00A27A71">
              <w:rPr>
                <w:color w:val="000000"/>
                <w:sz w:val="20"/>
                <w:szCs w:val="20"/>
              </w:rPr>
              <w:t xml:space="preserve">          5.84 </w:t>
            </w:r>
          </w:p>
        </w:tc>
      </w:tr>
      <w:tr w:rsidR="00267ECD" w:rsidRPr="00A27A71" w:rsidTr="00267ECD">
        <w:trPr>
          <w:trHeight w:val="54"/>
        </w:trPr>
        <w:tc>
          <w:tcPr>
            <w:tcW w:w="961" w:type="pct"/>
            <w:shd w:val="clear" w:color="auto" w:fill="auto"/>
            <w:hideMark/>
          </w:tcPr>
          <w:p w:rsidR="00267ECD" w:rsidRPr="00A27A71" w:rsidRDefault="00267ECD" w:rsidP="00A720C2">
            <w:pPr>
              <w:jc w:val="left"/>
              <w:rPr>
                <w:color w:val="000000"/>
                <w:sz w:val="20"/>
                <w:szCs w:val="20"/>
              </w:rPr>
            </w:pPr>
            <w:r w:rsidRPr="00A27A71">
              <w:rPr>
                <w:color w:val="000000"/>
                <w:sz w:val="20"/>
                <w:szCs w:val="20"/>
              </w:rPr>
              <w:t>Chema-Foam</w:t>
            </w:r>
          </w:p>
        </w:tc>
        <w:tc>
          <w:tcPr>
            <w:tcW w:w="808" w:type="pct"/>
            <w:shd w:val="clear" w:color="auto" w:fill="auto"/>
            <w:noWrap/>
            <w:hideMark/>
          </w:tcPr>
          <w:p w:rsidR="00267ECD" w:rsidRPr="00A27A71" w:rsidRDefault="00267ECD" w:rsidP="00A720C2">
            <w:pPr>
              <w:jc w:val="right"/>
              <w:rPr>
                <w:color w:val="000000"/>
                <w:sz w:val="20"/>
                <w:szCs w:val="20"/>
              </w:rPr>
            </w:pPr>
            <w:r w:rsidRPr="00A27A71">
              <w:rPr>
                <w:color w:val="000000"/>
                <w:sz w:val="20"/>
                <w:szCs w:val="20"/>
              </w:rPr>
              <w:t>55</w:t>
            </w:r>
          </w:p>
        </w:tc>
        <w:tc>
          <w:tcPr>
            <w:tcW w:w="808" w:type="pct"/>
            <w:shd w:val="clear" w:color="auto" w:fill="auto"/>
            <w:noWrap/>
            <w:hideMark/>
          </w:tcPr>
          <w:p w:rsidR="00267ECD" w:rsidRPr="00A27A71" w:rsidRDefault="00267ECD" w:rsidP="00A720C2">
            <w:pPr>
              <w:jc w:val="right"/>
              <w:rPr>
                <w:color w:val="000000"/>
                <w:sz w:val="20"/>
                <w:szCs w:val="20"/>
              </w:rPr>
            </w:pPr>
            <w:r w:rsidRPr="00A27A71">
              <w:rPr>
                <w:color w:val="000000"/>
                <w:sz w:val="20"/>
                <w:szCs w:val="20"/>
              </w:rPr>
              <w:t>335,500</w:t>
            </w:r>
          </w:p>
        </w:tc>
        <w:tc>
          <w:tcPr>
            <w:tcW w:w="808" w:type="pct"/>
            <w:shd w:val="clear" w:color="auto" w:fill="auto"/>
            <w:noWrap/>
            <w:hideMark/>
          </w:tcPr>
          <w:p w:rsidR="00267ECD" w:rsidRPr="00A27A71" w:rsidRDefault="00267ECD" w:rsidP="00A720C2">
            <w:pPr>
              <w:jc w:val="right"/>
              <w:rPr>
                <w:color w:val="000000"/>
                <w:sz w:val="20"/>
                <w:szCs w:val="20"/>
              </w:rPr>
            </w:pPr>
            <w:r w:rsidRPr="00A27A71">
              <w:rPr>
                <w:color w:val="000000"/>
                <w:sz w:val="20"/>
                <w:szCs w:val="20"/>
              </w:rPr>
              <w:t xml:space="preserve">176,000 </w:t>
            </w:r>
          </w:p>
        </w:tc>
        <w:tc>
          <w:tcPr>
            <w:tcW w:w="808" w:type="pct"/>
            <w:shd w:val="clear" w:color="auto" w:fill="auto"/>
            <w:noWrap/>
            <w:hideMark/>
          </w:tcPr>
          <w:p w:rsidR="00267ECD" w:rsidRPr="00A27A71" w:rsidRDefault="00267ECD" w:rsidP="00A720C2">
            <w:pPr>
              <w:jc w:val="right"/>
              <w:rPr>
                <w:color w:val="000000"/>
                <w:sz w:val="20"/>
                <w:szCs w:val="20"/>
              </w:rPr>
            </w:pPr>
            <w:r w:rsidRPr="00A27A71">
              <w:rPr>
                <w:color w:val="000000"/>
                <w:sz w:val="20"/>
                <w:szCs w:val="20"/>
              </w:rPr>
              <w:t>511,500</w:t>
            </w:r>
          </w:p>
        </w:tc>
        <w:tc>
          <w:tcPr>
            <w:tcW w:w="808" w:type="pct"/>
            <w:vAlign w:val="bottom"/>
          </w:tcPr>
          <w:p w:rsidR="00267ECD" w:rsidRPr="00A27A71" w:rsidRDefault="00267ECD">
            <w:pPr>
              <w:rPr>
                <w:color w:val="000000"/>
                <w:sz w:val="20"/>
                <w:szCs w:val="20"/>
              </w:rPr>
            </w:pPr>
            <w:r w:rsidRPr="00A27A71">
              <w:rPr>
                <w:color w:val="000000"/>
                <w:sz w:val="20"/>
                <w:szCs w:val="20"/>
              </w:rPr>
              <w:t xml:space="preserve">          9.30 </w:t>
            </w:r>
          </w:p>
        </w:tc>
      </w:tr>
      <w:tr w:rsidR="00267ECD" w:rsidRPr="00A27A71" w:rsidTr="00267ECD">
        <w:trPr>
          <w:trHeight w:val="80"/>
        </w:trPr>
        <w:tc>
          <w:tcPr>
            <w:tcW w:w="961" w:type="pct"/>
            <w:shd w:val="clear" w:color="auto" w:fill="auto"/>
            <w:hideMark/>
          </w:tcPr>
          <w:p w:rsidR="00267ECD" w:rsidRPr="00A27A71" w:rsidRDefault="00267ECD" w:rsidP="00A720C2">
            <w:pPr>
              <w:jc w:val="left"/>
              <w:rPr>
                <w:color w:val="000000"/>
                <w:sz w:val="20"/>
                <w:szCs w:val="20"/>
              </w:rPr>
            </w:pPr>
            <w:r w:rsidRPr="00A27A71">
              <w:rPr>
                <w:color w:val="000000"/>
                <w:sz w:val="20"/>
                <w:szCs w:val="20"/>
              </w:rPr>
              <w:t>Modern Plastics</w:t>
            </w:r>
          </w:p>
        </w:tc>
        <w:tc>
          <w:tcPr>
            <w:tcW w:w="808" w:type="pct"/>
            <w:shd w:val="clear" w:color="auto" w:fill="auto"/>
            <w:noWrap/>
            <w:hideMark/>
          </w:tcPr>
          <w:p w:rsidR="00267ECD" w:rsidRPr="00A27A71" w:rsidRDefault="00267ECD" w:rsidP="00A720C2">
            <w:pPr>
              <w:jc w:val="right"/>
              <w:rPr>
                <w:color w:val="000000"/>
                <w:sz w:val="20"/>
                <w:szCs w:val="20"/>
              </w:rPr>
            </w:pPr>
            <w:r w:rsidRPr="00A27A71">
              <w:rPr>
                <w:color w:val="000000"/>
                <w:sz w:val="20"/>
                <w:szCs w:val="20"/>
              </w:rPr>
              <w:t>93</w:t>
            </w:r>
          </w:p>
        </w:tc>
        <w:tc>
          <w:tcPr>
            <w:tcW w:w="808" w:type="pct"/>
            <w:shd w:val="clear" w:color="auto" w:fill="auto"/>
            <w:noWrap/>
            <w:hideMark/>
          </w:tcPr>
          <w:p w:rsidR="00267ECD" w:rsidRPr="00A27A71" w:rsidRDefault="00267ECD" w:rsidP="00A720C2">
            <w:pPr>
              <w:jc w:val="right"/>
              <w:rPr>
                <w:color w:val="000000"/>
                <w:sz w:val="20"/>
                <w:szCs w:val="20"/>
              </w:rPr>
            </w:pPr>
            <w:r w:rsidRPr="00A27A71">
              <w:rPr>
                <w:color w:val="000000"/>
                <w:sz w:val="20"/>
                <w:szCs w:val="20"/>
              </w:rPr>
              <w:t>390,500</w:t>
            </w:r>
          </w:p>
        </w:tc>
        <w:tc>
          <w:tcPr>
            <w:tcW w:w="808" w:type="pct"/>
            <w:shd w:val="clear" w:color="auto" w:fill="auto"/>
            <w:noWrap/>
            <w:hideMark/>
          </w:tcPr>
          <w:p w:rsidR="00267ECD" w:rsidRPr="00A27A71" w:rsidRDefault="00267ECD" w:rsidP="00A720C2">
            <w:pPr>
              <w:jc w:val="right"/>
              <w:rPr>
                <w:color w:val="000000"/>
                <w:sz w:val="20"/>
                <w:szCs w:val="20"/>
              </w:rPr>
            </w:pPr>
            <w:r w:rsidRPr="00A27A71">
              <w:rPr>
                <w:color w:val="000000"/>
                <w:sz w:val="20"/>
                <w:szCs w:val="20"/>
              </w:rPr>
              <w:t xml:space="preserve">297,600 </w:t>
            </w:r>
          </w:p>
        </w:tc>
        <w:tc>
          <w:tcPr>
            <w:tcW w:w="808" w:type="pct"/>
            <w:shd w:val="clear" w:color="auto" w:fill="auto"/>
            <w:noWrap/>
            <w:hideMark/>
          </w:tcPr>
          <w:p w:rsidR="00267ECD" w:rsidRPr="00A27A71" w:rsidRDefault="00267ECD" w:rsidP="00A720C2">
            <w:pPr>
              <w:jc w:val="right"/>
              <w:rPr>
                <w:color w:val="000000"/>
                <w:sz w:val="20"/>
                <w:szCs w:val="20"/>
              </w:rPr>
            </w:pPr>
            <w:r w:rsidRPr="00A27A71">
              <w:rPr>
                <w:color w:val="000000"/>
                <w:sz w:val="20"/>
                <w:szCs w:val="20"/>
              </w:rPr>
              <w:t>688,100</w:t>
            </w:r>
          </w:p>
        </w:tc>
        <w:tc>
          <w:tcPr>
            <w:tcW w:w="808" w:type="pct"/>
            <w:vAlign w:val="bottom"/>
          </w:tcPr>
          <w:p w:rsidR="00267ECD" w:rsidRPr="00A27A71" w:rsidRDefault="00267ECD">
            <w:pPr>
              <w:rPr>
                <w:color w:val="000000"/>
                <w:sz w:val="20"/>
                <w:szCs w:val="20"/>
              </w:rPr>
            </w:pPr>
            <w:r w:rsidRPr="00A27A71">
              <w:rPr>
                <w:color w:val="000000"/>
                <w:sz w:val="20"/>
                <w:szCs w:val="20"/>
              </w:rPr>
              <w:t xml:space="preserve">          7.40 </w:t>
            </w:r>
          </w:p>
        </w:tc>
      </w:tr>
      <w:tr w:rsidR="00267ECD" w:rsidRPr="00A27A71" w:rsidTr="00267ECD">
        <w:trPr>
          <w:trHeight w:val="116"/>
        </w:trPr>
        <w:tc>
          <w:tcPr>
            <w:tcW w:w="961" w:type="pct"/>
            <w:shd w:val="clear" w:color="auto" w:fill="auto"/>
            <w:hideMark/>
          </w:tcPr>
          <w:p w:rsidR="00267ECD" w:rsidRPr="00A27A71" w:rsidRDefault="00267ECD" w:rsidP="00A720C2">
            <w:pPr>
              <w:jc w:val="left"/>
              <w:rPr>
                <w:b/>
                <w:bCs/>
                <w:color w:val="000000"/>
                <w:sz w:val="20"/>
                <w:szCs w:val="20"/>
              </w:rPr>
            </w:pPr>
            <w:r w:rsidRPr="00A27A71">
              <w:rPr>
                <w:b/>
                <w:bCs/>
                <w:color w:val="000000"/>
                <w:sz w:val="20"/>
                <w:szCs w:val="20"/>
              </w:rPr>
              <w:t>Total</w:t>
            </w:r>
          </w:p>
        </w:tc>
        <w:tc>
          <w:tcPr>
            <w:tcW w:w="808" w:type="pct"/>
            <w:shd w:val="clear" w:color="auto" w:fill="auto"/>
            <w:noWrap/>
            <w:hideMark/>
          </w:tcPr>
          <w:p w:rsidR="00267ECD" w:rsidRPr="00A27A71" w:rsidRDefault="00267ECD" w:rsidP="00A720C2">
            <w:pPr>
              <w:jc w:val="right"/>
              <w:rPr>
                <w:b/>
                <w:bCs/>
                <w:color w:val="000000"/>
                <w:sz w:val="20"/>
                <w:szCs w:val="20"/>
              </w:rPr>
            </w:pPr>
            <w:r w:rsidRPr="00A27A71">
              <w:rPr>
                <w:b/>
                <w:bCs/>
                <w:color w:val="000000"/>
                <w:sz w:val="20"/>
                <w:szCs w:val="20"/>
              </w:rPr>
              <w:t>444</w:t>
            </w:r>
          </w:p>
        </w:tc>
        <w:tc>
          <w:tcPr>
            <w:tcW w:w="808" w:type="pct"/>
            <w:shd w:val="clear" w:color="auto" w:fill="auto"/>
            <w:noWrap/>
            <w:hideMark/>
          </w:tcPr>
          <w:p w:rsidR="00267ECD" w:rsidRPr="00A27A71" w:rsidRDefault="00267ECD" w:rsidP="00A720C2">
            <w:pPr>
              <w:jc w:val="right"/>
              <w:rPr>
                <w:b/>
                <w:bCs/>
                <w:color w:val="000000"/>
                <w:sz w:val="20"/>
                <w:szCs w:val="20"/>
              </w:rPr>
            </w:pPr>
            <w:r w:rsidRPr="00A27A71">
              <w:rPr>
                <w:b/>
                <w:bCs/>
                <w:color w:val="000000"/>
                <w:sz w:val="20"/>
                <w:szCs w:val="20"/>
              </w:rPr>
              <w:t xml:space="preserve">   2,084,500 </w:t>
            </w:r>
          </w:p>
        </w:tc>
        <w:tc>
          <w:tcPr>
            <w:tcW w:w="808" w:type="pct"/>
            <w:shd w:val="clear" w:color="auto" w:fill="auto"/>
            <w:noWrap/>
            <w:hideMark/>
          </w:tcPr>
          <w:p w:rsidR="00267ECD" w:rsidRPr="00A27A71" w:rsidRDefault="00267ECD" w:rsidP="00A720C2">
            <w:pPr>
              <w:jc w:val="right"/>
              <w:rPr>
                <w:b/>
                <w:bCs/>
                <w:color w:val="000000"/>
                <w:sz w:val="20"/>
                <w:szCs w:val="20"/>
              </w:rPr>
            </w:pPr>
            <w:r w:rsidRPr="00A27A71">
              <w:rPr>
                <w:b/>
                <w:bCs/>
                <w:color w:val="000000"/>
                <w:sz w:val="20"/>
                <w:szCs w:val="20"/>
              </w:rPr>
              <w:t xml:space="preserve">1,420,800 </w:t>
            </w:r>
          </w:p>
        </w:tc>
        <w:tc>
          <w:tcPr>
            <w:tcW w:w="808" w:type="pct"/>
            <w:shd w:val="clear" w:color="auto" w:fill="auto"/>
            <w:noWrap/>
            <w:hideMark/>
          </w:tcPr>
          <w:p w:rsidR="00267ECD" w:rsidRPr="00A27A71" w:rsidRDefault="00267ECD" w:rsidP="00A720C2">
            <w:pPr>
              <w:jc w:val="right"/>
              <w:rPr>
                <w:b/>
                <w:bCs/>
                <w:color w:val="000000"/>
                <w:sz w:val="20"/>
                <w:szCs w:val="20"/>
              </w:rPr>
            </w:pPr>
            <w:r w:rsidRPr="00A27A71">
              <w:rPr>
                <w:b/>
                <w:bCs/>
                <w:color w:val="000000"/>
                <w:sz w:val="20"/>
                <w:szCs w:val="20"/>
              </w:rPr>
              <w:t xml:space="preserve">3,505,300 </w:t>
            </w:r>
          </w:p>
        </w:tc>
        <w:tc>
          <w:tcPr>
            <w:tcW w:w="808" w:type="pct"/>
            <w:vAlign w:val="bottom"/>
          </w:tcPr>
          <w:p w:rsidR="00267ECD" w:rsidRPr="00A27A71" w:rsidRDefault="00267ECD">
            <w:pPr>
              <w:rPr>
                <w:b/>
                <w:color w:val="000000"/>
                <w:sz w:val="20"/>
                <w:szCs w:val="20"/>
              </w:rPr>
            </w:pPr>
            <w:r w:rsidRPr="00A27A71">
              <w:rPr>
                <w:color w:val="000000"/>
                <w:sz w:val="20"/>
                <w:szCs w:val="20"/>
              </w:rPr>
              <w:t xml:space="preserve">          </w:t>
            </w:r>
            <w:r w:rsidRPr="00A27A71">
              <w:rPr>
                <w:b/>
                <w:color w:val="000000"/>
                <w:sz w:val="20"/>
                <w:szCs w:val="20"/>
              </w:rPr>
              <w:t xml:space="preserve">7.89 </w:t>
            </w:r>
          </w:p>
        </w:tc>
      </w:tr>
    </w:tbl>
    <w:p w:rsidR="009C1842" w:rsidRPr="00A27A71" w:rsidRDefault="009C1842" w:rsidP="009C1842"/>
    <w:p w:rsidR="00C905D9" w:rsidRPr="00A27A71" w:rsidRDefault="005C2E79" w:rsidP="00C905D9">
      <w:pPr>
        <w:rPr>
          <w:i/>
        </w:rPr>
      </w:pPr>
      <w:r w:rsidRPr="00A27A71">
        <w:rPr>
          <w:i/>
        </w:rPr>
        <w:t xml:space="preserve">Domestic </w:t>
      </w:r>
      <w:r w:rsidR="00223D78" w:rsidRPr="00A27A71">
        <w:rPr>
          <w:i/>
        </w:rPr>
        <w:t>AC</w:t>
      </w:r>
      <w:r w:rsidR="00C905D9" w:rsidRPr="00A27A71">
        <w:rPr>
          <w:i/>
        </w:rPr>
        <w:t xml:space="preserve"> manufacturing sector</w:t>
      </w:r>
    </w:p>
    <w:p w:rsidR="00C905D9" w:rsidRPr="00A27A71" w:rsidRDefault="00C905D9" w:rsidP="00C905D9">
      <w:pPr>
        <w:rPr>
          <w:i/>
          <w:u w:val="single"/>
        </w:rPr>
      </w:pPr>
    </w:p>
    <w:p w:rsidR="00C905D9" w:rsidRPr="00A27A71" w:rsidRDefault="005670B4" w:rsidP="00676086">
      <w:pPr>
        <w:pStyle w:val="Heading1"/>
      </w:pPr>
      <w:r w:rsidRPr="00A27A71">
        <w:t>The project aims to</w:t>
      </w:r>
      <w:r w:rsidR="001968ED" w:rsidRPr="00A27A71">
        <w:t xml:space="preserve"> build on the EGYPRA and the demonstration project on promoting low-GWP refrigerants for </w:t>
      </w:r>
      <w:r w:rsidR="00223D78" w:rsidRPr="00A27A71">
        <w:t>AC</w:t>
      </w:r>
      <w:r w:rsidR="001968ED" w:rsidRPr="00A27A71">
        <w:t xml:space="preserve"> sectors in high-ambient temperature countries (PRAHA) and</w:t>
      </w:r>
      <w:r w:rsidRPr="00A27A71">
        <w:t xml:space="preserve"> phase</w:t>
      </w:r>
      <w:r w:rsidR="00223D78" w:rsidRPr="00A27A71">
        <w:t xml:space="preserve"> </w:t>
      </w:r>
      <w:r w:rsidRPr="00A27A71">
        <w:t>out 1,218.69</w:t>
      </w:r>
      <w:r w:rsidR="00E61A05" w:rsidRPr="00A27A71">
        <w:t> mt</w:t>
      </w:r>
      <w:r w:rsidR="000841C5" w:rsidRPr="00A27A71">
        <w:rPr>
          <w:rStyle w:val="FootnoteReference"/>
        </w:rPr>
        <w:footnoteReference w:id="6"/>
      </w:r>
      <w:r w:rsidRPr="00A27A71">
        <w:t xml:space="preserve"> (67.03</w:t>
      </w:r>
      <w:r w:rsidR="00E61A05" w:rsidRPr="00A27A71">
        <w:t> ODP tonnes</w:t>
      </w:r>
      <w:r w:rsidRPr="00A27A71">
        <w:t xml:space="preserve">) of HCFC-22 </w:t>
      </w:r>
      <w:r w:rsidR="00B149DE" w:rsidRPr="00A27A71">
        <w:t>in</w:t>
      </w:r>
      <w:r w:rsidRPr="00A27A71">
        <w:t xml:space="preserve"> five residential </w:t>
      </w:r>
      <w:r w:rsidR="00223D78" w:rsidRPr="00A27A71">
        <w:t>AC</w:t>
      </w:r>
      <w:r w:rsidRPr="00A27A71">
        <w:t xml:space="preserve"> manufacturers from HCFC-22 to an alternative low</w:t>
      </w:r>
      <w:r w:rsidR="00B149DE" w:rsidRPr="00A27A71">
        <w:noBreakHyphen/>
      </w:r>
      <w:r w:rsidRPr="00A27A71">
        <w:t xml:space="preserve">GWP technology that is yet to be </w:t>
      </w:r>
      <w:r w:rsidR="00BC6508" w:rsidRPr="00A27A71">
        <w:t>decided</w:t>
      </w:r>
      <w:r w:rsidRPr="00A27A71">
        <w:t xml:space="preserve">. The project includes conversion of </w:t>
      </w:r>
      <w:r w:rsidR="00F75F42" w:rsidRPr="00A27A71">
        <w:t>AC</w:t>
      </w:r>
      <w:r w:rsidRPr="00A27A71">
        <w:t xml:space="preserve"> equipment assembly lines and conversion of four heat exchange manufacturing lines at the enterprises. </w:t>
      </w:r>
      <w:r w:rsidR="00676086" w:rsidRPr="00A27A71">
        <w:t xml:space="preserve">Funding is requested for technical assistance (US $100,000/enterprise), heat exchanger modification (US $1,358,000/line),  refrigerant handling packages (between US $90,000 and </w:t>
      </w:r>
      <w:r w:rsidR="00F76143">
        <w:t>US $</w:t>
      </w:r>
      <w:r w:rsidR="00676086" w:rsidRPr="00A27A71">
        <w:t xml:space="preserve">390,000, depending on the number of charging machines, leak detectors and ancillary equipment needed), safety measures (between US $155,000 and US $170,000, depending on the enterprise layout), refrigerant supply (between US $45,000 and US $120,000, depending on the number of supply pumps, tanks, and piping needed), </w:t>
      </w:r>
      <w:r w:rsidR="00902658" w:rsidRPr="00A27A71">
        <w:t xml:space="preserve">repair line modifications (US $25,000, as needed), </w:t>
      </w:r>
      <w:r w:rsidR="00676086" w:rsidRPr="00A27A71">
        <w:t xml:space="preserve">performance test station modifications (US $2,000/station), upgrade of labs to handle flammables (US $10,000/lab), installation (5 per cent), TÜV certification (US $35,000), and contingencies (10 per cent). </w:t>
      </w:r>
      <w:r w:rsidRPr="00A27A71">
        <w:t xml:space="preserve">The total funding requested, including the heat exchange conversion, amounts to </w:t>
      </w:r>
      <w:r w:rsidR="00E61A05" w:rsidRPr="00A27A71">
        <w:t>US $</w:t>
      </w:r>
      <w:r w:rsidRPr="00A27A71">
        <w:t xml:space="preserve">18,038,567 </w:t>
      </w:r>
      <w:r w:rsidR="0008367B" w:rsidRPr="00A27A71">
        <w:t>(</w:t>
      </w:r>
      <w:r w:rsidRPr="00A27A71">
        <w:t>US</w:t>
      </w:r>
      <w:r w:rsidR="00B77D27" w:rsidRPr="00A27A71">
        <w:t> </w:t>
      </w:r>
      <w:r w:rsidRPr="00A27A71">
        <w:t>$14.80/kg</w:t>
      </w:r>
      <w:r w:rsidR="0008367B" w:rsidRPr="00A27A71">
        <w:t>)</w:t>
      </w:r>
      <w:r w:rsidR="00B149DE" w:rsidRPr="00A27A71">
        <w:t>, as shown in Table 7</w:t>
      </w:r>
      <w:r w:rsidRPr="00A27A71">
        <w:t>.</w:t>
      </w:r>
      <w:r w:rsidR="00B149DE" w:rsidRPr="00A27A71">
        <w:t xml:space="preserve"> </w:t>
      </w:r>
    </w:p>
    <w:p w:rsidR="00C905D9" w:rsidRPr="00A27A71" w:rsidRDefault="00C905D9" w:rsidP="005D1FF4">
      <w:pPr>
        <w:pStyle w:val="Heading1"/>
        <w:keepNext/>
        <w:keepLines/>
        <w:numPr>
          <w:ilvl w:val="0"/>
          <w:numId w:val="0"/>
        </w:numPr>
        <w:spacing w:after="0"/>
        <w:rPr>
          <w:b/>
        </w:rPr>
      </w:pPr>
      <w:r w:rsidRPr="00A27A71">
        <w:rPr>
          <w:b/>
        </w:rPr>
        <w:lastRenderedPageBreak/>
        <w:t xml:space="preserve">Table </w:t>
      </w:r>
      <w:r w:rsidR="00042D91" w:rsidRPr="00A27A71">
        <w:rPr>
          <w:b/>
        </w:rPr>
        <w:t>7</w:t>
      </w:r>
      <w:r w:rsidRPr="00A27A71">
        <w:rPr>
          <w:b/>
        </w:rPr>
        <w:t>. Investment projects in the AC manufacturing sector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6" w:type="dxa"/>
          <w:right w:w="70" w:type="dxa"/>
        </w:tblCellMar>
        <w:tblLook w:val="0000" w:firstRow="0" w:lastRow="0" w:firstColumn="0" w:lastColumn="0" w:noHBand="0" w:noVBand="0"/>
      </w:tblPr>
      <w:tblGrid>
        <w:gridCol w:w="1520"/>
        <w:gridCol w:w="1171"/>
        <w:gridCol w:w="1137"/>
        <w:gridCol w:w="1365"/>
        <w:gridCol w:w="1287"/>
        <w:gridCol w:w="1499"/>
        <w:gridCol w:w="1497"/>
      </w:tblGrid>
      <w:tr w:rsidR="00C905D9" w:rsidRPr="00A27A71" w:rsidTr="00E0480C">
        <w:tc>
          <w:tcPr>
            <w:tcW w:w="802" w:type="pct"/>
            <w:vMerge w:val="restart"/>
            <w:shd w:val="clear" w:color="auto" w:fill="auto"/>
          </w:tcPr>
          <w:p w:rsidR="00C905D9" w:rsidRPr="00A27A71" w:rsidRDefault="00C905D9" w:rsidP="005D1FF4">
            <w:pPr>
              <w:keepNext/>
              <w:keepLines/>
              <w:jc w:val="center"/>
              <w:rPr>
                <w:sz w:val="20"/>
                <w:szCs w:val="20"/>
              </w:rPr>
            </w:pPr>
            <w:r w:rsidRPr="00A27A71">
              <w:rPr>
                <w:b/>
                <w:bCs/>
                <w:color w:val="000000"/>
                <w:sz w:val="20"/>
                <w:szCs w:val="20"/>
              </w:rPr>
              <w:t>Enterprise</w:t>
            </w:r>
          </w:p>
        </w:tc>
        <w:tc>
          <w:tcPr>
            <w:tcW w:w="1218" w:type="pct"/>
            <w:gridSpan w:val="2"/>
          </w:tcPr>
          <w:p w:rsidR="00C905D9" w:rsidRPr="00A27A71" w:rsidRDefault="00C905D9" w:rsidP="005D1FF4">
            <w:pPr>
              <w:keepNext/>
              <w:keepLines/>
              <w:jc w:val="center"/>
              <w:rPr>
                <w:b/>
                <w:sz w:val="20"/>
                <w:szCs w:val="20"/>
              </w:rPr>
            </w:pPr>
            <w:r w:rsidRPr="00A27A71">
              <w:rPr>
                <w:b/>
                <w:bCs/>
                <w:color w:val="000000"/>
                <w:sz w:val="20"/>
                <w:szCs w:val="20"/>
              </w:rPr>
              <w:t>HCFC-22 consumption</w:t>
            </w:r>
          </w:p>
        </w:tc>
        <w:tc>
          <w:tcPr>
            <w:tcW w:w="720" w:type="pct"/>
            <w:vMerge w:val="restart"/>
          </w:tcPr>
          <w:p w:rsidR="00C905D9" w:rsidRPr="00A27A71" w:rsidRDefault="00B53ED9" w:rsidP="005D1FF4">
            <w:pPr>
              <w:keepNext/>
              <w:keepLines/>
              <w:jc w:val="center"/>
              <w:rPr>
                <w:b/>
                <w:bCs/>
                <w:color w:val="000000"/>
                <w:sz w:val="20"/>
                <w:szCs w:val="20"/>
                <w:lang w:eastAsia="pt-BR"/>
              </w:rPr>
            </w:pPr>
            <w:r w:rsidRPr="00A27A71">
              <w:rPr>
                <w:b/>
                <w:bCs/>
                <w:color w:val="000000"/>
                <w:sz w:val="20"/>
                <w:szCs w:val="20"/>
                <w:lang w:eastAsia="pt-BR"/>
              </w:rPr>
              <w:t xml:space="preserve">ICC </w:t>
            </w:r>
            <w:r w:rsidR="00C905D9" w:rsidRPr="00A27A71">
              <w:rPr>
                <w:b/>
                <w:bCs/>
                <w:color w:val="000000"/>
                <w:sz w:val="20"/>
                <w:szCs w:val="20"/>
                <w:lang w:eastAsia="pt-BR"/>
              </w:rPr>
              <w:t>(US $)</w:t>
            </w:r>
          </w:p>
        </w:tc>
        <w:tc>
          <w:tcPr>
            <w:tcW w:w="679" w:type="pct"/>
            <w:vMerge w:val="restart"/>
          </w:tcPr>
          <w:p w:rsidR="00C905D9" w:rsidRPr="00A27A71" w:rsidRDefault="00B53ED9" w:rsidP="005D1FF4">
            <w:pPr>
              <w:keepNext/>
              <w:keepLines/>
              <w:jc w:val="center"/>
              <w:rPr>
                <w:b/>
                <w:sz w:val="20"/>
                <w:szCs w:val="20"/>
              </w:rPr>
            </w:pPr>
            <w:r w:rsidRPr="00A27A71">
              <w:rPr>
                <w:b/>
                <w:sz w:val="20"/>
                <w:szCs w:val="20"/>
              </w:rPr>
              <w:t>IOC</w:t>
            </w:r>
            <w:r w:rsidR="00C905D9" w:rsidRPr="00A27A71">
              <w:rPr>
                <w:b/>
                <w:sz w:val="20"/>
                <w:szCs w:val="20"/>
              </w:rPr>
              <w:t xml:space="preserve"> (US $)</w:t>
            </w:r>
          </w:p>
        </w:tc>
        <w:tc>
          <w:tcPr>
            <w:tcW w:w="791" w:type="pct"/>
            <w:vMerge w:val="restart"/>
            <w:shd w:val="clear" w:color="auto" w:fill="auto"/>
          </w:tcPr>
          <w:p w:rsidR="00C905D9" w:rsidRPr="00A27A71" w:rsidRDefault="00C905D9" w:rsidP="005D1FF4">
            <w:pPr>
              <w:keepNext/>
              <w:keepLines/>
              <w:jc w:val="center"/>
              <w:rPr>
                <w:b/>
                <w:bCs/>
                <w:color w:val="000000"/>
                <w:sz w:val="20"/>
                <w:szCs w:val="20"/>
                <w:lang w:eastAsia="pt-BR"/>
              </w:rPr>
            </w:pPr>
            <w:r w:rsidRPr="00A27A71">
              <w:rPr>
                <w:b/>
                <w:sz w:val="20"/>
                <w:szCs w:val="20"/>
              </w:rPr>
              <w:t>Funds requested (US $)</w:t>
            </w:r>
          </w:p>
        </w:tc>
        <w:tc>
          <w:tcPr>
            <w:tcW w:w="790" w:type="pct"/>
            <w:vMerge w:val="restart"/>
          </w:tcPr>
          <w:p w:rsidR="00C905D9" w:rsidRPr="00A27A71" w:rsidRDefault="00C905D9" w:rsidP="005D1FF4">
            <w:pPr>
              <w:keepNext/>
              <w:keepLines/>
              <w:jc w:val="center"/>
              <w:rPr>
                <w:b/>
                <w:sz w:val="20"/>
                <w:szCs w:val="20"/>
              </w:rPr>
            </w:pPr>
            <w:r w:rsidRPr="00A27A71">
              <w:rPr>
                <w:b/>
                <w:sz w:val="20"/>
                <w:szCs w:val="20"/>
              </w:rPr>
              <w:t>CE (</w:t>
            </w:r>
            <w:r w:rsidR="0013662C" w:rsidRPr="00A27A71">
              <w:rPr>
                <w:b/>
                <w:sz w:val="20"/>
                <w:szCs w:val="20"/>
              </w:rPr>
              <w:t>US $</w:t>
            </w:r>
            <w:r w:rsidRPr="00A27A71">
              <w:rPr>
                <w:b/>
                <w:sz w:val="20"/>
                <w:szCs w:val="20"/>
              </w:rPr>
              <w:t>/kg)</w:t>
            </w:r>
          </w:p>
        </w:tc>
      </w:tr>
      <w:tr w:rsidR="00C905D9" w:rsidRPr="00A27A71" w:rsidTr="00E0480C">
        <w:tc>
          <w:tcPr>
            <w:tcW w:w="802" w:type="pct"/>
            <w:vMerge/>
            <w:shd w:val="clear" w:color="auto" w:fill="auto"/>
          </w:tcPr>
          <w:p w:rsidR="00C905D9" w:rsidRPr="00A27A71" w:rsidRDefault="00C905D9" w:rsidP="00E0480C">
            <w:pPr>
              <w:keepNext/>
              <w:jc w:val="center"/>
              <w:rPr>
                <w:sz w:val="20"/>
                <w:szCs w:val="20"/>
              </w:rPr>
            </w:pPr>
          </w:p>
        </w:tc>
        <w:tc>
          <w:tcPr>
            <w:tcW w:w="618" w:type="pct"/>
          </w:tcPr>
          <w:p w:rsidR="00C905D9" w:rsidRPr="00A27A71" w:rsidRDefault="00B53ED9" w:rsidP="00E0480C">
            <w:pPr>
              <w:keepNext/>
              <w:jc w:val="center"/>
              <w:rPr>
                <w:b/>
                <w:bCs/>
                <w:color w:val="000000"/>
                <w:sz w:val="20"/>
                <w:szCs w:val="20"/>
                <w:lang w:eastAsia="pt-BR"/>
              </w:rPr>
            </w:pPr>
            <w:r w:rsidRPr="00A27A71">
              <w:rPr>
                <w:b/>
                <w:bCs/>
                <w:color w:val="000000"/>
                <w:sz w:val="20"/>
                <w:szCs w:val="20"/>
                <w:lang w:eastAsia="pt-BR"/>
              </w:rPr>
              <w:t>mt</w:t>
            </w:r>
          </w:p>
        </w:tc>
        <w:tc>
          <w:tcPr>
            <w:tcW w:w="600" w:type="pct"/>
          </w:tcPr>
          <w:p w:rsidR="00C905D9" w:rsidRPr="00A27A71" w:rsidRDefault="00C905D9" w:rsidP="00E0480C">
            <w:pPr>
              <w:keepNext/>
              <w:jc w:val="center"/>
              <w:rPr>
                <w:sz w:val="20"/>
                <w:szCs w:val="20"/>
                <w:lang w:eastAsia="pt-BR"/>
              </w:rPr>
            </w:pPr>
            <w:r w:rsidRPr="00A27A71">
              <w:rPr>
                <w:b/>
                <w:bCs/>
                <w:color w:val="000000"/>
                <w:sz w:val="20"/>
                <w:szCs w:val="20"/>
              </w:rPr>
              <w:t>ODP tonnes</w:t>
            </w:r>
          </w:p>
        </w:tc>
        <w:tc>
          <w:tcPr>
            <w:tcW w:w="720" w:type="pct"/>
            <w:vMerge/>
          </w:tcPr>
          <w:p w:rsidR="00C905D9" w:rsidRPr="00A27A71" w:rsidRDefault="00C905D9" w:rsidP="00E0480C">
            <w:pPr>
              <w:keepNext/>
              <w:jc w:val="center"/>
              <w:rPr>
                <w:sz w:val="20"/>
                <w:szCs w:val="20"/>
              </w:rPr>
            </w:pPr>
          </w:p>
        </w:tc>
        <w:tc>
          <w:tcPr>
            <w:tcW w:w="679" w:type="pct"/>
            <w:vMerge/>
          </w:tcPr>
          <w:p w:rsidR="00C905D9" w:rsidRPr="00A27A71" w:rsidRDefault="00C905D9" w:rsidP="00E0480C">
            <w:pPr>
              <w:keepNext/>
              <w:jc w:val="center"/>
              <w:rPr>
                <w:sz w:val="20"/>
                <w:szCs w:val="20"/>
              </w:rPr>
            </w:pPr>
          </w:p>
        </w:tc>
        <w:tc>
          <w:tcPr>
            <w:tcW w:w="791" w:type="pct"/>
            <w:vMerge/>
            <w:shd w:val="clear" w:color="auto" w:fill="auto"/>
          </w:tcPr>
          <w:p w:rsidR="00C905D9" w:rsidRPr="00A27A71" w:rsidRDefault="00C905D9" w:rsidP="00E0480C">
            <w:pPr>
              <w:keepNext/>
              <w:jc w:val="center"/>
              <w:rPr>
                <w:sz w:val="20"/>
                <w:szCs w:val="20"/>
              </w:rPr>
            </w:pPr>
          </w:p>
        </w:tc>
        <w:tc>
          <w:tcPr>
            <w:tcW w:w="790" w:type="pct"/>
            <w:vMerge/>
          </w:tcPr>
          <w:p w:rsidR="00C905D9" w:rsidRPr="00A27A71" w:rsidRDefault="00C905D9" w:rsidP="00E0480C">
            <w:pPr>
              <w:keepNext/>
              <w:jc w:val="center"/>
              <w:rPr>
                <w:sz w:val="20"/>
                <w:szCs w:val="20"/>
              </w:rPr>
            </w:pPr>
          </w:p>
        </w:tc>
      </w:tr>
      <w:tr w:rsidR="00514E2A" w:rsidRPr="00A27A71" w:rsidTr="001E3009">
        <w:tc>
          <w:tcPr>
            <w:tcW w:w="802" w:type="pct"/>
            <w:shd w:val="clear" w:color="auto" w:fill="auto"/>
          </w:tcPr>
          <w:p w:rsidR="00514E2A" w:rsidRPr="00A27A71" w:rsidRDefault="00514E2A" w:rsidP="002E79B2">
            <w:pPr>
              <w:rPr>
                <w:sz w:val="20"/>
                <w:szCs w:val="20"/>
              </w:rPr>
            </w:pPr>
            <w:r w:rsidRPr="00A27A71">
              <w:rPr>
                <w:sz w:val="20"/>
                <w:szCs w:val="20"/>
              </w:rPr>
              <w:t>El-Araby</w:t>
            </w:r>
          </w:p>
        </w:tc>
        <w:tc>
          <w:tcPr>
            <w:tcW w:w="618" w:type="pct"/>
          </w:tcPr>
          <w:p w:rsidR="00514E2A" w:rsidRPr="00A27A71" w:rsidRDefault="00514E2A" w:rsidP="001E3009">
            <w:pPr>
              <w:jc w:val="right"/>
              <w:rPr>
                <w:sz w:val="20"/>
                <w:szCs w:val="20"/>
              </w:rPr>
            </w:pPr>
            <w:r w:rsidRPr="00A27A71">
              <w:rPr>
                <w:sz w:val="20"/>
                <w:szCs w:val="20"/>
              </w:rPr>
              <w:t xml:space="preserve"> 306.58 </w:t>
            </w:r>
          </w:p>
        </w:tc>
        <w:tc>
          <w:tcPr>
            <w:tcW w:w="600" w:type="pct"/>
          </w:tcPr>
          <w:p w:rsidR="00514E2A" w:rsidRPr="00A27A71" w:rsidRDefault="00514E2A" w:rsidP="001E3009">
            <w:pPr>
              <w:jc w:val="right"/>
              <w:rPr>
                <w:sz w:val="20"/>
                <w:szCs w:val="20"/>
              </w:rPr>
            </w:pPr>
            <w:r w:rsidRPr="00A27A71">
              <w:rPr>
                <w:sz w:val="20"/>
                <w:szCs w:val="20"/>
              </w:rPr>
              <w:t xml:space="preserve"> 16.86 </w:t>
            </w:r>
          </w:p>
        </w:tc>
        <w:tc>
          <w:tcPr>
            <w:tcW w:w="720" w:type="pct"/>
          </w:tcPr>
          <w:p w:rsidR="00514E2A" w:rsidRPr="00A27A71" w:rsidRDefault="00514E2A" w:rsidP="001E3009">
            <w:pPr>
              <w:jc w:val="right"/>
              <w:rPr>
                <w:sz w:val="20"/>
                <w:szCs w:val="20"/>
              </w:rPr>
            </w:pPr>
            <w:r w:rsidRPr="00A27A71">
              <w:rPr>
                <w:sz w:val="20"/>
                <w:szCs w:val="20"/>
              </w:rPr>
              <w:t xml:space="preserve"> 2,578,427 </w:t>
            </w:r>
          </w:p>
        </w:tc>
        <w:tc>
          <w:tcPr>
            <w:tcW w:w="679" w:type="pct"/>
          </w:tcPr>
          <w:p w:rsidR="00514E2A" w:rsidRPr="00A27A71" w:rsidRDefault="00514E2A" w:rsidP="001E3009">
            <w:pPr>
              <w:jc w:val="right"/>
              <w:rPr>
                <w:sz w:val="20"/>
                <w:szCs w:val="20"/>
              </w:rPr>
            </w:pPr>
            <w:r w:rsidRPr="00A27A71">
              <w:rPr>
                <w:sz w:val="20"/>
                <w:szCs w:val="20"/>
              </w:rPr>
              <w:t xml:space="preserve"> 1,931,454 </w:t>
            </w:r>
          </w:p>
        </w:tc>
        <w:tc>
          <w:tcPr>
            <w:tcW w:w="791" w:type="pct"/>
            <w:shd w:val="clear" w:color="auto" w:fill="auto"/>
          </w:tcPr>
          <w:p w:rsidR="00514E2A" w:rsidRPr="00A27A71" w:rsidRDefault="00514E2A" w:rsidP="001E3009">
            <w:pPr>
              <w:jc w:val="right"/>
              <w:rPr>
                <w:sz w:val="20"/>
                <w:szCs w:val="20"/>
              </w:rPr>
            </w:pPr>
            <w:r w:rsidRPr="00A27A71">
              <w:rPr>
                <w:sz w:val="20"/>
                <w:szCs w:val="20"/>
              </w:rPr>
              <w:t xml:space="preserve"> 4,509,881 </w:t>
            </w:r>
          </w:p>
        </w:tc>
        <w:tc>
          <w:tcPr>
            <w:tcW w:w="790" w:type="pct"/>
          </w:tcPr>
          <w:p w:rsidR="00514E2A" w:rsidRPr="00A27A71" w:rsidRDefault="00514E2A" w:rsidP="001E3009">
            <w:pPr>
              <w:jc w:val="right"/>
              <w:rPr>
                <w:sz w:val="20"/>
                <w:szCs w:val="20"/>
              </w:rPr>
            </w:pPr>
            <w:r w:rsidRPr="00A27A71">
              <w:rPr>
                <w:sz w:val="20"/>
                <w:szCs w:val="20"/>
              </w:rPr>
              <w:t xml:space="preserve"> 14.71 </w:t>
            </w:r>
          </w:p>
        </w:tc>
      </w:tr>
      <w:tr w:rsidR="00514E2A" w:rsidRPr="00A27A71" w:rsidTr="001E3009">
        <w:tc>
          <w:tcPr>
            <w:tcW w:w="802" w:type="pct"/>
            <w:shd w:val="clear" w:color="auto" w:fill="auto"/>
          </w:tcPr>
          <w:p w:rsidR="00514E2A" w:rsidRPr="00A27A71" w:rsidRDefault="00514E2A" w:rsidP="002E79B2">
            <w:pPr>
              <w:rPr>
                <w:sz w:val="20"/>
                <w:szCs w:val="20"/>
              </w:rPr>
            </w:pPr>
            <w:r w:rsidRPr="00A27A71">
              <w:rPr>
                <w:sz w:val="20"/>
                <w:szCs w:val="20"/>
              </w:rPr>
              <w:t>Fresh</w:t>
            </w:r>
          </w:p>
        </w:tc>
        <w:tc>
          <w:tcPr>
            <w:tcW w:w="618" w:type="pct"/>
          </w:tcPr>
          <w:p w:rsidR="00514E2A" w:rsidRPr="00A27A71" w:rsidRDefault="00514E2A" w:rsidP="001E3009">
            <w:pPr>
              <w:jc w:val="right"/>
              <w:rPr>
                <w:sz w:val="20"/>
                <w:szCs w:val="20"/>
              </w:rPr>
            </w:pPr>
            <w:r w:rsidRPr="00A27A71">
              <w:rPr>
                <w:sz w:val="20"/>
                <w:szCs w:val="20"/>
              </w:rPr>
              <w:t xml:space="preserve"> 88.00 </w:t>
            </w:r>
          </w:p>
        </w:tc>
        <w:tc>
          <w:tcPr>
            <w:tcW w:w="600" w:type="pct"/>
          </w:tcPr>
          <w:p w:rsidR="00514E2A" w:rsidRPr="00A27A71" w:rsidRDefault="00514E2A" w:rsidP="001E3009">
            <w:pPr>
              <w:jc w:val="right"/>
              <w:rPr>
                <w:sz w:val="20"/>
                <w:szCs w:val="20"/>
              </w:rPr>
            </w:pPr>
            <w:r w:rsidRPr="00A27A71">
              <w:rPr>
                <w:sz w:val="20"/>
                <w:szCs w:val="20"/>
              </w:rPr>
              <w:t xml:space="preserve"> 4.84 </w:t>
            </w:r>
          </w:p>
        </w:tc>
        <w:tc>
          <w:tcPr>
            <w:tcW w:w="720" w:type="pct"/>
          </w:tcPr>
          <w:p w:rsidR="00514E2A" w:rsidRPr="00A27A71" w:rsidRDefault="00514E2A" w:rsidP="001E3009">
            <w:pPr>
              <w:jc w:val="right"/>
              <w:rPr>
                <w:sz w:val="20"/>
                <w:szCs w:val="20"/>
              </w:rPr>
            </w:pPr>
            <w:r w:rsidRPr="00A27A71">
              <w:rPr>
                <w:sz w:val="20"/>
                <w:szCs w:val="20"/>
              </w:rPr>
              <w:t xml:space="preserve"> 2,409,825 </w:t>
            </w:r>
          </w:p>
        </w:tc>
        <w:tc>
          <w:tcPr>
            <w:tcW w:w="679" w:type="pct"/>
          </w:tcPr>
          <w:p w:rsidR="00514E2A" w:rsidRPr="00A27A71" w:rsidRDefault="00514E2A" w:rsidP="001E3009">
            <w:pPr>
              <w:jc w:val="right"/>
              <w:rPr>
                <w:sz w:val="20"/>
                <w:szCs w:val="20"/>
              </w:rPr>
            </w:pPr>
            <w:r w:rsidRPr="00A27A71">
              <w:rPr>
                <w:sz w:val="20"/>
                <w:szCs w:val="20"/>
              </w:rPr>
              <w:t xml:space="preserve"> 554,400 </w:t>
            </w:r>
          </w:p>
        </w:tc>
        <w:tc>
          <w:tcPr>
            <w:tcW w:w="791" w:type="pct"/>
            <w:shd w:val="clear" w:color="auto" w:fill="auto"/>
          </w:tcPr>
          <w:p w:rsidR="00514E2A" w:rsidRPr="00A27A71" w:rsidRDefault="00514E2A" w:rsidP="001E3009">
            <w:pPr>
              <w:jc w:val="right"/>
              <w:rPr>
                <w:sz w:val="20"/>
                <w:szCs w:val="20"/>
              </w:rPr>
            </w:pPr>
            <w:r w:rsidRPr="00A27A71">
              <w:rPr>
                <w:sz w:val="20"/>
                <w:szCs w:val="20"/>
              </w:rPr>
              <w:t xml:space="preserve"> 2,964,225 </w:t>
            </w:r>
          </w:p>
        </w:tc>
        <w:tc>
          <w:tcPr>
            <w:tcW w:w="790" w:type="pct"/>
          </w:tcPr>
          <w:p w:rsidR="00514E2A" w:rsidRPr="00A27A71" w:rsidRDefault="00514E2A" w:rsidP="001E3009">
            <w:pPr>
              <w:jc w:val="right"/>
              <w:rPr>
                <w:sz w:val="20"/>
                <w:szCs w:val="20"/>
              </w:rPr>
            </w:pPr>
            <w:r w:rsidRPr="00A27A71">
              <w:rPr>
                <w:sz w:val="20"/>
                <w:szCs w:val="20"/>
              </w:rPr>
              <w:t xml:space="preserve"> 33.68 </w:t>
            </w:r>
          </w:p>
        </w:tc>
      </w:tr>
      <w:tr w:rsidR="00514E2A" w:rsidRPr="00A27A71" w:rsidTr="001E3009">
        <w:tc>
          <w:tcPr>
            <w:tcW w:w="802" w:type="pct"/>
            <w:shd w:val="clear" w:color="auto" w:fill="auto"/>
          </w:tcPr>
          <w:p w:rsidR="00514E2A" w:rsidRPr="00A27A71" w:rsidRDefault="00514E2A" w:rsidP="002E79B2">
            <w:pPr>
              <w:rPr>
                <w:sz w:val="20"/>
                <w:szCs w:val="20"/>
              </w:rPr>
            </w:pPr>
            <w:r w:rsidRPr="00A27A71">
              <w:rPr>
                <w:sz w:val="20"/>
                <w:szCs w:val="20"/>
              </w:rPr>
              <w:t>Miraco-Carrier</w:t>
            </w:r>
          </w:p>
        </w:tc>
        <w:tc>
          <w:tcPr>
            <w:tcW w:w="618" w:type="pct"/>
          </w:tcPr>
          <w:p w:rsidR="00514E2A" w:rsidRPr="00A27A71" w:rsidRDefault="00514E2A" w:rsidP="001E3009">
            <w:pPr>
              <w:jc w:val="right"/>
              <w:rPr>
                <w:sz w:val="20"/>
                <w:szCs w:val="20"/>
              </w:rPr>
            </w:pPr>
            <w:r w:rsidRPr="00A27A71">
              <w:rPr>
                <w:sz w:val="20"/>
                <w:szCs w:val="20"/>
              </w:rPr>
              <w:t xml:space="preserve"> 316.25 </w:t>
            </w:r>
          </w:p>
        </w:tc>
        <w:tc>
          <w:tcPr>
            <w:tcW w:w="600" w:type="pct"/>
          </w:tcPr>
          <w:p w:rsidR="00514E2A" w:rsidRPr="00A27A71" w:rsidRDefault="00514E2A" w:rsidP="001E3009">
            <w:pPr>
              <w:jc w:val="right"/>
              <w:rPr>
                <w:sz w:val="20"/>
                <w:szCs w:val="20"/>
              </w:rPr>
            </w:pPr>
            <w:r w:rsidRPr="00A27A71">
              <w:rPr>
                <w:sz w:val="20"/>
                <w:szCs w:val="20"/>
              </w:rPr>
              <w:t xml:space="preserve"> 17.39 </w:t>
            </w:r>
          </w:p>
        </w:tc>
        <w:tc>
          <w:tcPr>
            <w:tcW w:w="720" w:type="pct"/>
          </w:tcPr>
          <w:p w:rsidR="00514E2A" w:rsidRPr="00A27A71" w:rsidRDefault="00514E2A" w:rsidP="001E3009">
            <w:pPr>
              <w:jc w:val="right"/>
              <w:rPr>
                <w:sz w:val="20"/>
                <w:szCs w:val="20"/>
              </w:rPr>
            </w:pPr>
            <w:r w:rsidRPr="00A27A71">
              <w:rPr>
                <w:sz w:val="20"/>
                <w:szCs w:val="20"/>
              </w:rPr>
              <w:t xml:space="preserve"> 1,345,633 </w:t>
            </w:r>
          </w:p>
        </w:tc>
        <w:tc>
          <w:tcPr>
            <w:tcW w:w="679" w:type="pct"/>
          </w:tcPr>
          <w:p w:rsidR="00514E2A" w:rsidRPr="00A27A71" w:rsidRDefault="00514E2A" w:rsidP="001E3009">
            <w:pPr>
              <w:jc w:val="right"/>
              <w:rPr>
                <w:sz w:val="20"/>
                <w:szCs w:val="20"/>
              </w:rPr>
            </w:pPr>
            <w:r w:rsidRPr="00A27A71">
              <w:rPr>
                <w:sz w:val="20"/>
                <w:szCs w:val="20"/>
              </w:rPr>
              <w:t xml:space="preserve"> 1,992,375 </w:t>
            </w:r>
          </w:p>
        </w:tc>
        <w:tc>
          <w:tcPr>
            <w:tcW w:w="791" w:type="pct"/>
            <w:shd w:val="clear" w:color="auto" w:fill="auto"/>
          </w:tcPr>
          <w:p w:rsidR="00514E2A" w:rsidRPr="00A27A71" w:rsidRDefault="00514E2A" w:rsidP="001E3009">
            <w:pPr>
              <w:jc w:val="right"/>
              <w:rPr>
                <w:sz w:val="20"/>
                <w:szCs w:val="20"/>
              </w:rPr>
            </w:pPr>
            <w:r w:rsidRPr="00A27A71">
              <w:rPr>
                <w:sz w:val="20"/>
                <w:szCs w:val="20"/>
              </w:rPr>
              <w:t xml:space="preserve"> 3,338,008 </w:t>
            </w:r>
          </w:p>
        </w:tc>
        <w:tc>
          <w:tcPr>
            <w:tcW w:w="790" w:type="pct"/>
          </w:tcPr>
          <w:p w:rsidR="00514E2A" w:rsidRPr="00A27A71" w:rsidRDefault="00514E2A" w:rsidP="001E3009">
            <w:pPr>
              <w:jc w:val="right"/>
              <w:rPr>
                <w:sz w:val="20"/>
                <w:szCs w:val="20"/>
              </w:rPr>
            </w:pPr>
            <w:r w:rsidRPr="00A27A71">
              <w:rPr>
                <w:sz w:val="20"/>
                <w:szCs w:val="20"/>
              </w:rPr>
              <w:t xml:space="preserve"> 10.55 </w:t>
            </w:r>
          </w:p>
        </w:tc>
      </w:tr>
      <w:tr w:rsidR="00514E2A" w:rsidRPr="00A27A71" w:rsidTr="001E3009">
        <w:tc>
          <w:tcPr>
            <w:tcW w:w="802" w:type="pct"/>
            <w:shd w:val="clear" w:color="auto" w:fill="auto"/>
          </w:tcPr>
          <w:p w:rsidR="00514E2A" w:rsidRPr="00A27A71" w:rsidRDefault="00514E2A" w:rsidP="002E79B2">
            <w:pPr>
              <w:rPr>
                <w:sz w:val="20"/>
                <w:szCs w:val="20"/>
              </w:rPr>
            </w:pPr>
            <w:r w:rsidRPr="00A27A71">
              <w:rPr>
                <w:sz w:val="20"/>
                <w:szCs w:val="20"/>
              </w:rPr>
              <w:t xml:space="preserve"> Power</w:t>
            </w:r>
          </w:p>
        </w:tc>
        <w:tc>
          <w:tcPr>
            <w:tcW w:w="618" w:type="pct"/>
          </w:tcPr>
          <w:p w:rsidR="00514E2A" w:rsidRPr="00A27A71" w:rsidRDefault="00514E2A" w:rsidP="001E3009">
            <w:pPr>
              <w:jc w:val="right"/>
              <w:rPr>
                <w:sz w:val="20"/>
                <w:szCs w:val="20"/>
              </w:rPr>
            </w:pPr>
            <w:r w:rsidRPr="00A27A71">
              <w:rPr>
                <w:sz w:val="20"/>
                <w:szCs w:val="20"/>
              </w:rPr>
              <w:t xml:space="preserve"> 45.00 </w:t>
            </w:r>
          </w:p>
        </w:tc>
        <w:tc>
          <w:tcPr>
            <w:tcW w:w="600" w:type="pct"/>
          </w:tcPr>
          <w:p w:rsidR="00514E2A" w:rsidRPr="00A27A71" w:rsidRDefault="00514E2A" w:rsidP="001E3009">
            <w:pPr>
              <w:jc w:val="right"/>
              <w:rPr>
                <w:sz w:val="20"/>
                <w:szCs w:val="20"/>
              </w:rPr>
            </w:pPr>
            <w:r w:rsidRPr="00A27A71">
              <w:rPr>
                <w:sz w:val="20"/>
                <w:szCs w:val="20"/>
              </w:rPr>
              <w:t xml:space="preserve"> 2.48 </w:t>
            </w:r>
          </w:p>
        </w:tc>
        <w:tc>
          <w:tcPr>
            <w:tcW w:w="720" w:type="pct"/>
          </w:tcPr>
          <w:p w:rsidR="00514E2A" w:rsidRPr="00A27A71" w:rsidRDefault="00514E2A" w:rsidP="001E3009">
            <w:pPr>
              <w:jc w:val="right"/>
              <w:rPr>
                <w:sz w:val="20"/>
                <w:szCs w:val="20"/>
              </w:rPr>
            </w:pPr>
            <w:r w:rsidRPr="00A27A71">
              <w:rPr>
                <w:sz w:val="20"/>
                <w:szCs w:val="20"/>
              </w:rPr>
              <w:t xml:space="preserve"> 545,985 </w:t>
            </w:r>
          </w:p>
        </w:tc>
        <w:tc>
          <w:tcPr>
            <w:tcW w:w="679" w:type="pct"/>
          </w:tcPr>
          <w:p w:rsidR="00514E2A" w:rsidRPr="00A27A71" w:rsidRDefault="00514E2A" w:rsidP="001E3009">
            <w:pPr>
              <w:jc w:val="right"/>
              <w:rPr>
                <w:sz w:val="20"/>
                <w:szCs w:val="20"/>
              </w:rPr>
            </w:pPr>
            <w:r w:rsidRPr="00A27A71">
              <w:rPr>
                <w:sz w:val="20"/>
                <w:szCs w:val="20"/>
              </w:rPr>
              <w:t xml:space="preserve"> 283,500 </w:t>
            </w:r>
          </w:p>
        </w:tc>
        <w:tc>
          <w:tcPr>
            <w:tcW w:w="791" w:type="pct"/>
            <w:shd w:val="clear" w:color="auto" w:fill="auto"/>
          </w:tcPr>
          <w:p w:rsidR="00514E2A" w:rsidRPr="00A27A71" w:rsidRDefault="00514E2A" w:rsidP="001E3009">
            <w:pPr>
              <w:jc w:val="right"/>
              <w:rPr>
                <w:sz w:val="20"/>
                <w:szCs w:val="20"/>
              </w:rPr>
            </w:pPr>
            <w:r w:rsidRPr="00A27A71">
              <w:rPr>
                <w:sz w:val="20"/>
                <w:szCs w:val="20"/>
              </w:rPr>
              <w:t xml:space="preserve"> 829,485 </w:t>
            </w:r>
          </w:p>
        </w:tc>
        <w:tc>
          <w:tcPr>
            <w:tcW w:w="790" w:type="pct"/>
          </w:tcPr>
          <w:p w:rsidR="00514E2A" w:rsidRPr="00A27A71" w:rsidRDefault="00514E2A" w:rsidP="001E3009">
            <w:pPr>
              <w:jc w:val="right"/>
              <w:rPr>
                <w:sz w:val="20"/>
                <w:szCs w:val="20"/>
              </w:rPr>
            </w:pPr>
            <w:r w:rsidRPr="00A27A71">
              <w:rPr>
                <w:sz w:val="20"/>
                <w:szCs w:val="20"/>
              </w:rPr>
              <w:t xml:space="preserve"> 18.43 </w:t>
            </w:r>
          </w:p>
        </w:tc>
      </w:tr>
      <w:tr w:rsidR="00514E2A" w:rsidRPr="00A27A71" w:rsidTr="001E3009">
        <w:tc>
          <w:tcPr>
            <w:tcW w:w="802" w:type="pct"/>
            <w:shd w:val="clear" w:color="auto" w:fill="auto"/>
          </w:tcPr>
          <w:p w:rsidR="00514E2A" w:rsidRPr="00A27A71" w:rsidRDefault="00514E2A" w:rsidP="002E79B2">
            <w:pPr>
              <w:rPr>
                <w:sz w:val="20"/>
                <w:szCs w:val="20"/>
              </w:rPr>
            </w:pPr>
            <w:r w:rsidRPr="00A27A71">
              <w:rPr>
                <w:sz w:val="20"/>
                <w:szCs w:val="20"/>
              </w:rPr>
              <w:t>Unionaire</w:t>
            </w:r>
          </w:p>
        </w:tc>
        <w:tc>
          <w:tcPr>
            <w:tcW w:w="618" w:type="pct"/>
          </w:tcPr>
          <w:p w:rsidR="00514E2A" w:rsidRPr="00A27A71" w:rsidRDefault="00514E2A" w:rsidP="001E3009">
            <w:pPr>
              <w:jc w:val="right"/>
              <w:rPr>
                <w:sz w:val="20"/>
                <w:szCs w:val="20"/>
              </w:rPr>
            </w:pPr>
            <w:r w:rsidRPr="00A27A71">
              <w:rPr>
                <w:sz w:val="20"/>
                <w:szCs w:val="20"/>
              </w:rPr>
              <w:t xml:space="preserve"> 462.86 </w:t>
            </w:r>
          </w:p>
        </w:tc>
        <w:tc>
          <w:tcPr>
            <w:tcW w:w="600" w:type="pct"/>
          </w:tcPr>
          <w:p w:rsidR="00514E2A" w:rsidRPr="00A27A71" w:rsidRDefault="00514E2A" w:rsidP="001E3009">
            <w:pPr>
              <w:jc w:val="right"/>
              <w:rPr>
                <w:sz w:val="20"/>
                <w:szCs w:val="20"/>
              </w:rPr>
            </w:pPr>
            <w:r w:rsidRPr="00A27A71">
              <w:rPr>
                <w:sz w:val="20"/>
                <w:szCs w:val="20"/>
              </w:rPr>
              <w:t xml:space="preserve"> 25.46 </w:t>
            </w:r>
          </w:p>
        </w:tc>
        <w:tc>
          <w:tcPr>
            <w:tcW w:w="720" w:type="pct"/>
          </w:tcPr>
          <w:p w:rsidR="00514E2A" w:rsidRPr="00A27A71" w:rsidRDefault="00514E2A" w:rsidP="001E3009">
            <w:pPr>
              <w:jc w:val="right"/>
              <w:rPr>
                <w:sz w:val="20"/>
                <w:szCs w:val="20"/>
              </w:rPr>
            </w:pPr>
            <w:r w:rsidRPr="00A27A71">
              <w:rPr>
                <w:sz w:val="20"/>
                <w:szCs w:val="20"/>
              </w:rPr>
              <w:t xml:space="preserve"> 3,480,950 </w:t>
            </w:r>
          </w:p>
        </w:tc>
        <w:tc>
          <w:tcPr>
            <w:tcW w:w="679" w:type="pct"/>
          </w:tcPr>
          <w:p w:rsidR="00514E2A" w:rsidRPr="00A27A71" w:rsidRDefault="00514E2A" w:rsidP="001E3009">
            <w:pPr>
              <w:jc w:val="right"/>
              <w:rPr>
                <w:sz w:val="20"/>
                <w:szCs w:val="20"/>
              </w:rPr>
            </w:pPr>
            <w:r w:rsidRPr="00A27A71">
              <w:rPr>
                <w:sz w:val="20"/>
                <w:szCs w:val="20"/>
              </w:rPr>
              <w:t xml:space="preserve"> 2,916,018 </w:t>
            </w:r>
          </w:p>
        </w:tc>
        <w:tc>
          <w:tcPr>
            <w:tcW w:w="791" w:type="pct"/>
            <w:shd w:val="clear" w:color="auto" w:fill="auto"/>
          </w:tcPr>
          <w:p w:rsidR="00514E2A" w:rsidRPr="00A27A71" w:rsidRDefault="00514E2A" w:rsidP="001E3009">
            <w:pPr>
              <w:jc w:val="right"/>
              <w:rPr>
                <w:sz w:val="20"/>
                <w:szCs w:val="20"/>
              </w:rPr>
            </w:pPr>
            <w:r w:rsidRPr="00A27A71">
              <w:rPr>
                <w:sz w:val="20"/>
                <w:szCs w:val="20"/>
              </w:rPr>
              <w:t xml:space="preserve"> 6,396,968 </w:t>
            </w:r>
          </w:p>
        </w:tc>
        <w:tc>
          <w:tcPr>
            <w:tcW w:w="790" w:type="pct"/>
          </w:tcPr>
          <w:p w:rsidR="00514E2A" w:rsidRPr="00A27A71" w:rsidRDefault="00514E2A" w:rsidP="001E3009">
            <w:pPr>
              <w:jc w:val="right"/>
              <w:rPr>
                <w:sz w:val="20"/>
                <w:szCs w:val="20"/>
              </w:rPr>
            </w:pPr>
            <w:r w:rsidRPr="00A27A71">
              <w:rPr>
                <w:sz w:val="20"/>
                <w:szCs w:val="20"/>
              </w:rPr>
              <w:t xml:space="preserve"> 13.82 </w:t>
            </w:r>
          </w:p>
        </w:tc>
      </w:tr>
      <w:tr w:rsidR="00514E2A" w:rsidRPr="00A27A71" w:rsidTr="001E3009">
        <w:tc>
          <w:tcPr>
            <w:tcW w:w="802" w:type="pct"/>
            <w:shd w:val="clear" w:color="auto" w:fill="auto"/>
          </w:tcPr>
          <w:p w:rsidR="00514E2A" w:rsidRPr="00A27A71" w:rsidRDefault="00514E2A" w:rsidP="002E79B2">
            <w:pPr>
              <w:rPr>
                <w:b/>
                <w:sz w:val="20"/>
                <w:szCs w:val="20"/>
              </w:rPr>
            </w:pPr>
            <w:r w:rsidRPr="00A27A71">
              <w:rPr>
                <w:b/>
                <w:sz w:val="20"/>
                <w:szCs w:val="20"/>
              </w:rPr>
              <w:t>Total</w:t>
            </w:r>
          </w:p>
        </w:tc>
        <w:tc>
          <w:tcPr>
            <w:tcW w:w="618" w:type="pct"/>
          </w:tcPr>
          <w:p w:rsidR="00514E2A" w:rsidRPr="00A27A71" w:rsidRDefault="00514E2A" w:rsidP="001E3009">
            <w:pPr>
              <w:jc w:val="right"/>
              <w:rPr>
                <w:b/>
                <w:sz w:val="20"/>
                <w:szCs w:val="20"/>
              </w:rPr>
            </w:pPr>
            <w:r w:rsidRPr="00A27A71">
              <w:rPr>
                <w:b/>
                <w:sz w:val="20"/>
                <w:szCs w:val="20"/>
              </w:rPr>
              <w:t xml:space="preserve"> 1,218.69 </w:t>
            </w:r>
          </w:p>
        </w:tc>
        <w:tc>
          <w:tcPr>
            <w:tcW w:w="600" w:type="pct"/>
          </w:tcPr>
          <w:p w:rsidR="00514E2A" w:rsidRPr="00A27A71" w:rsidRDefault="00514E2A" w:rsidP="001E3009">
            <w:pPr>
              <w:jc w:val="right"/>
              <w:rPr>
                <w:b/>
                <w:sz w:val="20"/>
                <w:szCs w:val="20"/>
              </w:rPr>
            </w:pPr>
            <w:r w:rsidRPr="00A27A71">
              <w:rPr>
                <w:b/>
                <w:sz w:val="20"/>
                <w:szCs w:val="20"/>
              </w:rPr>
              <w:t xml:space="preserve"> 67.03 </w:t>
            </w:r>
          </w:p>
        </w:tc>
        <w:tc>
          <w:tcPr>
            <w:tcW w:w="720" w:type="pct"/>
          </w:tcPr>
          <w:p w:rsidR="00514E2A" w:rsidRPr="00A27A71" w:rsidRDefault="00514E2A" w:rsidP="001E3009">
            <w:pPr>
              <w:jc w:val="right"/>
              <w:rPr>
                <w:b/>
                <w:sz w:val="20"/>
                <w:szCs w:val="20"/>
              </w:rPr>
            </w:pPr>
            <w:r w:rsidRPr="00A27A71">
              <w:rPr>
                <w:b/>
                <w:sz w:val="20"/>
                <w:szCs w:val="20"/>
              </w:rPr>
              <w:t xml:space="preserve"> 10,360,820 </w:t>
            </w:r>
          </w:p>
        </w:tc>
        <w:tc>
          <w:tcPr>
            <w:tcW w:w="679" w:type="pct"/>
          </w:tcPr>
          <w:p w:rsidR="00514E2A" w:rsidRPr="00A27A71" w:rsidRDefault="00514E2A" w:rsidP="001E3009">
            <w:pPr>
              <w:jc w:val="right"/>
              <w:rPr>
                <w:b/>
                <w:sz w:val="20"/>
                <w:szCs w:val="20"/>
              </w:rPr>
            </w:pPr>
            <w:r w:rsidRPr="00A27A71">
              <w:rPr>
                <w:b/>
                <w:sz w:val="20"/>
                <w:szCs w:val="20"/>
              </w:rPr>
              <w:t xml:space="preserve"> 7,677,747 </w:t>
            </w:r>
          </w:p>
        </w:tc>
        <w:tc>
          <w:tcPr>
            <w:tcW w:w="791" w:type="pct"/>
            <w:shd w:val="clear" w:color="auto" w:fill="auto"/>
          </w:tcPr>
          <w:p w:rsidR="00514E2A" w:rsidRPr="00A27A71" w:rsidRDefault="00514E2A" w:rsidP="00F76143">
            <w:pPr>
              <w:jc w:val="right"/>
              <w:rPr>
                <w:b/>
                <w:sz w:val="20"/>
                <w:szCs w:val="20"/>
              </w:rPr>
            </w:pPr>
            <w:r w:rsidRPr="00A27A71">
              <w:rPr>
                <w:b/>
                <w:sz w:val="20"/>
                <w:szCs w:val="20"/>
              </w:rPr>
              <w:t xml:space="preserve"> 18,038,567</w:t>
            </w:r>
          </w:p>
        </w:tc>
        <w:tc>
          <w:tcPr>
            <w:tcW w:w="790" w:type="pct"/>
          </w:tcPr>
          <w:p w:rsidR="00514E2A" w:rsidRPr="00A27A71" w:rsidRDefault="00514E2A" w:rsidP="001E3009">
            <w:pPr>
              <w:jc w:val="right"/>
              <w:rPr>
                <w:b/>
                <w:sz w:val="20"/>
                <w:szCs w:val="20"/>
              </w:rPr>
            </w:pPr>
            <w:r w:rsidRPr="00A27A71">
              <w:rPr>
                <w:b/>
                <w:sz w:val="20"/>
                <w:szCs w:val="20"/>
              </w:rPr>
              <w:t xml:space="preserve"> 14.80 </w:t>
            </w:r>
          </w:p>
        </w:tc>
      </w:tr>
    </w:tbl>
    <w:p w:rsidR="00C905D9" w:rsidRPr="00A27A71" w:rsidRDefault="00C905D9" w:rsidP="00C905D9"/>
    <w:p w:rsidR="00C905D9" w:rsidRPr="00A27A71" w:rsidRDefault="005C2E79" w:rsidP="00C905D9">
      <w:pPr>
        <w:rPr>
          <w:i/>
        </w:rPr>
      </w:pPr>
      <w:r w:rsidRPr="00A27A71">
        <w:rPr>
          <w:i/>
        </w:rPr>
        <w:t xml:space="preserve">Commercial </w:t>
      </w:r>
      <w:r w:rsidR="00F75F42" w:rsidRPr="00A27A71">
        <w:rPr>
          <w:i/>
        </w:rPr>
        <w:t>AC</w:t>
      </w:r>
      <w:r w:rsidRPr="00A27A71">
        <w:rPr>
          <w:i/>
        </w:rPr>
        <w:t xml:space="preserve"> manufacturing sector</w:t>
      </w:r>
    </w:p>
    <w:p w:rsidR="005C2E79" w:rsidRPr="00A27A71" w:rsidRDefault="005C2E79" w:rsidP="00C905D9">
      <w:pPr>
        <w:rPr>
          <w:i/>
          <w:u w:val="single"/>
        </w:rPr>
      </w:pPr>
    </w:p>
    <w:p w:rsidR="007376C1" w:rsidRPr="00A27A71" w:rsidRDefault="001968ED" w:rsidP="007376C1">
      <w:pPr>
        <w:pStyle w:val="Heading1"/>
      </w:pPr>
      <w:r w:rsidRPr="00A27A71">
        <w:t>Building on the results of EGYPRA and PRAHA, three enterprises (EGAT, Volta, and Delta Construction and Manufacturing</w:t>
      </w:r>
      <w:r w:rsidR="00B53ED9" w:rsidRPr="00A27A71">
        <w:t xml:space="preserve"> (</w:t>
      </w:r>
      <w:r w:rsidRPr="00A27A71">
        <w:t>DCM</w:t>
      </w:r>
      <w:r w:rsidR="00B53ED9" w:rsidRPr="00A27A71">
        <w:t>)</w:t>
      </w:r>
      <w:r w:rsidRPr="00A27A71">
        <w:t xml:space="preserve">) that manufacture central </w:t>
      </w:r>
      <w:r w:rsidR="00B53ED9" w:rsidRPr="00A27A71">
        <w:t>AC</w:t>
      </w:r>
      <w:r w:rsidRPr="00A27A71">
        <w:t xml:space="preserve"> equipment for light commercial and residential use will convert to yet-to-be-determined low-GWP alternatives</w:t>
      </w:r>
      <w:r w:rsidR="00B407F4" w:rsidRPr="00A27A71">
        <w:t xml:space="preserve"> for equipment below </w:t>
      </w:r>
      <w:r w:rsidR="009809BF" w:rsidRPr="00A27A71">
        <w:t xml:space="preserve">approximately </w:t>
      </w:r>
      <w:r w:rsidR="00B407F4" w:rsidRPr="00A27A71">
        <w:t>144</w:t>
      </w:r>
      <w:r w:rsidR="009809BF" w:rsidRPr="00A27A71">
        <w:t>,000 BTU/h (12 TR)</w:t>
      </w:r>
      <w:r w:rsidR="00B407F4" w:rsidRPr="00A27A71">
        <w:t>.</w:t>
      </w:r>
      <w:r w:rsidRPr="00A27A71">
        <w:t xml:space="preserve"> </w:t>
      </w:r>
      <w:r w:rsidR="009809BF" w:rsidRPr="00A27A71">
        <w:t>For larger capacity systems, a conversion to exclusively low</w:t>
      </w:r>
      <w:r w:rsidR="00E51355" w:rsidRPr="00A27A71">
        <w:noBreakHyphen/>
      </w:r>
      <w:r w:rsidR="009809BF" w:rsidRPr="00A27A71">
        <w:t>GWP alternatives is difficult given the charge of refrigerant which cannot be covered, currently or in the near future, wit</w:t>
      </w:r>
      <w:r w:rsidR="008118D0">
        <w:t>h a standard that would allow the</w:t>
      </w:r>
      <w:r w:rsidR="009809BF" w:rsidRPr="00A27A71">
        <w:t xml:space="preserve"> use of flammable refrigerants. Therefore, larger capacity equipment would be converted to a combination of low-GWP alternatives</w:t>
      </w:r>
      <w:r w:rsidR="009171BE" w:rsidRPr="00A27A71">
        <w:t xml:space="preserve"> and</w:t>
      </w:r>
      <w:r w:rsidR="009809BF" w:rsidRPr="00A27A71">
        <w:t xml:space="preserve"> indirect evaporative cooling (IEC)</w:t>
      </w:r>
      <w:r w:rsidR="009171BE" w:rsidRPr="00A27A71">
        <w:t>, which is a non-vapour compression technology</w:t>
      </w:r>
      <w:r w:rsidR="009809BF" w:rsidRPr="00A27A71">
        <w:t xml:space="preserve">. </w:t>
      </w:r>
      <w:r w:rsidR="007376C1" w:rsidRPr="00A27A71">
        <w:t xml:space="preserve">While </w:t>
      </w:r>
      <w:r w:rsidR="009809BF" w:rsidRPr="00A27A71">
        <w:t xml:space="preserve">IEC technology is currently available at </w:t>
      </w:r>
      <w:r w:rsidR="007376C1" w:rsidRPr="00A27A71">
        <w:t xml:space="preserve">a </w:t>
      </w:r>
      <w:r w:rsidR="009809BF" w:rsidRPr="00A27A71">
        <w:t>commercial level</w:t>
      </w:r>
      <w:r w:rsidR="007376C1" w:rsidRPr="00A27A71">
        <w:t>,</w:t>
      </w:r>
      <w:r w:rsidR="009809BF" w:rsidRPr="00A27A71">
        <w:t xml:space="preserve"> with </w:t>
      </w:r>
      <w:r w:rsidR="007376C1" w:rsidRPr="00A27A71">
        <w:t xml:space="preserve">a </w:t>
      </w:r>
      <w:r w:rsidR="009809BF" w:rsidRPr="00A27A71">
        <w:t xml:space="preserve">significant </w:t>
      </w:r>
      <w:r w:rsidR="007376C1" w:rsidRPr="00A27A71">
        <w:t xml:space="preserve">elimination of refrigerant use and </w:t>
      </w:r>
      <w:r w:rsidR="009809BF" w:rsidRPr="00A27A71">
        <w:t>reduction of energy consumption</w:t>
      </w:r>
      <w:r w:rsidR="007376C1" w:rsidRPr="00A27A71">
        <w:t>, it has not yet been integrated with direct-expansion refrigeration technology</w:t>
      </w:r>
      <w:r w:rsidR="009809BF" w:rsidRPr="00A27A71">
        <w:t xml:space="preserve">. The integration of </w:t>
      </w:r>
      <w:r w:rsidR="007376C1" w:rsidRPr="00A27A71">
        <w:t xml:space="preserve">those two technologies can </w:t>
      </w:r>
      <w:r w:rsidR="009809BF" w:rsidRPr="00A27A71">
        <w:t xml:space="preserve">be </w:t>
      </w:r>
      <w:r w:rsidR="007376C1" w:rsidRPr="00A27A71">
        <w:t>a</w:t>
      </w:r>
      <w:r w:rsidR="009809BF" w:rsidRPr="00A27A71">
        <w:t xml:space="preserve"> long-term solution for this sector</w:t>
      </w:r>
      <w:r w:rsidR="007376C1" w:rsidRPr="00A27A71">
        <w:t xml:space="preserve"> given that additional cost of integrating IEC can be absorbed within the overall cost of the unit and the significant reduction in energy consumption</w:t>
      </w:r>
      <w:r w:rsidR="009809BF" w:rsidRPr="00A27A71">
        <w:t>.</w:t>
      </w:r>
      <w:r w:rsidR="007376C1" w:rsidRPr="00A27A71">
        <w:t xml:space="preserve"> </w:t>
      </w:r>
    </w:p>
    <w:p w:rsidR="00B407F4" w:rsidRDefault="007376C1" w:rsidP="00B407F4">
      <w:pPr>
        <w:pStyle w:val="Heading1"/>
      </w:pPr>
      <w:r w:rsidRPr="00A27A71">
        <w:t xml:space="preserve">All three enterprises are participating in EGYPRA, and the enterprises have already built some prototypes but additional testing is required. Technical assistance will be provided to the enterprises for the redesign of the products using the selected low-GWP, high </w:t>
      </w:r>
      <w:r w:rsidR="00B05061" w:rsidRPr="00A27A71">
        <w:t>energy-efficient</w:t>
      </w:r>
      <w:r w:rsidRPr="00A27A71">
        <w:t xml:space="preserve"> alternatives or technolog</w:t>
      </w:r>
      <w:r w:rsidR="00B05061" w:rsidRPr="00A27A71">
        <w:t>y</w:t>
      </w:r>
      <w:r w:rsidRPr="00A27A71">
        <w:t xml:space="preserve">.  </w:t>
      </w:r>
      <w:r w:rsidR="00B05061" w:rsidRPr="00A27A71">
        <w:t>A</w:t>
      </w:r>
      <w:r w:rsidRPr="00A27A71">
        <w:t xml:space="preserve">ssistance assessing the market acceptance to the new products will </w:t>
      </w:r>
      <w:r w:rsidR="00B05061" w:rsidRPr="00A27A71">
        <w:t xml:space="preserve">also </w:t>
      </w:r>
      <w:r w:rsidRPr="00A27A71">
        <w:t>be provided.</w:t>
      </w:r>
      <w:r w:rsidR="00B05061" w:rsidRPr="00A27A71">
        <w:t xml:space="preserve"> </w:t>
      </w:r>
      <w:r w:rsidR="00B407F4" w:rsidRPr="00A27A71">
        <w:t xml:space="preserve">The three enterprises consumed </w:t>
      </w:r>
      <w:r w:rsidR="005C2E79" w:rsidRPr="00A27A71">
        <w:t>14.23</w:t>
      </w:r>
      <w:r w:rsidR="00E61A05" w:rsidRPr="00A27A71">
        <w:t> mt</w:t>
      </w:r>
      <w:r w:rsidR="005C2E79" w:rsidRPr="00A27A71">
        <w:t xml:space="preserve"> (0.78</w:t>
      </w:r>
      <w:r w:rsidR="00E61A05" w:rsidRPr="00A27A71">
        <w:t> ODP tonnes</w:t>
      </w:r>
      <w:r w:rsidR="005C2E79" w:rsidRPr="00A27A71">
        <w:t>) of HCFC-22</w:t>
      </w:r>
      <w:r w:rsidR="00B407F4" w:rsidRPr="00A27A71">
        <w:t>; in addition, an associated 44</w:t>
      </w:r>
      <w:r w:rsidR="008E0439" w:rsidRPr="00A27A71">
        <w:t> </w:t>
      </w:r>
      <w:r w:rsidR="00B407F4" w:rsidRPr="00A27A71">
        <w:t>mt (2.42</w:t>
      </w:r>
      <w:r w:rsidR="00982962" w:rsidRPr="00A27A71">
        <w:t> ODP tonnes</w:t>
      </w:r>
      <w:r w:rsidR="00B407F4" w:rsidRPr="00A27A71">
        <w:t xml:space="preserve">) of HCFC-22 used for servicing would be phased out. </w:t>
      </w:r>
      <w:r w:rsidR="00B05061" w:rsidRPr="00A27A71">
        <w:t xml:space="preserve">The estimated cost of the conversion is </w:t>
      </w:r>
      <w:r w:rsidR="00E61A05" w:rsidRPr="00A27A71">
        <w:t>US $</w:t>
      </w:r>
      <w:r w:rsidR="005C2E79" w:rsidRPr="00A27A71">
        <w:t xml:space="preserve">370,000 </w:t>
      </w:r>
      <w:r w:rsidR="00B05061" w:rsidRPr="00A27A71">
        <w:t>(US $6.35/kg)</w:t>
      </w:r>
      <w:r w:rsidR="000E6896">
        <w:t xml:space="preserve"> as shown in Table 8</w:t>
      </w:r>
      <w:r w:rsidR="00B407F4" w:rsidRPr="00A27A71">
        <w:t>.</w:t>
      </w:r>
    </w:p>
    <w:p w:rsidR="000E6896" w:rsidRPr="00F76143" w:rsidRDefault="000E6896" w:rsidP="00F76143">
      <w:pPr>
        <w:rPr>
          <w:b/>
        </w:rPr>
      </w:pPr>
      <w:r>
        <w:rPr>
          <w:b/>
        </w:rPr>
        <w:t>Table 8. Assistance for the commercial AC sector</w:t>
      </w:r>
    </w:p>
    <w:tbl>
      <w:tblPr>
        <w:tblStyle w:val="TableGrid"/>
        <w:tblW w:w="4944" w:type="pct"/>
        <w:tblLook w:val="04A0" w:firstRow="1" w:lastRow="0" w:firstColumn="1" w:lastColumn="0" w:noHBand="0" w:noVBand="1"/>
      </w:tblPr>
      <w:tblGrid>
        <w:gridCol w:w="8210"/>
        <w:gridCol w:w="1259"/>
      </w:tblGrid>
      <w:tr w:rsidR="00A02D3C" w:rsidRPr="00A27A71" w:rsidTr="00E51355">
        <w:tc>
          <w:tcPr>
            <w:tcW w:w="4335" w:type="pct"/>
            <w:vAlign w:val="center"/>
          </w:tcPr>
          <w:p w:rsidR="00A02D3C" w:rsidRPr="00A27A71" w:rsidRDefault="00A02D3C" w:rsidP="00A02D3C">
            <w:pPr>
              <w:jc w:val="center"/>
              <w:rPr>
                <w:sz w:val="20"/>
                <w:szCs w:val="20"/>
              </w:rPr>
            </w:pPr>
            <w:r w:rsidRPr="00A27A71">
              <w:rPr>
                <w:b/>
                <w:bCs/>
                <w:sz w:val="20"/>
                <w:szCs w:val="20"/>
              </w:rPr>
              <w:t>Activity</w:t>
            </w:r>
          </w:p>
        </w:tc>
        <w:tc>
          <w:tcPr>
            <w:tcW w:w="665" w:type="pct"/>
            <w:vAlign w:val="center"/>
          </w:tcPr>
          <w:p w:rsidR="00A02D3C" w:rsidRPr="00A27A71" w:rsidRDefault="00A02D3C" w:rsidP="005D1FF4">
            <w:pPr>
              <w:jc w:val="center"/>
              <w:rPr>
                <w:b/>
                <w:bCs/>
                <w:sz w:val="20"/>
                <w:szCs w:val="20"/>
              </w:rPr>
            </w:pPr>
            <w:r w:rsidRPr="00A27A71">
              <w:rPr>
                <w:b/>
                <w:bCs/>
                <w:sz w:val="20"/>
                <w:szCs w:val="20"/>
              </w:rPr>
              <w:t>Cost (US</w:t>
            </w:r>
            <w:r w:rsidR="005D1FF4" w:rsidRPr="00A27A71">
              <w:rPr>
                <w:b/>
                <w:bCs/>
                <w:sz w:val="20"/>
                <w:szCs w:val="20"/>
              </w:rPr>
              <w:t> </w:t>
            </w:r>
            <w:r w:rsidRPr="00A27A71">
              <w:rPr>
                <w:b/>
                <w:bCs/>
                <w:sz w:val="20"/>
                <w:szCs w:val="20"/>
              </w:rPr>
              <w:t>$)</w:t>
            </w:r>
          </w:p>
        </w:tc>
      </w:tr>
      <w:tr w:rsidR="00A02D3C" w:rsidRPr="00A27A71" w:rsidTr="00E51355">
        <w:tc>
          <w:tcPr>
            <w:tcW w:w="4335" w:type="pct"/>
            <w:vAlign w:val="center"/>
          </w:tcPr>
          <w:p w:rsidR="00A02D3C" w:rsidRPr="00A27A71" w:rsidRDefault="00A02D3C" w:rsidP="00A02D3C">
            <w:pPr>
              <w:rPr>
                <w:sz w:val="20"/>
                <w:szCs w:val="20"/>
              </w:rPr>
            </w:pPr>
            <w:r w:rsidRPr="00A27A71">
              <w:rPr>
                <w:sz w:val="20"/>
                <w:szCs w:val="20"/>
              </w:rPr>
              <w:t>Technical assistance for redesigning and building the prototypes</w:t>
            </w:r>
          </w:p>
        </w:tc>
        <w:tc>
          <w:tcPr>
            <w:tcW w:w="665" w:type="pct"/>
          </w:tcPr>
          <w:p w:rsidR="00A02D3C" w:rsidRPr="00A27A71" w:rsidRDefault="00A02D3C" w:rsidP="005D1FF4">
            <w:pPr>
              <w:jc w:val="right"/>
              <w:rPr>
                <w:sz w:val="20"/>
                <w:szCs w:val="20"/>
              </w:rPr>
            </w:pPr>
            <w:r w:rsidRPr="00A27A71">
              <w:rPr>
                <w:sz w:val="20"/>
                <w:szCs w:val="20"/>
              </w:rPr>
              <w:t>90,000</w:t>
            </w:r>
          </w:p>
        </w:tc>
      </w:tr>
      <w:tr w:rsidR="00A02D3C" w:rsidRPr="00A27A71" w:rsidTr="00E51355">
        <w:tc>
          <w:tcPr>
            <w:tcW w:w="4335" w:type="pct"/>
            <w:vAlign w:val="center"/>
          </w:tcPr>
          <w:p w:rsidR="00A02D3C" w:rsidRPr="00A27A71" w:rsidRDefault="00F76143" w:rsidP="000D08C6">
            <w:pPr>
              <w:rPr>
                <w:sz w:val="20"/>
                <w:szCs w:val="20"/>
              </w:rPr>
            </w:pPr>
            <w:r>
              <w:rPr>
                <w:sz w:val="20"/>
                <w:szCs w:val="20"/>
              </w:rPr>
              <w:t>Building p</w:t>
            </w:r>
            <w:r w:rsidR="00A02D3C" w:rsidRPr="00A27A71">
              <w:rPr>
                <w:sz w:val="20"/>
                <w:szCs w:val="20"/>
              </w:rPr>
              <w:t>rototypes:</w:t>
            </w:r>
          </w:p>
          <w:p w:rsidR="00A02D3C" w:rsidRPr="00A27A71" w:rsidRDefault="00A02D3C" w:rsidP="00A02D3C">
            <w:pPr>
              <w:pStyle w:val="ListParagraph"/>
              <w:numPr>
                <w:ilvl w:val="0"/>
                <w:numId w:val="29"/>
              </w:numPr>
              <w:rPr>
                <w:sz w:val="20"/>
                <w:szCs w:val="20"/>
              </w:rPr>
            </w:pPr>
            <w:r w:rsidRPr="00A27A71">
              <w:rPr>
                <w:sz w:val="20"/>
                <w:szCs w:val="20"/>
              </w:rPr>
              <w:t>Prototypes with low-GWP refrigerants for range of applications less than 12 TR</w:t>
            </w:r>
          </w:p>
          <w:p w:rsidR="00A02D3C" w:rsidRPr="00A27A71" w:rsidRDefault="00A02D3C" w:rsidP="005D1FF4">
            <w:pPr>
              <w:pStyle w:val="ListParagraph"/>
              <w:numPr>
                <w:ilvl w:val="0"/>
                <w:numId w:val="29"/>
              </w:numPr>
              <w:rPr>
                <w:sz w:val="20"/>
                <w:szCs w:val="20"/>
              </w:rPr>
            </w:pPr>
            <w:r w:rsidRPr="00A27A71">
              <w:rPr>
                <w:sz w:val="20"/>
                <w:szCs w:val="20"/>
              </w:rPr>
              <w:t>New prototypes with combined IEC/</w:t>
            </w:r>
            <w:r w:rsidR="000D0D81" w:rsidRPr="00A27A71">
              <w:rPr>
                <w:sz w:val="20"/>
                <w:szCs w:val="20"/>
              </w:rPr>
              <w:t>direct-</w:t>
            </w:r>
            <w:r w:rsidRPr="00A27A71">
              <w:rPr>
                <w:sz w:val="20"/>
                <w:szCs w:val="20"/>
              </w:rPr>
              <w:t>expansion systems for range of applications 12</w:t>
            </w:r>
            <w:r w:rsidR="005D1FF4" w:rsidRPr="00A27A71">
              <w:rPr>
                <w:sz w:val="20"/>
                <w:szCs w:val="20"/>
              </w:rPr>
              <w:noBreakHyphen/>
            </w:r>
            <w:r w:rsidRPr="00A27A71">
              <w:rPr>
                <w:sz w:val="20"/>
                <w:szCs w:val="20"/>
              </w:rPr>
              <w:t>40</w:t>
            </w:r>
            <w:r w:rsidR="005D1FF4" w:rsidRPr="00A27A71">
              <w:rPr>
                <w:sz w:val="20"/>
                <w:szCs w:val="20"/>
              </w:rPr>
              <w:t> </w:t>
            </w:r>
            <w:r w:rsidRPr="00A27A71">
              <w:rPr>
                <w:sz w:val="20"/>
                <w:szCs w:val="20"/>
              </w:rPr>
              <w:t>TR</w:t>
            </w:r>
          </w:p>
        </w:tc>
        <w:tc>
          <w:tcPr>
            <w:tcW w:w="665" w:type="pct"/>
          </w:tcPr>
          <w:p w:rsidR="00A02D3C" w:rsidRPr="00A27A71" w:rsidRDefault="00A02D3C" w:rsidP="005D1FF4">
            <w:pPr>
              <w:jc w:val="right"/>
              <w:rPr>
                <w:sz w:val="20"/>
                <w:szCs w:val="20"/>
              </w:rPr>
            </w:pPr>
            <w:r w:rsidRPr="00A27A71">
              <w:rPr>
                <w:sz w:val="20"/>
                <w:szCs w:val="20"/>
              </w:rPr>
              <w:t>100,000</w:t>
            </w:r>
          </w:p>
        </w:tc>
      </w:tr>
      <w:tr w:rsidR="00A02D3C" w:rsidRPr="00A27A71" w:rsidTr="00E51355">
        <w:tc>
          <w:tcPr>
            <w:tcW w:w="4335" w:type="pct"/>
            <w:vAlign w:val="center"/>
          </w:tcPr>
          <w:p w:rsidR="00A02D3C" w:rsidRPr="00A27A71" w:rsidRDefault="00A02D3C" w:rsidP="000D08C6">
            <w:pPr>
              <w:rPr>
                <w:sz w:val="20"/>
                <w:szCs w:val="20"/>
              </w:rPr>
            </w:pPr>
            <w:r w:rsidRPr="00A27A71">
              <w:rPr>
                <w:sz w:val="20"/>
                <w:szCs w:val="20"/>
              </w:rPr>
              <w:t>Prototypes testing and evaluating results at independent testing facility</w:t>
            </w:r>
          </w:p>
        </w:tc>
        <w:tc>
          <w:tcPr>
            <w:tcW w:w="665" w:type="pct"/>
          </w:tcPr>
          <w:p w:rsidR="00A02D3C" w:rsidRPr="00A27A71" w:rsidRDefault="00A02D3C" w:rsidP="005D1FF4">
            <w:pPr>
              <w:jc w:val="right"/>
              <w:rPr>
                <w:sz w:val="20"/>
                <w:szCs w:val="20"/>
              </w:rPr>
            </w:pPr>
            <w:r w:rsidRPr="00A27A71">
              <w:rPr>
                <w:sz w:val="20"/>
                <w:szCs w:val="20"/>
              </w:rPr>
              <w:t>80,000</w:t>
            </w:r>
          </w:p>
        </w:tc>
      </w:tr>
      <w:tr w:rsidR="00A02D3C" w:rsidRPr="00A27A71" w:rsidTr="00E51355">
        <w:tc>
          <w:tcPr>
            <w:tcW w:w="4335" w:type="pct"/>
            <w:vAlign w:val="center"/>
          </w:tcPr>
          <w:p w:rsidR="00A02D3C" w:rsidRPr="00A27A71" w:rsidRDefault="00A02D3C" w:rsidP="000D08C6">
            <w:pPr>
              <w:rPr>
                <w:sz w:val="20"/>
                <w:szCs w:val="20"/>
              </w:rPr>
            </w:pPr>
            <w:r w:rsidRPr="00A27A71">
              <w:rPr>
                <w:sz w:val="20"/>
                <w:szCs w:val="20"/>
              </w:rPr>
              <w:t>Prototypes for field testing, including building, installation, monitoring and collecting feedback</w:t>
            </w:r>
          </w:p>
        </w:tc>
        <w:tc>
          <w:tcPr>
            <w:tcW w:w="665" w:type="pct"/>
          </w:tcPr>
          <w:p w:rsidR="00A02D3C" w:rsidRPr="00A27A71" w:rsidRDefault="00A02D3C" w:rsidP="005D1FF4">
            <w:pPr>
              <w:jc w:val="right"/>
              <w:rPr>
                <w:sz w:val="20"/>
                <w:szCs w:val="20"/>
              </w:rPr>
            </w:pPr>
            <w:r w:rsidRPr="00A27A71">
              <w:rPr>
                <w:sz w:val="20"/>
                <w:szCs w:val="20"/>
              </w:rPr>
              <w:t>50,000</w:t>
            </w:r>
          </w:p>
        </w:tc>
      </w:tr>
      <w:tr w:rsidR="00A02D3C" w:rsidRPr="00A27A71" w:rsidTr="00E51355">
        <w:tc>
          <w:tcPr>
            <w:tcW w:w="4335" w:type="pct"/>
            <w:vAlign w:val="center"/>
          </w:tcPr>
          <w:p w:rsidR="00A02D3C" w:rsidRPr="00A27A71" w:rsidRDefault="00A02D3C" w:rsidP="00A02D3C">
            <w:pPr>
              <w:rPr>
                <w:sz w:val="20"/>
                <w:szCs w:val="20"/>
              </w:rPr>
            </w:pPr>
            <w:r w:rsidRPr="00A27A71">
              <w:rPr>
                <w:sz w:val="20"/>
                <w:szCs w:val="20"/>
              </w:rPr>
              <w:t>Financial, market  and regulatory evaluation and feasibility assessment</w:t>
            </w:r>
          </w:p>
        </w:tc>
        <w:tc>
          <w:tcPr>
            <w:tcW w:w="665" w:type="pct"/>
          </w:tcPr>
          <w:p w:rsidR="00A02D3C" w:rsidRPr="00A27A71" w:rsidRDefault="00A02D3C" w:rsidP="005D1FF4">
            <w:pPr>
              <w:jc w:val="right"/>
              <w:rPr>
                <w:sz w:val="20"/>
                <w:szCs w:val="20"/>
              </w:rPr>
            </w:pPr>
            <w:r w:rsidRPr="00A27A71">
              <w:rPr>
                <w:sz w:val="20"/>
                <w:szCs w:val="20"/>
              </w:rPr>
              <w:t>50,000</w:t>
            </w:r>
          </w:p>
        </w:tc>
      </w:tr>
      <w:tr w:rsidR="00A02D3C" w:rsidRPr="00A27A71" w:rsidTr="00E51355">
        <w:tc>
          <w:tcPr>
            <w:tcW w:w="4335" w:type="pct"/>
            <w:vAlign w:val="center"/>
          </w:tcPr>
          <w:p w:rsidR="00A02D3C" w:rsidRPr="00A27A71" w:rsidRDefault="00A02D3C" w:rsidP="00A02D3C">
            <w:pPr>
              <w:jc w:val="left"/>
              <w:rPr>
                <w:b/>
                <w:bCs/>
                <w:sz w:val="20"/>
                <w:szCs w:val="20"/>
              </w:rPr>
            </w:pPr>
            <w:r w:rsidRPr="00A27A71">
              <w:rPr>
                <w:b/>
                <w:bCs/>
                <w:sz w:val="20"/>
                <w:szCs w:val="20"/>
              </w:rPr>
              <w:t>Total</w:t>
            </w:r>
          </w:p>
        </w:tc>
        <w:tc>
          <w:tcPr>
            <w:tcW w:w="665" w:type="pct"/>
          </w:tcPr>
          <w:p w:rsidR="00A02D3C" w:rsidRPr="00A27A71" w:rsidRDefault="00A02D3C" w:rsidP="005D1FF4">
            <w:pPr>
              <w:jc w:val="right"/>
              <w:rPr>
                <w:b/>
                <w:bCs/>
                <w:sz w:val="20"/>
                <w:szCs w:val="20"/>
              </w:rPr>
            </w:pPr>
            <w:r w:rsidRPr="00A27A71">
              <w:rPr>
                <w:b/>
                <w:bCs/>
                <w:sz w:val="20"/>
                <w:szCs w:val="20"/>
              </w:rPr>
              <w:t>370,000</w:t>
            </w:r>
          </w:p>
        </w:tc>
      </w:tr>
    </w:tbl>
    <w:p w:rsidR="00A02D3C" w:rsidRPr="00A27A71" w:rsidRDefault="00A02D3C" w:rsidP="00A02D3C"/>
    <w:p w:rsidR="005C2E79" w:rsidRPr="00A27A71" w:rsidRDefault="005C2E79" w:rsidP="005C2E79">
      <w:pPr>
        <w:rPr>
          <w:i/>
        </w:rPr>
      </w:pPr>
      <w:r w:rsidRPr="00A27A71">
        <w:rPr>
          <w:i/>
        </w:rPr>
        <w:t xml:space="preserve">Commercial </w:t>
      </w:r>
      <w:r w:rsidR="0099634C" w:rsidRPr="00A27A71">
        <w:rPr>
          <w:i/>
        </w:rPr>
        <w:t>refrigeration</w:t>
      </w:r>
      <w:r w:rsidRPr="00A27A71">
        <w:rPr>
          <w:i/>
        </w:rPr>
        <w:t xml:space="preserve"> manufacturing sector</w:t>
      </w:r>
    </w:p>
    <w:p w:rsidR="005C2E79" w:rsidRPr="00A27A71" w:rsidRDefault="005C2E79" w:rsidP="00C905D9">
      <w:pPr>
        <w:rPr>
          <w:u w:val="single"/>
        </w:rPr>
      </w:pPr>
    </w:p>
    <w:p w:rsidR="0099634C" w:rsidRPr="00A27A71" w:rsidRDefault="0099634C" w:rsidP="0099634C">
      <w:pPr>
        <w:pStyle w:val="Heading1"/>
      </w:pPr>
      <w:r w:rsidRPr="00A27A71">
        <w:t>The project aims to phase</w:t>
      </w:r>
      <w:r w:rsidR="00223D78" w:rsidRPr="00A27A71">
        <w:t xml:space="preserve"> </w:t>
      </w:r>
      <w:r w:rsidRPr="00A27A71">
        <w:t>out 9.8</w:t>
      </w:r>
      <w:r w:rsidR="00E61A05" w:rsidRPr="00A27A71">
        <w:t> mt</w:t>
      </w:r>
      <w:r w:rsidRPr="00A27A71">
        <w:t xml:space="preserve"> (0.54</w:t>
      </w:r>
      <w:r w:rsidR="00E61A05" w:rsidRPr="00A27A71">
        <w:t> ODP tonnes</w:t>
      </w:r>
      <w:r w:rsidRPr="00A27A71">
        <w:t>)</w:t>
      </w:r>
      <w:r w:rsidR="00B53ED9" w:rsidRPr="00A27A71">
        <w:t xml:space="preserve"> of HCFC-22</w:t>
      </w:r>
      <w:r w:rsidRPr="00A27A71">
        <w:t xml:space="preserve"> </w:t>
      </w:r>
      <w:r w:rsidR="00B53ED9" w:rsidRPr="00A27A71">
        <w:t xml:space="preserve">in </w:t>
      </w:r>
      <w:r w:rsidRPr="00A27A71">
        <w:t>14</w:t>
      </w:r>
      <w:r w:rsidR="00B53ED9" w:rsidRPr="00A27A71">
        <w:t> </w:t>
      </w:r>
      <w:r w:rsidRPr="00A27A71">
        <w:t xml:space="preserve">commercial refrigeration manufacturing </w:t>
      </w:r>
      <w:r w:rsidR="00B170C2" w:rsidRPr="00A27A71">
        <w:t>enterprises</w:t>
      </w:r>
      <w:r w:rsidRPr="00A27A71">
        <w:t xml:space="preserve"> and an additional 58.2</w:t>
      </w:r>
      <w:r w:rsidR="00E61A05" w:rsidRPr="00A27A71">
        <w:t> mt</w:t>
      </w:r>
      <w:r w:rsidRPr="00A27A71">
        <w:t xml:space="preserve"> (3.20</w:t>
      </w:r>
      <w:r w:rsidR="00E61A05" w:rsidRPr="00A27A71">
        <w:t> ODP tonnes</w:t>
      </w:r>
      <w:r w:rsidRPr="00A27A71">
        <w:t>)</w:t>
      </w:r>
      <w:r w:rsidR="00B53ED9" w:rsidRPr="00A27A71">
        <w:t xml:space="preserve"> of HCFC</w:t>
      </w:r>
      <w:r w:rsidR="00B53ED9" w:rsidRPr="00A27A71">
        <w:noBreakHyphen/>
        <w:t>22</w:t>
      </w:r>
      <w:r w:rsidRPr="00A27A71">
        <w:t xml:space="preserve"> in 25</w:t>
      </w:r>
      <w:r w:rsidR="00B53ED9" w:rsidRPr="00A27A71">
        <w:t> </w:t>
      </w:r>
      <w:r w:rsidR="002E3A80" w:rsidRPr="00A27A71">
        <w:t xml:space="preserve">registered </w:t>
      </w:r>
      <w:r w:rsidR="00E61A05" w:rsidRPr="00A27A71">
        <w:t>enterprises</w:t>
      </w:r>
      <w:r w:rsidRPr="00A27A71">
        <w:t xml:space="preserve"> and 187 </w:t>
      </w:r>
      <w:r w:rsidR="009E546B" w:rsidRPr="00A27A71">
        <w:t>small service shops that assemble and charge a variety of equipment.</w:t>
      </w:r>
      <w:r w:rsidR="00CD7A3F" w:rsidRPr="00A27A71">
        <w:rPr>
          <w:rStyle w:val="FootnoteReference"/>
        </w:rPr>
        <w:footnoteReference w:id="7"/>
      </w:r>
      <w:r w:rsidR="009E546B" w:rsidRPr="00A27A71">
        <w:t xml:space="preserve"> </w:t>
      </w:r>
      <w:r w:rsidRPr="00A27A71">
        <w:lastRenderedPageBreak/>
        <w:t>Enterprises in this sector</w:t>
      </w:r>
      <w:r w:rsidR="00B170C2" w:rsidRPr="00A27A71">
        <w:t>,</w:t>
      </w:r>
      <w:r w:rsidRPr="00A27A71">
        <w:t xml:space="preserve"> as well as imported </w:t>
      </w:r>
      <w:r w:rsidR="00B53ED9" w:rsidRPr="00A27A71">
        <w:t xml:space="preserve">equipment used </w:t>
      </w:r>
      <w:r w:rsidR="00B170C2" w:rsidRPr="00A27A71">
        <w:t>for</w:t>
      </w:r>
      <w:r w:rsidRPr="00A27A71">
        <w:t xml:space="preserve"> th</w:t>
      </w:r>
      <w:r w:rsidR="00B170C2" w:rsidRPr="00A27A71">
        <w:t>o</w:t>
      </w:r>
      <w:r w:rsidRPr="00A27A71">
        <w:t>se applications</w:t>
      </w:r>
      <w:r w:rsidR="00B170C2" w:rsidRPr="00A27A71">
        <w:t>,</w:t>
      </w:r>
      <w:r w:rsidRPr="00A27A71">
        <w:t xml:space="preserve"> consume HCFC-22 and HFCs</w:t>
      </w:r>
      <w:r w:rsidR="00B170C2" w:rsidRPr="00A27A71">
        <w:t>,</w:t>
      </w:r>
      <w:r w:rsidRPr="00A27A71">
        <w:t xml:space="preserve"> mainly R-404A and HFC-134a. The project includes technical assistance, </w:t>
      </w:r>
      <w:r w:rsidR="00EF08CA" w:rsidRPr="00A27A71">
        <w:t xml:space="preserve">tools to convert to a low-GWP alternative that is yet to be identified, and training at an estimated cost of </w:t>
      </w:r>
      <w:r w:rsidR="00E61A05" w:rsidRPr="00A27A71">
        <w:t>US $</w:t>
      </w:r>
      <w:r w:rsidR="00EF08CA" w:rsidRPr="00A27A71">
        <w:t>210</w:t>
      </w:r>
      <w:r w:rsidRPr="00A27A71">
        <w:t xml:space="preserve">,304 </w:t>
      </w:r>
      <w:r w:rsidR="00EF08CA" w:rsidRPr="00A27A71">
        <w:t>(US</w:t>
      </w:r>
      <w:r w:rsidR="008E0439" w:rsidRPr="00A27A71">
        <w:t> </w:t>
      </w:r>
      <w:r w:rsidR="00EF08CA" w:rsidRPr="00A27A71">
        <w:t>$3.09/kg)</w:t>
      </w:r>
    </w:p>
    <w:p w:rsidR="005C2E79" w:rsidRPr="00A27A71" w:rsidRDefault="00F94F72" w:rsidP="005C2E79">
      <w:pPr>
        <w:rPr>
          <w:u w:val="single"/>
        </w:rPr>
      </w:pPr>
      <w:r w:rsidRPr="00A27A71">
        <w:rPr>
          <w:u w:val="single"/>
        </w:rPr>
        <w:t>HC</w:t>
      </w:r>
      <w:r w:rsidR="005C2E79" w:rsidRPr="00A27A71">
        <w:rPr>
          <w:u w:val="single"/>
        </w:rPr>
        <w:t xml:space="preserve"> production</w:t>
      </w:r>
    </w:p>
    <w:p w:rsidR="005C2E79" w:rsidRPr="00A27A71" w:rsidRDefault="005C2E79" w:rsidP="00C905D9">
      <w:pPr>
        <w:rPr>
          <w:u w:val="single"/>
        </w:rPr>
      </w:pPr>
    </w:p>
    <w:p w:rsidR="00120CC7" w:rsidRPr="00A27A71" w:rsidRDefault="007F53A9" w:rsidP="00026847">
      <w:pPr>
        <w:pStyle w:val="Heading1"/>
        <w:rPr>
          <w:u w:val="single"/>
        </w:rPr>
      </w:pPr>
      <w:r w:rsidRPr="00A27A71">
        <w:t>Stage </w:t>
      </w:r>
      <w:r w:rsidR="002E7D14" w:rsidRPr="00A27A71">
        <w:t xml:space="preserve">II </w:t>
      </w:r>
      <w:r w:rsidR="00B53ED9" w:rsidRPr="00A27A71">
        <w:t>proposed</w:t>
      </w:r>
      <w:r w:rsidR="002E7D14" w:rsidRPr="00A27A71">
        <w:t xml:space="preserve"> the establishment of a facility for the commercial production of </w:t>
      </w:r>
      <w:r w:rsidR="007A4A2C" w:rsidRPr="00A27A71">
        <w:t>HC</w:t>
      </w:r>
      <w:r w:rsidR="002E7D14" w:rsidRPr="00A27A71">
        <w:t xml:space="preserve"> refrigerants. Through a separation and purification process, the facility would produce </w:t>
      </w:r>
      <w:r w:rsidR="00120CC7" w:rsidRPr="00A27A71">
        <w:t>propane (</w:t>
      </w:r>
      <w:r w:rsidR="002E7D14" w:rsidRPr="00A27A71">
        <w:t>HC</w:t>
      </w:r>
      <w:r w:rsidR="00120CC7" w:rsidRPr="00A27A71">
        <w:t>-290) and isob</w:t>
      </w:r>
      <w:r w:rsidR="002E7D14" w:rsidRPr="00A27A71">
        <w:t>utane (R-600a) using locally-</w:t>
      </w:r>
      <w:r w:rsidR="00120CC7" w:rsidRPr="00A27A71">
        <w:t>sourced liquefied petroleum gas</w:t>
      </w:r>
      <w:r w:rsidR="002E7D14" w:rsidRPr="00A27A71">
        <w:t>. T</w:t>
      </w:r>
      <w:r w:rsidR="00120CC7" w:rsidRPr="00A27A71">
        <w:t xml:space="preserve">his is expected to result in ODS phase-out and </w:t>
      </w:r>
      <w:r w:rsidR="002E7D14" w:rsidRPr="00A27A71">
        <w:t xml:space="preserve">facilitate the </w:t>
      </w:r>
      <w:r w:rsidR="00120CC7" w:rsidRPr="00A27A71">
        <w:t>introduction of low</w:t>
      </w:r>
      <w:r w:rsidR="005F1660" w:rsidRPr="00A27A71">
        <w:t>-</w:t>
      </w:r>
      <w:r w:rsidR="00120CC7" w:rsidRPr="00A27A71">
        <w:t xml:space="preserve">GWP refrigerants </w:t>
      </w:r>
      <w:r w:rsidR="002E7D14" w:rsidRPr="00A27A71">
        <w:t xml:space="preserve">by providing a local, cost-effective source of refrigerant-grade </w:t>
      </w:r>
      <w:r w:rsidR="00F94F72" w:rsidRPr="00A27A71">
        <w:t>HC</w:t>
      </w:r>
      <w:r w:rsidR="002E7D14" w:rsidRPr="00A27A71">
        <w:t xml:space="preserve"> refrigerants</w:t>
      </w:r>
      <w:r w:rsidR="00120CC7" w:rsidRPr="00A27A71">
        <w:t xml:space="preserve"> for use in </w:t>
      </w:r>
      <w:r w:rsidR="00F75F42" w:rsidRPr="00A27A71">
        <w:t>RAC</w:t>
      </w:r>
      <w:r w:rsidR="00120CC7" w:rsidRPr="00A27A71">
        <w:t xml:space="preserve"> sector. </w:t>
      </w:r>
      <w:r w:rsidR="002E7D14" w:rsidRPr="00A27A71">
        <w:t>Based on the demonstration project in Nigeria,</w:t>
      </w:r>
      <w:r w:rsidR="00026847" w:rsidRPr="00A27A71">
        <w:rPr>
          <w:rStyle w:val="FootnoteReference"/>
        </w:rPr>
        <w:footnoteReference w:id="8"/>
      </w:r>
      <w:r w:rsidR="002E7D14" w:rsidRPr="00A27A71">
        <w:t xml:space="preserve"> t</w:t>
      </w:r>
      <w:r w:rsidR="00120CC7" w:rsidRPr="00A27A71">
        <w:t xml:space="preserve">he project cost is </w:t>
      </w:r>
      <w:r w:rsidR="002E7D14" w:rsidRPr="00A27A71">
        <w:t>approximately</w:t>
      </w:r>
      <w:r w:rsidR="00026847" w:rsidRPr="00A27A71">
        <w:t xml:space="preserve"> </w:t>
      </w:r>
      <w:r w:rsidR="0013662C" w:rsidRPr="00A27A71">
        <w:t>US $</w:t>
      </w:r>
      <w:r w:rsidR="00120CC7" w:rsidRPr="00A27A71">
        <w:t>5 million</w:t>
      </w:r>
      <w:r w:rsidR="00026847" w:rsidRPr="00A27A71">
        <w:t>. A total of US $1.5 million is requested from the Multilateral Fund for designs, supervision, testing, trials and safety</w:t>
      </w:r>
      <w:r w:rsidR="00120CC7" w:rsidRPr="00A27A71">
        <w:t xml:space="preserve">; the </w:t>
      </w:r>
      <w:r w:rsidR="00026847" w:rsidRPr="00A27A71">
        <w:t>remaining costs would be covered through an investment partnership from refrigerant bottlers, distributors, feedstock supplier(s) and a Development Bank.</w:t>
      </w:r>
    </w:p>
    <w:p w:rsidR="00C905D9" w:rsidRPr="00A27A71" w:rsidRDefault="00C905D9" w:rsidP="00C905D9">
      <w:pPr>
        <w:rPr>
          <w:u w:val="single"/>
        </w:rPr>
      </w:pPr>
      <w:r w:rsidRPr="00A27A71">
        <w:rPr>
          <w:u w:val="single"/>
        </w:rPr>
        <w:t>Activities in the refrigeration servicing sector</w:t>
      </w:r>
    </w:p>
    <w:p w:rsidR="00C905D9" w:rsidRPr="00A27A71" w:rsidRDefault="00C905D9" w:rsidP="00C905D9">
      <w:pPr>
        <w:rPr>
          <w:u w:val="single"/>
        </w:rPr>
      </w:pPr>
    </w:p>
    <w:p w:rsidR="00C905D9" w:rsidRPr="00A27A71" w:rsidRDefault="00E61A05" w:rsidP="00C905D9">
      <w:pPr>
        <w:pStyle w:val="Heading1"/>
      </w:pPr>
      <w:r w:rsidRPr="00A27A71">
        <w:t>Stage </w:t>
      </w:r>
      <w:r w:rsidR="00C905D9" w:rsidRPr="00A27A71">
        <w:t>II of the HPMP propose</w:t>
      </w:r>
      <w:r w:rsidR="00B53ED9" w:rsidRPr="00A27A71">
        <w:t>d</w:t>
      </w:r>
      <w:r w:rsidR="00C905D9" w:rsidRPr="00A27A71">
        <w:t xml:space="preserve"> to phase out </w:t>
      </w:r>
      <w:r w:rsidR="005B532F" w:rsidRPr="00A27A71">
        <w:t>818.80</w:t>
      </w:r>
      <w:r w:rsidR="00982962" w:rsidRPr="00A27A71">
        <w:t> mt</w:t>
      </w:r>
      <w:r w:rsidR="005B532F" w:rsidRPr="00A27A71">
        <w:t xml:space="preserve"> (45.0</w:t>
      </w:r>
      <w:r w:rsidR="00982962" w:rsidRPr="00A27A71">
        <w:t> ODP tonnes</w:t>
      </w:r>
      <w:r w:rsidR="00C905D9" w:rsidRPr="00A27A71">
        <w:t xml:space="preserve">) of HCFC-22 used in the refrigeration servicing sector with a total cost of </w:t>
      </w:r>
      <w:r w:rsidRPr="00A27A71">
        <w:t>US </w:t>
      </w:r>
      <w:r w:rsidR="003048EC" w:rsidRPr="00A27A71">
        <w:t>$3,732,300</w:t>
      </w:r>
      <w:r w:rsidR="00B53ED9" w:rsidRPr="00A27A71">
        <w:t xml:space="preserve"> </w:t>
      </w:r>
      <w:r w:rsidR="00C905D9" w:rsidRPr="00A27A71">
        <w:t>through the following activities</w:t>
      </w:r>
      <w:r w:rsidR="00422A21" w:rsidRPr="00A27A71">
        <w:t xml:space="preserve"> </w:t>
      </w:r>
      <w:r w:rsidR="00F76143">
        <w:t xml:space="preserve">to be </w:t>
      </w:r>
      <w:r w:rsidR="00F146FE" w:rsidRPr="00A27A71">
        <w:t>implemented</w:t>
      </w:r>
      <w:r w:rsidR="00422A21" w:rsidRPr="00A27A71">
        <w:t xml:space="preserve"> </w:t>
      </w:r>
      <w:r w:rsidR="00F76143">
        <w:t>by</w:t>
      </w:r>
      <w:r w:rsidR="00422A21" w:rsidRPr="00A27A71">
        <w:t xml:space="preserve"> UNIDO, UN</w:t>
      </w:r>
      <w:r w:rsidR="00501F30" w:rsidRPr="00A27A71">
        <w:t xml:space="preserve"> Environment</w:t>
      </w:r>
      <w:r w:rsidR="00422A21" w:rsidRPr="00A27A71">
        <w:t xml:space="preserve"> and the Government of Germany</w:t>
      </w:r>
      <w:r w:rsidR="00C905D9" w:rsidRPr="00A27A71">
        <w:t>:</w:t>
      </w:r>
    </w:p>
    <w:p w:rsidR="006E2D24" w:rsidRPr="00A27A71" w:rsidRDefault="005B532F" w:rsidP="000E78FE">
      <w:pPr>
        <w:pStyle w:val="Heading2"/>
      </w:pPr>
      <w:r w:rsidRPr="00A27A71">
        <w:t>Policy update and enforcement for controlling and monitoring the use of HCFC-22</w:t>
      </w:r>
      <w:r w:rsidR="006E2D24" w:rsidRPr="00A27A71">
        <w:t xml:space="preserve">, </w:t>
      </w:r>
      <w:r w:rsidRPr="00A27A71">
        <w:t xml:space="preserve"> includ</w:t>
      </w:r>
      <w:r w:rsidR="006E2D24" w:rsidRPr="00A27A71">
        <w:t>ing</w:t>
      </w:r>
      <w:r w:rsidRPr="00A27A71">
        <w:t xml:space="preserve"> training 800 customs officers and market surveillance for preventing illegal </w:t>
      </w:r>
      <w:r w:rsidR="006E2D24" w:rsidRPr="00A27A71">
        <w:t>and</w:t>
      </w:r>
      <w:r w:rsidRPr="00A27A71">
        <w:t xml:space="preserve"> contaminated refrigerant sales in the market</w:t>
      </w:r>
      <w:r w:rsidR="000E78FE" w:rsidRPr="00A27A71">
        <w:t xml:space="preserve"> through coordination, training of Consumer Protection Agency officers who monitor local markets and take legal action against illegal goods, and for strengthening of information sharing and reporting of seized illegal goods to create a process of tracing the source. The project will provide the necessary infrastructure through stage II after which the Government will handle the project in a sustainable manner</w:t>
      </w:r>
      <w:r w:rsidRPr="00A27A71">
        <w:t xml:space="preserve"> (</w:t>
      </w:r>
      <w:r w:rsidR="0013662C" w:rsidRPr="00A27A71">
        <w:t>US $</w:t>
      </w:r>
      <w:r w:rsidRPr="00A27A71">
        <w:t>455,000)</w:t>
      </w:r>
      <w:r w:rsidR="006E2D24" w:rsidRPr="00A27A71">
        <w:t>;</w:t>
      </w:r>
    </w:p>
    <w:p w:rsidR="00E67EDF" w:rsidRPr="00A27A71" w:rsidRDefault="00E67EDF" w:rsidP="005B532F">
      <w:pPr>
        <w:pStyle w:val="Heading2"/>
      </w:pPr>
      <w:r w:rsidRPr="00A27A71">
        <w:t xml:space="preserve">Two workshops </w:t>
      </w:r>
      <w:r w:rsidR="00D12873" w:rsidRPr="00A27A71">
        <w:t xml:space="preserve">for policy makers </w:t>
      </w:r>
      <w:r w:rsidRPr="00A27A71">
        <w:t xml:space="preserve">and six trainings for trainers and technicians </w:t>
      </w:r>
      <w:r w:rsidR="00D12873" w:rsidRPr="00A27A71">
        <w:t xml:space="preserve">for approximately 160 participants </w:t>
      </w:r>
      <w:r w:rsidRPr="00A27A71">
        <w:t>on the safe use of HC</w:t>
      </w:r>
      <w:r w:rsidR="008E0439" w:rsidRPr="00A27A71">
        <w:noBreakHyphen/>
      </w:r>
      <w:r w:rsidRPr="00A27A71">
        <w:t>refrigerants and equipment (including tools, personal protective equipment, HC</w:t>
      </w:r>
      <w:r w:rsidR="0013662C" w:rsidRPr="00A27A71">
        <w:noBreakHyphen/>
      </w:r>
      <w:r w:rsidRPr="00A27A71">
        <w:t>based demonstration units) for the vocational training c</w:t>
      </w:r>
      <w:r w:rsidR="005B532F" w:rsidRPr="00A27A71">
        <w:t>entre (VTC) (</w:t>
      </w:r>
      <w:r w:rsidR="0013662C" w:rsidRPr="00A27A71">
        <w:t>US $</w:t>
      </w:r>
      <w:r w:rsidR="005B532F" w:rsidRPr="00A27A71">
        <w:t>207,300)</w:t>
      </w:r>
      <w:r w:rsidRPr="00A27A71">
        <w:t>;</w:t>
      </w:r>
    </w:p>
    <w:p w:rsidR="00C73A0D" w:rsidRPr="00A27A71" w:rsidRDefault="005C2194" w:rsidP="005C2F50">
      <w:pPr>
        <w:pStyle w:val="Heading2"/>
      </w:pPr>
      <w:r w:rsidRPr="00A27A71">
        <w:t>Upgrade of national codes of practice, development of a cert</w:t>
      </w:r>
      <w:r w:rsidR="005B532F" w:rsidRPr="00A27A71">
        <w:t xml:space="preserve">ification </w:t>
      </w:r>
      <w:r w:rsidRPr="00A27A71">
        <w:t>scheme, support to establish two master training centres and upgrade the technical capacity of 16</w:t>
      </w:r>
      <w:r w:rsidR="008E0439" w:rsidRPr="00A27A71">
        <w:t> </w:t>
      </w:r>
      <w:r w:rsidRPr="00A27A71">
        <w:t>VTCs, update training curricula, and training and certification of 1,500 technicians</w:t>
      </w:r>
      <w:r w:rsidR="005C2F50" w:rsidRPr="00A27A71">
        <w:t xml:space="preserve">. Given that the technologies to be adopted in the AC sector is uncertain, the training and certification programme will include theoretical and hands-on training that covers </w:t>
      </w:r>
      <w:r w:rsidR="000E6896">
        <w:t>flammable</w:t>
      </w:r>
      <w:r w:rsidR="005C2F50" w:rsidRPr="00A27A71">
        <w:t xml:space="preserve"> refrigerants, and good practices to minimize emissions, thus helping ensure the sustainability of the training programme</w:t>
      </w:r>
      <w:r w:rsidR="005B532F" w:rsidRPr="00A27A71">
        <w:t xml:space="preserve"> (US</w:t>
      </w:r>
      <w:r w:rsidR="008E0439" w:rsidRPr="00A27A71">
        <w:t> </w:t>
      </w:r>
      <w:r w:rsidR="005B532F" w:rsidRPr="00A27A71">
        <w:t>$490,000)</w:t>
      </w:r>
      <w:r w:rsidRPr="00A27A71">
        <w:t>;</w:t>
      </w:r>
    </w:p>
    <w:p w:rsidR="00C73A0D" w:rsidRPr="00A27A71" w:rsidRDefault="005B532F" w:rsidP="005C2F50">
      <w:pPr>
        <w:pStyle w:val="Heading2"/>
      </w:pPr>
      <w:r w:rsidRPr="00A27A71">
        <w:t xml:space="preserve">Reviewing and upgrading local codes and standards for equipment, containers, buildings, insulation, </w:t>
      </w:r>
      <w:r w:rsidR="00C73A0D" w:rsidRPr="00A27A71">
        <w:t xml:space="preserve">RAC equipment, </w:t>
      </w:r>
      <w:r w:rsidRPr="00A27A71">
        <w:t>and training and outr</w:t>
      </w:r>
      <w:r w:rsidR="00C73A0D" w:rsidRPr="00A27A71">
        <w:t>each pro</w:t>
      </w:r>
      <w:r w:rsidR="007F53A9" w:rsidRPr="00A27A71">
        <w:t>gramme</w:t>
      </w:r>
      <w:r w:rsidR="00C73A0D" w:rsidRPr="00A27A71">
        <w:t xml:space="preserve">s for the standards and </w:t>
      </w:r>
      <w:r w:rsidRPr="00A27A71">
        <w:t>codes</w:t>
      </w:r>
      <w:r w:rsidR="005C2F50" w:rsidRPr="00A27A71">
        <w:t xml:space="preserve">, thereby ensuring timely adoption of relevant international standards and the timely introduction of alternatives and related services. The Egyptian Standardization Organization reviews, and if necessary modifies, and translates each standard for local adoption. The project will support efforts in adoption of international standards through </w:t>
      </w:r>
      <w:r w:rsidR="005C2F50" w:rsidRPr="00A27A71">
        <w:lastRenderedPageBreak/>
        <w:t>the national process</w:t>
      </w:r>
      <w:r w:rsidR="00AE013C" w:rsidRPr="00A27A71">
        <w:t>. In addition, a refrigerant containment and leakage prevention programme will be implemented, focused on large RAC equipment</w:t>
      </w:r>
      <w:r w:rsidR="005C2F50" w:rsidRPr="00A27A71">
        <w:t xml:space="preserve"> </w:t>
      </w:r>
      <w:r w:rsidRPr="00A27A71">
        <w:t>(</w:t>
      </w:r>
      <w:r w:rsidR="0013662C" w:rsidRPr="00A27A71">
        <w:t>US $</w:t>
      </w:r>
      <w:r w:rsidRPr="00A27A71">
        <w:t>270,000)</w:t>
      </w:r>
      <w:r w:rsidR="00C73A0D" w:rsidRPr="00A27A71">
        <w:t>;</w:t>
      </w:r>
    </w:p>
    <w:p w:rsidR="00C73A0D" w:rsidRPr="00A27A71" w:rsidRDefault="00C73A0D" w:rsidP="005B532F">
      <w:pPr>
        <w:pStyle w:val="Heading2"/>
      </w:pPr>
      <w:r w:rsidRPr="00A27A71">
        <w:t>A</w:t>
      </w:r>
      <w:r w:rsidR="005B532F" w:rsidRPr="00A27A71">
        <w:t xml:space="preserve">wareness and outreach on alternate refrigerant technologies and green procurement training </w:t>
      </w:r>
      <w:r w:rsidRPr="00A27A71">
        <w:t>f</w:t>
      </w:r>
      <w:r w:rsidR="005B532F" w:rsidRPr="00A27A71">
        <w:t xml:space="preserve">or </w:t>
      </w:r>
      <w:r w:rsidRPr="00A27A71">
        <w:t xml:space="preserve">the </w:t>
      </w:r>
      <w:r w:rsidR="005B532F" w:rsidRPr="00A27A71">
        <w:t>public sector (</w:t>
      </w:r>
      <w:r w:rsidR="0013662C" w:rsidRPr="00A27A71">
        <w:t>US $</w:t>
      </w:r>
      <w:r w:rsidR="005B532F" w:rsidRPr="00A27A71">
        <w:t>100,000)</w:t>
      </w:r>
      <w:r w:rsidRPr="00A27A71">
        <w:t>;</w:t>
      </w:r>
    </w:p>
    <w:p w:rsidR="00C73A0D" w:rsidRPr="00A27A71" w:rsidRDefault="00C73A0D" w:rsidP="005B532F">
      <w:pPr>
        <w:pStyle w:val="Heading2"/>
      </w:pPr>
      <w:r w:rsidRPr="00A27A71">
        <w:t>Development of local guidelines for reclamation facilities, and establishment of a n</w:t>
      </w:r>
      <w:r w:rsidR="005B532F" w:rsidRPr="00A27A71">
        <w:t xml:space="preserve">ational reclamation scheme </w:t>
      </w:r>
      <w:r w:rsidRPr="00A27A71">
        <w:t xml:space="preserve">comprising </w:t>
      </w:r>
      <w:r w:rsidR="005B532F" w:rsidRPr="00A27A71">
        <w:t>three reclamation centres</w:t>
      </w:r>
      <w:r w:rsidRPr="00A27A71">
        <w:t xml:space="preserve"> including testing labs, </w:t>
      </w:r>
      <w:r w:rsidR="005B532F" w:rsidRPr="00A27A71">
        <w:t>1</w:t>
      </w:r>
      <w:r w:rsidRPr="00A27A71">
        <w:t>,</w:t>
      </w:r>
      <w:r w:rsidR="005B532F" w:rsidRPr="00A27A71">
        <w:t>000</w:t>
      </w:r>
      <w:r w:rsidR="00E51355" w:rsidRPr="00A27A71">
        <w:t> </w:t>
      </w:r>
      <w:r w:rsidR="005B532F" w:rsidRPr="00A27A71">
        <w:t xml:space="preserve">recovery units along with tools and </w:t>
      </w:r>
      <w:r w:rsidRPr="00A27A71">
        <w:t>necessary accessories, capacity-</w:t>
      </w:r>
      <w:r w:rsidR="005B532F" w:rsidRPr="00A27A71">
        <w:t xml:space="preserve">building of more than 100 </w:t>
      </w:r>
      <w:r w:rsidRPr="00A27A71">
        <w:t>after-</w:t>
      </w:r>
      <w:r w:rsidR="005B532F" w:rsidRPr="00A27A71">
        <w:t>sales and certified service centres</w:t>
      </w:r>
      <w:r w:rsidRPr="00A27A71">
        <w:t>,</w:t>
      </w:r>
      <w:r w:rsidR="005B532F" w:rsidRPr="00A27A71">
        <w:t xml:space="preserve"> and </w:t>
      </w:r>
      <w:r w:rsidRPr="00A27A71">
        <w:t xml:space="preserve">an </w:t>
      </w:r>
      <w:r w:rsidR="005B532F" w:rsidRPr="00A27A71">
        <w:t>on</w:t>
      </w:r>
      <w:r w:rsidRPr="00A27A71">
        <w:t>-</w:t>
      </w:r>
      <w:r w:rsidR="005B532F" w:rsidRPr="00A27A71">
        <w:t>site t</w:t>
      </w:r>
      <w:r w:rsidRPr="00A27A71">
        <w:t>raining program</w:t>
      </w:r>
      <w:r w:rsidR="008E0439" w:rsidRPr="00A27A71">
        <w:t>me</w:t>
      </w:r>
      <w:r w:rsidRPr="00A27A71">
        <w:t xml:space="preserve"> for workshops</w:t>
      </w:r>
      <w:r w:rsidR="00AE013C" w:rsidRPr="00A27A71">
        <w:t>. The initiation of this programme will help industry progressively recover and reclaim HCFCs. The programme is designed to ensure the purity of recovered and reclaimed refrigerants, and will be supported by a training and certification programme, including the ban on imports or use of refrigerants in non</w:t>
      </w:r>
      <w:r w:rsidR="00DE50BB">
        <w:noBreakHyphen/>
      </w:r>
      <w:r w:rsidR="00AE013C" w:rsidRPr="00A27A71">
        <w:t xml:space="preserve">refillable containers, after necessary stakeholder consultations on timing; ban on venting refrigerants during servicing; and mandatory licensing of all establishments (e.g., importers, distributors, retailers, service workshops) dealing with and handling ODS </w:t>
      </w:r>
      <w:r w:rsidRPr="00A27A71">
        <w:t xml:space="preserve"> (</w:t>
      </w:r>
      <w:r w:rsidR="0013662C" w:rsidRPr="00A27A71">
        <w:t>US $</w:t>
      </w:r>
      <w:r w:rsidR="005B532F" w:rsidRPr="00A27A71">
        <w:t>2,090,000)</w:t>
      </w:r>
      <w:r w:rsidRPr="00A27A71">
        <w:t>; and</w:t>
      </w:r>
    </w:p>
    <w:p w:rsidR="005B532F" w:rsidRPr="00A27A71" w:rsidRDefault="005B532F" w:rsidP="005B532F">
      <w:pPr>
        <w:pStyle w:val="Heading2"/>
      </w:pPr>
      <w:r w:rsidRPr="00A27A71">
        <w:t>Technical advisory support</w:t>
      </w:r>
      <w:r w:rsidR="00C73A0D" w:rsidRPr="00A27A71">
        <w:t>,</w:t>
      </w:r>
      <w:r w:rsidRPr="00A27A71">
        <w:t xml:space="preserve"> including international consultancy services and field trips on adoption of low</w:t>
      </w:r>
      <w:r w:rsidR="00B53ED9" w:rsidRPr="00A27A71">
        <w:t>-</w:t>
      </w:r>
      <w:r w:rsidRPr="00A27A71">
        <w:t>GWP alternative technologies (</w:t>
      </w:r>
      <w:r w:rsidR="0013662C" w:rsidRPr="00A27A71">
        <w:t>US $</w:t>
      </w:r>
      <w:r w:rsidRPr="00A27A71">
        <w:t>120,000)</w:t>
      </w:r>
      <w:r w:rsidR="00C73A0D" w:rsidRPr="00A27A71">
        <w:t>.</w:t>
      </w:r>
    </w:p>
    <w:p w:rsidR="00C905D9" w:rsidRPr="00A27A71" w:rsidRDefault="00C905D9" w:rsidP="0069138E">
      <w:pPr>
        <w:pStyle w:val="Heading1"/>
        <w:keepNext/>
        <w:keepLines/>
        <w:numPr>
          <w:ilvl w:val="0"/>
          <w:numId w:val="0"/>
        </w:numPr>
        <w:rPr>
          <w:u w:val="single"/>
        </w:rPr>
      </w:pPr>
      <w:r w:rsidRPr="00A27A71">
        <w:rPr>
          <w:u w:val="single"/>
        </w:rPr>
        <w:t>Implementation and monitoring activities</w:t>
      </w:r>
    </w:p>
    <w:p w:rsidR="00C905D9" w:rsidRPr="00A27A71" w:rsidRDefault="00120CC7" w:rsidP="0069138E">
      <w:pPr>
        <w:pStyle w:val="Heading1"/>
        <w:keepNext/>
        <w:keepLines/>
      </w:pPr>
      <w:r w:rsidRPr="00A27A71">
        <w:t>The project management will be divided into two components, one relating to UNIDO and the other to UNDP, for managing the respective project activities. The UNIDO component would oversee all project activities and overall coordination</w:t>
      </w:r>
      <w:r w:rsidR="006E055E" w:rsidRPr="00A27A71">
        <w:t>.</w:t>
      </w:r>
      <w:r w:rsidRPr="00A27A71">
        <w:t xml:space="preserve"> The funding for </w:t>
      </w:r>
      <w:r w:rsidR="006E055E" w:rsidRPr="00A27A71">
        <w:t xml:space="preserve">the </w:t>
      </w:r>
      <w:r w:rsidRPr="00A27A71">
        <w:t xml:space="preserve">UNIDO and UNDP components amount to </w:t>
      </w:r>
      <w:r w:rsidR="0013662C" w:rsidRPr="00A27A71">
        <w:t>US $</w:t>
      </w:r>
      <w:r w:rsidRPr="00A27A71">
        <w:t xml:space="preserve">1,320,000 and </w:t>
      </w:r>
      <w:r w:rsidR="0013662C" w:rsidRPr="00A27A71">
        <w:t>US $</w:t>
      </w:r>
      <w:r w:rsidRPr="00A27A71">
        <w:t>200,000, respectively.</w:t>
      </w:r>
    </w:p>
    <w:p w:rsidR="00C905D9" w:rsidRPr="00A27A71" w:rsidRDefault="00C905D9" w:rsidP="00C905D9">
      <w:pPr>
        <w:pStyle w:val="ListParagraph"/>
        <w:ind w:left="0"/>
        <w:rPr>
          <w:color w:val="000000" w:themeColor="text1"/>
          <w:szCs w:val="32"/>
        </w:rPr>
      </w:pPr>
      <w:r w:rsidRPr="00A27A71">
        <w:rPr>
          <w:color w:val="000000" w:themeColor="text1"/>
          <w:szCs w:val="32"/>
          <w:u w:val="single"/>
        </w:rPr>
        <w:t xml:space="preserve">Total cost of </w:t>
      </w:r>
      <w:r w:rsidR="00E61A05" w:rsidRPr="00A27A71">
        <w:rPr>
          <w:color w:val="000000" w:themeColor="text1"/>
          <w:szCs w:val="32"/>
          <w:u w:val="single"/>
        </w:rPr>
        <w:t>stage </w:t>
      </w:r>
      <w:r w:rsidRPr="00A27A71">
        <w:rPr>
          <w:color w:val="000000" w:themeColor="text1"/>
          <w:szCs w:val="32"/>
          <w:u w:val="single"/>
        </w:rPr>
        <w:t>II of the HPMP</w:t>
      </w:r>
    </w:p>
    <w:p w:rsidR="00C905D9" w:rsidRPr="00A27A71" w:rsidRDefault="00C905D9" w:rsidP="00C905D9"/>
    <w:p w:rsidR="00C905D9" w:rsidRPr="00A27A71" w:rsidRDefault="00C905D9" w:rsidP="00C905D9">
      <w:pPr>
        <w:pStyle w:val="Heading1"/>
      </w:pPr>
      <w:r w:rsidRPr="00A27A71">
        <w:t xml:space="preserve">The total cost of </w:t>
      </w:r>
      <w:r w:rsidR="00E61A05" w:rsidRPr="00A27A71">
        <w:t>stage </w:t>
      </w:r>
      <w:r w:rsidRPr="00A27A71">
        <w:t>II of the HPMP for</w:t>
      </w:r>
      <w:r w:rsidR="00910254" w:rsidRPr="00A27A71">
        <w:t xml:space="preserve"> Egypt</w:t>
      </w:r>
      <w:r w:rsidRPr="00A27A71">
        <w:t xml:space="preserve"> to be funded through the Multilateral Fund has been estimated at </w:t>
      </w:r>
      <w:r w:rsidR="00E61A05" w:rsidRPr="00A27A71">
        <w:t>US $</w:t>
      </w:r>
      <w:r w:rsidR="00CC1FF8" w:rsidRPr="00A27A71">
        <w:t>34,165,051</w:t>
      </w:r>
      <w:r w:rsidRPr="00A27A71">
        <w:t xml:space="preserve">, as originally submitted (excluding support costs). The proposed phase-out activities will result in the phase-out of </w:t>
      </w:r>
      <w:r w:rsidR="00095D90">
        <w:t>199.26</w:t>
      </w:r>
      <w:r w:rsidR="00B77D27" w:rsidRPr="00A27A71">
        <w:t> </w:t>
      </w:r>
      <w:r w:rsidRPr="00A27A71">
        <w:t>ODP tonnes of HCFCs representing</w:t>
      </w:r>
      <w:r w:rsidR="00CC1FF8" w:rsidRPr="00A27A71">
        <w:t xml:space="preserve"> 5</w:t>
      </w:r>
      <w:r w:rsidR="00095D90">
        <w:t>2</w:t>
      </w:r>
      <w:r w:rsidR="00B77D27" w:rsidRPr="00A27A71">
        <w:t> </w:t>
      </w:r>
      <w:r w:rsidRPr="00A27A71">
        <w:t xml:space="preserve">per cent of the HCFC baseline with an overall </w:t>
      </w:r>
      <w:r w:rsidR="00737427" w:rsidRPr="00A27A71">
        <w:t>CE</w:t>
      </w:r>
      <w:r w:rsidRPr="00A27A71">
        <w:t xml:space="preserve"> of </w:t>
      </w:r>
      <w:r w:rsidR="00E61A05" w:rsidRPr="00A27A71">
        <w:t>US $</w:t>
      </w:r>
      <w:r w:rsidR="00CC1FF8" w:rsidRPr="00A27A71">
        <w:t>1</w:t>
      </w:r>
      <w:r w:rsidR="004E5BA0" w:rsidRPr="00A27A71">
        <w:t>0.9</w:t>
      </w:r>
      <w:r w:rsidR="00CC1FF8" w:rsidRPr="00A27A71">
        <w:t>0</w:t>
      </w:r>
      <w:r w:rsidRPr="00A27A71">
        <w:t>/kg. Detailed activities and cost break</w:t>
      </w:r>
      <w:r w:rsidR="00AC175A" w:rsidRPr="00A27A71">
        <w:t>-</w:t>
      </w:r>
      <w:r w:rsidRPr="00A27A71">
        <w:t xml:space="preserve">down, as originally submitted, are shown in </w:t>
      </w:r>
      <w:r w:rsidR="00223D78" w:rsidRPr="00A27A71">
        <w:t>T</w:t>
      </w:r>
      <w:r w:rsidRPr="00A27A71">
        <w:t xml:space="preserve">able </w:t>
      </w:r>
      <w:r w:rsidR="00095D90">
        <w:t>9</w:t>
      </w:r>
      <w:r w:rsidR="00C73A0D" w:rsidRPr="00A27A71">
        <w:t>:</w:t>
      </w:r>
    </w:p>
    <w:p w:rsidR="00C905D9" w:rsidRPr="00A27A71" w:rsidRDefault="00C905D9" w:rsidP="00C905D9">
      <w:pPr>
        <w:pStyle w:val="Heading1"/>
        <w:numPr>
          <w:ilvl w:val="0"/>
          <w:numId w:val="0"/>
        </w:numPr>
        <w:spacing w:after="0"/>
        <w:rPr>
          <w:b/>
        </w:rPr>
      </w:pPr>
      <w:r w:rsidRPr="00A27A71">
        <w:rPr>
          <w:b/>
        </w:rPr>
        <w:t xml:space="preserve">Table </w:t>
      </w:r>
      <w:r w:rsidR="00095D90">
        <w:rPr>
          <w:b/>
        </w:rPr>
        <w:t>9</w:t>
      </w:r>
      <w:r w:rsidRPr="00A27A71">
        <w:rPr>
          <w:b/>
        </w:rPr>
        <w:t xml:space="preserve">. Summary of proposed activities and cost of </w:t>
      </w:r>
      <w:r w:rsidR="00E61A05" w:rsidRPr="00A27A71">
        <w:rPr>
          <w:b/>
        </w:rPr>
        <w:t>stage </w:t>
      </w:r>
      <w:r w:rsidRPr="00A27A71">
        <w:rPr>
          <w:b/>
        </w:rPr>
        <w:t xml:space="preserve">II of the HPMP for </w:t>
      </w:r>
      <w:r w:rsidR="00910254" w:rsidRPr="00A27A71">
        <w:rPr>
          <w:b/>
        </w:rPr>
        <w:t>Egypt</w:t>
      </w:r>
    </w:p>
    <w:tbl>
      <w:tblPr>
        <w:tblW w:w="4905" w:type="pct"/>
        <w:jc w:val="center"/>
        <w:tblLayout w:type="fixed"/>
        <w:tblLook w:val="04A0" w:firstRow="1" w:lastRow="0" w:firstColumn="1" w:lastColumn="0" w:noHBand="0" w:noVBand="1"/>
      </w:tblPr>
      <w:tblGrid>
        <w:gridCol w:w="904"/>
        <w:gridCol w:w="2711"/>
        <w:gridCol w:w="1259"/>
        <w:gridCol w:w="986"/>
        <w:gridCol w:w="1080"/>
        <w:gridCol w:w="1377"/>
        <w:gridCol w:w="1077"/>
      </w:tblGrid>
      <w:tr w:rsidR="00570DFB" w:rsidRPr="00A27A71" w:rsidTr="005D1FF4">
        <w:trPr>
          <w:trHeight w:val="467"/>
          <w:tblHeader/>
          <w:jc w:val="center"/>
        </w:trPr>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570DFB" w:rsidRPr="00A27A71" w:rsidRDefault="00570DFB" w:rsidP="00E0480C">
            <w:pPr>
              <w:jc w:val="center"/>
              <w:rPr>
                <w:b/>
                <w:bCs/>
                <w:color w:val="000000"/>
                <w:sz w:val="20"/>
                <w:szCs w:val="20"/>
              </w:rPr>
            </w:pPr>
            <w:r w:rsidRPr="00A27A71">
              <w:rPr>
                <w:b/>
                <w:bCs/>
                <w:color w:val="000000"/>
                <w:sz w:val="20"/>
                <w:szCs w:val="20"/>
              </w:rPr>
              <w:t>Sector</w:t>
            </w:r>
          </w:p>
        </w:tc>
        <w:tc>
          <w:tcPr>
            <w:tcW w:w="1443" w:type="pct"/>
            <w:tcBorders>
              <w:top w:val="single" w:sz="4" w:space="0" w:color="auto"/>
              <w:left w:val="nil"/>
              <w:bottom w:val="single" w:sz="4" w:space="0" w:color="auto"/>
              <w:right w:val="single" w:sz="4" w:space="0" w:color="auto"/>
            </w:tcBorders>
            <w:shd w:val="clear" w:color="auto" w:fill="auto"/>
            <w:hideMark/>
          </w:tcPr>
          <w:p w:rsidR="00570DFB" w:rsidRPr="00A27A71" w:rsidRDefault="00570DFB" w:rsidP="00A41F5A">
            <w:pPr>
              <w:jc w:val="center"/>
              <w:rPr>
                <w:b/>
                <w:bCs/>
                <w:color w:val="000000"/>
                <w:sz w:val="20"/>
                <w:szCs w:val="20"/>
              </w:rPr>
            </w:pPr>
            <w:r w:rsidRPr="00A27A71">
              <w:rPr>
                <w:b/>
                <w:bCs/>
                <w:color w:val="000000"/>
                <w:sz w:val="20"/>
                <w:szCs w:val="20"/>
              </w:rPr>
              <w:t xml:space="preserve">Application </w:t>
            </w:r>
          </w:p>
        </w:tc>
        <w:tc>
          <w:tcPr>
            <w:tcW w:w="670" w:type="pct"/>
            <w:tcBorders>
              <w:top w:val="single" w:sz="4" w:space="0" w:color="auto"/>
              <w:left w:val="nil"/>
              <w:bottom w:val="single" w:sz="4" w:space="0" w:color="auto"/>
              <w:right w:val="single" w:sz="4" w:space="0" w:color="auto"/>
            </w:tcBorders>
            <w:shd w:val="clear" w:color="auto" w:fill="auto"/>
            <w:hideMark/>
          </w:tcPr>
          <w:p w:rsidR="00570DFB" w:rsidRPr="00A27A71" w:rsidRDefault="00570DFB" w:rsidP="00422A21">
            <w:pPr>
              <w:jc w:val="center"/>
              <w:rPr>
                <w:b/>
                <w:bCs/>
                <w:color w:val="000000"/>
                <w:sz w:val="20"/>
                <w:szCs w:val="20"/>
              </w:rPr>
            </w:pPr>
            <w:r w:rsidRPr="00A27A71">
              <w:rPr>
                <w:b/>
                <w:bCs/>
                <w:color w:val="000000"/>
                <w:sz w:val="20"/>
                <w:szCs w:val="20"/>
              </w:rPr>
              <w:t>Substance</w:t>
            </w:r>
          </w:p>
        </w:tc>
        <w:tc>
          <w:tcPr>
            <w:tcW w:w="525" w:type="pct"/>
            <w:tcBorders>
              <w:top w:val="single" w:sz="4" w:space="0" w:color="auto"/>
              <w:left w:val="nil"/>
              <w:bottom w:val="single" w:sz="4" w:space="0" w:color="auto"/>
              <w:right w:val="single" w:sz="4" w:space="0" w:color="auto"/>
            </w:tcBorders>
            <w:shd w:val="clear" w:color="auto" w:fill="auto"/>
            <w:hideMark/>
          </w:tcPr>
          <w:p w:rsidR="00570DFB" w:rsidRPr="00A27A71" w:rsidRDefault="00DE50BB" w:rsidP="00E0480C">
            <w:pPr>
              <w:jc w:val="center"/>
              <w:rPr>
                <w:b/>
                <w:bCs/>
                <w:color w:val="000000"/>
                <w:sz w:val="20"/>
                <w:szCs w:val="20"/>
              </w:rPr>
            </w:pPr>
            <w:r>
              <w:rPr>
                <w:b/>
                <w:bCs/>
                <w:color w:val="000000"/>
                <w:sz w:val="20"/>
                <w:szCs w:val="20"/>
              </w:rPr>
              <w:t>mt</w:t>
            </w:r>
          </w:p>
        </w:tc>
        <w:tc>
          <w:tcPr>
            <w:tcW w:w="575" w:type="pct"/>
            <w:tcBorders>
              <w:top w:val="single" w:sz="4" w:space="0" w:color="auto"/>
              <w:left w:val="nil"/>
              <w:bottom w:val="single" w:sz="4" w:space="0" w:color="auto"/>
              <w:right w:val="single" w:sz="4" w:space="0" w:color="auto"/>
            </w:tcBorders>
            <w:shd w:val="clear" w:color="auto" w:fill="auto"/>
            <w:hideMark/>
          </w:tcPr>
          <w:p w:rsidR="00570DFB" w:rsidRPr="00A27A71" w:rsidRDefault="00570DFB" w:rsidP="00E0480C">
            <w:pPr>
              <w:jc w:val="center"/>
              <w:rPr>
                <w:b/>
                <w:bCs/>
                <w:color w:val="000000"/>
                <w:sz w:val="20"/>
                <w:szCs w:val="20"/>
              </w:rPr>
            </w:pPr>
            <w:r w:rsidRPr="00A27A71">
              <w:rPr>
                <w:b/>
                <w:bCs/>
                <w:color w:val="000000"/>
                <w:sz w:val="20"/>
                <w:szCs w:val="20"/>
              </w:rPr>
              <w:t>ODP tonnes</w:t>
            </w:r>
          </w:p>
        </w:tc>
        <w:tc>
          <w:tcPr>
            <w:tcW w:w="733" w:type="pct"/>
            <w:tcBorders>
              <w:top w:val="single" w:sz="4" w:space="0" w:color="auto"/>
              <w:left w:val="nil"/>
              <w:bottom w:val="single" w:sz="4" w:space="0" w:color="auto"/>
              <w:right w:val="single" w:sz="4" w:space="0" w:color="auto"/>
            </w:tcBorders>
            <w:shd w:val="clear" w:color="auto" w:fill="auto"/>
            <w:hideMark/>
          </w:tcPr>
          <w:p w:rsidR="00570DFB" w:rsidRPr="00A27A71" w:rsidRDefault="00570DFB" w:rsidP="00BD650A">
            <w:pPr>
              <w:jc w:val="center"/>
              <w:rPr>
                <w:b/>
                <w:bCs/>
                <w:color w:val="000000"/>
                <w:sz w:val="20"/>
                <w:szCs w:val="20"/>
              </w:rPr>
            </w:pPr>
            <w:r w:rsidRPr="00A27A71">
              <w:rPr>
                <w:b/>
                <w:bCs/>
                <w:color w:val="000000"/>
                <w:sz w:val="20"/>
                <w:szCs w:val="20"/>
              </w:rPr>
              <w:t>Funds requested (US $)</w:t>
            </w:r>
          </w:p>
        </w:tc>
        <w:tc>
          <w:tcPr>
            <w:tcW w:w="573" w:type="pct"/>
            <w:tcBorders>
              <w:top w:val="single" w:sz="4" w:space="0" w:color="auto"/>
              <w:left w:val="nil"/>
              <w:bottom w:val="single" w:sz="4" w:space="0" w:color="auto"/>
              <w:right w:val="single" w:sz="4" w:space="0" w:color="auto"/>
            </w:tcBorders>
          </w:tcPr>
          <w:p w:rsidR="00570DFB" w:rsidRPr="00A27A71" w:rsidRDefault="00570DFB" w:rsidP="00BD650A">
            <w:pPr>
              <w:jc w:val="center"/>
              <w:rPr>
                <w:b/>
                <w:bCs/>
                <w:color w:val="000000"/>
                <w:sz w:val="20"/>
                <w:szCs w:val="20"/>
              </w:rPr>
            </w:pPr>
            <w:r w:rsidRPr="00A27A71">
              <w:rPr>
                <w:b/>
                <w:bCs/>
                <w:color w:val="000000"/>
                <w:sz w:val="20"/>
                <w:szCs w:val="20"/>
              </w:rPr>
              <w:t>CE (US $/kg)</w:t>
            </w:r>
          </w:p>
        </w:tc>
      </w:tr>
      <w:tr w:rsidR="00570DFB" w:rsidRPr="00A27A71" w:rsidTr="005D1FF4">
        <w:trPr>
          <w:trHeight w:val="288"/>
          <w:jc w:val="center"/>
        </w:trPr>
        <w:tc>
          <w:tcPr>
            <w:tcW w:w="481" w:type="pct"/>
            <w:vMerge w:val="restart"/>
            <w:tcBorders>
              <w:top w:val="nil"/>
              <w:left w:val="single" w:sz="4" w:space="0" w:color="auto"/>
              <w:bottom w:val="single" w:sz="4" w:space="0" w:color="auto"/>
              <w:right w:val="single" w:sz="4" w:space="0" w:color="auto"/>
            </w:tcBorders>
            <w:shd w:val="clear" w:color="auto" w:fill="auto"/>
            <w:hideMark/>
          </w:tcPr>
          <w:p w:rsidR="00570DFB" w:rsidRPr="00A27A71" w:rsidRDefault="00570DFB" w:rsidP="00BD650A">
            <w:pPr>
              <w:jc w:val="left"/>
              <w:rPr>
                <w:color w:val="000000"/>
                <w:sz w:val="20"/>
                <w:szCs w:val="20"/>
              </w:rPr>
            </w:pPr>
            <w:r w:rsidRPr="00A27A71">
              <w:rPr>
                <w:color w:val="000000"/>
                <w:sz w:val="20"/>
                <w:szCs w:val="20"/>
              </w:rPr>
              <w:t>PU foam</w:t>
            </w:r>
          </w:p>
        </w:tc>
        <w:tc>
          <w:tcPr>
            <w:tcW w:w="1443" w:type="pct"/>
            <w:tcBorders>
              <w:top w:val="nil"/>
              <w:left w:val="single" w:sz="4" w:space="0" w:color="auto"/>
              <w:bottom w:val="single" w:sz="4" w:space="0" w:color="auto"/>
              <w:right w:val="single" w:sz="4" w:space="0" w:color="auto"/>
            </w:tcBorders>
            <w:shd w:val="clear" w:color="auto" w:fill="auto"/>
          </w:tcPr>
          <w:p w:rsidR="00570DFB" w:rsidRPr="00A27A71" w:rsidRDefault="00570DFB" w:rsidP="00BD650A">
            <w:pPr>
              <w:jc w:val="left"/>
              <w:rPr>
                <w:color w:val="000000"/>
                <w:sz w:val="20"/>
                <w:szCs w:val="20"/>
              </w:rPr>
            </w:pPr>
            <w:r w:rsidRPr="00A27A71">
              <w:rPr>
                <w:color w:val="000000"/>
                <w:sz w:val="20"/>
                <w:szCs w:val="20"/>
              </w:rPr>
              <w:t>Domestic refrigeration manufacturing</w:t>
            </w:r>
          </w:p>
        </w:tc>
        <w:tc>
          <w:tcPr>
            <w:tcW w:w="670" w:type="pct"/>
            <w:tcBorders>
              <w:top w:val="nil"/>
              <w:left w:val="nil"/>
              <w:bottom w:val="single" w:sz="4" w:space="0" w:color="auto"/>
              <w:right w:val="single" w:sz="4" w:space="0" w:color="auto"/>
            </w:tcBorders>
            <w:shd w:val="clear" w:color="auto" w:fill="auto"/>
            <w:hideMark/>
          </w:tcPr>
          <w:p w:rsidR="00570DFB" w:rsidRPr="00A27A71" w:rsidRDefault="00570DFB" w:rsidP="00BD650A">
            <w:pPr>
              <w:jc w:val="left"/>
              <w:rPr>
                <w:color w:val="000000"/>
                <w:sz w:val="20"/>
                <w:szCs w:val="20"/>
              </w:rPr>
            </w:pPr>
            <w:r w:rsidRPr="00A27A71">
              <w:rPr>
                <w:color w:val="000000"/>
                <w:sz w:val="20"/>
                <w:szCs w:val="20"/>
              </w:rPr>
              <w:t>HCFC-141b</w:t>
            </w:r>
          </w:p>
        </w:tc>
        <w:tc>
          <w:tcPr>
            <w:tcW w:w="525" w:type="pct"/>
            <w:tcBorders>
              <w:top w:val="nil"/>
              <w:left w:val="nil"/>
              <w:bottom w:val="single" w:sz="4" w:space="0" w:color="auto"/>
              <w:right w:val="single" w:sz="4" w:space="0" w:color="auto"/>
            </w:tcBorders>
            <w:shd w:val="clear" w:color="auto" w:fill="auto"/>
          </w:tcPr>
          <w:p w:rsidR="00570DFB" w:rsidRPr="00A27A71" w:rsidRDefault="007D571B" w:rsidP="00BD650A">
            <w:pPr>
              <w:jc w:val="right"/>
              <w:rPr>
                <w:color w:val="000000"/>
                <w:sz w:val="20"/>
                <w:szCs w:val="20"/>
              </w:rPr>
            </w:pPr>
            <w:r w:rsidRPr="00A27A71">
              <w:rPr>
                <w:color w:val="000000"/>
                <w:sz w:val="20"/>
                <w:szCs w:val="20"/>
              </w:rPr>
              <w:t>401.8</w:t>
            </w:r>
          </w:p>
        </w:tc>
        <w:tc>
          <w:tcPr>
            <w:tcW w:w="575" w:type="pct"/>
            <w:tcBorders>
              <w:top w:val="nil"/>
              <w:left w:val="nil"/>
              <w:bottom w:val="single" w:sz="4" w:space="0" w:color="auto"/>
              <w:right w:val="single" w:sz="4" w:space="0" w:color="auto"/>
            </w:tcBorders>
            <w:shd w:val="clear" w:color="auto" w:fill="auto"/>
          </w:tcPr>
          <w:p w:rsidR="00570DFB" w:rsidRPr="00A27A71" w:rsidRDefault="007D571B" w:rsidP="00BD650A">
            <w:pPr>
              <w:jc w:val="right"/>
              <w:rPr>
                <w:color w:val="000000"/>
                <w:sz w:val="20"/>
                <w:szCs w:val="20"/>
              </w:rPr>
            </w:pPr>
            <w:r w:rsidRPr="00A27A71">
              <w:rPr>
                <w:color w:val="000000"/>
                <w:sz w:val="20"/>
                <w:szCs w:val="20"/>
              </w:rPr>
              <w:t>44.20</w:t>
            </w:r>
          </w:p>
        </w:tc>
        <w:tc>
          <w:tcPr>
            <w:tcW w:w="733" w:type="pct"/>
            <w:tcBorders>
              <w:top w:val="nil"/>
              <w:left w:val="single" w:sz="4" w:space="0" w:color="auto"/>
              <w:bottom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r w:rsidRPr="00A27A71">
              <w:rPr>
                <w:color w:val="000000"/>
                <w:sz w:val="20"/>
                <w:szCs w:val="20"/>
              </w:rPr>
              <w:t>3,821,360</w:t>
            </w:r>
          </w:p>
        </w:tc>
        <w:tc>
          <w:tcPr>
            <w:tcW w:w="573" w:type="pct"/>
            <w:tcBorders>
              <w:top w:val="nil"/>
              <w:left w:val="single" w:sz="4" w:space="0" w:color="auto"/>
              <w:bottom w:val="single" w:sz="4" w:space="0" w:color="auto"/>
              <w:right w:val="single" w:sz="4" w:space="0" w:color="auto"/>
            </w:tcBorders>
          </w:tcPr>
          <w:p w:rsidR="00570DFB" w:rsidRPr="00A27A71" w:rsidRDefault="007D571B" w:rsidP="000F3199">
            <w:pPr>
              <w:jc w:val="right"/>
              <w:rPr>
                <w:color w:val="000000"/>
                <w:sz w:val="20"/>
                <w:szCs w:val="20"/>
              </w:rPr>
            </w:pPr>
            <w:r w:rsidRPr="00A27A71">
              <w:rPr>
                <w:color w:val="000000"/>
                <w:sz w:val="20"/>
                <w:szCs w:val="20"/>
              </w:rPr>
              <w:t>9.51</w:t>
            </w:r>
          </w:p>
        </w:tc>
      </w:tr>
      <w:tr w:rsidR="00570DFB" w:rsidRPr="00A27A71" w:rsidTr="005D1FF4">
        <w:trPr>
          <w:trHeight w:val="125"/>
          <w:jc w:val="center"/>
        </w:trPr>
        <w:tc>
          <w:tcPr>
            <w:tcW w:w="481" w:type="pct"/>
            <w:vMerge/>
            <w:tcBorders>
              <w:top w:val="nil"/>
              <w:left w:val="single" w:sz="4" w:space="0" w:color="auto"/>
              <w:bottom w:val="single" w:sz="4" w:space="0" w:color="auto"/>
              <w:right w:val="single" w:sz="4" w:space="0" w:color="auto"/>
            </w:tcBorders>
            <w:shd w:val="clear" w:color="auto" w:fill="auto"/>
          </w:tcPr>
          <w:p w:rsidR="00570DFB" w:rsidRPr="00A27A71" w:rsidRDefault="00570DFB" w:rsidP="00BD650A">
            <w:pPr>
              <w:jc w:val="left"/>
              <w:rPr>
                <w:color w:val="000000"/>
                <w:sz w:val="20"/>
                <w:szCs w:val="20"/>
              </w:rPr>
            </w:pPr>
          </w:p>
        </w:tc>
        <w:tc>
          <w:tcPr>
            <w:tcW w:w="1443" w:type="pct"/>
            <w:tcBorders>
              <w:top w:val="nil"/>
              <w:left w:val="single" w:sz="4" w:space="0" w:color="auto"/>
              <w:bottom w:val="single" w:sz="4" w:space="0" w:color="auto"/>
              <w:right w:val="single" w:sz="4" w:space="0" w:color="auto"/>
            </w:tcBorders>
            <w:shd w:val="clear" w:color="auto" w:fill="auto"/>
          </w:tcPr>
          <w:p w:rsidR="00570DFB" w:rsidRPr="00A27A71" w:rsidRDefault="00570DFB" w:rsidP="00BD650A">
            <w:pPr>
              <w:jc w:val="left"/>
              <w:rPr>
                <w:color w:val="000000"/>
                <w:sz w:val="20"/>
                <w:szCs w:val="20"/>
              </w:rPr>
            </w:pPr>
            <w:r w:rsidRPr="00A27A71">
              <w:rPr>
                <w:color w:val="000000"/>
                <w:sz w:val="20"/>
                <w:szCs w:val="20"/>
              </w:rPr>
              <w:t>Insulating foam</w:t>
            </w:r>
          </w:p>
        </w:tc>
        <w:tc>
          <w:tcPr>
            <w:tcW w:w="670" w:type="pct"/>
            <w:tcBorders>
              <w:top w:val="nil"/>
              <w:left w:val="nil"/>
              <w:bottom w:val="single" w:sz="4" w:space="0" w:color="auto"/>
              <w:right w:val="single" w:sz="4" w:space="0" w:color="auto"/>
            </w:tcBorders>
            <w:shd w:val="clear" w:color="auto" w:fill="auto"/>
          </w:tcPr>
          <w:p w:rsidR="00570DFB" w:rsidRPr="00A27A71" w:rsidRDefault="00570DFB" w:rsidP="00BD650A">
            <w:pPr>
              <w:jc w:val="left"/>
              <w:rPr>
                <w:color w:val="000000"/>
                <w:sz w:val="20"/>
                <w:szCs w:val="20"/>
              </w:rPr>
            </w:pPr>
            <w:r w:rsidRPr="00A27A71">
              <w:rPr>
                <w:color w:val="000000"/>
                <w:sz w:val="20"/>
                <w:szCs w:val="20"/>
              </w:rPr>
              <w:t>HCFC-141b</w:t>
            </w:r>
          </w:p>
        </w:tc>
        <w:tc>
          <w:tcPr>
            <w:tcW w:w="525"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r w:rsidRPr="00A27A71">
              <w:rPr>
                <w:color w:val="000000"/>
                <w:sz w:val="20"/>
                <w:szCs w:val="20"/>
              </w:rPr>
              <w:t>124.78</w:t>
            </w:r>
          </w:p>
        </w:tc>
        <w:tc>
          <w:tcPr>
            <w:tcW w:w="575"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r w:rsidRPr="00A27A71">
              <w:rPr>
                <w:color w:val="000000"/>
                <w:sz w:val="20"/>
                <w:szCs w:val="20"/>
              </w:rPr>
              <w:t>13.73</w:t>
            </w:r>
          </w:p>
        </w:tc>
        <w:tc>
          <w:tcPr>
            <w:tcW w:w="733" w:type="pct"/>
            <w:tcBorders>
              <w:top w:val="nil"/>
              <w:left w:val="single" w:sz="4" w:space="0" w:color="auto"/>
              <w:bottom w:val="single" w:sz="4" w:space="0" w:color="auto"/>
              <w:right w:val="single" w:sz="4" w:space="0" w:color="auto"/>
            </w:tcBorders>
            <w:shd w:val="clear" w:color="auto" w:fill="auto"/>
          </w:tcPr>
          <w:p w:rsidR="00570DFB" w:rsidRPr="00A27A71" w:rsidRDefault="00570DFB" w:rsidP="00570DFB">
            <w:pPr>
              <w:jc w:val="right"/>
              <w:rPr>
                <w:color w:val="000000"/>
                <w:sz w:val="20"/>
                <w:szCs w:val="20"/>
              </w:rPr>
            </w:pPr>
            <w:r w:rsidRPr="00A27A71">
              <w:rPr>
                <w:color w:val="000000"/>
                <w:sz w:val="20"/>
                <w:szCs w:val="20"/>
              </w:rPr>
              <w:t>1,467,220</w:t>
            </w:r>
          </w:p>
        </w:tc>
        <w:tc>
          <w:tcPr>
            <w:tcW w:w="573" w:type="pct"/>
            <w:tcBorders>
              <w:top w:val="nil"/>
              <w:left w:val="single" w:sz="4" w:space="0" w:color="auto"/>
              <w:bottom w:val="single" w:sz="4" w:space="0" w:color="auto"/>
              <w:right w:val="single" w:sz="4" w:space="0" w:color="auto"/>
            </w:tcBorders>
          </w:tcPr>
          <w:p w:rsidR="00570DFB" w:rsidRPr="00A27A71" w:rsidRDefault="00570DFB" w:rsidP="000F3199">
            <w:pPr>
              <w:jc w:val="right"/>
              <w:rPr>
                <w:color w:val="000000"/>
                <w:sz w:val="20"/>
                <w:szCs w:val="20"/>
              </w:rPr>
            </w:pPr>
            <w:r w:rsidRPr="00A27A71">
              <w:rPr>
                <w:color w:val="000000"/>
                <w:sz w:val="20"/>
                <w:szCs w:val="20"/>
              </w:rPr>
              <w:t>11.76</w:t>
            </w:r>
          </w:p>
        </w:tc>
      </w:tr>
      <w:tr w:rsidR="00570DFB" w:rsidRPr="00A27A71" w:rsidTr="005D1FF4">
        <w:trPr>
          <w:trHeight w:val="152"/>
          <w:jc w:val="center"/>
        </w:trPr>
        <w:tc>
          <w:tcPr>
            <w:tcW w:w="481" w:type="pct"/>
            <w:vMerge w:val="restart"/>
            <w:tcBorders>
              <w:top w:val="nil"/>
              <w:left w:val="single" w:sz="4" w:space="0" w:color="auto"/>
              <w:right w:val="single" w:sz="4" w:space="0" w:color="auto"/>
            </w:tcBorders>
            <w:shd w:val="clear" w:color="auto" w:fill="auto"/>
            <w:hideMark/>
          </w:tcPr>
          <w:p w:rsidR="00570DFB" w:rsidRPr="00A27A71" w:rsidRDefault="00570DFB" w:rsidP="00BD650A">
            <w:pPr>
              <w:jc w:val="left"/>
              <w:rPr>
                <w:color w:val="000000"/>
                <w:sz w:val="20"/>
                <w:szCs w:val="20"/>
              </w:rPr>
            </w:pPr>
            <w:r w:rsidRPr="00A27A71">
              <w:rPr>
                <w:color w:val="000000"/>
                <w:sz w:val="20"/>
                <w:szCs w:val="20"/>
              </w:rPr>
              <w:t>XPS foam</w:t>
            </w:r>
          </w:p>
        </w:tc>
        <w:tc>
          <w:tcPr>
            <w:tcW w:w="1443" w:type="pct"/>
            <w:vMerge w:val="restart"/>
            <w:tcBorders>
              <w:top w:val="nil"/>
              <w:left w:val="single" w:sz="4" w:space="0" w:color="auto"/>
              <w:right w:val="single" w:sz="4" w:space="0" w:color="auto"/>
            </w:tcBorders>
            <w:shd w:val="clear" w:color="auto" w:fill="auto"/>
          </w:tcPr>
          <w:p w:rsidR="00570DFB" w:rsidRPr="00A27A71" w:rsidRDefault="00570DFB" w:rsidP="00BD650A">
            <w:pPr>
              <w:jc w:val="left"/>
              <w:rPr>
                <w:color w:val="000000"/>
                <w:sz w:val="20"/>
                <w:szCs w:val="20"/>
              </w:rPr>
            </w:pPr>
            <w:r w:rsidRPr="00A27A71">
              <w:rPr>
                <w:color w:val="000000"/>
                <w:sz w:val="20"/>
                <w:szCs w:val="20"/>
              </w:rPr>
              <w:t>XPS manufacturers</w:t>
            </w:r>
          </w:p>
        </w:tc>
        <w:tc>
          <w:tcPr>
            <w:tcW w:w="670" w:type="pct"/>
            <w:tcBorders>
              <w:top w:val="nil"/>
              <w:left w:val="nil"/>
              <w:bottom w:val="single" w:sz="4" w:space="0" w:color="auto"/>
              <w:right w:val="single" w:sz="4" w:space="0" w:color="auto"/>
            </w:tcBorders>
            <w:shd w:val="clear" w:color="auto" w:fill="auto"/>
            <w:hideMark/>
          </w:tcPr>
          <w:p w:rsidR="00570DFB" w:rsidRPr="00A27A71" w:rsidRDefault="00570DFB" w:rsidP="00BD650A">
            <w:pPr>
              <w:jc w:val="left"/>
              <w:rPr>
                <w:color w:val="000000"/>
                <w:sz w:val="20"/>
                <w:szCs w:val="20"/>
              </w:rPr>
            </w:pPr>
            <w:r w:rsidRPr="00A27A71">
              <w:rPr>
                <w:color w:val="000000"/>
                <w:sz w:val="20"/>
                <w:szCs w:val="20"/>
              </w:rPr>
              <w:t>HCFC-142b</w:t>
            </w:r>
          </w:p>
        </w:tc>
        <w:tc>
          <w:tcPr>
            <w:tcW w:w="525"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r w:rsidRPr="00A27A71">
              <w:rPr>
                <w:color w:val="000000"/>
                <w:sz w:val="20"/>
                <w:szCs w:val="20"/>
              </w:rPr>
              <w:t>38.19</w:t>
            </w:r>
          </w:p>
        </w:tc>
        <w:tc>
          <w:tcPr>
            <w:tcW w:w="575"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r w:rsidRPr="00A27A71">
              <w:rPr>
                <w:color w:val="000000"/>
                <w:sz w:val="20"/>
                <w:szCs w:val="20"/>
              </w:rPr>
              <w:t>2.48</w:t>
            </w:r>
          </w:p>
        </w:tc>
        <w:tc>
          <w:tcPr>
            <w:tcW w:w="733" w:type="pct"/>
            <w:vMerge w:val="restart"/>
            <w:tcBorders>
              <w:top w:val="nil"/>
              <w:left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r w:rsidRPr="00A27A71">
              <w:rPr>
                <w:color w:val="000000"/>
                <w:sz w:val="20"/>
                <w:szCs w:val="20"/>
              </w:rPr>
              <w:t>3,505,300</w:t>
            </w:r>
          </w:p>
        </w:tc>
        <w:tc>
          <w:tcPr>
            <w:tcW w:w="573" w:type="pct"/>
            <w:tcBorders>
              <w:top w:val="nil"/>
              <w:left w:val="single" w:sz="4" w:space="0" w:color="auto"/>
              <w:right w:val="single" w:sz="4" w:space="0" w:color="auto"/>
            </w:tcBorders>
          </w:tcPr>
          <w:p w:rsidR="00570DFB" w:rsidRPr="00A27A71" w:rsidRDefault="00570DFB" w:rsidP="000F3199">
            <w:pPr>
              <w:jc w:val="right"/>
              <w:rPr>
                <w:color w:val="000000"/>
                <w:sz w:val="20"/>
                <w:szCs w:val="20"/>
              </w:rPr>
            </w:pPr>
            <w:r w:rsidRPr="00A27A71">
              <w:rPr>
                <w:color w:val="000000"/>
                <w:sz w:val="20"/>
                <w:szCs w:val="20"/>
              </w:rPr>
              <w:t>7.90</w:t>
            </w:r>
          </w:p>
        </w:tc>
      </w:tr>
      <w:tr w:rsidR="00570DFB" w:rsidRPr="00A27A71" w:rsidTr="005D1FF4">
        <w:trPr>
          <w:trHeight w:val="188"/>
          <w:jc w:val="center"/>
        </w:trPr>
        <w:tc>
          <w:tcPr>
            <w:tcW w:w="481" w:type="pct"/>
            <w:vMerge/>
            <w:tcBorders>
              <w:left w:val="single" w:sz="4" w:space="0" w:color="auto"/>
              <w:bottom w:val="single" w:sz="4" w:space="0" w:color="auto"/>
              <w:right w:val="single" w:sz="4" w:space="0" w:color="auto"/>
            </w:tcBorders>
            <w:shd w:val="clear" w:color="auto" w:fill="auto"/>
          </w:tcPr>
          <w:p w:rsidR="00570DFB" w:rsidRPr="00A27A71" w:rsidRDefault="00570DFB" w:rsidP="00BD650A">
            <w:pPr>
              <w:jc w:val="left"/>
              <w:rPr>
                <w:color w:val="000000"/>
                <w:sz w:val="20"/>
                <w:szCs w:val="20"/>
              </w:rPr>
            </w:pPr>
          </w:p>
        </w:tc>
        <w:tc>
          <w:tcPr>
            <w:tcW w:w="1443" w:type="pct"/>
            <w:vMerge/>
            <w:tcBorders>
              <w:left w:val="single" w:sz="4" w:space="0" w:color="auto"/>
              <w:bottom w:val="single" w:sz="4" w:space="0" w:color="auto"/>
              <w:right w:val="single" w:sz="4" w:space="0" w:color="auto"/>
            </w:tcBorders>
            <w:shd w:val="clear" w:color="auto" w:fill="auto"/>
          </w:tcPr>
          <w:p w:rsidR="00570DFB" w:rsidRPr="00A27A71" w:rsidRDefault="00570DFB" w:rsidP="00BD650A">
            <w:pPr>
              <w:jc w:val="left"/>
              <w:rPr>
                <w:color w:val="000000"/>
                <w:sz w:val="20"/>
                <w:szCs w:val="20"/>
              </w:rPr>
            </w:pPr>
          </w:p>
        </w:tc>
        <w:tc>
          <w:tcPr>
            <w:tcW w:w="670" w:type="pct"/>
            <w:tcBorders>
              <w:top w:val="nil"/>
              <w:left w:val="nil"/>
              <w:bottom w:val="single" w:sz="4" w:space="0" w:color="auto"/>
              <w:right w:val="single" w:sz="4" w:space="0" w:color="auto"/>
            </w:tcBorders>
            <w:shd w:val="clear" w:color="auto" w:fill="auto"/>
          </w:tcPr>
          <w:p w:rsidR="00570DFB" w:rsidRPr="00A27A71" w:rsidRDefault="00570DFB" w:rsidP="00BD650A">
            <w:pPr>
              <w:jc w:val="left"/>
              <w:rPr>
                <w:color w:val="000000"/>
                <w:sz w:val="20"/>
                <w:szCs w:val="20"/>
              </w:rPr>
            </w:pPr>
            <w:r w:rsidRPr="00A27A71">
              <w:rPr>
                <w:color w:val="000000"/>
                <w:sz w:val="20"/>
                <w:szCs w:val="20"/>
              </w:rPr>
              <w:t>HCFC-22</w:t>
            </w:r>
          </w:p>
        </w:tc>
        <w:tc>
          <w:tcPr>
            <w:tcW w:w="525"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r w:rsidRPr="00A27A71">
              <w:rPr>
                <w:color w:val="000000"/>
                <w:sz w:val="20"/>
                <w:szCs w:val="20"/>
              </w:rPr>
              <w:t>405.52</w:t>
            </w:r>
          </w:p>
        </w:tc>
        <w:tc>
          <w:tcPr>
            <w:tcW w:w="575"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r w:rsidRPr="00A27A71">
              <w:rPr>
                <w:color w:val="000000"/>
                <w:sz w:val="20"/>
                <w:szCs w:val="20"/>
              </w:rPr>
              <w:t>22.3</w:t>
            </w:r>
          </w:p>
        </w:tc>
        <w:tc>
          <w:tcPr>
            <w:tcW w:w="733" w:type="pct"/>
            <w:vMerge/>
            <w:tcBorders>
              <w:left w:val="single" w:sz="4" w:space="0" w:color="auto"/>
              <w:bottom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p>
        </w:tc>
        <w:tc>
          <w:tcPr>
            <w:tcW w:w="573" w:type="pct"/>
            <w:tcBorders>
              <w:left w:val="single" w:sz="4" w:space="0" w:color="auto"/>
              <w:bottom w:val="single" w:sz="4" w:space="0" w:color="auto"/>
              <w:right w:val="single" w:sz="4" w:space="0" w:color="auto"/>
            </w:tcBorders>
          </w:tcPr>
          <w:p w:rsidR="00570DFB" w:rsidRPr="00A27A71" w:rsidRDefault="00570DFB" w:rsidP="000F3199">
            <w:pPr>
              <w:jc w:val="right"/>
              <w:rPr>
                <w:color w:val="000000"/>
                <w:sz w:val="20"/>
                <w:szCs w:val="20"/>
              </w:rPr>
            </w:pPr>
          </w:p>
        </w:tc>
      </w:tr>
      <w:tr w:rsidR="00570DFB" w:rsidRPr="00A27A71" w:rsidTr="005D1FF4">
        <w:trPr>
          <w:trHeight w:val="288"/>
          <w:jc w:val="center"/>
        </w:trPr>
        <w:tc>
          <w:tcPr>
            <w:tcW w:w="1924"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570DFB" w:rsidRPr="00A27A71" w:rsidRDefault="00570DFB" w:rsidP="00BD650A">
            <w:pPr>
              <w:jc w:val="left"/>
              <w:rPr>
                <w:b/>
                <w:bCs/>
                <w:color w:val="000000"/>
                <w:sz w:val="20"/>
                <w:szCs w:val="20"/>
              </w:rPr>
            </w:pPr>
            <w:r w:rsidRPr="00A27A71">
              <w:rPr>
                <w:b/>
                <w:bCs/>
                <w:color w:val="000000"/>
                <w:sz w:val="20"/>
                <w:szCs w:val="20"/>
              </w:rPr>
              <w:t>Sub-total foam</w:t>
            </w:r>
          </w:p>
        </w:tc>
        <w:tc>
          <w:tcPr>
            <w:tcW w:w="670" w:type="pct"/>
            <w:tcBorders>
              <w:top w:val="nil"/>
              <w:left w:val="nil"/>
              <w:bottom w:val="single" w:sz="4" w:space="0" w:color="auto"/>
              <w:right w:val="nil"/>
            </w:tcBorders>
            <w:shd w:val="clear" w:color="auto" w:fill="auto"/>
            <w:hideMark/>
          </w:tcPr>
          <w:p w:rsidR="00570DFB" w:rsidRPr="00A27A71" w:rsidRDefault="00570DFB" w:rsidP="00BD650A">
            <w:pPr>
              <w:jc w:val="left"/>
              <w:rPr>
                <w:b/>
                <w:bCs/>
                <w:color w:val="000000"/>
                <w:sz w:val="20"/>
                <w:szCs w:val="20"/>
              </w:rPr>
            </w:pPr>
          </w:p>
        </w:tc>
        <w:tc>
          <w:tcPr>
            <w:tcW w:w="525" w:type="pct"/>
            <w:tcBorders>
              <w:top w:val="nil"/>
              <w:left w:val="single" w:sz="4" w:space="0" w:color="auto"/>
              <w:bottom w:val="single" w:sz="4" w:space="0" w:color="auto"/>
              <w:right w:val="single" w:sz="4" w:space="0" w:color="auto"/>
            </w:tcBorders>
            <w:shd w:val="clear" w:color="auto" w:fill="auto"/>
          </w:tcPr>
          <w:p w:rsidR="00570DFB" w:rsidRPr="00A27A71" w:rsidRDefault="007D571B" w:rsidP="00BD650A">
            <w:pPr>
              <w:jc w:val="right"/>
              <w:rPr>
                <w:b/>
                <w:bCs/>
                <w:color w:val="000000"/>
                <w:sz w:val="20"/>
                <w:szCs w:val="20"/>
              </w:rPr>
            </w:pPr>
            <w:r w:rsidRPr="00A27A71">
              <w:rPr>
                <w:b/>
                <w:bCs/>
                <w:color w:val="000000"/>
                <w:sz w:val="20"/>
                <w:szCs w:val="20"/>
              </w:rPr>
              <w:t>970.29</w:t>
            </w:r>
          </w:p>
        </w:tc>
        <w:tc>
          <w:tcPr>
            <w:tcW w:w="575" w:type="pct"/>
            <w:tcBorders>
              <w:top w:val="nil"/>
              <w:left w:val="nil"/>
              <w:bottom w:val="single" w:sz="4" w:space="0" w:color="auto"/>
              <w:right w:val="single" w:sz="4" w:space="0" w:color="auto"/>
            </w:tcBorders>
            <w:shd w:val="clear" w:color="auto" w:fill="auto"/>
          </w:tcPr>
          <w:p w:rsidR="00570DFB" w:rsidRPr="00A27A71" w:rsidRDefault="007D571B" w:rsidP="00BD650A">
            <w:pPr>
              <w:jc w:val="right"/>
              <w:rPr>
                <w:b/>
                <w:bCs/>
                <w:color w:val="000000"/>
                <w:sz w:val="20"/>
                <w:szCs w:val="20"/>
              </w:rPr>
            </w:pPr>
            <w:r w:rsidRPr="00A27A71">
              <w:rPr>
                <w:b/>
                <w:bCs/>
                <w:color w:val="000000"/>
                <w:sz w:val="20"/>
                <w:szCs w:val="20"/>
              </w:rPr>
              <w:t>82.71</w:t>
            </w:r>
          </w:p>
        </w:tc>
        <w:tc>
          <w:tcPr>
            <w:tcW w:w="733" w:type="pct"/>
            <w:tcBorders>
              <w:top w:val="nil"/>
              <w:left w:val="nil"/>
              <w:bottom w:val="single" w:sz="4" w:space="0" w:color="auto"/>
              <w:right w:val="single" w:sz="4" w:space="0" w:color="auto"/>
            </w:tcBorders>
            <w:shd w:val="clear" w:color="auto" w:fill="auto"/>
          </w:tcPr>
          <w:p w:rsidR="00570DFB" w:rsidRPr="00A27A71" w:rsidRDefault="00570DFB" w:rsidP="00570DFB">
            <w:pPr>
              <w:tabs>
                <w:tab w:val="left" w:pos="1272"/>
              </w:tabs>
              <w:jc w:val="right"/>
              <w:rPr>
                <w:b/>
                <w:bCs/>
                <w:color w:val="000000"/>
                <w:sz w:val="20"/>
                <w:szCs w:val="20"/>
              </w:rPr>
            </w:pPr>
            <w:r w:rsidRPr="00A27A71">
              <w:rPr>
                <w:b/>
                <w:bCs/>
                <w:color w:val="000000"/>
                <w:sz w:val="20"/>
                <w:szCs w:val="20"/>
              </w:rPr>
              <w:t>8,793,880</w:t>
            </w:r>
          </w:p>
        </w:tc>
        <w:tc>
          <w:tcPr>
            <w:tcW w:w="573" w:type="pct"/>
            <w:tcBorders>
              <w:top w:val="nil"/>
              <w:left w:val="nil"/>
              <w:bottom w:val="single" w:sz="4" w:space="0" w:color="auto"/>
              <w:right w:val="single" w:sz="4" w:space="0" w:color="auto"/>
            </w:tcBorders>
          </w:tcPr>
          <w:p w:rsidR="00570DFB" w:rsidRPr="00A27A71" w:rsidRDefault="007D571B" w:rsidP="00570DFB">
            <w:pPr>
              <w:tabs>
                <w:tab w:val="left" w:pos="1272"/>
              </w:tabs>
              <w:jc w:val="right"/>
              <w:rPr>
                <w:b/>
                <w:bCs/>
                <w:color w:val="000000"/>
                <w:sz w:val="20"/>
                <w:szCs w:val="20"/>
              </w:rPr>
            </w:pPr>
            <w:r w:rsidRPr="00A27A71">
              <w:rPr>
                <w:b/>
                <w:bCs/>
                <w:color w:val="000000"/>
                <w:sz w:val="20"/>
                <w:szCs w:val="20"/>
              </w:rPr>
              <w:t>9.06</w:t>
            </w:r>
          </w:p>
        </w:tc>
      </w:tr>
      <w:tr w:rsidR="00570DFB" w:rsidRPr="00A27A71" w:rsidTr="005D1FF4">
        <w:trPr>
          <w:trHeight w:val="98"/>
          <w:jc w:val="center"/>
        </w:trPr>
        <w:tc>
          <w:tcPr>
            <w:tcW w:w="481" w:type="pct"/>
            <w:vMerge w:val="restart"/>
            <w:tcBorders>
              <w:top w:val="nil"/>
              <w:left w:val="single" w:sz="4" w:space="0" w:color="auto"/>
              <w:right w:val="single" w:sz="4" w:space="0" w:color="auto"/>
            </w:tcBorders>
            <w:shd w:val="clear" w:color="auto" w:fill="auto"/>
            <w:hideMark/>
          </w:tcPr>
          <w:p w:rsidR="00570DFB" w:rsidRPr="00A27A71" w:rsidRDefault="00570DFB" w:rsidP="00BD650A">
            <w:pPr>
              <w:jc w:val="left"/>
              <w:rPr>
                <w:color w:val="000000"/>
                <w:sz w:val="20"/>
                <w:szCs w:val="20"/>
              </w:rPr>
            </w:pPr>
            <w:r w:rsidRPr="00A27A71">
              <w:rPr>
                <w:color w:val="000000"/>
                <w:sz w:val="20"/>
                <w:szCs w:val="20"/>
              </w:rPr>
              <w:t>RAC manufacturing</w:t>
            </w:r>
          </w:p>
        </w:tc>
        <w:tc>
          <w:tcPr>
            <w:tcW w:w="1443" w:type="pct"/>
            <w:tcBorders>
              <w:top w:val="nil"/>
              <w:left w:val="nil"/>
              <w:bottom w:val="single" w:sz="4" w:space="0" w:color="auto"/>
              <w:right w:val="single" w:sz="4" w:space="0" w:color="auto"/>
            </w:tcBorders>
            <w:shd w:val="clear" w:color="auto" w:fill="auto"/>
            <w:hideMark/>
          </w:tcPr>
          <w:p w:rsidR="00570DFB" w:rsidRPr="00A27A71" w:rsidRDefault="00570DFB" w:rsidP="00BD650A">
            <w:pPr>
              <w:jc w:val="left"/>
              <w:rPr>
                <w:color w:val="000000"/>
                <w:sz w:val="20"/>
                <w:szCs w:val="20"/>
              </w:rPr>
            </w:pPr>
            <w:r w:rsidRPr="00A27A71">
              <w:rPr>
                <w:color w:val="000000"/>
                <w:sz w:val="20"/>
                <w:szCs w:val="20"/>
              </w:rPr>
              <w:t>Commercial refrigeration</w:t>
            </w:r>
          </w:p>
        </w:tc>
        <w:tc>
          <w:tcPr>
            <w:tcW w:w="670" w:type="pct"/>
            <w:tcBorders>
              <w:top w:val="nil"/>
              <w:left w:val="nil"/>
              <w:bottom w:val="single" w:sz="4" w:space="0" w:color="auto"/>
              <w:right w:val="single" w:sz="4" w:space="0" w:color="auto"/>
            </w:tcBorders>
            <w:shd w:val="clear" w:color="auto" w:fill="auto"/>
            <w:hideMark/>
          </w:tcPr>
          <w:p w:rsidR="00570DFB" w:rsidRPr="00A27A71" w:rsidRDefault="00570DFB" w:rsidP="00BD650A">
            <w:pPr>
              <w:jc w:val="left"/>
              <w:rPr>
                <w:color w:val="000000"/>
                <w:sz w:val="20"/>
                <w:szCs w:val="20"/>
              </w:rPr>
            </w:pPr>
            <w:r w:rsidRPr="00A27A71">
              <w:rPr>
                <w:color w:val="000000"/>
                <w:sz w:val="20"/>
                <w:szCs w:val="20"/>
              </w:rPr>
              <w:t>HCFC-22</w:t>
            </w:r>
          </w:p>
        </w:tc>
        <w:tc>
          <w:tcPr>
            <w:tcW w:w="525"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r w:rsidRPr="00A27A71">
              <w:rPr>
                <w:color w:val="000000"/>
                <w:sz w:val="20"/>
                <w:szCs w:val="20"/>
              </w:rPr>
              <w:t>68</w:t>
            </w:r>
          </w:p>
        </w:tc>
        <w:tc>
          <w:tcPr>
            <w:tcW w:w="575"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r w:rsidRPr="00A27A71">
              <w:rPr>
                <w:color w:val="000000"/>
                <w:sz w:val="20"/>
                <w:szCs w:val="20"/>
              </w:rPr>
              <w:t>3.74</w:t>
            </w:r>
          </w:p>
        </w:tc>
        <w:tc>
          <w:tcPr>
            <w:tcW w:w="733"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r w:rsidRPr="00A27A71">
              <w:rPr>
                <w:color w:val="000000"/>
                <w:sz w:val="20"/>
                <w:szCs w:val="20"/>
              </w:rPr>
              <w:t>210,304</w:t>
            </w:r>
          </w:p>
        </w:tc>
        <w:tc>
          <w:tcPr>
            <w:tcW w:w="573" w:type="pct"/>
            <w:tcBorders>
              <w:top w:val="nil"/>
              <w:left w:val="nil"/>
              <w:bottom w:val="single" w:sz="4" w:space="0" w:color="auto"/>
              <w:right w:val="single" w:sz="4" w:space="0" w:color="auto"/>
            </w:tcBorders>
          </w:tcPr>
          <w:p w:rsidR="00570DFB" w:rsidRPr="00A27A71" w:rsidRDefault="00570DFB" w:rsidP="000F3199">
            <w:pPr>
              <w:jc w:val="right"/>
              <w:rPr>
                <w:color w:val="000000"/>
                <w:sz w:val="20"/>
                <w:szCs w:val="20"/>
              </w:rPr>
            </w:pPr>
            <w:r w:rsidRPr="00A27A71">
              <w:rPr>
                <w:color w:val="000000"/>
                <w:sz w:val="20"/>
                <w:szCs w:val="20"/>
              </w:rPr>
              <w:t>3.09</w:t>
            </w:r>
          </w:p>
        </w:tc>
      </w:tr>
      <w:tr w:rsidR="00570DFB" w:rsidRPr="00A27A71" w:rsidTr="005D1FF4">
        <w:trPr>
          <w:trHeight w:val="134"/>
          <w:jc w:val="center"/>
        </w:trPr>
        <w:tc>
          <w:tcPr>
            <w:tcW w:w="481" w:type="pct"/>
            <w:vMerge/>
            <w:tcBorders>
              <w:left w:val="single" w:sz="4" w:space="0" w:color="auto"/>
              <w:right w:val="single" w:sz="4" w:space="0" w:color="auto"/>
            </w:tcBorders>
            <w:shd w:val="clear" w:color="auto" w:fill="auto"/>
          </w:tcPr>
          <w:p w:rsidR="00570DFB" w:rsidRPr="00A27A71" w:rsidRDefault="00570DFB" w:rsidP="00BD650A">
            <w:pPr>
              <w:jc w:val="left"/>
              <w:rPr>
                <w:color w:val="000000"/>
                <w:sz w:val="20"/>
                <w:szCs w:val="20"/>
              </w:rPr>
            </w:pPr>
          </w:p>
        </w:tc>
        <w:tc>
          <w:tcPr>
            <w:tcW w:w="1443" w:type="pct"/>
            <w:tcBorders>
              <w:top w:val="nil"/>
              <w:left w:val="nil"/>
              <w:bottom w:val="single" w:sz="4" w:space="0" w:color="auto"/>
              <w:right w:val="single" w:sz="4" w:space="0" w:color="auto"/>
            </w:tcBorders>
            <w:shd w:val="clear" w:color="auto" w:fill="auto"/>
          </w:tcPr>
          <w:p w:rsidR="00570DFB" w:rsidRPr="00A27A71" w:rsidRDefault="00570DFB" w:rsidP="00BD650A">
            <w:pPr>
              <w:jc w:val="left"/>
              <w:rPr>
                <w:color w:val="000000"/>
                <w:sz w:val="20"/>
                <w:szCs w:val="20"/>
              </w:rPr>
            </w:pPr>
            <w:r w:rsidRPr="00A27A71">
              <w:rPr>
                <w:color w:val="000000"/>
                <w:sz w:val="20"/>
                <w:szCs w:val="20"/>
              </w:rPr>
              <w:t>Domestic AC manufacturing</w:t>
            </w:r>
          </w:p>
        </w:tc>
        <w:tc>
          <w:tcPr>
            <w:tcW w:w="670" w:type="pct"/>
            <w:tcBorders>
              <w:top w:val="nil"/>
              <w:left w:val="nil"/>
              <w:bottom w:val="single" w:sz="4" w:space="0" w:color="auto"/>
              <w:right w:val="single" w:sz="4" w:space="0" w:color="auto"/>
            </w:tcBorders>
            <w:shd w:val="clear" w:color="auto" w:fill="auto"/>
          </w:tcPr>
          <w:p w:rsidR="00570DFB" w:rsidRPr="00A27A71" w:rsidRDefault="00570DFB" w:rsidP="00BD650A">
            <w:pPr>
              <w:jc w:val="left"/>
              <w:rPr>
                <w:color w:val="000000"/>
                <w:sz w:val="20"/>
                <w:szCs w:val="20"/>
              </w:rPr>
            </w:pPr>
            <w:r w:rsidRPr="00A27A71">
              <w:rPr>
                <w:color w:val="000000"/>
                <w:sz w:val="20"/>
                <w:szCs w:val="20"/>
              </w:rPr>
              <w:t>HCFC-22</w:t>
            </w:r>
          </w:p>
        </w:tc>
        <w:tc>
          <w:tcPr>
            <w:tcW w:w="525"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r w:rsidRPr="00A27A71">
              <w:rPr>
                <w:color w:val="000000"/>
                <w:sz w:val="20"/>
                <w:szCs w:val="20"/>
              </w:rPr>
              <w:t>1,218.69</w:t>
            </w:r>
          </w:p>
        </w:tc>
        <w:tc>
          <w:tcPr>
            <w:tcW w:w="575"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r w:rsidRPr="00A27A71">
              <w:rPr>
                <w:color w:val="000000"/>
                <w:sz w:val="20"/>
                <w:szCs w:val="20"/>
              </w:rPr>
              <w:t>67.03</w:t>
            </w:r>
          </w:p>
        </w:tc>
        <w:tc>
          <w:tcPr>
            <w:tcW w:w="733"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r w:rsidRPr="00A27A71">
              <w:rPr>
                <w:color w:val="000000"/>
                <w:sz w:val="20"/>
                <w:szCs w:val="20"/>
              </w:rPr>
              <w:t>18,038,567</w:t>
            </w:r>
          </w:p>
        </w:tc>
        <w:tc>
          <w:tcPr>
            <w:tcW w:w="573" w:type="pct"/>
            <w:tcBorders>
              <w:top w:val="nil"/>
              <w:left w:val="nil"/>
              <w:bottom w:val="single" w:sz="4" w:space="0" w:color="auto"/>
              <w:right w:val="single" w:sz="4" w:space="0" w:color="auto"/>
            </w:tcBorders>
          </w:tcPr>
          <w:p w:rsidR="00570DFB" w:rsidRPr="00A27A71" w:rsidRDefault="00570DFB" w:rsidP="000F3199">
            <w:pPr>
              <w:jc w:val="right"/>
              <w:rPr>
                <w:color w:val="000000"/>
                <w:sz w:val="20"/>
                <w:szCs w:val="20"/>
              </w:rPr>
            </w:pPr>
            <w:r w:rsidRPr="00A27A71">
              <w:rPr>
                <w:color w:val="000000"/>
                <w:sz w:val="20"/>
                <w:szCs w:val="20"/>
              </w:rPr>
              <w:t>14.80</w:t>
            </w:r>
          </w:p>
        </w:tc>
      </w:tr>
      <w:tr w:rsidR="00570DFB" w:rsidRPr="00A27A71" w:rsidTr="005D1FF4">
        <w:trPr>
          <w:trHeight w:val="288"/>
          <w:jc w:val="center"/>
        </w:trPr>
        <w:tc>
          <w:tcPr>
            <w:tcW w:w="481" w:type="pct"/>
            <w:vMerge/>
            <w:tcBorders>
              <w:left w:val="single" w:sz="4" w:space="0" w:color="auto"/>
              <w:bottom w:val="single" w:sz="4" w:space="0" w:color="auto"/>
              <w:right w:val="single" w:sz="4" w:space="0" w:color="auto"/>
            </w:tcBorders>
            <w:shd w:val="clear" w:color="auto" w:fill="auto"/>
          </w:tcPr>
          <w:p w:rsidR="00570DFB" w:rsidRPr="00A27A71" w:rsidRDefault="00570DFB" w:rsidP="00BD650A">
            <w:pPr>
              <w:jc w:val="left"/>
              <w:rPr>
                <w:color w:val="000000"/>
                <w:sz w:val="20"/>
                <w:szCs w:val="20"/>
              </w:rPr>
            </w:pPr>
          </w:p>
        </w:tc>
        <w:tc>
          <w:tcPr>
            <w:tcW w:w="1443" w:type="pct"/>
            <w:tcBorders>
              <w:top w:val="nil"/>
              <w:left w:val="nil"/>
              <w:bottom w:val="single" w:sz="4" w:space="0" w:color="auto"/>
              <w:right w:val="single" w:sz="4" w:space="0" w:color="auto"/>
            </w:tcBorders>
            <w:shd w:val="clear" w:color="auto" w:fill="auto"/>
          </w:tcPr>
          <w:p w:rsidR="00570DFB" w:rsidRPr="00A27A71" w:rsidRDefault="00570DFB" w:rsidP="00BD650A">
            <w:pPr>
              <w:jc w:val="left"/>
              <w:rPr>
                <w:color w:val="000000"/>
                <w:sz w:val="20"/>
                <w:szCs w:val="20"/>
              </w:rPr>
            </w:pPr>
            <w:r w:rsidRPr="00A27A71">
              <w:rPr>
                <w:color w:val="000000"/>
                <w:sz w:val="20"/>
                <w:szCs w:val="20"/>
              </w:rPr>
              <w:t>Commercial AC manufacturing</w:t>
            </w:r>
          </w:p>
        </w:tc>
        <w:tc>
          <w:tcPr>
            <w:tcW w:w="670" w:type="pct"/>
            <w:tcBorders>
              <w:top w:val="nil"/>
              <w:left w:val="nil"/>
              <w:bottom w:val="single" w:sz="4" w:space="0" w:color="auto"/>
              <w:right w:val="single" w:sz="4" w:space="0" w:color="auto"/>
            </w:tcBorders>
            <w:shd w:val="clear" w:color="auto" w:fill="auto"/>
          </w:tcPr>
          <w:p w:rsidR="00570DFB" w:rsidRPr="00A27A71" w:rsidRDefault="00570DFB" w:rsidP="00BD650A">
            <w:pPr>
              <w:jc w:val="left"/>
              <w:rPr>
                <w:color w:val="000000"/>
                <w:sz w:val="20"/>
                <w:szCs w:val="20"/>
              </w:rPr>
            </w:pPr>
            <w:r w:rsidRPr="00A27A71">
              <w:rPr>
                <w:color w:val="000000"/>
                <w:sz w:val="20"/>
                <w:szCs w:val="20"/>
              </w:rPr>
              <w:t>HCFC-22</w:t>
            </w:r>
          </w:p>
        </w:tc>
        <w:tc>
          <w:tcPr>
            <w:tcW w:w="525"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r w:rsidRPr="00A27A71">
              <w:rPr>
                <w:color w:val="000000"/>
                <w:sz w:val="20"/>
                <w:szCs w:val="20"/>
              </w:rPr>
              <w:t>58.23</w:t>
            </w:r>
          </w:p>
        </w:tc>
        <w:tc>
          <w:tcPr>
            <w:tcW w:w="575"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r w:rsidRPr="00A27A71">
              <w:rPr>
                <w:color w:val="000000"/>
                <w:sz w:val="20"/>
                <w:szCs w:val="20"/>
              </w:rPr>
              <w:t>3.2</w:t>
            </w:r>
          </w:p>
        </w:tc>
        <w:tc>
          <w:tcPr>
            <w:tcW w:w="733"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r w:rsidRPr="00A27A71">
              <w:rPr>
                <w:color w:val="000000"/>
                <w:sz w:val="20"/>
                <w:szCs w:val="20"/>
              </w:rPr>
              <w:t>370,000</w:t>
            </w:r>
          </w:p>
        </w:tc>
        <w:tc>
          <w:tcPr>
            <w:tcW w:w="573" w:type="pct"/>
            <w:tcBorders>
              <w:top w:val="nil"/>
              <w:left w:val="nil"/>
              <w:bottom w:val="single" w:sz="4" w:space="0" w:color="auto"/>
              <w:right w:val="single" w:sz="4" w:space="0" w:color="auto"/>
            </w:tcBorders>
          </w:tcPr>
          <w:p w:rsidR="00570DFB" w:rsidRPr="00A27A71" w:rsidRDefault="00570DFB" w:rsidP="000F3199">
            <w:pPr>
              <w:jc w:val="right"/>
              <w:rPr>
                <w:color w:val="000000"/>
                <w:sz w:val="20"/>
                <w:szCs w:val="20"/>
              </w:rPr>
            </w:pPr>
            <w:r w:rsidRPr="00A27A71">
              <w:rPr>
                <w:color w:val="000000"/>
                <w:sz w:val="20"/>
                <w:szCs w:val="20"/>
              </w:rPr>
              <w:t>6.35</w:t>
            </w:r>
          </w:p>
        </w:tc>
      </w:tr>
      <w:tr w:rsidR="00570DFB" w:rsidRPr="00A27A71" w:rsidTr="005D1FF4">
        <w:trPr>
          <w:trHeight w:val="288"/>
          <w:jc w:val="center"/>
        </w:trPr>
        <w:tc>
          <w:tcPr>
            <w:tcW w:w="1924"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570DFB" w:rsidRPr="00A27A71" w:rsidRDefault="00570DFB" w:rsidP="00BD650A">
            <w:pPr>
              <w:jc w:val="left"/>
              <w:rPr>
                <w:b/>
                <w:bCs/>
                <w:color w:val="000000"/>
                <w:sz w:val="20"/>
                <w:szCs w:val="20"/>
              </w:rPr>
            </w:pPr>
            <w:r w:rsidRPr="00A27A71">
              <w:rPr>
                <w:b/>
                <w:bCs/>
                <w:color w:val="000000"/>
                <w:sz w:val="20"/>
                <w:szCs w:val="20"/>
              </w:rPr>
              <w:t>Sub-total RAC manufacturing</w:t>
            </w:r>
          </w:p>
        </w:tc>
        <w:tc>
          <w:tcPr>
            <w:tcW w:w="670" w:type="pct"/>
            <w:tcBorders>
              <w:top w:val="nil"/>
              <w:left w:val="nil"/>
              <w:bottom w:val="single" w:sz="4" w:space="0" w:color="auto"/>
              <w:right w:val="nil"/>
            </w:tcBorders>
            <w:shd w:val="clear" w:color="auto" w:fill="auto"/>
            <w:hideMark/>
          </w:tcPr>
          <w:p w:rsidR="00570DFB" w:rsidRPr="00A27A71" w:rsidRDefault="00570DFB" w:rsidP="00BD650A">
            <w:pPr>
              <w:jc w:val="left"/>
              <w:rPr>
                <w:b/>
                <w:bCs/>
                <w:color w:val="000000"/>
                <w:sz w:val="20"/>
                <w:szCs w:val="20"/>
              </w:rPr>
            </w:pPr>
          </w:p>
        </w:tc>
        <w:tc>
          <w:tcPr>
            <w:tcW w:w="525" w:type="pct"/>
            <w:tcBorders>
              <w:top w:val="nil"/>
              <w:left w:val="single" w:sz="4" w:space="0" w:color="auto"/>
              <w:bottom w:val="single" w:sz="4" w:space="0" w:color="auto"/>
              <w:right w:val="single" w:sz="4" w:space="0" w:color="auto"/>
            </w:tcBorders>
            <w:shd w:val="clear" w:color="auto" w:fill="auto"/>
          </w:tcPr>
          <w:p w:rsidR="00570DFB" w:rsidRPr="00A27A71" w:rsidRDefault="00570DFB" w:rsidP="00BD650A">
            <w:pPr>
              <w:jc w:val="right"/>
              <w:rPr>
                <w:b/>
                <w:color w:val="000000"/>
                <w:sz w:val="20"/>
                <w:szCs w:val="20"/>
              </w:rPr>
            </w:pPr>
            <w:r w:rsidRPr="00A27A71">
              <w:rPr>
                <w:b/>
                <w:color w:val="000000"/>
                <w:sz w:val="20"/>
                <w:szCs w:val="20"/>
              </w:rPr>
              <w:t xml:space="preserve"> 1,344.92 </w:t>
            </w:r>
          </w:p>
        </w:tc>
        <w:tc>
          <w:tcPr>
            <w:tcW w:w="575"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b/>
                <w:color w:val="000000"/>
                <w:sz w:val="20"/>
                <w:szCs w:val="20"/>
              </w:rPr>
            </w:pPr>
            <w:r w:rsidRPr="00A27A71">
              <w:rPr>
                <w:b/>
                <w:color w:val="000000"/>
                <w:sz w:val="20"/>
                <w:szCs w:val="20"/>
              </w:rPr>
              <w:t xml:space="preserve">71.55 </w:t>
            </w:r>
          </w:p>
        </w:tc>
        <w:tc>
          <w:tcPr>
            <w:tcW w:w="733"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b/>
                <w:bCs/>
                <w:color w:val="000000"/>
                <w:sz w:val="20"/>
                <w:szCs w:val="20"/>
              </w:rPr>
            </w:pPr>
            <w:r w:rsidRPr="00A27A71">
              <w:rPr>
                <w:b/>
                <w:bCs/>
                <w:color w:val="000000"/>
                <w:sz w:val="20"/>
                <w:szCs w:val="20"/>
              </w:rPr>
              <w:t>18,618,871</w:t>
            </w:r>
          </w:p>
        </w:tc>
        <w:tc>
          <w:tcPr>
            <w:tcW w:w="573" w:type="pct"/>
            <w:tcBorders>
              <w:top w:val="nil"/>
              <w:left w:val="nil"/>
              <w:bottom w:val="single" w:sz="4" w:space="0" w:color="auto"/>
              <w:right w:val="single" w:sz="4" w:space="0" w:color="auto"/>
            </w:tcBorders>
          </w:tcPr>
          <w:p w:rsidR="00570DFB" w:rsidRPr="00A27A71" w:rsidRDefault="00570DFB" w:rsidP="000F3199">
            <w:pPr>
              <w:jc w:val="right"/>
              <w:rPr>
                <w:b/>
                <w:bCs/>
                <w:color w:val="000000"/>
                <w:sz w:val="20"/>
                <w:szCs w:val="20"/>
              </w:rPr>
            </w:pPr>
            <w:r w:rsidRPr="00A27A71">
              <w:rPr>
                <w:b/>
                <w:bCs/>
                <w:color w:val="000000"/>
                <w:sz w:val="20"/>
                <w:szCs w:val="20"/>
              </w:rPr>
              <w:t>13.84</w:t>
            </w:r>
          </w:p>
        </w:tc>
      </w:tr>
      <w:tr w:rsidR="00570DFB" w:rsidRPr="00A27A71" w:rsidTr="005D1FF4">
        <w:trPr>
          <w:trHeight w:val="54"/>
          <w:jc w:val="center"/>
        </w:trPr>
        <w:tc>
          <w:tcPr>
            <w:tcW w:w="1924" w:type="pct"/>
            <w:gridSpan w:val="2"/>
            <w:tcBorders>
              <w:top w:val="nil"/>
              <w:left w:val="single" w:sz="4" w:space="0" w:color="auto"/>
              <w:bottom w:val="single" w:sz="4" w:space="0" w:color="auto"/>
              <w:right w:val="single" w:sz="4" w:space="0" w:color="auto"/>
            </w:tcBorders>
            <w:shd w:val="clear" w:color="auto" w:fill="auto"/>
            <w:hideMark/>
          </w:tcPr>
          <w:p w:rsidR="00570DFB" w:rsidRPr="00A27A71" w:rsidRDefault="00570DFB" w:rsidP="005D1FF4">
            <w:pPr>
              <w:keepNext/>
              <w:keepLines/>
              <w:jc w:val="left"/>
              <w:rPr>
                <w:color w:val="000000"/>
                <w:sz w:val="20"/>
                <w:szCs w:val="20"/>
              </w:rPr>
            </w:pPr>
            <w:r w:rsidRPr="00A27A71">
              <w:rPr>
                <w:color w:val="000000"/>
                <w:sz w:val="20"/>
                <w:szCs w:val="20"/>
              </w:rPr>
              <w:lastRenderedPageBreak/>
              <w:t>RAC servicing</w:t>
            </w:r>
          </w:p>
        </w:tc>
        <w:tc>
          <w:tcPr>
            <w:tcW w:w="670" w:type="pct"/>
            <w:tcBorders>
              <w:top w:val="nil"/>
              <w:left w:val="nil"/>
              <w:bottom w:val="single" w:sz="4" w:space="0" w:color="auto"/>
              <w:right w:val="single" w:sz="4" w:space="0" w:color="auto"/>
            </w:tcBorders>
            <w:shd w:val="clear" w:color="auto" w:fill="auto"/>
            <w:hideMark/>
          </w:tcPr>
          <w:p w:rsidR="00570DFB" w:rsidRPr="00A27A71" w:rsidRDefault="00570DFB" w:rsidP="005D1FF4">
            <w:pPr>
              <w:keepNext/>
              <w:keepLines/>
              <w:jc w:val="left"/>
              <w:rPr>
                <w:color w:val="000000"/>
                <w:sz w:val="20"/>
                <w:szCs w:val="20"/>
              </w:rPr>
            </w:pPr>
            <w:r w:rsidRPr="00A27A71">
              <w:rPr>
                <w:color w:val="000000"/>
                <w:sz w:val="20"/>
                <w:szCs w:val="20"/>
              </w:rPr>
              <w:t>HCFC-22</w:t>
            </w:r>
          </w:p>
        </w:tc>
        <w:tc>
          <w:tcPr>
            <w:tcW w:w="525" w:type="pct"/>
            <w:tcBorders>
              <w:top w:val="nil"/>
              <w:left w:val="nil"/>
              <w:bottom w:val="single" w:sz="4" w:space="0" w:color="auto"/>
              <w:right w:val="single" w:sz="4" w:space="0" w:color="auto"/>
            </w:tcBorders>
            <w:shd w:val="clear" w:color="auto" w:fill="auto"/>
          </w:tcPr>
          <w:p w:rsidR="00570DFB" w:rsidRPr="00A27A71" w:rsidRDefault="00570DFB" w:rsidP="005D1FF4">
            <w:pPr>
              <w:keepNext/>
              <w:keepLines/>
              <w:jc w:val="right"/>
              <w:rPr>
                <w:color w:val="000000"/>
                <w:sz w:val="20"/>
                <w:szCs w:val="20"/>
              </w:rPr>
            </w:pPr>
            <w:r w:rsidRPr="00A27A71">
              <w:rPr>
                <w:color w:val="000000"/>
                <w:sz w:val="20"/>
                <w:szCs w:val="20"/>
              </w:rPr>
              <w:t>818.18</w:t>
            </w:r>
          </w:p>
        </w:tc>
        <w:tc>
          <w:tcPr>
            <w:tcW w:w="575" w:type="pct"/>
            <w:tcBorders>
              <w:top w:val="nil"/>
              <w:left w:val="nil"/>
              <w:bottom w:val="single" w:sz="4" w:space="0" w:color="auto"/>
              <w:right w:val="single" w:sz="4" w:space="0" w:color="auto"/>
            </w:tcBorders>
            <w:shd w:val="clear" w:color="auto" w:fill="auto"/>
          </w:tcPr>
          <w:p w:rsidR="00570DFB" w:rsidRPr="00A27A71" w:rsidRDefault="00570DFB" w:rsidP="005D1FF4">
            <w:pPr>
              <w:keepNext/>
              <w:keepLines/>
              <w:jc w:val="right"/>
              <w:rPr>
                <w:color w:val="000000"/>
                <w:sz w:val="20"/>
                <w:szCs w:val="20"/>
              </w:rPr>
            </w:pPr>
            <w:r w:rsidRPr="00A27A71">
              <w:rPr>
                <w:color w:val="000000"/>
                <w:sz w:val="20"/>
                <w:szCs w:val="20"/>
              </w:rPr>
              <w:t>45.00</w:t>
            </w:r>
          </w:p>
        </w:tc>
        <w:tc>
          <w:tcPr>
            <w:tcW w:w="733" w:type="pct"/>
            <w:tcBorders>
              <w:top w:val="nil"/>
              <w:left w:val="nil"/>
              <w:bottom w:val="single" w:sz="4" w:space="0" w:color="auto"/>
              <w:right w:val="single" w:sz="4" w:space="0" w:color="auto"/>
            </w:tcBorders>
            <w:shd w:val="clear" w:color="auto" w:fill="auto"/>
          </w:tcPr>
          <w:p w:rsidR="00570DFB" w:rsidRPr="00A27A71" w:rsidRDefault="00570DFB" w:rsidP="005D1FF4">
            <w:pPr>
              <w:keepNext/>
              <w:keepLines/>
              <w:jc w:val="right"/>
              <w:rPr>
                <w:color w:val="000000"/>
                <w:sz w:val="20"/>
                <w:szCs w:val="20"/>
              </w:rPr>
            </w:pPr>
            <w:r w:rsidRPr="00A27A71">
              <w:rPr>
                <w:color w:val="000000"/>
                <w:sz w:val="20"/>
                <w:szCs w:val="20"/>
              </w:rPr>
              <w:t>3,732,300</w:t>
            </w:r>
          </w:p>
        </w:tc>
        <w:tc>
          <w:tcPr>
            <w:tcW w:w="573" w:type="pct"/>
            <w:tcBorders>
              <w:top w:val="nil"/>
              <w:left w:val="nil"/>
              <w:bottom w:val="single" w:sz="4" w:space="0" w:color="auto"/>
              <w:right w:val="single" w:sz="4" w:space="0" w:color="auto"/>
            </w:tcBorders>
          </w:tcPr>
          <w:p w:rsidR="00570DFB" w:rsidRPr="00A27A71" w:rsidRDefault="00570DFB" w:rsidP="005D1FF4">
            <w:pPr>
              <w:keepNext/>
              <w:keepLines/>
              <w:jc w:val="right"/>
              <w:rPr>
                <w:color w:val="000000"/>
                <w:sz w:val="20"/>
                <w:szCs w:val="20"/>
              </w:rPr>
            </w:pPr>
            <w:r w:rsidRPr="00A27A71">
              <w:rPr>
                <w:color w:val="000000"/>
                <w:sz w:val="20"/>
                <w:szCs w:val="20"/>
              </w:rPr>
              <w:t>4.56</w:t>
            </w:r>
          </w:p>
        </w:tc>
      </w:tr>
      <w:tr w:rsidR="00570DFB" w:rsidRPr="00A27A71" w:rsidTr="005D1FF4">
        <w:trPr>
          <w:trHeight w:val="54"/>
          <w:jc w:val="center"/>
        </w:trPr>
        <w:tc>
          <w:tcPr>
            <w:tcW w:w="1924" w:type="pct"/>
            <w:gridSpan w:val="2"/>
            <w:tcBorders>
              <w:top w:val="single" w:sz="4" w:space="0" w:color="auto"/>
              <w:left w:val="single" w:sz="4" w:space="0" w:color="auto"/>
              <w:bottom w:val="single" w:sz="4" w:space="0" w:color="auto"/>
              <w:right w:val="single" w:sz="4" w:space="0" w:color="000000"/>
            </w:tcBorders>
            <w:shd w:val="clear" w:color="auto" w:fill="auto"/>
            <w:noWrap/>
          </w:tcPr>
          <w:p w:rsidR="00570DFB" w:rsidRPr="00A27A71" w:rsidRDefault="00570DFB" w:rsidP="005D1FF4">
            <w:pPr>
              <w:keepNext/>
              <w:keepLines/>
              <w:jc w:val="left"/>
              <w:rPr>
                <w:bCs/>
                <w:color w:val="000000"/>
                <w:sz w:val="20"/>
                <w:szCs w:val="20"/>
              </w:rPr>
            </w:pPr>
            <w:r w:rsidRPr="00A27A71">
              <w:rPr>
                <w:bCs/>
                <w:color w:val="000000"/>
                <w:sz w:val="20"/>
                <w:szCs w:val="20"/>
              </w:rPr>
              <w:t>HC production</w:t>
            </w:r>
          </w:p>
        </w:tc>
        <w:tc>
          <w:tcPr>
            <w:tcW w:w="670" w:type="pct"/>
            <w:tcBorders>
              <w:top w:val="nil"/>
              <w:left w:val="nil"/>
              <w:bottom w:val="single" w:sz="4" w:space="0" w:color="auto"/>
              <w:right w:val="nil"/>
            </w:tcBorders>
            <w:shd w:val="clear" w:color="auto" w:fill="auto"/>
          </w:tcPr>
          <w:p w:rsidR="00570DFB" w:rsidRPr="00A27A71" w:rsidRDefault="00570DFB" w:rsidP="005D1FF4">
            <w:pPr>
              <w:keepNext/>
              <w:keepLines/>
              <w:jc w:val="left"/>
              <w:rPr>
                <w:bCs/>
                <w:color w:val="000000"/>
                <w:sz w:val="20"/>
                <w:szCs w:val="20"/>
              </w:rPr>
            </w:pPr>
          </w:p>
        </w:tc>
        <w:tc>
          <w:tcPr>
            <w:tcW w:w="525" w:type="pct"/>
            <w:tcBorders>
              <w:top w:val="nil"/>
              <w:left w:val="single" w:sz="4" w:space="0" w:color="auto"/>
              <w:bottom w:val="single" w:sz="4" w:space="0" w:color="auto"/>
              <w:right w:val="single" w:sz="4" w:space="0" w:color="auto"/>
            </w:tcBorders>
            <w:shd w:val="clear" w:color="auto" w:fill="auto"/>
          </w:tcPr>
          <w:p w:rsidR="00570DFB" w:rsidRPr="00A27A71" w:rsidRDefault="00570DFB" w:rsidP="005D1FF4">
            <w:pPr>
              <w:keepNext/>
              <w:keepLines/>
              <w:jc w:val="right"/>
              <w:rPr>
                <w:bCs/>
                <w:color w:val="000000"/>
                <w:sz w:val="20"/>
                <w:szCs w:val="20"/>
              </w:rPr>
            </w:pPr>
          </w:p>
        </w:tc>
        <w:tc>
          <w:tcPr>
            <w:tcW w:w="575" w:type="pct"/>
            <w:tcBorders>
              <w:top w:val="nil"/>
              <w:left w:val="nil"/>
              <w:bottom w:val="single" w:sz="4" w:space="0" w:color="auto"/>
              <w:right w:val="single" w:sz="4" w:space="0" w:color="auto"/>
            </w:tcBorders>
            <w:shd w:val="clear" w:color="auto" w:fill="auto"/>
          </w:tcPr>
          <w:p w:rsidR="00570DFB" w:rsidRPr="00A27A71" w:rsidRDefault="00570DFB" w:rsidP="005D1FF4">
            <w:pPr>
              <w:keepNext/>
              <w:keepLines/>
              <w:jc w:val="right"/>
              <w:rPr>
                <w:bCs/>
                <w:color w:val="000000"/>
                <w:sz w:val="20"/>
                <w:szCs w:val="20"/>
              </w:rPr>
            </w:pPr>
          </w:p>
        </w:tc>
        <w:tc>
          <w:tcPr>
            <w:tcW w:w="733" w:type="pct"/>
            <w:tcBorders>
              <w:top w:val="nil"/>
              <w:left w:val="nil"/>
              <w:bottom w:val="single" w:sz="4" w:space="0" w:color="auto"/>
              <w:right w:val="single" w:sz="4" w:space="0" w:color="auto"/>
            </w:tcBorders>
            <w:shd w:val="clear" w:color="auto" w:fill="auto"/>
          </w:tcPr>
          <w:p w:rsidR="00570DFB" w:rsidRPr="00A27A71" w:rsidRDefault="00570DFB" w:rsidP="005D1FF4">
            <w:pPr>
              <w:keepNext/>
              <w:keepLines/>
              <w:jc w:val="right"/>
              <w:rPr>
                <w:bCs/>
                <w:color w:val="000000"/>
                <w:sz w:val="20"/>
                <w:szCs w:val="20"/>
              </w:rPr>
            </w:pPr>
            <w:r w:rsidRPr="00A27A71">
              <w:rPr>
                <w:bCs/>
                <w:color w:val="000000"/>
                <w:sz w:val="20"/>
                <w:szCs w:val="20"/>
              </w:rPr>
              <w:t>1,500,000</w:t>
            </w:r>
          </w:p>
        </w:tc>
        <w:tc>
          <w:tcPr>
            <w:tcW w:w="573" w:type="pct"/>
            <w:tcBorders>
              <w:top w:val="nil"/>
              <w:left w:val="nil"/>
              <w:bottom w:val="single" w:sz="4" w:space="0" w:color="auto"/>
              <w:right w:val="single" w:sz="4" w:space="0" w:color="auto"/>
            </w:tcBorders>
          </w:tcPr>
          <w:p w:rsidR="00570DFB" w:rsidRPr="00A27A71" w:rsidRDefault="00570DFB" w:rsidP="005D1FF4">
            <w:pPr>
              <w:keepNext/>
              <w:keepLines/>
              <w:jc w:val="right"/>
              <w:rPr>
                <w:bCs/>
                <w:color w:val="000000"/>
                <w:sz w:val="20"/>
                <w:szCs w:val="20"/>
              </w:rPr>
            </w:pPr>
          </w:p>
        </w:tc>
      </w:tr>
      <w:tr w:rsidR="00570DFB" w:rsidRPr="00A27A71" w:rsidTr="005D1FF4">
        <w:trPr>
          <w:trHeight w:val="143"/>
          <w:jc w:val="center"/>
        </w:trPr>
        <w:tc>
          <w:tcPr>
            <w:tcW w:w="481" w:type="pct"/>
            <w:vMerge w:val="restart"/>
            <w:tcBorders>
              <w:top w:val="nil"/>
              <w:left w:val="single" w:sz="4" w:space="0" w:color="auto"/>
              <w:bottom w:val="single" w:sz="4" w:space="0" w:color="auto"/>
              <w:right w:val="single" w:sz="4" w:space="0" w:color="auto"/>
            </w:tcBorders>
            <w:shd w:val="clear" w:color="auto" w:fill="auto"/>
          </w:tcPr>
          <w:p w:rsidR="00570DFB" w:rsidRPr="00A27A71" w:rsidRDefault="00570DFB" w:rsidP="005D1FF4">
            <w:pPr>
              <w:keepNext/>
              <w:keepLines/>
              <w:jc w:val="left"/>
              <w:rPr>
                <w:color w:val="000000"/>
                <w:sz w:val="20"/>
                <w:szCs w:val="20"/>
              </w:rPr>
            </w:pPr>
            <w:r w:rsidRPr="00A27A71">
              <w:rPr>
                <w:color w:val="000000"/>
                <w:sz w:val="20"/>
                <w:szCs w:val="20"/>
              </w:rPr>
              <w:t>PMU</w:t>
            </w:r>
          </w:p>
        </w:tc>
        <w:tc>
          <w:tcPr>
            <w:tcW w:w="1443" w:type="pct"/>
            <w:tcBorders>
              <w:top w:val="nil"/>
              <w:left w:val="single" w:sz="4" w:space="0" w:color="auto"/>
              <w:bottom w:val="single" w:sz="4" w:space="0" w:color="auto"/>
              <w:right w:val="single" w:sz="4" w:space="0" w:color="auto"/>
            </w:tcBorders>
            <w:shd w:val="clear" w:color="auto" w:fill="auto"/>
          </w:tcPr>
          <w:p w:rsidR="00570DFB" w:rsidRPr="00A27A71" w:rsidRDefault="00570DFB" w:rsidP="005D1FF4">
            <w:pPr>
              <w:keepNext/>
              <w:keepLines/>
              <w:jc w:val="left"/>
              <w:rPr>
                <w:color w:val="000000"/>
                <w:sz w:val="20"/>
                <w:szCs w:val="20"/>
              </w:rPr>
            </w:pPr>
            <w:r w:rsidRPr="00A27A71">
              <w:rPr>
                <w:color w:val="000000"/>
                <w:sz w:val="20"/>
                <w:szCs w:val="20"/>
              </w:rPr>
              <w:t>UNIDO component</w:t>
            </w:r>
          </w:p>
        </w:tc>
        <w:tc>
          <w:tcPr>
            <w:tcW w:w="670" w:type="pct"/>
            <w:tcBorders>
              <w:top w:val="nil"/>
              <w:left w:val="nil"/>
              <w:bottom w:val="single" w:sz="4" w:space="0" w:color="auto"/>
              <w:right w:val="single" w:sz="4" w:space="0" w:color="auto"/>
            </w:tcBorders>
            <w:shd w:val="clear" w:color="auto" w:fill="auto"/>
          </w:tcPr>
          <w:p w:rsidR="00570DFB" w:rsidRPr="00A27A71" w:rsidRDefault="00570DFB" w:rsidP="005D1FF4">
            <w:pPr>
              <w:keepNext/>
              <w:keepLines/>
              <w:jc w:val="left"/>
              <w:rPr>
                <w:color w:val="000000"/>
                <w:sz w:val="20"/>
                <w:szCs w:val="20"/>
              </w:rPr>
            </w:pPr>
          </w:p>
        </w:tc>
        <w:tc>
          <w:tcPr>
            <w:tcW w:w="525" w:type="pct"/>
            <w:tcBorders>
              <w:top w:val="nil"/>
              <w:left w:val="nil"/>
              <w:bottom w:val="single" w:sz="4" w:space="0" w:color="auto"/>
              <w:right w:val="single" w:sz="4" w:space="0" w:color="auto"/>
            </w:tcBorders>
            <w:shd w:val="clear" w:color="auto" w:fill="auto"/>
          </w:tcPr>
          <w:p w:rsidR="00570DFB" w:rsidRPr="00A27A71" w:rsidRDefault="00570DFB" w:rsidP="005D1FF4">
            <w:pPr>
              <w:keepNext/>
              <w:keepLines/>
              <w:jc w:val="right"/>
              <w:rPr>
                <w:color w:val="000000"/>
                <w:sz w:val="20"/>
                <w:szCs w:val="20"/>
              </w:rPr>
            </w:pPr>
          </w:p>
        </w:tc>
        <w:tc>
          <w:tcPr>
            <w:tcW w:w="575" w:type="pct"/>
            <w:tcBorders>
              <w:top w:val="nil"/>
              <w:left w:val="nil"/>
              <w:bottom w:val="single" w:sz="4" w:space="0" w:color="auto"/>
              <w:right w:val="single" w:sz="4" w:space="0" w:color="auto"/>
            </w:tcBorders>
            <w:shd w:val="clear" w:color="auto" w:fill="auto"/>
          </w:tcPr>
          <w:p w:rsidR="00570DFB" w:rsidRPr="00A27A71" w:rsidRDefault="00570DFB" w:rsidP="005D1FF4">
            <w:pPr>
              <w:keepNext/>
              <w:keepLines/>
              <w:jc w:val="right"/>
              <w:rPr>
                <w:color w:val="000000"/>
                <w:sz w:val="20"/>
                <w:szCs w:val="20"/>
              </w:rPr>
            </w:pPr>
          </w:p>
        </w:tc>
        <w:tc>
          <w:tcPr>
            <w:tcW w:w="733" w:type="pct"/>
            <w:tcBorders>
              <w:top w:val="nil"/>
              <w:left w:val="single" w:sz="4" w:space="0" w:color="auto"/>
              <w:bottom w:val="single" w:sz="4" w:space="0" w:color="auto"/>
              <w:right w:val="single" w:sz="4" w:space="0" w:color="auto"/>
            </w:tcBorders>
            <w:shd w:val="clear" w:color="auto" w:fill="auto"/>
          </w:tcPr>
          <w:p w:rsidR="00570DFB" w:rsidRPr="00A27A71" w:rsidRDefault="00570DFB" w:rsidP="005D1FF4">
            <w:pPr>
              <w:keepNext/>
              <w:keepLines/>
              <w:jc w:val="right"/>
              <w:rPr>
                <w:color w:val="000000"/>
                <w:sz w:val="20"/>
                <w:szCs w:val="20"/>
              </w:rPr>
            </w:pPr>
            <w:r w:rsidRPr="00A27A71">
              <w:rPr>
                <w:color w:val="000000"/>
                <w:sz w:val="20"/>
                <w:szCs w:val="20"/>
              </w:rPr>
              <w:t>1,320,000</w:t>
            </w:r>
          </w:p>
        </w:tc>
        <w:tc>
          <w:tcPr>
            <w:tcW w:w="573" w:type="pct"/>
            <w:tcBorders>
              <w:top w:val="nil"/>
              <w:left w:val="single" w:sz="4" w:space="0" w:color="auto"/>
              <w:bottom w:val="single" w:sz="4" w:space="0" w:color="auto"/>
              <w:right w:val="single" w:sz="4" w:space="0" w:color="auto"/>
            </w:tcBorders>
          </w:tcPr>
          <w:p w:rsidR="00570DFB" w:rsidRPr="00A27A71" w:rsidRDefault="00570DFB" w:rsidP="005D1FF4">
            <w:pPr>
              <w:keepNext/>
              <w:keepLines/>
              <w:jc w:val="right"/>
              <w:rPr>
                <w:color w:val="000000"/>
                <w:sz w:val="20"/>
                <w:szCs w:val="20"/>
              </w:rPr>
            </w:pPr>
          </w:p>
        </w:tc>
      </w:tr>
      <w:tr w:rsidR="00570DFB" w:rsidRPr="00A27A71" w:rsidTr="005D1FF4">
        <w:trPr>
          <w:trHeight w:val="125"/>
          <w:jc w:val="center"/>
        </w:trPr>
        <w:tc>
          <w:tcPr>
            <w:tcW w:w="481" w:type="pct"/>
            <w:vMerge/>
            <w:tcBorders>
              <w:top w:val="nil"/>
              <w:left w:val="single" w:sz="4" w:space="0" w:color="auto"/>
              <w:bottom w:val="single" w:sz="4" w:space="0" w:color="auto"/>
              <w:right w:val="single" w:sz="4" w:space="0" w:color="auto"/>
            </w:tcBorders>
            <w:shd w:val="clear" w:color="auto" w:fill="auto"/>
          </w:tcPr>
          <w:p w:rsidR="00570DFB" w:rsidRPr="00A27A71" w:rsidRDefault="00570DFB" w:rsidP="000F3199">
            <w:pPr>
              <w:jc w:val="left"/>
              <w:rPr>
                <w:color w:val="000000"/>
                <w:sz w:val="20"/>
                <w:szCs w:val="20"/>
              </w:rPr>
            </w:pPr>
          </w:p>
        </w:tc>
        <w:tc>
          <w:tcPr>
            <w:tcW w:w="1443" w:type="pct"/>
            <w:tcBorders>
              <w:top w:val="nil"/>
              <w:left w:val="single" w:sz="4" w:space="0" w:color="auto"/>
              <w:bottom w:val="single" w:sz="4" w:space="0" w:color="auto"/>
              <w:right w:val="single" w:sz="4" w:space="0" w:color="auto"/>
            </w:tcBorders>
            <w:shd w:val="clear" w:color="auto" w:fill="auto"/>
          </w:tcPr>
          <w:p w:rsidR="00570DFB" w:rsidRPr="00A27A71" w:rsidRDefault="00570DFB" w:rsidP="000F3199">
            <w:pPr>
              <w:jc w:val="left"/>
              <w:rPr>
                <w:color w:val="000000"/>
                <w:sz w:val="20"/>
                <w:szCs w:val="20"/>
              </w:rPr>
            </w:pPr>
            <w:r w:rsidRPr="00A27A71">
              <w:rPr>
                <w:color w:val="000000"/>
                <w:sz w:val="20"/>
                <w:szCs w:val="20"/>
              </w:rPr>
              <w:t>UNDP component</w:t>
            </w:r>
          </w:p>
        </w:tc>
        <w:tc>
          <w:tcPr>
            <w:tcW w:w="670" w:type="pct"/>
            <w:tcBorders>
              <w:top w:val="nil"/>
              <w:left w:val="nil"/>
              <w:bottom w:val="single" w:sz="4" w:space="0" w:color="auto"/>
              <w:right w:val="single" w:sz="4" w:space="0" w:color="auto"/>
            </w:tcBorders>
            <w:shd w:val="clear" w:color="auto" w:fill="auto"/>
          </w:tcPr>
          <w:p w:rsidR="00570DFB" w:rsidRPr="00A27A71" w:rsidRDefault="00570DFB" w:rsidP="000F3199">
            <w:pPr>
              <w:jc w:val="left"/>
              <w:rPr>
                <w:color w:val="000000"/>
                <w:sz w:val="20"/>
                <w:szCs w:val="20"/>
              </w:rPr>
            </w:pPr>
          </w:p>
        </w:tc>
        <w:tc>
          <w:tcPr>
            <w:tcW w:w="525" w:type="pct"/>
            <w:tcBorders>
              <w:top w:val="nil"/>
              <w:left w:val="nil"/>
              <w:bottom w:val="single" w:sz="4" w:space="0" w:color="auto"/>
              <w:right w:val="single" w:sz="4" w:space="0" w:color="auto"/>
            </w:tcBorders>
            <w:shd w:val="clear" w:color="auto" w:fill="auto"/>
          </w:tcPr>
          <w:p w:rsidR="00570DFB" w:rsidRPr="00A27A71" w:rsidRDefault="00570DFB" w:rsidP="000F3199">
            <w:pPr>
              <w:jc w:val="right"/>
              <w:rPr>
                <w:color w:val="000000"/>
                <w:sz w:val="20"/>
                <w:szCs w:val="20"/>
              </w:rPr>
            </w:pPr>
          </w:p>
        </w:tc>
        <w:tc>
          <w:tcPr>
            <w:tcW w:w="575" w:type="pct"/>
            <w:tcBorders>
              <w:top w:val="nil"/>
              <w:left w:val="nil"/>
              <w:bottom w:val="single" w:sz="4" w:space="0" w:color="auto"/>
              <w:right w:val="single" w:sz="4" w:space="0" w:color="auto"/>
            </w:tcBorders>
            <w:shd w:val="clear" w:color="auto" w:fill="auto"/>
          </w:tcPr>
          <w:p w:rsidR="00570DFB" w:rsidRPr="00A27A71" w:rsidRDefault="00570DFB" w:rsidP="000F3199">
            <w:pPr>
              <w:jc w:val="right"/>
              <w:rPr>
                <w:color w:val="000000"/>
                <w:sz w:val="20"/>
                <w:szCs w:val="20"/>
              </w:rPr>
            </w:pPr>
          </w:p>
        </w:tc>
        <w:tc>
          <w:tcPr>
            <w:tcW w:w="733" w:type="pct"/>
            <w:tcBorders>
              <w:top w:val="nil"/>
              <w:left w:val="single" w:sz="4" w:space="0" w:color="auto"/>
              <w:bottom w:val="single" w:sz="4" w:space="0" w:color="auto"/>
              <w:right w:val="single" w:sz="4" w:space="0" w:color="auto"/>
            </w:tcBorders>
            <w:shd w:val="clear" w:color="auto" w:fill="auto"/>
          </w:tcPr>
          <w:p w:rsidR="00570DFB" w:rsidRPr="00A27A71" w:rsidRDefault="00570DFB" w:rsidP="000F3199">
            <w:pPr>
              <w:jc w:val="right"/>
              <w:rPr>
                <w:color w:val="000000"/>
                <w:sz w:val="20"/>
                <w:szCs w:val="20"/>
              </w:rPr>
            </w:pPr>
            <w:r w:rsidRPr="00A27A71">
              <w:rPr>
                <w:color w:val="000000"/>
                <w:sz w:val="20"/>
                <w:szCs w:val="20"/>
              </w:rPr>
              <w:t>200,000</w:t>
            </w:r>
          </w:p>
        </w:tc>
        <w:tc>
          <w:tcPr>
            <w:tcW w:w="573" w:type="pct"/>
            <w:tcBorders>
              <w:top w:val="nil"/>
              <w:left w:val="single" w:sz="4" w:space="0" w:color="auto"/>
              <w:bottom w:val="single" w:sz="4" w:space="0" w:color="auto"/>
              <w:right w:val="single" w:sz="4" w:space="0" w:color="auto"/>
            </w:tcBorders>
          </w:tcPr>
          <w:p w:rsidR="00570DFB" w:rsidRPr="00A27A71" w:rsidRDefault="00570DFB" w:rsidP="000F3199">
            <w:pPr>
              <w:jc w:val="right"/>
              <w:rPr>
                <w:color w:val="000000"/>
                <w:sz w:val="20"/>
                <w:szCs w:val="20"/>
              </w:rPr>
            </w:pPr>
          </w:p>
        </w:tc>
      </w:tr>
      <w:tr w:rsidR="00570DFB" w:rsidRPr="00A27A71" w:rsidTr="005D1FF4">
        <w:trPr>
          <w:trHeight w:val="80"/>
          <w:jc w:val="center"/>
        </w:trPr>
        <w:tc>
          <w:tcPr>
            <w:tcW w:w="1924" w:type="pct"/>
            <w:gridSpan w:val="2"/>
            <w:tcBorders>
              <w:top w:val="nil"/>
              <w:left w:val="single" w:sz="4" w:space="0" w:color="auto"/>
              <w:bottom w:val="single" w:sz="4" w:space="0" w:color="auto"/>
              <w:right w:val="single" w:sz="4" w:space="0" w:color="auto"/>
            </w:tcBorders>
            <w:shd w:val="clear" w:color="auto" w:fill="auto"/>
          </w:tcPr>
          <w:p w:rsidR="00570DFB" w:rsidRPr="00A27A71" w:rsidRDefault="00570DFB" w:rsidP="00BD650A">
            <w:pPr>
              <w:jc w:val="left"/>
              <w:rPr>
                <w:b/>
                <w:color w:val="000000"/>
                <w:sz w:val="20"/>
                <w:szCs w:val="20"/>
              </w:rPr>
            </w:pPr>
            <w:r w:rsidRPr="00A27A71">
              <w:rPr>
                <w:b/>
                <w:color w:val="000000"/>
                <w:sz w:val="20"/>
                <w:szCs w:val="20"/>
              </w:rPr>
              <w:t>Sub-total PMU</w:t>
            </w:r>
          </w:p>
        </w:tc>
        <w:tc>
          <w:tcPr>
            <w:tcW w:w="670" w:type="pct"/>
            <w:tcBorders>
              <w:top w:val="nil"/>
              <w:left w:val="nil"/>
              <w:bottom w:val="single" w:sz="4" w:space="0" w:color="auto"/>
              <w:right w:val="single" w:sz="4" w:space="0" w:color="auto"/>
            </w:tcBorders>
            <w:shd w:val="clear" w:color="auto" w:fill="auto"/>
          </w:tcPr>
          <w:p w:rsidR="00570DFB" w:rsidRPr="00A27A71" w:rsidRDefault="00570DFB" w:rsidP="00BD650A">
            <w:pPr>
              <w:jc w:val="left"/>
              <w:rPr>
                <w:color w:val="000000"/>
                <w:sz w:val="20"/>
                <w:szCs w:val="20"/>
              </w:rPr>
            </w:pPr>
          </w:p>
        </w:tc>
        <w:tc>
          <w:tcPr>
            <w:tcW w:w="525"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p>
        </w:tc>
        <w:tc>
          <w:tcPr>
            <w:tcW w:w="575"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color w:val="000000"/>
                <w:sz w:val="20"/>
                <w:szCs w:val="20"/>
              </w:rPr>
            </w:pPr>
          </w:p>
        </w:tc>
        <w:tc>
          <w:tcPr>
            <w:tcW w:w="733" w:type="pct"/>
            <w:tcBorders>
              <w:top w:val="nil"/>
              <w:left w:val="nil"/>
              <w:bottom w:val="single" w:sz="4" w:space="0" w:color="auto"/>
              <w:right w:val="single" w:sz="4" w:space="0" w:color="auto"/>
            </w:tcBorders>
            <w:shd w:val="clear" w:color="auto" w:fill="auto"/>
          </w:tcPr>
          <w:p w:rsidR="00570DFB" w:rsidRPr="00A27A71" w:rsidRDefault="00570DFB" w:rsidP="00BD650A">
            <w:pPr>
              <w:jc w:val="right"/>
              <w:rPr>
                <w:b/>
                <w:color w:val="000000"/>
                <w:sz w:val="20"/>
                <w:szCs w:val="20"/>
              </w:rPr>
            </w:pPr>
            <w:r w:rsidRPr="00A27A71">
              <w:rPr>
                <w:b/>
                <w:color w:val="000000"/>
                <w:sz w:val="20"/>
                <w:szCs w:val="20"/>
              </w:rPr>
              <w:t>1,520,000</w:t>
            </w:r>
          </w:p>
        </w:tc>
        <w:tc>
          <w:tcPr>
            <w:tcW w:w="573" w:type="pct"/>
            <w:tcBorders>
              <w:top w:val="nil"/>
              <w:left w:val="nil"/>
              <w:bottom w:val="single" w:sz="4" w:space="0" w:color="auto"/>
              <w:right w:val="single" w:sz="4" w:space="0" w:color="auto"/>
            </w:tcBorders>
          </w:tcPr>
          <w:p w:rsidR="00570DFB" w:rsidRPr="00A27A71" w:rsidRDefault="00570DFB" w:rsidP="00BD650A">
            <w:pPr>
              <w:jc w:val="right"/>
              <w:rPr>
                <w:b/>
                <w:color w:val="000000"/>
                <w:sz w:val="20"/>
                <w:szCs w:val="20"/>
              </w:rPr>
            </w:pPr>
          </w:p>
        </w:tc>
      </w:tr>
      <w:tr w:rsidR="00570DFB" w:rsidRPr="00A27A71" w:rsidTr="005D1FF4">
        <w:trPr>
          <w:trHeight w:val="197"/>
          <w:jc w:val="center"/>
        </w:trPr>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70DFB" w:rsidRPr="00A27A71" w:rsidRDefault="00570DFB" w:rsidP="00BD650A">
            <w:pPr>
              <w:jc w:val="left"/>
              <w:rPr>
                <w:b/>
                <w:bCs/>
                <w:color w:val="000000"/>
                <w:sz w:val="20"/>
                <w:szCs w:val="20"/>
              </w:rPr>
            </w:pPr>
            <w:r w:rsidRPr="00A27A71">
              <w:rPr>
                <w:b/>
                <w:bCs/>
                <w:color w:val="000000"/>
                <w:sz w:val="20"/>
                <w:szCs w:val="20"/>
              </w:rPr>
              <w:t>Total stage II</w:t>
            </w:r>
          </w:p>
        </w:tc>
        <w:tc>
          <w:tcPr>
            <w:tcW w:w="670" w:type="pct"/>
            <w:tcBorders>
              <w:top w:val="single" w:sz="4" w:space="0" w:color="auto"/>
              <w:left w:val="single" w:sz="4" w:space="0" w:color="auto"/>
              <w:bottom w:val="single" w:sz="4" w:space="0" w:color="auto"/>
              <w:right w:val="single" w:sz="4" w:space="0" w:color="auto"/>
            </w:tcBorders>
            <w:shd w:val="clear" w:color="auto" w:fill="auto"/>
            <w:hideMark/>
          </w:tcPr>
          <w:p w:rsidR="00570DFB" w:rsidRPr="00A27A71" w:rsidRDefault="00570DFB" w:rsidP="00BD650A">
            <w:pPr>
              <w:jc w:val="left"/>
              <w:rPr>
                <w:b/>
                <w:bCs/>
                <w:color w:val="000000"/>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70DFB" w:rsidRPr="00A27A71" w:rsidRDefault="00C35648" w:rsidP="00BD650A">
            <w:pPr>
              <w:jc w:val="right"/>
              <w:rPr>
                <w:b/>
                <w:bCs/>
                <w:color w:val="000000"/>
                <w:sz w:val="20"/>
                <w:szCs w:val="20"/>
              </w:rPr>
            </w:pPr>
            <w:r w:rsidRPr="00A27A71">
              <w:rPr>
                <w:b/>
                <w:bCs/>
                <w:color w:val="000000"/>
                <w:sz w:val="20"/>
                <w:szCs w:val="20"/>
              </w:rPr>
              <w:t>3,133.39</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570DFB" w:rsidRPr="00A27A71" w:rsidRDefault="00C35648" w:rsidP="00BD650A">
            <w:pPr>
              <w:jc w:val="right"/>
              <w:rPr>
                <w:b/>
                <w:bCs/>
                <w:color w:val="000000"/>
                <w:sz w:val="20"/>
                <w:szCs w:val="20"/>
              </w:rPr>
            </w:pPr>
            <w:r w:rsidRPr="00A27A71">
              <w:rPr>
                <w:b/>
                <w:bCs/>
                <w:color w:val="000000"/>
                <w:sz w:val="20"/>
                <w:szCs w:val="20"/>
              </w:rPr>
              <w:t>199.26</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570DFB" w:rsidRPr="00A27A71" w:rsidRDefault="00570DFB" w:rsidP="00BD650A">
            <w:pPr>
              <w:jc w:val="right"/>
              <w:rPr>
                <w:b/>
                <w:bCs/>
                <w:color w:val="000000"/>
                <w:sz w:val="20"/>
                <w:szCs w:val="20"/>
              </w:rPr>
            </w:pPr>
            <w:r w:rsidRPr="00A27A71">
              <w:rPr>
                <w:b/>
                <w:bCs/>
                <w:color w:val="000000"/>
                <w:sz w:val="20"/>
                <w:szCs w:val="20"/>
              </w:rPr>
              <w:t>34,165,051</w:t>
            </w:r>
          </w:p>
        </w:tc>
        <w:tc>
          <w:tcPr>
            <w:tcW w:w="573" w:type="pct"/>
            <w:tcBorders>
              <w:top w:val="single" w:sz="4" w:space="0" w:color="auto"/>
              <w:left w:val="single" w:sz="4" w:space="0" w:color="auto"/>
              <w:bottom w:val="single" w:sz="4" w:space="0" w:color="auto"/>
              <w:right w:val="single" w:sz="4" w:space="0" w:color="auto"/>
            </w:tcBorders>
          </w:tcPr>
          <w:p w:rsidR="00570DFB" w:rsidRPr="00A27A71" w:rsidRDefault="004E5BA0" w:rsidP="00BD650A">
            <w:pPr>
              <w:jc w:val="right"/>
              <w:rPr>
                <w:b/>
                <w:bCs/>
                <w:color w:val="000000"/>
                <w:sz w:val="20"/>
                <w:szCs w:val="20"/>
              </w:rPr>
            </w:pPr>
            <w:r w:rsidRPr="00A27A71">
              <w:rPr>
                <w:b/>
                <w:bCs/>
                <w:color w:val="000000"/>
                <w:sz w:val="20"/>
                <w:szCs w:val="20"/>
              </w:rPr>
              <w:t>10.90</w:t>
            </w:r>
          </w:p>
        </w:tc>
      </w:tr>
    </w:tbl>
    <w:p w:rsidR="00C905D9" w:rsidRPr="00A27A71" w:rsidRDefault="00C905D9" w:rsidP="00C905D9">
      <w:pPr>
        <w:rPr>
          <w:u w:val="single"/>
        </w:rPr>
      </w:pPr>
    </w:p>
    <w:p w:rsidR="00C905D9" w:rsidRPr="00A27A71" w:rsidRDefault="00C905D9" w:rsidP="00C905D9">
      <w:pPr>
        <w:jc w:val="center"/>
        <w:rPr>
          <w:u w:val="single"/>
        </w:rPr>
      </w:pPr>
    </w:p>
    <w:p w:rsidR="00C905D9" w:rsidRPr="00A27A71" w:rsidRDefault="00C905D9" w:rsidP="00C905D9">
      <w:pPr>
        <w:jc w:val="center"/>
        <w:rPr>
          <w:b/>
        </w:rPr>
      </w:pPr>
      <w:r w:rsidRPr="00A27A71">
        <w:rPr>
          <w:b/>
        </w:rPr>
        <w:t>SECRETARIAT’S COMMENTS AND RECOMMENDATION</w:t>
      </w:r>
    </w:p>
    <w:p w:rsidR="00C905D9" w:rsidRPr="00A27A71" w:rsidRDefault="00C905D9" w:rsidP="00C905D9">
      <w:pPr>
        <w:jc w:val="center"/>
        <w:rPr>
          <w:b/>
        </w:rPr>
      </w:pPr>
    </w:p>
    <w:p w:rsidR="00C905D9" w:rsidRPr="00A27A71" w:rsidRDefault="00C905D9" w:rsidP="00C905D9">
      <w:pPr>
        <w:rPr>
          <w:b/>
          <w:szCs w:val="32"/>
        </w:rPr>
      </w:pPr>
      <w:r w:rsidRPr="00A27A71">
        <w:rPr>
          <w:b/>
          <w:szCs w:val="32"/>
        </w:rPr>
        <w:t>COMMENTS</w:t>
      </w:r>
    </w:p>
    <w:p w:rsidR="00C905D9" w:rsidRPr="00A27A71" w:rsidRDefault="00C905D9" w:rsidP="00C905D9">
      <w:pPr>
        <w:rPr>
          <w:b/>
          <w:szCs w:val="32"/>
        </w:rPr>
      </w:pPr>
    </w:p>
    <w:p w:rsidR="00C905D9" w:rsidRPr="00A27A71" w:rsidRDefault="00C905D9" w:rsidP="00C905D9">
      <w:pPr>
        <w:pStyle w:val="Heading1"/>
      </w:pPr>
      <w:r w:rsidRPr="00A27A71">
        <w:t xml:space="preserve">The Secretariat reviewed </w:t>
      </w:r>
      <w:r w:rsidR="00E61A05" w:rsidRPr="00A27A71">
        <w:t>stage </w:t>
      </w:r>
      <w:r w:rsidRPr="00A27A71">
        <w:t>II of the HPMP for</w:t>
      </w:r>
      <w:r w:rsidR="00910254" w:rsidRPr="00A27A71">
        <w:t xml:space="preserve"> Egypt</w:t>
      </w:r>
      <w:r w:rsidRPr="00A27A71">
        <w:t xml:space="preserve"> in light of </w:t>
      </w:r>
      <w:r w:rsidR="00E61A05" w:rsidRPr="00A27A71">
        <w:t>stage </w:t>
      </w:r>
      <w:r w:rsidRPr="00A27A71">
        <w:t xml:space="preserve">I, the policies and the guidelines of the Multilateral Fund, including the criteria for funding HCFC phase-out in the consumption sector for </w:t>
      </w:r>
      <w:r w:rsidR="00E61A05" w:rsidRPr="00A27A71">
        <w:t>stage </w:t>
      </w:r>
      <w:r w:rsidRPr="00A27A71">
        <w:t>II of HPMPs (decision 74/50), and the 20</w:t>
      </w:r>
      <w:r w:rsidR="00446961" w:rsidRPr="00A27A71">
        <w:t>17</w:t>
      </w:r>
      <w:r w:rsidRPr="00A27A71">
        <w:t>-</w:t>
      </w:r>
      <w:r w:rsidR="00446961" w:rsidRPr="00A27A71">
        <w:t>2019</w:t>
      </w:r>
      <w:r w:rsidRPr="00A27A71">
        <w:t xml:space="preserve"> business plan of the Multilateral Fund.</w:t>
      </w:r>
    </w:p>
    <w:p w:rsidR="00C905D9" w:rsidRPr="00A27A71" w:rsidRDefault="00C905D9" w:rsidP="00C905D9">
      <w:pPr>
        <w:pStyle w:val="Heading1"/>
        <w:numPr>
          <w:ilvl w:val="0"/>
          <w:numId w:val="0"/>
        </w:numPr>
        <w:autoSpaceDE w:val="0"/>
        <w:autoSpaceDN w:val="0"/>
        <w:adjustRightInd w:val="0"/>
        <w:jc w:val="left"/>
        <w:rPr>
          <w:u w:val="single"/>
        </w:rPr>
      </w:pPr>
      <w:r w:rsidRPr="00A27A71">
        <w:rPr>
          <w:u w:val="single"/>
        </w:rPr>
        <w:t>Verification</w:t>
      </w:r>
    </w:p>
    <w:p w:rsidR="00C905D9" w:rsidRPr="00A27A71" w:rsidRDefault="00756394" w:rsidP="00C905D9">
      <w:pPr>
        <w:pStyle w:val="Heading1"/>
      </w:pPr>
      <w:r w:rsidRPr="00A27A71">
        <w:t>Although not required, a</w:t>
      </w:r>
      <w:r w:rsidR="00C905D9" w:rsidRPr="00A27A71">
        <w:t xml:space="preserve"> </w:t>
      </w:r>
      <w:r w:rsidRPr="00A27A71">
        <w:t xml:space="preserve">2015 </w:t>
      </w:r>
      <w:r w:rsidR="00C905D9" w:rsidRPr="00A27A71">
        <w:t xml:space="preserve">verification </w:t>
      </w:r>
      <w:r w:rsidRPr="00A27A71">
        <w:t xml:space="preserve">report was submitted that </w:t>
      </w:r>
      <w:r w:rsidR="00C905D9" w:rsidRPr="00A27A71">
        <w:t xml:space="preserve">confirmed that </w:t>
      </w:r>
      <w:r w:rsidR="00910254" w:rsidRPr="00A27A71">
        <w:t>Egypt</w:t>
      </w:r>
      <w:r w:rsidR="00C905D9" w:rsidRPr="00A27A71">
        <w:t xml:space="preserve"> is implementing a licensing and quota system for imports and exports of HCFCs and that consumption of HCFCs in 2015 was in compliance with the Montreal Protocol and the consumption targets established under </w:t>
      </w:r>
      <w:r w:rsidR="00E61A05" w:rsidRPr="00A27A71">
        <w:t>stage </w:t>
      </w:r>
      <w:r w:rsidR="00C905D9" w:rsidRPr="00A27A71">
        <w:t>I.</w:t>
      </w:r>
    </w:p>
    <w:p w:rsidR="00C905D9" w:rsidRPr="00A27A71" w:rsidRDefault="00C905D9" w:rsidP="00C905D9">
      <w:pPr>
        <w:keepNext/>
        <w:rPr>
          <w:szCs w:val="32"/>
          <w:u w:val="single"/>
        </w:rPr>
      </w:pPr>
      <w:r w:rsidRPr="00A27A71">
        <w:rPr>
          <w:szCs w:val="32"/>
          <w:u w:val="single"/>
        </w:rPr>
        <w:t xml:space="preserve">Overarching strategy for </w:t>
      </w:r>
      <w:r w:rsidR="00E61A05" w:rsidRPr="00A27A71">
        <w:rPr>
          <w:szCs w:val="32"/>
          <w:u w:val="single"/>
        </w:rPr>
        <w:t>stage </w:t>
      </w:r>
      <w:r w:rsidRPr="00A27A71">
        <w:rPr>
          <w:szCs w:val="32"/>
          <w:u w:val="single"/>
        </w:rPr>
        <w:t>II</w:t>
      </w:r>
    </w:p>
    <w:p w:rsidR="00C905D9" w:rsidRPr="00A27A71" w:rsidRDefault="00C905D9" w:rsidP="00C905D9">
      <w:pPr>
        <w:keepNext/>
        <w:rPr>
          <w:b/>
          <w:szCs w:val="32"/>
        </w:rPr>
      </w:pPr>
    </w:p>
    <w:p w:rsidR="00C905D9" w:rsidRPr="00A27A71" w:rsidRDefault="00C905D9" w:rsidP="00C905D9">
      <w:pPr>
        <w:pStyle w:val="Heading1"/>
        <w:keepNext/>
        <w:rPr>
          <w:szCs w:val="32"/>
        </w:rPr>
      </w:pPr>
      <w:r w:rsidRPr="00A27A71">
        <w:rPr>
          <w:szCs w:val="32"/>
        </w:rPr>
        <w:t xml:space="preserve">The Secretariat noted the comprehensive strategy proposed by the Government of </w:t>
      </w:r>
      <w:r w:rsidR="00F46820" w:rsidRPr="00A27A71">
        <w:rPr>
          <w:szCs w:val="32"/>
        </w:rPr>
        <w:t>Egypt</w:t>
      </w:r>
      <w:r w:rsidRPr="00A27A71">
        <w:rPr>
          <w:szCs w:val="32"/>
        </w:rPr>
        <w:t xml:space="preserve">. </w:t>
      </w:r>
      <w:r w:rsidR="00DE3114" w:rsidRPr="00A27A71">
        <w:rPr>
          <w:szCs w:val="32"/>
        </w:rPr>
        <w:t>The conversions</w:t>
      </w:r>
      <w:r w:rsidR="00FC34B0" w:rsidRPr="00A27A71">
        <w:rPr>
          <w:szCs w:val="32"/>
        </w:rPr>
        <w:t xml:space="preserve"> of the manufacturing enterprises</w:t>
      </w:r>
      <w:r w:rsidR="00DE3114" w:rsidRPr="00A27A71">
        <w:rPr>
          <w:szCs w:val="32"/>
        </w:rPr>
        <w:t xml:space="preserve"> proposed under </w:t>
      </w:r>
      <w:r w:rsidR="007F53A9" w:rsidRPr="00A27A71">
        <w:rPr>
          <w:szCs w:val="32"/>
        </w:rPr>
        <w:t>stage </w:t>
      </w:r>
      <w:r w:rsidR="00DE3114" w:rsidRPr="00A27A71">
        <w:rPr>
          <w:szCs w:val="32"/>
        </w:rPr>
        <w:t xml:space="preserve">II would all be </w:t>
      </w:r>
      <w:r w:rsidR="00DE3114" w:rsidRPr="00A27A71">
        <w:t xml:space="preserve">to low-GWP alternatives, including in the </w:t>
      </w:r>
      <w:r w:rsidR="00F75F42" w:rsidRPr="00A27A71">
        <w:t>RAC</w:t>
      </w:r>
      <w:r w:rsidR="00DE3114" w:rsidRPr="00A27A71">
        <w:t>, the PU foam, and XPS</w:t>
      </w:r>
      <w:r w:rsidR="00FC34B0" w:rsidRPr="00A27A71">
        <w:t xml:space="preserve"> foam</w:t>
      </w:r>
      <w:r w:rsidR="00DE3114" w:rsidRPr="00A27A71">
        <w:t xml:space="preserve"> sector</w:t>
      </w:r>
      <w:r w:rsidR="009171BE" w:rsidRPr="00A27A71">
        <w:t>s</w:t>
      </w:r>
      <w:r w:rsidR="00DE3114" w:rsidRPr="00A27A71">
        <w:t xml:space="preserve">. Those conversions would be complemented by activities in the servicing sector, including on building capacity related to flammable and toxic low-GWP alternatives. The objectives of Egypt’s HPMP include meeting the HCFCs compliance targets, maximizing the climate benefits while phasing out HCFCs, and leapfrogging, as feasible, high-GWP alternatives. </w:t>
      </w:r>
    </w:p>
    <w:p w:rsidR="00C905D9" w:rsidRPr="00A27A71" w:rsidRDefault="00C905D9" w:rsidP="00C905D9">
      <w:pPr>
        <w:rPr>
          <w:szCs w:val="32"/>
          <w:u w:val="single"/>
        </w:rPr>
      </w:pPr>
      <w:r w:rsidRPr="00A27A71">
        <w:rPr>
          <w:szCs w:val="32"/>
          <w:u w:val="single"/>
        </w:rPr>
        <w:t xml:space="preserve">Proposed activities in </w:t>
      </w:r>
      <w:r w:rsidR="00E61A05" w:rsidRPr="00A27A71">
        <w:rPr>
          <w:szCs w:val="32"/>
          <w:u w:val="single"/>
        </w:rPr>
        <w:t>stage </w:t>
      </w:r>
      <w:r w:rsidRPr="00A27A71">
        <w:rPr>
          <w:szCs w:val="32"/>
          <w:u w:val="single"/>
        </w:rPr>
        <w:t>II</w:t>
      </w:r>
    </w:p>
    <w:p w:rsidR="00C905D9" w:rsidRPr="00A27A71" w:rsidRDefault="00C905D9" w:rsidP="00C905D9"/>
    <w:p w:rsidR="00C905D9" w:rsidRPr="00D50A85" w:rsidRDefault="00752420" w:rsidP="00C905D9">
      <w:pPr>
        <w:pStyle w:val="Heading1"/>
        <w:numPr>
          <w:ilvl w:val="0"/>
          <w:numId w:val="0"/>
        </w:numPr>
        <w:rPr>
          <w:i/>
        </w:rPr>
      </w:pPr>
      <w:r w:rsidRPr="00D50A85">
        <w:rPr>
          <w:i/>
        </w:rPr>
        <w:t xml:space="preserve">PU </w:t>
      </w:r>
      <w:r w:rsidR="00FC34B0" w:rsidRPr="00D50A85">
        <w:rPr>
          <w:i/>
        </w:rPr>
        <w:t>f</w:t>
      </w:r>
      <w:r w:rsidR="00C905D9" w:rsidRPr="00D50A85">
        <w:rPr>
          <w:i/>
        </w:rPr>
        <w:t>oam manufacturing sector</w:t>
      </w:r>
    </w:p>
    <w:p w:rsidR="00030F34" w:rsidRPr="00F76143" w:rsidRDefault="00F451DD" w:rsidP="00752420">
      <w:pPr>
        <w:pStyle w:val="Heading1"/>
      </w:pPr>
      <w:r w:rsidRPr="00D50A85">
        <w:t>As the phase-out for which funding was requested was greater than the remaining consumption eligible for funding, and noting that consumption of HCFC-141b in bulk and contained in pre-blended polyols could not be distinguished</w:t>
      </w:r>
      <w:r w:rsidR="00446961" w:rsidRPr="00D50A85">
        <w:t xml:space="preserve"> at the enterprises</w:t>
      </w:r>
      <w:r w:rsidRPr="00D50A85">
        <w:t>, the proposal was adjusted to ensure that funding was requested only within the remaining consumption eligible for funding</w:t>
      </w:r>
      <w:r w:rsidR="00446961" w:rsidRPr="00F76143">
        <w:t>. As the consumption of HCFC</w:t>
      </w:r>
      <w:r w:rsidR="008E0439" w:rsidRPr="00F76143">
        <w:noBreakHyphen/>
      </w:r>
      <w:r w:rsidR="00446961" w:rsidRPr="00F76143">
        <w:t xml:space="preserve">141b contained in imported pre-blended polyols is higher in 2016 </w:t>
      </w:r>
      <w:r w:rsidR="009D34F4" w:rsidRPr="00F76143">
        <w:t>(19.56</w:t>
      </w:r>
      <w:r w:rsidR="00E51355" w:rsidRPr="00F76143">
        <w:t> </w:t>
      </w:r>
      <w:r w:rsidR="009D34F4" w:rsidRPr="00F76143">
        <w:t xml:space="preserve">ODP tonnes) </w:t>
      </w:r>
      <w:r w:rsidR="00446961" w:rsidRPr="00F76143">
        <w:t>relative to 2015</w:t>
      </w:r>
      <w:r w:rsidR="009D34F4" w:rsidRPr="00F76143">
        <w:t xml:space="preserve"> (11.00</w:t>
      </w:r>
      <w:r w:rsidR="00E51355" w:rsidRPr="00F76143">
        <w:t> </w:t>
      </w:r>
      <w:r w:rsidR="009D34F4" w:rsidRPr="00F76143">
        <w:t>ODP tonnes)</w:t>
      </w:r>
      <w:r w:rsidR="00446961" w:rsidRPr="00F76143">
        <w:t xml:space="preserve">, and Egypt’s remaining consumption eligible for funding is limited by this quantity, the </w:t>
      </w:r>
      <w:r w:rsidR="009D34F4" w:rsidRPr="00F76143">
        <w:t xml:space="preserve"> proposal was adjusted to use the </w:t>
      </w:r>
      <w:r w:rsidR="00446961" w:rsidRPr="00F76143">
        <w:t xml:space="preserve">2016 </w:t>
      </w:r>
      <w:r w:rsidR="009D34F4" w:rsidRPr="00F76143">
        <w:t xml:space="preserve">rather than 2015 </w:t>
      </w:r>
      <w:r w:rsidR="00446961" w:rsidRPr="00F76143">
        <w:t xml:space="preserve">consumption at the enterprises </w:t>
      </w:r>
      <w:r w:rsidR="009D34F4" w:rsidRPr="00F76143">
        <w:t>as the basis to</w:t>
      </w:r>
      <w:r w:rsidR="00446961" w:rsidRPr="00F76143">
        <w:t xml:space="preserve"> determine eligible costs and phase-out.</w:t>
      </w:r>
      <w:r w:rsidR="009D34F4" w:rsidRPr="00F76143">
        <w:t xml:space="preserve"> </w:t>
      </w:r>
      <w:r w:rsidR="001B69BD" w:rsidRPr="00F76143">
        <w:t xml:space="preserve">On this basis, </w:t>
      </w:r>
      <w:r w:rsidR="009D34F4" w:rsidRPr="00F76143">
        <w:t xml:space="preserve">Egypt’s remaining consumption of total HCFC-141b (i.e., both in bulk and contained in imported pre-blended polyols) </w:t>
      </w:r>
      <w:r w:rsidR="001B69BD" w:rsidRPr="00F76143">
        <w:t>is 49.08</w:t>
      </w:r>
      <w:r w:rsidR="00E51355" w:rsidRPr="00F76143">
        <w:t> </w:t>
      </w:r>
      <w:r w:rsidR="001B69BD" w:rsidRPr="00F76143">
        <w:t>ODP tonnes</w:t>
      </w:r>
      <w:r w:rsidR="00D50A85" w:rsidRPr="00F76143">
        <w:t xml:space="preserve"> as shown in Table</w:t>
      </w:r>
      <w:r w:rsidR="006F4CFF">
        <w:t> </w:t>
      </w:r>
      <w:r w:rsidR="00D50A85" w:rsidRPr="00F76143">
        <w:t>10</w:t>
      </w:r>
      <w:r w:rsidR="001B69BD" w:rsidRPr="00F76143">
        <w:t>.</w:t>
      </w:r>
      <w:r w:rsidR="00446961" w:rsidRPr="00F76143">
        <w:t xml:space="preserve"> </w:t>
      </w:r>
    </w:p>
    <w:p w:rsidR="00B355C0" w:rsidRPr="00F76143" w:rsidRDefault="00B355C0" w:rsidP="00E51355">
      <w:pPr>
        <w:pStyle w:val="Heading1"/>
        <w:keepNext/>
        <w:keepLines/>
        <w:numPr>
          <w:ilvl w:val="0"/>
          <w:numId w:val="0"/>
        </w:numPr>
        <w:spacing w:after="0"/>
        <w:rPr>
          <w:b/>
        </w:rPr>
      </w:pPr>
      <w:r w:rsidRPr="00F76143">
        <w:rPr>
          <w:b/>
        </w:rPr>
        <w:lastRenderedPageBreak/>
        <w:t xml:space="preserve">Table </w:t>
      </w:r>
      <w:r w:rsidR="00D50A85" w:rsidRPr="00F76143">
        <w:rPr>
          <w:b/>
        </w:rPr>
        <w:t>10</w:t>
      </w:r>
      <w:r w:rsidRPr="00F76143">
        <w:rPr>
          <w:b/>
        </w:rPr>
        <w:t>. Total* HCFC-141b consumption eligible for funding</w:t>
      </w:r>
    </w:p>
    <w:tbl>
      <w:tblPr>
        <w:tblW w:w="4944" w:type="pct"/>
        <w:tblLayout w:type="fixed"/>
        <w:tblLook w:val="04A0" w:firstRow="1" w:lastRow="0" w:firstColumn="1" w:lastColumn="0" w:noHBand="0" w:noVBand="1"/>
      </w:tblPr>
      <w:tblGrid>
        <w:gridCol w:w="2223"/>
        <w:gridCol w:w="1259"/>
        <w:gridCol w:w="1576"/>
        <w:gridCol w:w="2879"/>
        <w:gridCol w:w="1532"/>
      </w:tblGrid>
      <w:tr w:rsidR="00B355C0" w:rsidRPr="00D50A85" w:rsidTr="00B14D07">
        <w:trPr>
          <w:trHeight w:val="300"/>
        </w:trPr>
        <w:tc>
          <w:tcPr>
            <w:tcW w:w="1174" w:type="pct"/>
            <w:tcBorders>
              <w:top w:val="single" w:sz="4" w:space="0" w:color="auto"/>
              <w:left w:val="single" w:sz="4" w:space="0" w:color="auto"/>
              <w:bottom w:val="single" w:sz="4" w:space="0" w:color="auto"/>
              <w:right w:val="single" w:sz="4" w:space="0" w:color="auto"/>
            </w:tcBorders>
            <w:shd w:val="clear" w:color="auto" w:fill="auto"/>
            <w:noWrap/>
            <w:hideMark/>
          </w:tcPr>
          <w:p w:rsidR="00B355C0" w:rsidRPr="00F76143" w:rsidRDefault="00B355C0" w:rsidP="00E51355">
            <w:pPr>
              <w:keepNext/>
              <w:keepLines/>
              <w:jc w:val="center"/>
              <w:rPr>
                <w:b/>
                <w:color w:val="000000"/>
                <w:sz w:val="20"/>
                <w:szCs w:val="20"/>
              </w:rPr>
            </w:pPr>
          </w:p>
        </w:tc>
        <w:tc>
          <w:tcPr>
            <w:tcW w:w="665" w:type="pct"/>
            <w:tcBorders>
              <w:top w:val="single" w:sz="4" w:space="0" w:color="auto"/>
              <w:left w:val="nil"/>
              <w:bottom w:val="single" w:sz="4" w:space="0" w:color="auto"/>
              <w:right w:val="single" w:sz="4" w:space="0" w:color="auto"/>
            </w:tcBorders>
            <w:shd w:val="clear" w:color="auto" w:fill="auto"/>
            <w:noWrap/>
            <w:hideMark/>
          </w:tcPr>
          <w:p w:rsidR="00B355C0" w:rsidRPr="00F76143" w:rsidRDefault="00B355C0" w:rsidP="00E51355">
            <w:pPr>
              <w:keepNext/>
              <w:keepLines/>
              <w:jc w:val="center"/>
              <w:rPr>
                <w:b/>
                <w:color w:val="000000"/>
                <w:sz w:val="20"/>
                <w:szCs w:val="20"/>
              </w:rPr>
            </w:pPr>
          </w:p>
        </w:tc>
        <w:tc>
          <w:tcPr>
            <w:tcW w:w="832" w:type="pct"/>
            <w:tcBorders>
              <w:top w:val="single" w:sz="4" w:space="0" w:color="auto"/>
              <w:left w:val="nil"/>
              <w:bottom w:val="single" w:sz="4" w:space="0" w:color="auto"/>
              <w:right w:val="single" w:sz="4" w:space="0" w:color="auto"/>
            </w:tcBorders>
            <w:shd w:val="clear" w:color="auto" w:fill="auto"/>
            <w:noWrap/>
            <w:hideMark/>
          </w:tcPr>
          <w:p w:rsidR="00B355C0" w:rsidRPr="00F76143" w:rsidRDefault="00B355C0" w:rsidP="00E51355">
            <w:pPr>
              <w:keepNext/>
              <w:keepLines/>
              <w:jc w:val="center"/>
              <w:rPr>
                <w:b/>
                <w:color w:val="000000"/>
                <w:sz w:val="20"/>
                <w:szCs w:val="20"/>
              </w:rPr>
            </w:pPr>
            <w:r w:rsidRPr="00F76143">
              <w:rPr>
                <w:b/>
                <w:color w:val="000000"/>
                <w:sz w:val="20"/>
                <w:szCs w:val="20"/>
              </w:rPr>
              <w:t>HCFC-141b</w:t>
            </w:r>
          </w:p>
        </w:tc>
        <w:tc>
          <w:tcPr>
            <w:tcW w:w="1520" w:type="pct"/>
            <w:tcBorders>
              <w:top w:val="single" w:sz="4" w:space="0" w:color="auto"/>
              <w:left w:val="nil"/>
              <w:bottom w:val="single" w:sz="4" w:space="0" w:color="auto"/>
              <w:right w:val="single" w:sz="4" w:space="0" w:color="auto"/>
            </w:tcBorders>
            <w:shd w:val="clear" w:color="auto" w:fill="auto"/>
            <w:noWrap/>
            <w:hideMark/>
          </w:tcPr>
          <w:p w:rsidR="00B355C0" w:rsidRPr="00F76143" w:rsidRDefault="00B355C0" w:rsidP="00E51355">
            <w:pPr>
              <w:keepNext/>
              <w:keepLines/>
              <w:jc w:val="center"/>
              <w:rPr>
                <w:b/>
                <w:color w:val="000000"/>
                <w:sz w:val="20"/>
                <w:szCs w:val="20"/>
              </w:rPr>
            </w:pPr>
            <w:r w:rsidRPr="00F76143">
              <w:rPr>
                <w:b/>
                <w:color w:val="000000"/>
                <w:sz w:val="20"/>
                <w:szCs w:val="20"/>
              </w:rPr>
              <w:t>HCFC-141b in pre-blended polyols</w:t>
            </w:r>
          </w:p>
        </w:tc>
        <w:tc>
          <w:tcPr>
            <w:tcW w:w="807" w:type="pct"/>
            <w:tcBorders>
              <w:top w:val="single" w:sz="4" w:space="0" w:color="auto"/>
              <w:left w:val="nil"/>
              <w:bottom w:val="single" w:sz="4" w:space="0" w:color="auto"/>
              <w:right w:val="single" w:sz="4" w:space="0" w:color="auto"/>
            </w:tcBorders>
            <w:shd w:val="clear" w:color="auto" w:fill="auto"/>
            <w:noWrap/>
            <w:hideMark/>
          </w:tcPr>
          <w:p w:rsidR="00B355C0" w:rsidRPr="00F76143" w:rsidRDefault="00B355C0" w:rsidP="00E51355">
            <w:pPr>
              <w:keepNext/>
              <w:keepLines/>
              <w:jc w:val="center"/>
              <w:rPr>
                <w:b/>
                <w:color w:val="000000"/>
                <w:sz w:val="20"/>
                <w:szCs w:val="20"/>
              </w:rPr>
            </w:pPr>
            <w:r w:rsidRPr="00F76143">
              <w:rPr>
                <w:b/>
                <w:color w:val="000000"/>
                <w:sz w:val="20"/>
                <w:szCs w:val="20"/>
              </w:rPr>
              <w:t>Total</w:t>
            </w:r>
          </w:p>
        </w:tc>
      </w:tr>
      <w:tr w:rsidR="00B355C0" w:rsidRPr="00D50A85" w:rsidTr="00B14D07">
        <w:trPr>
          <w:trHeight w:val="134"/>
        </w:trPr>
        <w:tc>
          <w:tcPr>
            <w:tcW w:w="1174" w:type="pct"/>
            <w:vMerge w:val="restart"/>
            <w:tcBorders>
              <w:top w:val="nil"/>
              <w:left w:val="single" w:sz="4" w:space="0" w:color="auto"/>
              <w:bottom w:val="single" w:sz="4" w:space="0" w:color="auto"/>
              <w:right w:val="single" w:sz="4" w:space="0" w:color="auto"/>
            </w:tcBorders>
            <w:shd w:val="clear" w:color="auto" w:fill="auto"/>
            <w:noWrap/>
            <w:hideMark/>
          </w:tcPr>
          <w:p w:rsidR="00B355C0" w:rsidRPr="00F76143" w:rsidRDefault="00B355C0" w:rsidP="00E51355">
            <w:pPr>
              <w:keepNext/>
              <w:keepLines/>
              <w:jc w:val="left"/>
              <w:rPr>
                <w:color w:val="000000"/>
                <w:sz w:val="20"/>
                <w:szCs w:val="20"/>
              </w:rPr>
            </w:pPr>
            <w:r w:rsidRPr="00F76143">
              <w:rPr>
                <w:color w:val="000000"/>
                <w:sz w:val="20"/>
                <w:szCs w:val="20"/>
              </w:rPr>
              <w:t>Starting point</w:t>
            </w:r>
          </w:p>
        </w:tc>
        <w:tc>
          <w:tcPr>
            <w:tcW w:w="665"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keepNext/>
              <w:keepLines/>
              <w:jc w:val="left"/>
              <w:rPr>
                <w:color w:val="000000"/>
                <w:sz w:val="20"/>
                <w:szCs w:val="20"/>
              </w:rPr>
            </w:pPr>
            <w:r w:rsidRPr="00F76143">
              <w:rPr>
                <w:color w:val="000000"/>
                <w:sz w:val="20"/>
                <w:szCs w:val="20"/>
              </w:rPr>
              <w:t>ODP</w:t>
            </w:r>
          </w:p>
        </w:tc>
        <w:tc>
          <w:tcPr>
            <w:tcW w:w="832"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keepNext/>
              <w:keepLines/>
              <w:jc w:val="right"/>
              <w:rPr>
                <w:color w:val="000000"/>
                <w:sz w:val="20"/>
                <w:szCs w:val="20"/>
              </w:rPr>
            </w:pPr>
            <w:r w:rsidRPr="00F76143">
              <w:rPr>
                <w:color w:val="000000"/>
                <w:sz w:val="20"/>
                <w:szCs w:val="20"/>
              </w:rPr>
              <w:t xml:space="preserve">          129.61 </w:t>
            </w:r>
          </w:p>
        </w:tc>
        <w:tc>
          <w:tcPr>
            <w:tcW w:w="1520"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keepNext/>
              <w:keepLines/>
              <w:jc w:val="right"/>
              <w:rPr>
                <w:color w:val="000000"/>
                <w:sz w:val="20"/>
                <w:szCs w:val="20"/>
              </w:rPr>
            </w:pPr>
            <w:r w:rsidRPr="00F76143">
              <w:rPr>
                <w:color w:val="000000"/>
                <w:sz w:val="20"/>
                <w:szCs w:val="20"/>
              </w:rPr>
              <w:t>98.34</w:t>
            </w:r>
          </w:p>
        </w:tc>
        <w:tc>
          <w:tcPr>
            <w:tcW w:w="807"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keepNext/>
              <w:keepLines/>
              <w:jc w:val="right"/>
              <w:rPr>
                <w:color w:val="000000"/>
                <w:sz w:val="20"/>
                <w:szCs w:val="20"/>
              </w:rPr>
            </w:pPr>
            <w:r w:rsidRPr="00F76143">
              <w:rPr>
                <w:color w:val="000000"/>
                <w:sz w:val="20"/>
                <w:szCs w:val="20"/>
              </w:rPr>
              <w:t xml:space="preserve">        227.95 </w:t>
            </w:r>
          </w:p>
        </w:tc>
      </w:tr>
      <w:tr w:rsidR="00B355C0" w:rsidRPr="00D50A85" w:rsidTr="00B14D07">
        <w:trPr>
          <w:trHeight w:val="71"/>
        </w:trPr>
        <w:tc>
          <w:tcPr>
            <w:tcW w:w="1174" w:type="pct"/>
            <w:vMerge/>
            <w:tcBorders>
              <w:top w:val="nil"/>
              <w:left w:val="single" w:sz="4" w:space="0" w:color="auto"/>
              <w:bottom w:val="single" w:sz="4" w:space="0" w:color="auto"/>
              <w:right w:val="single" w:sz="4" w:space="0" w:color="auto"/>
            </w:tcBorders>
            <w:hideMark/>
          </w:tcPr>
          <w:p w:rsidR="00B355C0" w:rsidRPr="00F76143" w:rsidRDefault="00B355C0" w:rsidP="00E51355">
            <w:pPr>
              <w:jc w:val="left"/>
              <w:rPr>
                <w:color w:val="000000"/>
                <w:sz w:val="20"/>
                <w:szCs w:val="20"/>
              </w:rPr>
            </w:pPr>
          </w:p>
        </w:tc>
        <w:tc>
          <w:tcPr>
            <w:tcW w:w="665" w:type="pct"/>
            <w:tcBorders>
              <w:top w:val="nil"/>
              <w:left w:val="nil"/>
              <w:bottom w:val="single" w:sz="4" w:space="0" w:color="auto"/>
              <w:right w:val="single" w:sz="4" w:space="0" w:color="auto"/>
            </w:tcBorders>
            <w:shd w:val="clear" w:color="auto" w:fill="auto"/>
            <w:noWrap/>
            <w:hideMark/>
          </w:tcPr>
          <w:p w:rsidR="00B355C0" w:rsidRPr="00F76143" w:rsidRDefault="00DE50BB" w:rsidP="00E51355">
            <w:pPr>
              <w:jc w:val="left"/>
              <w:rPr>
                <w:color w:val="000000"/>
                <w:sz w:val="20"/>
                <w:szCs w:val="20"/>
              </w:rPr>
            </w:pPr>
            <w:r w:rsidRPr="00F76143">
              <w:rPr>
                <w:color w:val="000000"/>
                <w:sz w:val="20"/>
                <w:szCs w:val="20"/>
              </w:rPr>
              <w:t>mt</w:t>
            </w:r>
          </w:p>
        </w:tc>
        <w:tc>
          <w:tcPr>
            <w:tcW w:w="832"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1,178.27 </w:t>
            </w:r>
          </w:p>
        </w:tc>
        <w:tc>
          <w:tcPr>
            <w:tcW w:w="1520"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894.00</w:t>
            </w:r>
          </w:p>
        </w:tc>
        <w:tc>
          <w:tcPr>
            <w:tcW w:w="807"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2,072.27 </w:t>
            </w:r>
          </w:p>
        </w:tc>
      </w:tr>
      <w:tr w:rsidR="00B355C0" w:rsidRPr="00D50A85" w:rsidTr="00B14D07">
        <w:trPr>
          <w:trHeight w:val="107"/>
        </w:trPr>
        <w:tc>
          <w:tcPr>
            <w:tcW w:w="1174" w:type="pct"/>
            <w:vMerge w:val="restart"/>
            <w:tcBorders>
              <w:top w:val="nil"/>
              <w:left w:val="single" w:sz="4" w:space="0" w:color="auto"/>
              <w:bottom w:val="single" w:sz="4" w:space="0" w:color="auto"/>
              <w:right w:val="single" w:sz="4" w:space="0" w:color="auto"/>
            </w:tcBorders>
            <w:shd w:val="clear" w:color="auto" w:fill="auto"/>
            <w:noWrap/>
            <w:hideMark/>
          </w:tcPr>
          <w:p w:rsidR="00B355C0" w:rsidRPr="00F76143" w:rsidRDefault="00B355C0" w:rsidP="00E51355">
            <w:pPr>
              <w:jc w:val="left"/>
              <w:rPr>
                <w:color w:val="000000"/>
                <w:sz w:val="20"/>
                <w:szCs w:val="20"/>
              </w:rPr>
            </w:pPr>
            <w:r w:rsidRPr="00F76143">
              <w:rPr>
                <w:color w:val="000000"/>
                <w:sz w:val="20"/>
                <w:szCs w:val="20"/>
              </w:rPr>
              <w:t>Stage I</w:t>
            </w:r>
          </w:p>
        </w:tc>
        <w:tc>
          <w:tcPr>
            <w:tcW w:w="665"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left"/>
              <w:rPr>
                <w:color w:val="000000"/>
                <w:sz w:val="20"/>
                <w:szCs w:val="20"/>
              </w:rPr>
            </w:pPr>
            <w:r w:rsidRPr="00F76143">
              <w:rPr>
                <w:color w:val="000000"/>
                <w:sz w:val="20"/>
                <w:szCs w:val="20"/>
              </w:rPr>
              <w:t>ODP</w:t>
            </w:r>
          </w:p>
        </w:tc>
        <w:tc>
          <w:tcPr>
            <w:tcW w:w="832"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95.69 </w:t>
            </w:r>
          </w:p>
        </w:tc>
        <w:tc>
          <w:tcPr>
            <w:tcW w:w="1520"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72.18</w:t>
            </w:r>
          </w:p>
        </w:tc>
        <w:tc>
          <w:tcPr>
            <w:tcW w:w="807"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167.87 </w:t>
            </w:r>
          </w:p>
        </w:tc>
      </w:tr>
      <w:tr w:rsidR="00B355C0" w:rsidRPr="00D50A85" w:rsidTr="00B14D07">
        <w:trPr>
          <w:trHeight w:val="58"/>
        </w:trPr>
        <w:tc>
          <w:tcPr>
            <w:tcW w:w="1174" w:type="pct"/>
            <w:vMerge/>
            <w:tcBorders>
              <w:top w:val="nil"/>
              <w:left w:val="single" w:sz="4" w:space="0" w:color="auto"/>
              <w:bottom w:val="single" w:sz="4" w:space="0" w:color="auto"/>
              <w:right w:val="single" w:sz="4" w:space="0" w:color="auto"/>
            </w:tcBorders>
            <w:hideMark/>
          </w:tcPr>
          <w:p w:rsidR="00B355C0" w:rsidRPr="00F76143" w:rsidRDefault="00B355C0" w:rsidP="00E51355">
            <w:pPr>
              <w:jc w:val="left"/>
              <w:rPr>
                <w:color w:val="000000"/>
                <w:sz w:val="20"/>
                <w:szCs w:val="20"/>
              </w:rPr>
            </w:pPr>
          </w:p>
        </w:tc>
        <w:tc>
          <w:tcPr>
            <w:tcW w:w="665" w:type="pct"/>
            <w:tcBorders>
              <w:top w:val="nil"/>
              <w:left w:val="nil"/>
              <w:bottom w:val="single" w:sz="4" w:space="0" w:color="auto"/>
              <w:right w:val="single" w:sz="4" w:space="0" w:color="auto"/>
            </w:tcBorders>
            <w:shd w:val="clear" w:color="auto" w:fill="auto"/>
            <w:noWrap/>
            <w:hideMark/>
          </w:tcPr>
          <w:p w:rsidR="00B355C0" w:rsidRPr="00F76143" w:rsidRDefault="00DE50BB" w:rsidP="00DE50BB">
            <w:pPr>
              <w:jc w:val="left"/>
              <w:rPr>
                <w:color w:val="000000"/>
                <w:sz w:val="20"/>
                <w:szCs w:val="20"/>
              </w:rPr>
            </w:pPr>
            <w:r w:rsidRPr="00F76143">
              <w:rPr>
                <w:color w:val="000000"/>
                <w:sz w:val="20"/>
                <w:szCs w:val="20"/>
              </w:rPr>
              <w:t>mt</w:t>
            </w:r>
          </w:p>
        </w:tc>
        <w:tc>
          <w:tcPr>
            <w:tcW w:w="832"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869.91 </w:t>
            </w:r>
          </w:p>
        </w:tc>
        <w:tc>
          <w:tcPr>
            <w:tcW w:w="1520"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656.18</w:t>
            </w:r>
          </w:p>
        </w:tc>
        <w:tc>
          <w:tcPr>
            <w:tcW w:w="807"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1,526.09 </w:t>
            </w:r>
          </w:p>
        </w:tc>
      </w:tr>
      <w:tr w:rsidR="00B355C0" w:rsidRPr="00D50A85" w:rsidTr="00B14D07">
        <w:trPr>
          <w:trHeight w:val="58"/>
        </w:trPr>
        <w:tc>
          <w:tcPr>
            <w:tcW w:w="1174" w:type="pct"/>
            <w:vMerge w:val="restart"/>
            <w:tcBorders>
              <w:top w:val="nil"/>
              <w:left w:val="single" w:sz="4" w:space="0" w:color="auto"/>
              <w:bottom w:val="single" w:sz="4" w:space="0" w:color="000000"/>
              <w:right w:val="single" w:sz="4" w:space="0" w:color="auto"/>
            </w:tcBorders>
            <w:shd w:val="clear" w:color="auto" w:fill="auto"/>
            <w:hideMark/>
          </w:tcPr>
          <w:p w:rsidR="00B355C0" w:rsidRPr="00F76143" w:rsidRDefault="00B355C0" w:rsidP="00E51355">
            <w:pPr>
              <w:jc w:val="left"/>
              <w:rPr>
                <w:color w:val="000000"/>
                <w:sz w:val="20"/>
                <w:szCs w:val="20"/>
              </w:rPr>
            </w:pPr>
            <w:r w:rsidRPr="00F76143">
              <w:rPr>
                <w:color w:val="000000"/>
                <w:sz w:val="20"/>
                <w:szCs w:val="20"/>
              </w:rPr>
              <w:t>Demonstration project (</w:t>
            </w:r>
            <w:r w:rsidR="000F0199">
              <w:rPr>
                <w:color w:val="000000"/>
                <w:sz w:val="20"/>
                <w:szCs w:val="20"/>
              </w:rPr>
              <w:t>decision </w:t>
            </w:r>
            <w:r w:rsidRPr="00F76143">
              <w:rPr>
                <w:color w:val="000000"/>
                <w:sz w:val="20"/>
                <w:szCs w:val="20"/>
              </w:rPr>
              <w:t>76/30)</w:t>
            </w:r>
          </w:p>
        </w:tc>
        <w:tc>
          <w:tcPr>
            <w:tcW w:w="665"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left"/>
              <w:rPr>
                <w:color w:val="000000"/>
                <w:sz w:val="20"/>
                <w:szCs w:val="20"/>
              </w:rPr>
            </w:pPr>
            <w:r w:rsidRPr="00F76143">
              <w:rPr>
                <w:color w:val="000000"/>
                <w:sz w:val="20"/>
                <w:szCs w:val="20"/>
              </w:rPr>
              <w:t>ODP</w:t>
            </w:r>
          </w:p>
        </w:tc>
        <w:tc>
          <w:tcPr>
            <w:tcW w:w="832"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4.40 </w:t>
            </w:r>
          </w:p>
        </w:tc>
        <w:tc>
          <w:tcPr>
            <w:tcW w:w="1520"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w:t>
            </w:r>
          </w:p>
        </w:tc>
        <w:tc>
          <w:tcPr>
            <w:tcW w:w="807"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4.40 </w:t>
            </w:r>
          </w:p>
        </w:tc>
      </w:tr>
      <w:tr w:rsidR="00B355C0" w:rsidRPr="00D50A85" w:rsidTr="00B14D07">
        <w:trPr>
          <w:trHeight w:val="58"/>
        </w:trPr>
        <w:tc>
          <w:tcPr>
            <w:tcW w:w="1174" w:type="pct"/>
            <w:vMerge/>
            <w:tcBorders>
              <w:top w:val="nil"/>
              <w:left w:val="single" w:sz="4" w:space="0" w:color="auto"/>
              <w:bottom w:val="single" w:sz="4" w:space="0" w:color="000000"/>
              <w:right w:val="single" w:sz="4" w:space="0" w:color="auto"/>
            </w:tcBorders>
            <w:hideMark/>
          </w:tcPr>
          <w:p w:rsidR="00B355C0" w:rsidRPr="00F76143" w:rsidRDefault="00B355C0" w:rsidP="00E51355">
            <w:pPr>
              <w:jc w:val="left"/>
              <w:rPr>
                <w:color w:val="000000"/>
                <w:sz w:val="20"/>
                <w:szCs w:val="20"/>
              </w:rPr>
            </w:pPr>
          </w:p>
        </w:tc>
        <w:tc>
          <w:tcPr>
            <w:tcW w:w="665" w:type="pct"/>
            <w:tcBorders>
              <w:top w:val="nil"/>
              <w:left w:val="nil"/>
              <w:bottom w:val="single" w:sz="4" w:space="0" w:color="auto"/>
              <w:right w:val="single" w:sz="4" w:space="0" w:color="auto"/>
            </w:tcBorders>
            <w:shd w:val="clear" w:color="auto" w:fill="auto"/>
            <w:noWrap/>
            <w:hideMark/>
          </w:tcPr>
          <w:p w:rsidR="00B355C0" w:rsidRPr="00F76143" w:rsidRDefault="00DE50BB" w:rsidP="00E51355">
            <w:pPr>
              <w:jc w:val="left"/>
              <w:rPr>
                <w:color w:val="000000"/>
                <w:sz w:val="20"/>
                <w:szCs w:val="20"/>
              </w:rPr>
            </w:pPr>
            <w:r w:rsidRPr="00F76143">
              <w:rPr>
                <w:color w:val="000000"/>
                <w:sz w:val="20"/>
                <w:szCs w:val="20"/>
              </w:rPr>
              <w:t>mt</w:t>
            </w:r>
          </w:p>
        </w:tc>
        <w:tc>
          <w:tcPr>
            <w:tcW w:w="832"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40.00 </w:t>
            </w:r>
          </w:p>
        </w:tc>
        <w:tc>
          <w:tcPr>
            <w:tcW w:w="1520"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w:t>
            </w:r>
          </w:p>
        </w:tc>
        <w:tc>
          <w:tcPr>
            <w:tcW w:w="807"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40.00 </w:t>
            </w:r>
          </w:p>
        </w:tc>
      </w:tr>
      <w:tr w:rsidR="00B355C0" w:rsidRPr="00D50A85" w:rsidTr="00B14D07">
        <w:trPr>
          <w:trHeight w:val="58"/>
        </w:trPr>
        <w:tc>
          <w:tcPr>
            <w:tcW w:w="1174" w:type="pct"/>
            <w:vMerge w:val="restart"/>
            <w:tcBorders>
              <w:top w:val="nil"/>
              <w:left w:val="single" w:sz="4" w:space="0" w:color="auto"/>
              <w:bottom w:val="single" w:sz="4" w:space="0" w:color="auto"/>
              <w:right w:val="single" w:sz="4" w:space="0" w:color="auto"/>
            </w:tcBorders>
            <w:shd w:val="clear" w:color="auto" w:fill="auto"/>
            <w:noWrap/>
            <w:hideMark/>
          </w:tcPr>
          <w:p w:rsidR="00B355C0" w:rsidRPr="00F76143" w:rsidRDefault="00B355C0" w:rsidP="00E51355">
            <w:pPr>
              <w:jc w:val="left"/>
              <w:rPr>
                <w:color w:val="000000"/>
                <w:sz w:val="20"/>
                <w:szCs w:val="20"/>
              </w:rPr>
            </w:pPr>
            <w:r w:rsidRPr="00F76143">
              <w:rPr>
                <w:color w:val="000000"/>
                <w:sz w:val="20"/>
                <w:szCs w:val="20"/>
              </w:rPr>
              <w:t>Remaining</w:t>
            </w:r>
          </w:p>
        </w:tc>
        <w:tc>
          <w:tcPr>
            <w:tcW w:w="665"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left"/>
              <w:rPr>
                <w:color w:val="000000"/>
                <w:sz w:val="20"/>
                <w:szCs w:val="20"/>
              </w:rPr>
            </w:pPr>
            <w:r w:rsidRPr="00F76143">
              <w:rPr>
                <w:color w:val="000000"/>
                <w:sz w:val="20"/>
                <w:szCs w:val="20"/>
              </w:rPr>
              <w:t>ODP</w:t>
            </w:r>
          </w:p>
        </w:tc>
        <w:tc>
          <w:tcPr>
            <w:tcW w:w="832"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29.52 </w:t>
            </w:r>
          </w:p>
        </w:tc>
        <w:tc>
          <w:tcPr>
            <w:tcW w:w="1520"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26.16</w:t>
            </w:r>
          </w:p>
        </w:tc>
        <w:tc>
          <w:tcPr>
            <w:tcW w:w="807"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55.68 </w:t>
            </w:r>
          </w:p>
        </w:tc>
      </w:tr>
      <w:tr w:rsidR="00B355C0" w:rsidRPr="00D50A85" w:rsidTr="00B14D07">
        <w:trPr>
          <w:trHeight w:val="58"/>
        </w:trPr>
        <w:tc>
          <w:tcPr>
            <w:tcW w:w="1174" w:type="pct"/>
            <w:vMerge/>
            <w:tcBorders>
              <w:top w:val="nil"/>
              <w:left w:val="single" w:sz="4" w:space="0" w:color="auto"/>
              <w:bottom w:val="single" w:sz="4" w:space="0" w:color="auto"/>
              <w:right w:val="single" w:sz="4" w:space="0" w:color="auto"/>
            </w:tcBorders>
            <w:hideMark/>
          </w:tcPr>
          <w:p w:rsidR="00B355C0" w:rsidRPr="00F76143" w:rsidRDefault="00B355C0" w:rsidP="00E51355">
            <w:pPr>
              <w:jc w:val="left"/>
              <w:rPr>
                <w:color w:val="000000"/>
                <w:sz w:val="20"/>
                <w:szCs w:val="20"/>
              </w:rPr>
            </w:pPr>
          </w:p>
        </w:tc>
        <w:tc>
          <w:tcPr>
            <w:tcW w:w="665" w:type="pct"/>
            <w:tcBorders>
              <w:top w:val="nil"/>
              <w:left w:val="nil"/>
              <w:bottom w:val="single" w:sz="4" w:space="0" w:color="auto"/>
              <w:right w:val="single" w:sz="4" w:space="0" w:color="auto"/>
            </w:tcBorders>
            <w:shd w:val="clear" w:color="auto" w:fill="auto"/>
            <w:noWrap/>
            <w:hideMark/>
          </w:tcPr>
          <w:p w:rsidR="00B355C0" w:rsidRPr="00F76143" w:rsidRDefault="00DE50BB" w:rsidP="00E51355">
            <w:pPr>
              <w:jc w:val="left"/>
              <w:rPr>
                <w:color w:val="000000"/>
                <w:sz w:val="20"/>
                <w:szCs w:val="20"/>
              </w:rPr>
            </w:pPr>
            <w:r w:rsidRPr="00F76143">
              <w:rPr>
                <w:color w:val="000000"/>
                <w:sz w:val="20"/>
                <w:szCs w:val="20"/>
              </w:rPr>
              <w:t>mt</w:t>
            </w:r>
          </w:p>
        </w:tc>
        <w:tc>
          <w:tcPr>
            <w:tcW w:w="832"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268.36 </w:t>
            </w:r>
          </w:p>
        </w:tc>
        <w:tc>
          <w:tcPr>
            <w:tcW w:w="1520"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237.82</w:t>
            </w:r>
          </w:p>
        </w:tc>
        <w:tc>
          <w:tcPr>
            <w:tcW w:w="807"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506.18 </w:t>
            </w:r>
          </w:p>
        </w:tc>
      </w:tr>
      <w:tr w:rsidR="00B355C0" w:rsidRPr="00D50A85" w:rsidTr="00B14D07">
        <w:trPr>
          <w:trHeight w:val="58"/>
        </w:trPr>
        <w:tc>
          <w:tcPr>
            <w:tcW w:w="1174" w:type="pct"/>
            <w:vMerge w:val="restart"/>
            <w:tcBorders>
              <w:top w:val="nil"/>
              <w:left w:val="single" w:sz="4" w:space="0" w:color="auto"/>
              <w:bottom w:val="single" w:sz="4" w:space="0" w:color="000000"/>
              <w:right w:val="single" w:sz="4" w:space="0" w:color="auto"/>
            </w:tcBorders>
            <w:shd w:val="clear" w:color="auto" w:fill="auto"/>
            <w:hideMark/>
          </w:tcPr>
          <w:p w:rsidR="00B355C0" w:rsidRPr="00F76143" w:rsidRDefault="00B355C0" w:rsidP="00E51355">
            <w:pPr>
              <w:jc w:val="left"/>
              <w:rPr>
                <w:color w:val="000000"/>
                <w:sz w:val="20"/>
                <w:szCs w:val="20"/>
              </w:rPr>
            </w:pPr>
            <w:r w:rsidRPr="00F76143">
              <w:rPr>
                <w:color w:val="000000"/>
                <w:sz w:val="20"/>
                <w:szCs w:val="20"/>
              </w:rPr>
              <w:t>2015 consumption</w:t>
            </w:r>
          </w:p>
        </w:tc>
        <w:tc>
          <w:tcPr>
            <w:tcW w:w="665"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left"/>
              <w:rPr>
                <w:color w:val="000000"/>
                <w:sz w:val="20"/>
                <w:szCs w:val="20"/>
              </w:rPr>
            </w:pPr>
            <w:r w:rsidRPr="00F76143">
              <w:rPr>
                <w:color w:val="000000"/>
                <w:sz w:val="20"/>
                <w:szCs w:val="20"/>
              </w:rPr>
              <w:t>ODP</w:t>
            </w:r>
          </w:p>
        </w:tc>
        <w:tc>
          <w:tcPr>
            <w:tcW w:w="832"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118.00 </w:t>
            </w:r>
          </w:p>
        </w:tc>
        <w:tc>
          <w:tcPr>
            <w:tcW w:w="1520"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11.00</w:t>
            </w:r>
          </w:p>
        </w:tc>
        <w:tc>
          <w:tcPr>
            <w:tcW w:w="807"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129.00 </w:t>
            </w:r>
          </w:p>
        </w:tc>
      </w:tr>
      <w:tr w:rsidR="00B355C0" w:rsidRPr="00D50A85" w:rsidTr="00B14D07">
        <w:trPr>
          <w:trHeight w:val="58"/>
        </w:trPr>
        <w:tc>
          <w:tcPr>
            <w:tcW w:w="1174" w:type="pct"/>
            <w:vMerge/>
            <w:tcBorders>
              <w:top w:val="nil"/>
              <w:left w:val="single" w:sz="4" w:space="0" w:color="auto"/>
              <w:bottom w:val="single" w:sz="4" w:space="0" w:color="000000"/>
              <w:right w:val="single" w:sz="4" w:space="0" w:color="auto"/>
            </w:tcBorders>
            <w:hideMark/>
          </w:tcPr>
          <w:p w:rsidR="00B355C0" w:rsidRPr="00F76143" w:rsidRDefault="00B355C0" w:rsidP="00E51355">
            <w:pPr>
              <w:jc w:val="left"/>
              <w:rPr>
                <w:color w:val="000000"/>
                <w:sz w:val="20"/>
                <w:szCs w:val="20"/>
              </w:rPr>
            </w:pPr>
          </w:p>
        </w:tc>
        <w:tc>
          <w:tcPr>
            <w:tcW w:w="665" w:type="pct"/>
            <w:tcBorders>
              <w:top w:val="nil"/>
              <w:left w:val="nil"/>
              <w:bottom w:val="single" w:sz="4" w:space="0" w:color="auto"/>
              <w:right w:val="single" w:sz="4" w:space="0" w:color="auto"/>
            </w:tcBorders>
            <w:shd w:val="clear" w:color="auto" w:fill="auto"/>
            <w:noWrap/>
            <w:hideMark/>
          </w:tcPr>
          <w:p w:rsidR="00B355C0" w:rsidRPr="00F76143" w:rsidRDefault="00DE50BB" w:rsidP="00E51355">
            <w:pPr>
              <w:jc w:val="left"/>
              <w:rPr>
                <w:color w:val="000000"/>
                <w:sz w:val="20"/>
                <w:szCs w:val="20"/>
              </w:rPr>
            </w:pPr>
            <w:r w:rsidRPr="00F76143">
              <w:rPr>
                <w:color w:val="000000"/>
                <w:sz w:val="20"/>
                <w:szCs w:val="20"/>
              </w:rPr>
              <w:t>mt</w:t>
            </w:r>
          </w:p>
        </w:tc>
        <w:tc>
          <w:tcPr>
            <w:tcW w:w="832"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1,072.75 </w:t>
            </w:r>
          </w:p>
        </w:tc>
        <w:tc>
          <w:tcPr>
            <w:tcW w:w="1520"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100.00</w:t>
            </w:r>
          </w:p>
        </w:tc>
        <w:tc>
          <w:tcPr>
            <w:tcW w:w="807"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1,172.75 </w:t>
            </w:r>
          </w:p>
        </w:tc>
      </w:tr>
      <w:tr w:rsidR="00B355C0" w:rsidRPr="00D50A85" w:rsidTr="00B14D07">
        <w:trPr>
          <w:trHeight w:val="71"/>
        </w:trPr>
        <w:tc>
          <w:tcPr>
            <w:tcW w:w="1174" w:type="pct"/>
            <w:vMerge w:val="restart"/>
            <w:tcBorders>
              <w:top w:val="nil"/>
              <w:left w:val="single" w:sz="4" w:space="0" w:color="auto"/>
              <w:bottom w:val="single" w:sz="4" w:space="0" w:color="000000"/>
              <w:right w:val="single" w:sz="4" w:space="0" w:color="auto"/>
            </w:tcBorders>
            <w:shd w:val="clear" w:color="auto" w:fill="auto"/>
            <w:hideMark/>
          </w:tcPr>
          <w:p w:rsidR="00B355C0" w:rsidRPr="00F76143" w:rsidRDefault="00B355C0" w:rsidP="00E51355">
            <w:pPr>
              <w:jc w:val="left"/>
              <w:rPr>
                <w:color w:val="000000"/>
                <w:sz w:val="20"/>
                <w:szCs w:val="20"/>
              </w:rPr>
            </w:pPr>
            <w:r w:rsidRPr="00F76143">
              <w:rPr>
                <w:color w:val="000000"/>
                <w:sz w:val="20"/>
                <w:szCs w:val="20"/>
              </w:rPr>
              <w:t>2016 consumption</w:t>
            </w:r>
          </w:p>
        </w:tc>
        <w:tc>
          <w:tcPr>
            <w:tcW w:w="665"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left"/>
              <w:rPr>
                <w:color w:val="000000"/>
                <w:sz w:val="20"/>
                <w:szCs w:val="20"/>
              </w:rPr>
            </w:pPr>
            <w:r w:rsidRPr="00F76143">
              <w:rPr>
                <w:color w:val="000000"/>
                <w:sz w:val="20"/>
                <w:szCs w:val="20"/>
              </w:rPr>
              <w:t>ODP</w:t>
            </w:r>
          </w:p>
        </w:tc>
        <w:tc>
          <w:tcPr>
            <w:tcW w:w="832"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80.47 </w:t>
            </w:r>
          </w:p>
        </w:tc>
        <w:tc>
          <w:tcPr>
            <w:tcW w:w="1520"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19.56</w:t>
            </w:r>
          </w:p>
        </w:tc>
        <w:tc>
          <w:tcPr>
            <w:tcW w:w="807"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100.03 </w:t>
            </w:r>
          </w:p>
        </w:tc>
      </w:tr>
      <w:tr w:rsidR="00B355C0" w:rsidRPr="00D50A85" w:rsidTr="00B14D07">
        <w:trPr>
          <w:trHeight w:val="58"/>
        </w:trPr>
        <w:tc>
          <w:tcPr>
            <w:tcW w:w="1174" w:type="pct"/>
            <w:vMerge/>
            <w:tcBorders>
              <w:top w:val="nil"/>
              <w:left w:val="single" w:sz="4" w:space="0" w:color="auto"/>
              <w:bottom w:val="single" w:sz="4" w:space="0" w:color="000000"/>
              <w:right w:val="single" w:sz="4" w:space="0" w:color="auto"/>
            </w:tcBorders>
            <w:vAlign w:val="center"/>
            <w:hideMark/>
          </w:tcPr>
          <w:p w:rsidR="00B355C0" w:rsidRPr="00F76143" w:rsidRDefault="00B355C0" w:rsidP="00B355C0">
            <w:pPr>
              <w:jc w:val="center"/>
              <w:rPr>
                <w:color w:val="000000"/>
                <w:sz w:val="20"/>
                <w:szCs w:val="20"/>
              </w:rPr>
            </w:pPr>
          </w:p>
        </w:tc>
        <w:tc>
          <w:tcPr>
            <w:tcW w:w="665" w:type="pct"/>
            <w:tcBorders>
              <w:top w:val="nil"/>
              <w:left w:val="nil"/>
              <w:bottom w:val="single" w:sz="4" w:space="0" w:color="auto"/>
              <w:right w:val="single" w:sz="4" w:space="0" w:color="auto"/>
            </w:tcBorders>
            <w:shd w:val="clear" w:color="auto" w:fill="auto"/>
            <w:noWrap/>
            <w:hideMark/>
          </w:tcPr>
          <w:p w:rsidR="00B355C0" w:rsidRPr="00F76143" w:rsidRDefault="00DE50BB" w:rsidP="00DE50BB">
            <w:pPr>
              <w:jc w:val="left"/>
              <w:rPr>
                <w:color w:val="000000"/>
                <w:sz w:val="20"/>
                <w:szCs w:val="20"/>
              </w:rPr>
            </w:pPr>
            <w:r w:rsidRPr="00F76143">
              <w:rPr>
                <w:color w:val="000000"/>
                <w:sz w:val="20"/>
                <w:szCs w:val="20"/>
              </w:rPr>
              <w:t>mt</w:t>
            </w:r>
          </w:p>
        </w:tc>
        <w:tc>
          <w:tcPr>
            <w:tcW w:w="832"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731.53 </w:t>
            </w:r>
          </w:p>
        </w:tc>
        <w:tc>
          <w:tcPr>
            <w:tcW w:w="1520"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177.80</w:t>
            </w:r>
          </w:p>
        </w:tc>
        <w:tc>
          <w:tcPr>
            <w:tcW w:w="807"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909.33 </w:t>
            </w:r>
          </w:p>
        </w:tc>
      </w:tr>
      <w:tr w:rsidR="00B355C0" w:rsidRPr="00D50A85" w:rsidTr="00B14D07">
        <w:trPr>
          <w:trHeight w:val="58"/>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B355C0" w:rsidRPr="00F76143" w:rsidRDefault="00B355C0" w:rsidP="00E51355">
            <w:pPr>
              <w:jc w:val="left"/>
              <w:rPr>
                <w:b/>
                <w:color w:val="000000"/>
                <w:sz w:val="20"/>
                <w:szCs w:val="20"/>
              </w:rPr>
            </w:pPr>
            <w:r w:rsidRPr="00F76143">
              <w:rPr>
                <w:b/>
                <w:color w:val="000000"/>
                <w:sz w:val="20"/>
                <w:szCs w:val="20"/>
              </w:rPr>
              <w:t>Total* HCFC-141b consumption eligible for funding</w:t>
            </w:r>
          </w:p>
        </w:tc>
      </w:tr>
      <w:tr w:rsidR="00B355C0" w:rsidRPr="00D50A85" w:rsidTr="00B14D07">
        <w:trPr>
          <w:trHeight w:val="58"/>
        </w:trPr>
        <w:tc>
          <w:tcPr>
            <w:tcW w:w="1174" w:type="pct"/>
            <w:vMerge w:val="restart"/>
            <w:tcBorders>
              <w:top w:val="nil"/>
              <w:left w:val="single" w:sz="4" w:space="0" w:color="auto"/>
              <w:bottom w:val="single" w:sz="4" w:space="0" w:color="000000"/>
              <w:right w:val="single" w:sz="4" w:space="0" w:color="auto"/>
            </w:tcBorders>
            <w:shd w:val="clear" w:color="auto" w:fill="auto"/>
            <w:noWrap/>
            <w:hideMark/>
          </w:tcPr>
          <w:p w:rsidR="00B355C0" w:rsidRPr="00F76143" w:rsidRDefault="00B355C0" w:rsidP="00E51355">
            <w:pPr>
              <w:jc w:val="left"/>
              <w:rPr>
                <w:color w:val="000000"/>
                <w:sz w:val="20"/>
                <w:szCs w:val="20"/>
              </w:rPr>
            </w:pPr>
            <w:r w:rsidRPr="00F76143">
              <w:rPr>
                <w:color w:val="000000"/>
                <w:sz w:val="20"/>
                <w:szCs w:val="20"/>
              </w:rPr>
              <w:t>2015 basis</w:t>
            </w:r>
          </w:p>
        </w:tc>
        <w:tc>
          <w:tcPr>
            <w:tcW w:w="665"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left"/>
              <w:rPr>
                <w:color w:val="000000"/>
                <w:sz w:val="20"/>
                <w:szCs w:val="20"/>
              </w:rPr>
            </w:pPr>
            <w:r w:rsidRPr="00F76143">
              <w:rPr>
                <w:color w:val="000000"/>
                <w:sz w:val="20"/>
                <w:szCs w:val="20"/>
              </w:rPr>
              <w:t>ODP</w:t>
            </w:r>
          </w:p>
        </w:tc>
        <w:tc>
          <w:tcPr>
            <w:tcW w:w="3160" w:type="pct"/>
            <w:gridSpan w:val="3"/>
            <w:tcBorders>
              <w:top w:val="single" w:sz="4" w:space="0" w:color="auto"/>
              <w:left w:val="nil"/>
              <w:bottom w:val="single" w:sz="4" w:space="0" w:color="auto"/>
              <w:right w:val="single" w:sz="4" w:space="0" w:color="000000"/>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40.52</w:t>
            </w:r>
          </w:p>
        </w:tc>
      </w:tr>
      <w:tr w:rsidR="00B355C0" w:rsidRPr="00D50A85" w:rsidTr="00B14D07">
        <w:trPr>
          <w:trHeight w:val="58"/>
        </w:trPr>
        <w:tc>
          <w:tcPr>
            <w:tcW w:w="1174" w:type="pct"/>
            <w:vMerge/>
            <w:tcBorders>
              <w:top w:val="nil"/>
              <w:left w:val="single" w:sz="4" w:space="0" w:color="auto"/>
              <w:bottom w:val="single" w:sz="4" w:space="0" w:color="000000"/>
              <w:right w:val="single" w:sz="4" w:space="0" w:color="auto"/>
            </w:tcBorders>
            <w:hideMark/>
          </w:tcPr>
          <w:p w:rsidR="00B355C0" w:rsidRPr="00F76143" w:rsidRDefault="00B355C0" w:rsidP="00E51355">
            <w:pPr>
              <w:jc w:val="left"/>
              <w:rPr>
                <w:color w:val="000000"/>
                <w:sz w:val="20"/>
                <w:szCs w:val="20"/>
              </w:rPr>
            </w:pPr>
          </w:p>
        </w:tc>
        <w:tc>
          <w:tcPr>
            <w:tcW w:w="665" w:type="pct"/>
            <w:tcBorders>
              <w:top w:val="nil"/>
              <w:left w:val="nil"/>
              <w:bottom w:val="single" w:sz="4" w:space="0" w:color="auto"/>
              <w:right w:val="single" w:sz="4" w:space="0" w:color="auto"/>
            </w:tcBorders>
            <w:shd w:val="clear" w:color="auto" w:fill="auto"/>
            <w:noWrap/>
            <w:hideMark/>
          </w:tcPr>
          <w:p w:rsidR="00B355C0" w:rsidRPr="00F76143" w:rsidRDefault="00DE50BB" w:rsidP="00DE50BB">
            <w:pPr>
              <w:jc w:val="left"/>
              <w:rPr>
                <w:color w:val="000000"/>
                <w:sz w:val="20"/>
                <w:szCs w:val="20"/>
              </w:rPr>
            </w:pPr>
            <w:r w:rsidRPr="00F76143">
              <w:rPr>
                <w:color w:val="000000"/>
                <w:sz w:val="20"/>
                <w:szCs w:val="20"/>
              </w:rPr>
              <w:t>mt</w:t>
            </w:r>
          </w:p>
        </w:tc>
        <w:tc>
          <w:tcPr>
            <w:tcW w:w="3160" w:type="pct"/>
            <w:gridSpan w:val="3"/>
            <w:tcBorders>
              <w:top w:val="single" w:sz="4" w:space="0" w:color="auto"/>
              <w:left w:val="nil"/>
              <w:bottom w:val="single" w:sz="4" w:space="0" w:color="auto"/>
              <w:right w:val="single" w:sz="4" w:space="0" w:color="000000"/>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368.36 </w:t>
            </w:r>
          </w:p>
        </w:tc>
      </w:tr>
      <w:tr w:rsidR="00B355C0" w:rsidRPr="00D50A85" w:rsidTr="00B14D07">
        <w:trPr>
          <w:trHeight w:val="58"/>
        </w:trPr>
        <w:tc>
          <w:tcPr>
            <w:tcW w:w="1174" w:type="pct"/>
            <w:vMerge w:val="restart"/>
            <w:tcBorders>
              <w:top w:val="nil"/>
              <w:left w:val="single" w:sz="4" w:space="0" w:color="auto"/>
              <w:bottom w:val="single" w:sz="4" w:space="0" w:color="000000"/>
              <w:right w:val="single" w:sz="4" w:space="0" w:color="auto"/>
            </w:tcBorders>
            <w:shd w:val="clear" w:color="auto" w:fill="auto"/>
            <w:noWrap/>
            <w:hideMark/>
          </w:tcPr>
          <w:p w:rsidR="00B355C0" w:rsidRPr="00F76143" w:rsidRDefault="00B355C0" w:rsidP="00E51355">
            <w:pPr>
              <w:jc w:val="left"/>
              <w:rPr>
                <w:color w:val="000000"/>
                <w:sz w:val="20"/>
                <w:szCs w:val="20"/>
              </w:rPr>
            </w:pPr>
            <w:r w:rsidRPr="00F76143">
              <w:rPr>
                <w:color w:val="000000"/>
                <w:sz w:val="20"/>
                <w:szCs w:val="20"/>
              </w:rPr>
              <w:t>2016 basis</w:t>
            </w:r>
          </w:p>
        </w:tc>
        <w:tc>
          <w:tcPr>
            <w:tcW w:w="665" w:type="pct"/>
            <w:tcBorders>
              <w:top w:val="nil"/>
              <w:left w:val="nil"/>
              <w:bottom w:val="single" w:sz="4" w:space="0" w:color="auto"/>
              <w:right w:val="single" w:sz="4" w:space="0" w:color="auto"/>
            </w:tcBorders>
            <w:shd w:val="clear" w:color="auto" w:fill="auto"/>
            <w:noWrap/>
            <w:hideMark/>
          </w:tcPr>
          <w:p w:rsidR="00B355C0" w:rsidRPr="00F76143" w:rsidRDefault="00B355C0" w:rsidP="00E51355">
            <w:pPr>
              <w:jc w:val="left"/>
              <w:rPr>
                <w:color w:val="000000"/>
                <w:sz w:val="20"/>
                <w:szCs w:val="20"/>
              </w:rPr>
            </w:pPr>
            <w:r w:rsidRPr="00F76143">
              <w:rPr>
                <w:color w:val="000000"/>
                <w:sz w:val="20"/>
                <w:szCs w:val="20"/>
              </w:rPr>
              <w:t>ODP</w:t>
            </w:r>
          </w:p>
        </w:tc>
        <w:tc>
          <w:tcPr>
            <w:tcW w:w="3160" w:type="pct"/>
            <w:gridSpan w:val="3"/>
            <w:tcBorders>
              <w:top w:val="single" w:sz="4" w:space="0" w:color="auto"/>
              <w:left w:val="nil"/>
              <w:bottom w:val="single" w:sz="4" w:space="0" w:color="auto"/>
              <w:right w:val="single" w:sz="4" w:space="0" w:color="000000"/>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49.08</w:t>
            </w:r>
          </w:p>
        </w:tc>
      </w:tr>
      <w:tr w:rsidR="00B355C0" w:rsidRPr="00D50A85" w:rsidTr="00B14D07">
        <w:trPr>
          <w:trHeight w:val="161"/>
        </w:trPr>
        <w:tc>
          <w:tcPr>
            <w:tcW w:w="1174" w:type="pct"/>
            <w:vMerge/>
            <w:tcBorders>
              <w:top w:val="nil"/>
              <w:left w:val="single" w:sz="4" w:space="0" w:color="auto"/>
              <w:bottom w:val="single" w:sz="4" w:space="0" w:color="000000"/>
              <w:right w:val="single" w:sz="4" w:space="0" w:color="auto"/>
            </w:tcBorders>
            <w:vAlign w:val="center"/>
            <w:hideMark/>
          </w:tcPr>
          <w:p w:rsidR="00B355C0" w:rsidRPr="00F76143" w:rsidRDefault="00B355C0" w:rsidP="00B355C0">
            <w:pPr>
              <w:jc w:val="left"/>
              <w:rPr>
                <w:color w:val="000000"/>
                <w:sz w:val="20"/>
                <w:szCs w:val="20"/>
              </w:rPr>
            </w:pPr>
          </w:p>
        </w:tc>
        <w:tc>
          <w:tcPr>
            <w:tcW w:w="665" w:type="pct"/>
            <w:tcBorders>
              <w:top w:val="nil"/>
              <w:left w:val="nil"/>
              <w:bottom w:val="single" w:sz="4" w:space="0" w:color="auto"/>
              <w:right w:val="single" w:sz="4" w:space="0" w:color="auto"/>
            </w:tcBorders>
            <w:shd w:val="clear" w:color="auto" w:fill="auto"/>
            <w:noWrap/>
            <w:hideMark/>
          </w:tcPr>
          <w:p w:rsidR="00B355C0" w:rsidRPr="00F76143" w:rsidRDefault="00DE50BB" w:rsidP="00E51355">
            <w:pPr>
              <w:jc w:val="left"/>
              <w:rPr>
                <w:color w:val="000000"/>
                <w:sz w:val="20"/>
                <w:szCs w:val="20"/>
              </w:rPr>
            </w:pPr>
            <w:r w:rsidRPr="00F76143">
              <w:rPr>
                <w:color w:val="000000"/>
                <w:sz w:val="20"/>
                <w:szCs w:val="20"/>
              </w:rPr>
              <w:t>mt</w:t>
            </w:r>
          </w:p>
        </w:tc>
        <w:tc>
          <w:tcPr>
            <w:tcW w:w="3160" w:type="pct"/>
            <w:gridSpan w:val="3"/>
            <w:tcBorders>
              <w:top w:val="single" w:sz="4" w:space="0" w:color="auto"/>
              <w:left w:val="nil"/>
              <w:bottom w:val="single" w:sz="4" w:space="0" w:color="auto"/>
              <w:right w:val="single" w:sz="4" w:space="0" w:color="000000"/>
            </w:tcBorders>
            <w:shd w:val="clear" w:color="auto" w:fill="auto"/>
            <w:noWrap/>
            <w:hideMark/>
          </w:tcPr>
          <w:p w:rsidR="00B355C0" w:rsidRPr="00F76143" w:rsidRDefault="00B355C0" w:rsidP="00E51355">
            <w:pPr>
              <w:jc w:val="right"/>
              <w:rPr>
                <w:color w:val="000000"/>
                <w:sz w:val="20"/>
                <w:szCs w:val="20"/>
              </w:rPr>
            </w:pPr>
            <w:r w:rsidRPr="00F76143">
              <w:rPr>
                <w:color w:val="000000"/>
                <w:sz w:val="20"/>
                <w:szCs w:val="20"/>
              </w:rPr>
              <w:t xml:space="preserve">                                                             446.16 </w:t>
            </w:r>
          </w:p>
        </w:tc>
      </w:tr>
    </w:tbl>
    <w:p w:rsidR="00B355C0" w:rsidRPr="00F76143" w:rsidRDefault="00B355C0" w:rsidP="00B355C0">
      <w:pPr>
        <w:rPr>
          <w:sz w:val="16"/>
          <w:szCs w:val="16"/>
        </w:rPr>
      </w:pPr>
      <w:r w:rsidRPr="00F76143">
        <w:rPr>
          <w:sz w:val="16"/>
          <w:szCs w:val="16"/>
        </w:rPr>
        <w:t>* Total is the sum of bulk HCFC-141b and HCFC-141b contained in imported pre-blended polyols.</w:t>
      </w:r>
    </w:p>
    <w:p w:rsidR="00CD7A3F" w:rsidRPr="00D50A85" w:rsidRDefault="00CD7A3F" w:rsidP="00B355C0"/>
    <w:p w:rsidR="00752420" w:rsidRPr="00A27A71" w:rsidRDefault="00095148" w:rsidP="001939D2">
      <w:pPr>
        <w:pStyle w:val="Heading1"/>
      </w:pPr>
      <w:r w:rsidRPr="00D50A85">
        <w:t>The 2016 consumption</w:t>
      </w:r>
      <w:r w:rsidRPr="00A27A71">
        <w:t xml:space="preserve"> of the </w:t>
      </w:r>
      <w:r w:rsidR="00D50A85">
        <w:t>eight</w:t>
      </w:r>
      <w:r w:rsidRPr="00A27A71">
        <w:t xml:space="preserve"> domestic refrigeration manufacturing enterprises was 462.5</w:t>
      </w:r>
      <w:r w:rsidR="00E51355" w:rsidRPr="00A27A71">
        <w:t> </w:t>
      </w:r>
      <w:r w:rsidRPr="00A27A71">
        <w:t>mt (50.88 ODP tonnes), and the consumption of the 38 SMEs was 74.22 mt (8.16 ODP tonnes)</w:t>
      </w:r>
      <w:r w:rsidR="00EF33F3" w:rsidRPr="00A27A71">
        <w:t>. As this consumption was above Egypt’s remaining consumption eligible for funding of 446.16 mt (49.08</w:t>
      </w:r>
      <w:r w:rsidR="006F4CFF">
        <w:t> </w:t>
      </w:r>
      <w:r w:rsidR="00EF33F3" w:rsidRPr="00A27A71">
        <w:t>ODP tonnes)</w:t>
      </w:r>
      <w:r w:rsidR="00EF33F3" w:rsidRPr="00A27A71">
        <w:rPr>
          <w:rStyle w:val="FootnoteReference"/>
        </w:rPr>
        <w:footnoteReference w:id="9"/>
      </w:r>
      <w:r w:rsidR="00EF33F3" w:rsidRPr="00A27A71">
        <w:t xml:space="preserve">, </w:t>
      </w:r>
      <w:r w:rsidR="00030F34" w:rsidRPr="00A27A71">
        <w:t xml:space="preserve">the Government proposed not to request funding for the conversion of one enterprise in the </w:t>
      </w:r>
      <w:r w:rsidR="001939D2" w:rsidRPr="00A27A71">
        <w:t xml:space="preserve">domestic refrigeration manufacturing </w:t>
      </w:r>
      <w:r w:rsidR="00030F34" w:rsidRPr="00A27A71">
        <w:t>sector (</w:t>
      </w:r>
      <w:r w:rsidR="007D4F92" w:rsidRPr="00A27A71">
        <w:t>Everest</w:t>
      </w:r>
      <w:r w:rsidR="00AF240B" w:rsidRPr="00A27A71">
        <w:t>, with consumption of 90</w:t>
      </w:r>
      <w:r w:rsidR="00982962" w:rsidRPr="00A27A71">
        <w:t> mt</w:t>
      </w:r>
      <w:r w:rsidR="00AF240B" w:rsidRPr="00A27A71">
        <w:t xml:space="preserve"> of HCFC-141b in 2016</w:t>
      </w:r>
      <w:r w:rsidR="006170A2" w:rsidRPr="00A27A71">
        <w:t>) and of 10</w:t>
      </w:r>
      <w:r w:rsidR="008E0439" w:rsidRPr="00A27A71">
        <w:t> </w:t>
      </w:r>
      <w:r w:rsidR="006170A2" w:rsidRPr="00A27A71">
        <w:t>SMEs</w:t>
      </w:r>
      <w:r w:rsidR="00AF240B" w:rsidRPr="00A27A71">
        <w:t xml:space="preserve"> (with consumption of 24.43</w:t>
      </w:r>
      <w:r w:rsidR="00982962" w:rsidRPr="00A27A71">
        <w:t> mt</w:t>
      </w:r>
      <w:r w:rsidR="00AF240B" w:rsidRPr="00A27A71">
        <w:t xml:space="preserve"> of HCFC-141b in 2016)</w:t>
      </w:r>
      <w:r w:rsidR="006170A2" w:rsidRPr="00A27A71">
        <w:t>, bringing the total phase-out of HCFC</w:t>
      </w:r>
      <w:r w:rsidR="008E0439" w:rsidRPr="00A27A71">
        <w:noBreakHyphen/>
      </w:r>
      <w:r w:rsidR="006170A2" w:rsidRPr="00A27A71">
        <w:t xml:space="preserve">141b for which funding was requested in the </w:t>
      </w:r>
      <w:r w:rsidR="001939D2" w:rsidRPr="00A27A71">
        <w:t xml:space="preserve">domestic refrigeration manufacturing </w:t>
      </w:r>
      <w:r w:rsidR="006170A2" w:rsidRPr="00A27A71">
        <w:t>sub-sector to 372.50</w:t>
      </w:r>
      <w:r w:rsidR="00982962" w:rsidRPr="00A27A71">
        <w:t> mt</w:t>
      </w:r>
      <w:r w:rsidR="006170A2" w:rsidRPr="00A27A71">
        <w:t xml:space="preserve"> (40.98</w:t>
      </w:r>
      <w:r w:rsidR="00982962" w:rsidRPr="00A27A71">
        <w:t> ODP tonnes</w:t>
      </w:r>
      <w:r w:rsidR="006170A2" w:rsidRPr="00A27A71">
        <w:t>) and 99.79</w:t>
      </w:r>
      <w:r w:rsidR="00FC34B0" w:rsidRPr="00A27A71">
        <w:t> </w:t>
      </w:r>
      <w:r w:rsidR="006170A2" w:rsidRPr="00A27A71">
        <w:t>m</w:t>
      </w:r>
      <w:r w:rsidR="00FC34B0" w:rsidRPr="00A27A71">
        <w:t>t (10.98 ODP tonnes)</w:t>
      </w:r>
      <w:r w:rsidR="006170A2" w:rsidRPr="00A27A71">
        <w:t xml:space="preserve"> in the remaining </w:t>
      </w:r>
      <w:r w:rsidR="00912B84" w:rsidRPr="00A27A71">
        <w:t>PU insulating foam sub-sector, for a total of 472.29</w:t>
      </w:r>
      <w:r w:rsidR="00982962" w:rsidRPr="00A27A71">
        <w:t> mt</w:t>
      </w:r>
      <w:r w:rsidR="00912B84" w:rsidRPr="00A27A71">
        <w:t xml:space="preserve"> (51.95</w:t>
      </w:r>
      <w:r w:rsidR="00982962" w:rsidRPr="00A27A71">
        <w:t> ODP tonnes</w:t>
      </w:r>
      <w:r w:rsidR="00912B84" w:rsidRPr="00A27A71">
        <w:t>)</w:t>
      </w:r>
      <w:r w:rsidR="00402A98" w:rsidRPr="00A27A71">
        <w:t xml:space="preserve">, on the understanding that </w:t>
      </w:r>
      <w:r w:rsidR="009171BE" w:rsidRPr="00A27A71">
        <w:t xml:space="preserve">the </w:t>
      </w:r>
      <w:r w:rsidR="00402A98" w:rsidRPr="00A27A71">
        <w:t>Government would have flexibility to allocate funding to the eligible enterprises for which funding was not requested, if deemed necessary during implementation</w:t>
      </w:r>
      <w:r w:rsidR="00F451DD" w:rsidRPr="00A27A71">
        <w:t xml:space="preserve">. </w:t>
      </w:r>
      <w:r w:rsidR="00FC34B0" w:rsidRPr="00A27A71">
        <w:t xml:space="preserve">Any additional funding that would be required for the conversions will be covered by the enterprises. </w:t>
      </w:r>
      <w:r w:rsidR="00402A98" w:rsidRPr="00A27A71">
        <w:t xml:space="preserve">The Secretariat considers that providing flexibility to use funding for the eligible enterprises would help </w:t>
      </w:r>
      <w:r w:rsidR="006170A2" w:rsidRPr="00A27A71">
        <w:t>ensure the smooth phase</w:t>
      </w:r>
      <w:r w:rsidR="006F4CFF">
        <w:noBreakHyphen/>
      </w:r>
      <w:r w:rsidR="006170A2" w:rsidRPr="00A27A71">
        <w:t>out of HCFC-141b</w:t>
      </w:r>
      <w:r w:rsidR="00402A98" w:rsidRPr="00A27A71">
        <w:t xml:space="preserve"> in the country and supports this request. </w:t>
      </w:r>
    </w:p>
    <w:p w:rsidR="00105445" w:rsidRPr="00A27A71" w:rsidRDefault="0063081D" w:rsidP="001939D2">
      <w:pPr>
        <w:pStyle w:val="Heading1"/>
      </w:pPr>
      <w:r w:rsidRPr="00A27A71">
        <w:t>On this basis, t</w:t>
      </w:r>
      <w:r w:rsidR="00752420" w:rsidRPr="00A27A71">
        <w:t xml:space="preserve">he Secretariat </w:t>
      </w:r>
      <w:r w:rsidRPr="00A27A71">
        <w:t>and the implementing agencies discussed the proposed costs of the conversion</w:t>
      </w:r>
      <w:r w:rsidR="00535DEF" w:rsidRPr="00A27A71">
        <w:t xml:space="preserve"> and the following adjustments were agreed: funding to convert or replace equipment purchased after the 21 September 2007 cut-off date was removed; equipment that was past its useful life was reduced in accordance with </w:t>
      </w:r>
      <w:r w:rsidR="007F53A9" w:rsidRPr="00A27A71">
        <w:t>decision </w:t>
      </w:r>
      <w:r w:rsidR="005B29A0" w:rsidRPr="00A27A71">
        <w:t xml:space="preserve">18/25; </w:t>
      </w:r>
      <w:r w:rsidR="00105445" w:rsidRPr="00A27A71">
        <w:t xml:space="preserve">the cost of dispenser retrofit </w:t>
      </w:r>
      <w:r w:rsidR="00F2689A" w:rsidRPr="00A27A71">
        <w:t xml:space="preserve">(US $60,000) </w:t>
      </w:r>
      <w:r w:rsidR="00105445" w:rsidRPr="00A27A71">
        <w:t xml:space="preserve">and technical assistance </w:t>
      </w:r>
      <w:r w:rsidR="00F2689A" w:rsidRPr="00A27A71">
        <w:t xml:space="preserve">(between US $10,000 and US $30,000, depending on the enterprise) </w:t>
      </w:r>
      <w:r w:rsidR="00105445" w:rsidRPr="00A27A71">
        <w:t xml:space="preserve">was adjusted; and </w:t>
      </w:r>
      <w:r w:rsidR="00BF70D2" w:rsidRPr="00A27A71">
        <w:t xml:space="preserve">although incremental operating savings were expected, it was agreed on an exceptional basis to set the IOCs to zero. </w:t>
      </w:r>
      <w:r w:rsidR="00105445" w:rsidRPr="00A27A71">
        <w:t xml:space="preserve">The </w:t>
      </w:r>
      <w:r w:rsidR="009171BE" w:rsidRPr="00A27A71">
        <w:t xml:space="preserve">agreed </w:t>
      </w:r>
      <w:r w:rsidR="00105445" w:rsidRPr="00A27A71">
        <w:t xml:space="preserve">cost of the conversions in the </w:t>
      </w:r>
      <w:r w:rsidR="001939D2" w:rsidRPr="00A27A71">
        <w:t>domestic refrigeration manufacturing</w:t>
      </w:r>
      <w:r w:rsidR="00105445" w:rsidRPr="00A27A71">
        <w:t xml:space="preserve"> sub-sector amounted to US $3,</w:t>
      </w:r>
      <w:r w:rsidR="00D50A85">
        <w:t>327</w:t>
      </w:r>
      <w:r w:rsidR="00105445" w:rsidRPr="00A27A71">
        <w:t>,</w:t>
      </w:r>
      <w:r w:rsidR="00D50A85">
        <w:t>50</w:t>
      </w:r>
      <w:r w:rsidR="00105445" w:rsidRPr="00A27A71">
        <w:t>0 and in the remaining PU foam sub-sector US $1,</w:t>
      </w:r>
      <w:r w:rsidR="00B906A2" w:rsidRPr="00A27A71">
        <w:t>227,600</w:t>
      </w:r>
      <w:r w:rsidR="00105445" w:rsidRPr="00A27A71">
        <w:t>. As the remaining consumption of HCFC-141b in bulk and contained in pre-blended polyols eligible for funding, adjusted for the 2016 imports of HCFC-141b contained in pre-blended polyols, was 446.16</w:t>
      </w:r>
      <w:r w:rsidR="00982962" w:rsidRPr="00A27A71">
        <w:t> mt</w:t>
      </w:r>
      <w:r w:rsidR="00105445" w:rsidRPr="00A27A71">
        <w:t xml:space="preserve"> (49.08</w:t>
      </w:r>
      <w:r w:rsidR="00982962" w:rsidRPr="00A27A71">
        <w:t> ODP tonnes</w:t>
      </w:r>
      <w:r w:rsidR="00105445" w:rsidRPr="00A27A71">
        <w:t>), the agreed funding was adjusted accordingly</w:t>
      </w:r>
      <w:r w:rsidR="009171BE" w:rsidRPr="00A27A71">
        <w:t>,</w:t>
      </w:r>
      <w:r w:rsidR="00105445" w:rsidRPr="00A27A71">
        <w:t xml:space="preserve"> resulting in an agreed eligible funding of US $3,036,641</w:t>
      </w:r>
      <w:r w:rsidR="009171BE" w:rsidRPr="00A27A71">
        <w:t xml:space="preserve"> </w:t>
      </w:r>
      <w:r w:rsidR="0007647D" w:rsidRPr="00A27A71">
        <w:t xml:space="preserve">for the </w:t>
      </w:r>
      <w:r w:rsidR="001939D2" w:rsidRPr="00A27A71">
        <w:t>domestic refrigeration manufacturing</w:t>
      </w:r>
      <w:r w:rsidR="0007647D" w:rsidRPr="00A27A71">
        <w:t xml:space="preserve"> sub-sector and US $</w:t>
      </w:r>
      <w:r w:rsidR="00105445" w:rsidRPr="00A27A71">
        <w:t>967,352</w:t>
      </w:r>
      <w:r w:rsidR="0007647D" w:rsidRPr="00A27A71">
        <w:t xml:space="preserve"> for the remaining PU foam sub-sector. </w:t>
      </w:r>
      <w:r w:rsidR="00ED7A64" w:rsidRPr="00A27A71">
        <w:t xml:space="preserve">It was agreed that the date of establishment of the 28 SMEs </w:t>
      </w:r>
      <w:r w:rsidR="005B2656" w:rsidRPr="00A27A71">
        <w:t>w</w:t>
      </w:r>
      <w:r w:rsidR="00ED7A64" w:rsidRPr="00A27A71">
        <w:t xml:space="preserve">ould be confirmed during implementation given the standard clause to the Agreement specifying that any </w:t>
      </w:r>
      <w:r w:rsidR="00ED7A64" w:rsidRPr="00A27A71">
        <w:lastRenderedPageBreak/>
        <w:t>enterprise found to be ineligible would not receive financial assistance, and that this information would be reported as part of the Tranche Implementation Plan.</w:t>
      </w:r>
    </w:p>
    <w:p w:rsidR="00C905D9" w:rsidRPr="00A27A71" w:rsidRDefault="0007647D" w:rsidP="00882706">
      <w:pPr>
        <w:pStyle w:val="Heading1"/>
      </w:pPr>
      <w:r w:rsidRPr="00A27A71">
        <w:t xml:space="preserve">The Government of Egypt agreed to </w:t>
      </w:r>
      <w:r w:rsidR="00752420" w:rsidRPr="00A27A71">
        <w:t xml:space="preserve">implement a ban </w:t>
      </w:r>
      <w:r w:rsidR="00574973" w:rsidRPr="00A27A71">
        <w:t xml:space="preserve">on </w:t>
      </w:r>
      <w:r w:rsidRPr="00A27A71">
        <w:t xml:space="preserve">the </w:t>
      </w:r>
      <w:r w:rsidR="00752420" w:rsidRPr="00A27A71">
        <w:t>import, use and export of HCFC</w:t>
      </w:r>
      <w:r w:rsidR="005D1FF4" w:rsidRPr="00A27A71">
        <w:noBreakHyphen/>
      </w:r>
      <w:r w:rsidR="00752420" w:rsidRPr="00A27A71">
        <w:t xml:space="preserve">141b in bulk </w:t>
      </w:r>
      <w:r w:rsidRPr="00A27A71">
        <w:t>and export of HCFC-141b contained in pre-blended polyols by 1 January 2020, and re-affirmed its commitment to ban the import of HCFC-141b contained in imported pre-blended polyols by 1</w:t>
      </w:r>
      <w:r w:rsidR="008E0439" w:rsidRPr="00A27A71">
        <w:t> </w:t>
      </w:r>
      <w:r w:rsidRPr="00A27A71">
        <w:t xml:space="preserve">January 2018. </w:t>
      </w:r>
      <w:r w:rsidR="00574973" w:rsidRPr="00A27A71">
        <w:t>Table </w:t>
      </w:r>
      <w:r w:rsidR="00F76143">
        <w:t>11</w:t>
      </w:r>
      <w:r w:rsidR="00574973" w:rsidRPr="00A27A71">
        <w:t xml:space="preserve"> contains the agreed activities and costs for the PU foam sector.</w:t>
      </w:r>
    </w:p>
    <w:p w:rsidR="00C905D9" w:rsidRPr="00A27A71" w:rsidRDefault="00CC2593" w:rsidP="0069138E">
      <w:pPr>
        <w:pStyle w:val="Heading1"/>
        <w:keepNext/>
        <w:keepLines/>
        <w:numPr>
          <w:ilvl w:val="0"/>
          <w:numId w:val="0"/>
        </w:numPr>
        <w:spacing w:after="0"/>
        <w:rPr>
          <w:b/>
        </w:rPr>
      </w:pPr>
      <w:r w:rsidRPr="00A27A71">
        <w:rPr>
          <w:b/>
        </w:rPr>
        <w:t xml:space="preserve">Table </w:t>
      </w:r>
      <w:r w:rsidR="00F76143">
        <w:rPr>
          <w:b/>
        </w:rPr>
        <w:t>11</w:t>
      </w:r>
      <w:r w:rsidR="00C905D9" w:rsidRPr="00A27A71">
        <w:rPr>
          <w:b/>
        </w:rPr>
        <w:t xml:space="preserve">. Agreed activities and costs for the </w:t>
      </w:r>
      <w:r w:rsidR="00752420" w:rsidRPr="00A27A71">
        <w:rPr>
          <w:b/>
        </w:rPr>
        <w:t xml:space="preserve">PU </w:t>
      </w:r>
      <w:r w:rsidR="00C905D9" w:rsidRPr="00A27A71">
        <w:rPr>
          <w:b/>
        </w:rPr>
        <w:t>foam sector</w:t>
      </w:r>
    </w:p>
    <w:tbl>
      <w:tblPr>
        <w:tblW w:w="5000" w:type="pct"/>
        <w:tblLook w:val="04A0" w:firstRow="1" w:lastRow="0" w:firstColumn="1" w:lastColumn="0" w:noHBand="0" w:noVBand="1"/>
      </w:tblPr>
      <w:tblGrid>
        <w:gridCol w:w="1805"/>
        <w:gridCol w:w="1777"/>
        <w:gridCol w:w="1931"/>
        <w:gridCol w:w="2697"/>
        <w:gridCol w:w="1366"/>
      </w:tblGrid>
      <w:tr w:rsidR="00C90C30" w:rsidRPr="00A27A71" w:rsidTr="00BD650A">
        <w:trPr>
          <w:trHeight w:val="300"/>
        </w:trPr>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rsidR="00837D96" w:rsidRPr="00A27A71" w:rsidRDefault="00BD650A" w:rsidP="0069138E">
            <w:pPr>
              <w:keepNext/>
              <w:keepLines/>
              <w:jc w:val="center"/>
              <w:rPr>
                <w:b/>
                <w:bCs/>
                <w:color w:val="000000"/>
                <w:sz w:val="20"/>
                <w:szCs w:val="20"/>
              </w:rPr>
            </w:pPr>
            <w:r w:rsidRPr="00A27A71">
              <w:rPr>
                <w:b/>
                <w:bCs/>
                <w:color w:val="000000"/>
                <w:sz w:val="20"/>
                <w:szCs w:val="20"/>
              </w:rPr>
              <w:t>Enterprises</w:t>
            </w:r>
          </w:p>
        </w:tc>
        <w:tc>
          <w:tcPr>
            <w:tcW w:w="906" w:type="pct"/>
            <w:tcBorders>
              <w:top w:val="single" w:sz="4" w:space="0" w:color="auto"/>
              <w:left w:val="nil"/>
              <w:bottom w:val="single" w:sz="4" w:space="0" w:color="auto"/>
              <w:right w:val="single" w:sz="4" w:space="0" w:color="auto"/>
            </w:tcBorders>
            <w:shd w:val="clear" w:color="auto" w:fill="auto"/>
            <w:noWrap/>
            <w:hideMark/>
          </w:tcPr>
          <w:p w:rsidR="00837D96" w:rsidRPr="00A27A71" w:rsidRDefault="00837D96" w:rsidP="0069138E">
            <w:pPr>
              <w:keepNext/>
              <w:keepLines/>
              <w:jc w:val="center"/>
              <w:rPr>
                <w:b/>
                <w:bCs/>
                <w:color w:val="000000"/>
                <w:sz w:val="20"/>
                <w:szCs w:val="20"/>
              </w:rPr>
            </w:pPr>
            <w:r w:rsidRPr="00A27A71">
              <w:rPr>
                <w:b/>
                <w:bCs/>
                <w:color w:val="000000"/>
                <w:sz w:val="20"/>
                <w:szCs w:val="20"/>
              </w:rPr>
              <w:t>HCFC-141b (mt)</w:t>
            </w:r>
            <w:r w:rsidR="009D2248" w:rsidRPr="00A27A71">
              <w:rPr>
                <w:b/>
                <w:bCs/>
                <w:color w:val="000000"/>
                <w:sz w:val="20"/>
                <w:szCs w:val="20"/>
              </w:rPr>
              <w:t>*</w:t>
            </w:r>
          </w:p>
        </w:tc>
        <w:tc>
          <w:tcPr>
            <w:tcW w:w="1015" w:type="pct"/>
            <w:tcBorders>
              <w:top w:val="single" w:sz="4" w:space="0" w:color="auto"/>
              <w:left w:val="nil"/>
              <w:bottom w:val="single" w:sz="4" w:space="0" w:color="auto"/>
              <w:right w:val="single" w:sz="4" w:space="0" w:color="auto"/>
            </w:tcBorders>
            <w:shd w:val="clear" w:color="auto" w:fill="auto"/>
            <w:noWrap/>
            <w:hideMark/>
          </w:tcPr>
          <w:p w:rsidR="00837D96" w:rsidRPr="00A27A71" w:rsidRDefault="00837D96" w:rsidP="0069138E">
            <w:pPr>
              <w:keepNext/>
              <w:keepLines/>
              <w:jc w:val="center"/>
              <w:rPr>
                <w:b/>
                <w:bCs/>
                <w:color w:val="000000"/>
                <w:sz w:val="20"/>
                <w:szCs w:val="20"/>
              </w:rPr>
            </w:pPr>
            <w:r w:rsidRPr="00A27A71">
              <w:rPr>
                <w:b/>
                <w:bCs/>
                <w:color w:val="000000"/>
                <w:sz w:val="20"/>
                <w:szCs w:val="20"/>
              </w:rPr>
              <w:t>Cost (US $)</w:t>
            </w:r>
          </w:p>
        </w:tc>
        <w:tc>
          <w:tcPr>
            <w:tcW w:w="1415" w:type="pct"/>
            <w:tcBorders>
              <w:top w:val="single" w:sz="4" w:space="0" w:color="auto"/>
              <w:left w:val="nil"/>
              <w:bottom w:val="single" w:sz="4" w:space="0" w:color="auto"/>
              <w:right w:val="single" w:sz="4" w:space="0" w:color="auto"/>
            </w:tcBorders>
            <w:shd w:val="clear" w:color="auto" w:fill="auto"/>
            <w:noWrap/>
            <w:hideMark/>
          </w:tcPr>
          <w:p w:rsidR="00837D96" w:rsidRPr="00A27A71" w:rsidRDefault="00837D96" w:rsidP="0069138E">
            <w:pPr>
              <w:keepNext/>
              <w:keepLines/>
              <w:jc w:val="center"/>
              <w:rPr>
                <w:b/>
                <w:bCs/>
                <w:color w:val="000000"/>
                <w:sz w:val="20"/>
                <w:szCs w:val="20"/>
              </w:rPr>
            </w:pPr>
            <w:r w:rsidRPr="00A27A71">
              <w:rPr>
                <w:b/>
                <w:bCs/>
                <w:color w:val="000000"/>
                <w:sz w:val="20"/>
                <w:szCs w:val="20"/>
              </w:rPr>
              <w:t>Requested funding (</w:t>
            </w:r>
            <w:r w:rsidR="0013662C" w:rsidRPr="00A27A71">
              <w:rPr>
                <w:b/>
                <w:bCs/>
                <w:color w:val="000000"/>
                <w:sz w:val="20"/>
                <w:szCs w:val="20"/>
              </w:rPr>
              <w:t>US $</w:t>
            </w:r>
            <w:r w:rsidRPr="00A27A71">
              <w:rPr>
                <w:b/>
                <w:bCs/>
                <w:color w:val="000000"/>
                <w:sz w:val="20"/>
                <w:szCs w:val="20"/>
              </w:rPr>
              <w:t>)</w:t>
            </w:r>
          </w:p>
        </w:tc>
        <w:tc>
          <w:tcPr>
            <w:tcW w:w="714" w:type="pct"/>
            <w:tcBorders>
              <w:top w:val="single" w:sz="4" w:space="0" w:color="auto"/>
              <w:left w:val="nil"/>
              <w:bottom w:val="single" w:sz="4" w:space="0" w:color="auto"/>
              <w:right w:val="single" w:sz="4" w:space="0" w:color="auto"/>
            </w:tcBorders>
            <w:shd w:val="clear" w:color="auto" w:fill="auto"/>
            <w:noWrap/>
            <w:hideMark/>
          </w:tcPr>
          <w:p w:rsidR="00837D96" w:rsidRPr="00A27A71" w:rsidRDefault="00837D96" w:rsidP="0069138E">
            <w:pPr>
              <w:keepNext/>
              <w:keepLines/>
              <w:jc w:val="center"/>
              <w:rPr>
                <w:b/>
                <w:bCs/>
                <w:color w:val="000000"/>
                <w:sz w:val="20"/>
                <w:szCs w:val="20"/>
              </w:rPr>
            </w:pPr>
            <w:r w:rsidRPr="00A27A71">
              <w:rPr>
                <w:b/>
                <w:bCs/>
                <w:color w:val="000000"/>
                <w:sz w:val="20"/>
                <w:szCs w:val="20"/>
              </w:rPr>
              <w:t>CE (US $/kg)</w:t>
            </w:r>
          </w:p>
        </w:tc>
      </w:tr>
      <w:tr w:rsidR="00C90C30" w:rsidRPr="00A27A71" w:rsidTr="00BD650A">
        <w:trPr>
          <w:trHeight w:val="89"/>
        </w:trPr>
        <w:tc>
          <w:tcPr>
            <w:tcW w:w="950" w:type="pct"/>
            <w:tcBorders>
              <w:top w:val="nil"/>
              <w:left w:val="single" w:sz="4" w:space="0" w:color="auto"/>
              <w:bottom w:val="single" w:sz="4" w:space="0" w:color="auto"/>
              <w:right w:val="single" w:sz="4" w:space="0" w:color="auto"/>
            </w:tcBorders>
            <w:shd w:val="clear" w:color="auto" w:fill="auto"/>
            <w:noWrap/>
            <w:hideMark/>
          </w:tcPr>
          <w:p w:rsidR="00837D96" w:rsidRPr="00A27A71" w:rsidRDefault="00837D96" w:rsidP="00BD650A">
            <w:pPr>
              <w:jc w:val="left"/>
              <w:rPr>
                <w:color w:val="000000"/>
                <w:sz w:val="20"/>
                <w:szCs w:val="20"/>
              </w:rPr>
            </w:pPr>
            <w:r w:rsidRPr="00A27A71">
              <w:rPr>
                <w:color w:val="000000"/>
                <w:sz w:val="20"/>
                <w:szCs w:val="20"/>
              </w:rPr>
              <w:t>Bahgat</w:t>
            </w:r>
          </w:p>
        </w:tc>
        <w:tc>
          <w:tcPr>
            <w:tcW w:w="906"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32.5</w:t>
            </w:r>
          </w:p>
        </w:tc>
        <w:tc>
          <w:tcPr>
            <w:tcW w:w="10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275,000 </w:t>
            </w:r>
          </w:p>
        </w:tc>
        <w:tc>
          <w:tcPr>
            <w:tcW w:w="14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259,787 </w:t>
            </w:r>
          </w:p>
        </w:tc>
        <w:tc>
          <w:tcPr>
            <w:tcW w:w="714"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7.99 </w:t>
            </w:r>
          </w:p>
        </w:tc>
      </w:tr>
      <w:tr w:rsidR="00C90C30" w:rsidRPr="00A27A71" w:rsidTr="00BD650A">
        <w:trPr>
          <w:trHeight w:val="125"/>
        </w:trPr>
        <w:tc>
          <w:tcPr>
            <w:tcW w:w="950" w:type="pct"/>
            <w:tcBorders>
              <w:top w:val="nil"/>
              <w:left w:val="single" w:sz="4" w:space="0" w:color="auto"/>
              <w:bottom w:val="single" w:sz="4" w:space="0" w:color="auto"/>
              <w:right w:val="single" w:sz="4" w:space="0" w:color="auto"/>
            </w:tcBorders>
            <w:shd w:val="clear" w:color="auto" w:fill="auto"/>
            <w:noWrap/>
            <w:hideMark/>
          </w:tcPr>
          <w:p w:rsidR="00837D96" w:rsidRPr="00A27A71" w:rsidRDefault="00837D96" w:rsidP="00BD650A">
            <w:pPr>
              <w:jc w:val="left"/>
              <w:rPr>
                <w:color w:val="000000"/>
                <w:sz w:val="20"/>
                <w:szCs w:val="20"/>
              </w:rPr>
            </w:pPr>
            <w:r w:rsidRPr="00A27A71">
              <w:rPr>
                <w:color w:val="000000"/>
                <w:sz w:val="20"/>
                <w:szCs w:val="20"/>
              </w:rPr>
              <w:t>Fresh</w:t>
            </w:r>
          </w:p>
        </w:tc>
        <w:tc>
          <w:tcPr>
            <w:tcW w:w="906"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130</w:t>
            </w:r>
          </w:p>
        </w:tc>
        <w:tc>
          <w:tcPr>
            <w:tcW w:w="10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808,500 </w:t>
            </w:r>
          </w:p>
        </w:tc>
        <w:tc>
          <w:tcPr>
            <w:tcW w:w="14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763,775 </w:t>
            </w:r>
          </w:p>
        </w:tc>
        <w:tc>
          <w:tcPr>
            <w:tcW w:w="714"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5.88 </w:t>
            </w:r>
          </w:p>
        </w:tc>
      </w:tr>
      <w:tr w:rsidR="00C90C30" w:rsidRPr="00A27A71" w:rsidTr="00BD650A">
        <w:trPr>
          <w:trHeight w:val="62"/>
        </w:trPr>
        <w:tc>
          <w:tcPr>
            <w:tcW w:w="950" w:type="pct"/>
            <w:tcBorders>
              <w:top w:val="nil"/>
              <w:left w:val="single" w:sz="4" w:space="0" w:color="auto"/>
              <w:bottom w:val="single" w:sz="4" w:space="0" w:color="auto"/>
              <w:right w:val="single" w:sz="4" w:space="0" w:color="auto"/>
            </w:tcBorders>
            <w:shd w:val="clear" w:color="auto" w:fill="auto"/>
            <w:noWrap/>
            <w:hideMark/>
          </w:tcPr>
          <w:p w:rsidR="00837D96" w:rsidRPr="00A27A71" w:rsidRDefault="00837D96" w:rsidP="00BD650A">
            <w:pPr>
              <w:jc w:val="left"/>
              <w:rPr>
                <w:color w:val="000000"/>
                <w:sz w:val="20"/>
                <w:szCs w:val="20"/>
              </w:rPr>
            </w:pPr>
            <w:r w:rsidRPr="00A27A71">
              <w:rPr>
                <w:color w:val="000000"/>
                <w:sz w:val="20"/>
                <w:szCs w:val="20"/>
              </w:rPr>
              <w:t>Ocean</w:t>
            </w:r>
          </w:p>
        </w:tc>
        <w:tc>
          <w:tcPr>
            <w:tcW w:w="906"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7</w:t>
            </w:r>
          </w:p>
        </w:tc>
        <w:tc>
          <w:tcPr>
            <w:tcW w:w="10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159,500 </w:t>
            </w:r>
          </w:p>
        </w:tc>
        <w:tc>
          <w:tcPr>
            <w:tcW w:w="14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144,978 </w:t>
            </w:r>
          </w:p>
        </w:tc>
        <w:tc>
          <w:tcPr>
            <w:tcW w:w="714"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20.71 </w:t>
            </w:r>
          </w:p>
        </w:tc>
      </w:tr>
      <w:tr w:rsidR="00C90C30" w:rsidRPr="00A27A71" w:rsidTr="00BD650A">
        <w:trPr>
          <w:trHeight w:val="89"/>
        </w:trPr>
        <w:tc>
          <w:tcPr>
            <w:tcW w:w="950" w:type="pct"/>
            <w:tcBorders>
              <w:top w:val="nil"/>
              <w:left w:val="single" w:sz="4" w:space="0" w:color="auto"/>
              <w:bottom w:val="single" w:sz="4" w:space="0" w:color="auto"/>
              <w:right w:val="single" w:sz="4" w:space="0" w:color="auto"/>
            </w:tcBorders>
            <w:shd w:val="clear" w:color="auto" w:fill="auto"/>
            <w:noWrap/>
            <w:hideMark/>
          </w:tcPr>
          <w:p w:rsidR="00837D96" w:rsidRPr="00A27A71" w:rsidRDefault="00837D96" w:rsidP="00BD650A">
            <w:pPr>
              <w:jc w:val="left"/>
              <w:rPr>
                <w:color w:val="000000"/>
                <w:sz w:val="20"/>
                <w:szCs w:val="20"/>
              </w:rPr>
            </w:pPr>
            <w:r w:rsidRPr="00A27A71">
              <w:rPr>
                <w:color w:val="000000"/>
                <w:sz w:val="20"/>
                <w:szCs w:val="20"/>
              </w:rPr>
              <w:t>Siltal</w:t>
            </w:r>
          </w:p>
        </w:tc>
        <w:tc>
          <w:tcPr>
            <w:tcW w:w="906"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17</w:t>
            </w:r>
          </w:p>
        </w:tc>
        <w:tc>
          <w:tcPr>
            <w:tcW w:w="10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429,000 </w:t>
            </w:r>
          </w:p>
        </w:tc>
        <w:tc>
          <w:tcPr>
            <w:tcW w:w="14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352,090 </w:t>
            </w:r>
          </w:p>
        </w:tc>
        <w:tc>
          <w:tcPr>
            <w:tcW w:w="714"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20.71 </w:t>
            </w:r>
          </w:p>
        </w:tc>
      </w:tr>
      <w:tr w:rsidR="00C90C30" w:rsidRPr="00A27A71" w:rsidTr="00BD650A">
        <w:trPr>
          <w:trHeight w:val="125"/>
        </w:trPr>
        <w:tc>
          <w:tcPr>
            <w:tcW w:w="950" w:type="pct"/>
            <w:tcBorders>
              <w:top w:val="nil"/>
              <w:left w:val="single" w:sz="4" w:space="0" w:color="auto"/>
              <w:bottom w:val="single" w:sz="4" w:space="0" w:color="auto"/>
              <w:right w:val="single" w:sz="4" w:space="0" w:color="auto"/>
            </w:tcBorders>
            <w:shd w:val="clear" w:color="auto" w:fill="auto"/>
            <w:noWrap/>
            <w:hideMark/>
          </w:tcPr>
          <w:p w:rsidR="00837D96" w:rsidRPr="00A27A71" w:rsidRDefault="00837D96" w:rsidP="00BD650A">
            <w:pPr>
              <w:jc w:val="left"/>
              <w:rPr>
                <w:color w:val="000000"/>
                <w:sz w:val="20"/>
                <w:szCs w:val="20"/>
              </w:rPr>
            </w:pPr>
            <w:r w:rsidRPr="00A27A71">
              <w:rPr>
                <w:color w:val="000000"/>
                <w:sz w:val="20"/>
                <w:szCs w:val="20"/>
              </w:rPr>
              <w:t>Star</w:t>
            </w:r>
          </w:p>
        </w:tc>
        <w:tc>
          <w:tcPr>
            <w:tcW w:w="906"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60</w:t>
            </w:r>
          </w:p>
        </w:tc>
        <w:tc>
          <w:tcPr>
            <w:tcW w:w="10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588,500 </w:t>
            </w:r>
          </w:p>
        </w:tc>
        <w:tc>
          <w:tcPr>
            <w:tcW w:w="14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555,945 </w:t>
            </w:r>
          </w:p>
        </w:tc>
        <w:tc>
          <w:tcPr>
            <w:tcW w:w="714"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9.27 </w:t>
            </w:r>
          </w:p>
        </w:tc>
      </w:tr>
      <w:tr w:rsidR="00C90C30" w:rsidRPr="00A27A71" w:rsidTr="00BD650A">
        <w:trPr>
          <w:trHeight w:val="62"/>
        </w:trPr>
        <w:tc>
          <w:tcPr>
            <w:tcW w:w="950" w:type="pct"/>
            <w:tcBorders>
              <w:top w:val="nil"/>
              <w:left w:val="single" w:sz="4" w:space="0" w:color="auto"/>
              <w:bottom w:val="single" w:sz="4" w:space="0" w:color="auto"/>
              <w:right w:val="single" w:sz="4" w:space="0" w:color="auto"/>
            </w:tcBorders>
            <w:shd w:val="clear" w:color="auto" w:fill="auto"/>
            <w:noWrap/>
            <w:hideMark/>
          </w:tcPr>
          <w:p w:rsidR="00837D96" w:rsidRPr="00A27A71" w:rsidRDefault="00837D96" w:rsidP="00BD650A">
            <w:pPr>
              <w:jc w:val="left"/>
              <w:rPr>
                <w:color w:val="000000"/>
                <w:sz w:val="20"/>
                <w:szCs w:val="20"/>
              </w:rPr>
            </w:pPr>
            <w:r w:rsidRPr="00A27A71">
              <w:rPr>
                <w:color w:val="000000"/>
                <w:sz w:val="20"/>
                <w:szCs w:val="20"/>
              </w:rPr>
              <w:t>TopMaker</w:t>
            </w:r>
          </w:p>
        </w:tc>
        <w:tc>
          <w:tcPr>
            <w:tcW w:w="906"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16</w:t>
            </w:r>
          </w:p>
        </w:tc>
        <w:tc>
          <w:tcPr>
            <w:tcW w:w="10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401,500 </w:t>
            </w:r>
          </w:p>
        </w:tc>
        <w:tc>
          <w:tcPr>
            <w:tcW w:w="14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331,379 </w:t>
            </w:r>
          </w:p>
        </w:tc>
        <w:tc>
          <w:tcPr>
            <w:tcW w:w="714"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20.71 </w:t>
            </w:r>
          </w:p>
        </w:tc>
      </w:tr>
      <w:tr w:rsidR="00C90C30" w:rsidRPr="00A27A71" w:rsidTr="00BD650A">
        <w:trPr>
          <w:trHeight w:val="89"/>
        </w:trPr>
        <w:tc>
          <w:tcPr>
            <w:tcW w:w="950" w:type="pct"/>
            <w:tcBorders>
              <w:top w:val="nil"/>
              <w:left w:val="single" w:sz="4" w:space="0" w:color="auto"/>
              <w:bottom w:val="single" w:sz="4" w:space="0" w:color="auto"/>
              <w:right w:val="single" w:sz="4" w:space="0" w:color="auto"/>
            </w:tcBorders>
            <w:shd w:val="clear" w:color="auto" w:fill="auto"/>
            <w:noWrap/>
            <w:hideMark/>
          </w:tcPr>
          <w:p w:rsidR="00837D96" w:rsidRPr="00A27A71" w:rsidRDefault="00837D96" w:rsidP="00BD650A">
            <w:pPr>
              <w:jc w:val="left"/>
              <w:rPr>
                <w:color w:val="000000"/>
                <w:sz w:val="20"/>
                <w:szCs w:val="20"/>
              </w:rPr>
            </w:pPr>
            <w:r w:rsidRPr="00A27A71">
              <w:rPr>
                <w:color w:val="000000"/>
                <w:sz w:val="20"/>
                <w:szCs w:val="20"/>
              </w:rPr>
              <w:t>Tredco</w:t>
            </w:r>
          </w:p>
        </w:tc>
        <w:tc>
          <w:tcPr>
            <w:tcW w:w="906"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110</w:t>
            </w:r>
          </w:p>
        </w:tc>
        <w:tc>
          <w:tcPr>
            <w:tcW w:w="10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665,500 </w:t>
            </w:r>
          </w:p>
        </w:tc>
        <w:tc>
          <w:tcPr>
            <w:tcW w:w="14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628,686 </w:t>
            </w:r>
          </w:p>
        </w:tc>
        <w:tc>
          <w:tcPr>
            <w:tcW w:w="714"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5.72 </w:t>
            </w:r>
          </w:p>
        </w:tc>
      </w:tr>
      <w:tr w:rsidR="00C90C30" w:rsidRPr="00A27A71" w:rsidTr="00BD650A">
        <w:trPr>
          <w:trHeight w:val="125"/>
        </w:trPr>
        <w:tc>
          <w:tcPr>
            <w:tcW w:w="950" w:type="pct"/>
            <w:tcBorders>
              <w:top w:val="nil"/>
              <w:left w:val="single" w:sz="4" w:space="0" w:color="auto"/>
              <w:bottom w:val="single" w:sz="4" w:space="0" w:color="auto"/>
              <w:right w:val="single" w:sz="4" w:space="0" w:color="auto"/>
            </w:tcBorders>
            <w:shd w:val="clear" w:color="auto" w:fill="auto"/>
            <w:noWrap/>
            <w:hideMark/>
          </w:tcPr>
          <w:p w:rsidR="00837D96" w:rsidRPr="00A27A71" w:rsidRDefault="00837D96" w:rsidP="00BD650A">
            <w:pPr>
              <w:jc w:val="left"/>
              <w:rPr>
                <w:color w:val="000000"/>
                <w:sz w:val="20"/>
                <w:szCs w:val="20"/>
              </w:rPr>
            </w:pPr>
            <w:r w:rsidRPr="00A27A71">
              <w:rPr>
                <w:color w:val="000000"/>
                <w:sz w:val="20"/>
                <w:szCs w:val="20"/>
              </w:rPr>
              <w:t>Kiriazi</w:t>
            </w:r>
          </w:p>
        </w:tc>
        <w:tc>
          <w:tcPr>
            <w:tcW w:w="906"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18</w:t>
            </w:r>
          </w:p>
        </w:tc>
        <w:tc>
          <w:tcPr>
            <w:tcW w:w="10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165,000 </w:t>
            </w:r>
          </w:p>
        </w:tc>
        <w:tc>
          <w:tcPr>
            <w:tcW w:w="14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155,872 </w:t>
            </w:r>
          </w:p>
        </w:tc>
        <w:tc>
          <w:tcPr>
            <w:tcW w:w="714"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8.66 </w:t>
            </w:r>
          </w:p>
        </w:tc>
      </w:tr>
      <w:tr w:rsidR="00C90C30" w:rsidRPr="00A27A71" w:rsidTr="00BD650A">
        <w:trPr>
          <w:trHeight w:val="62"/>
        </w:trPr>
        <w:tc>
          <w:tcPr>
            <w:tcW w:w="950" w:type="pct"/>
            <w:tcBorders>
              <w:top w:val="nil"/>
              <w:left w:val="single" w:sz="4" w:space="0" w:color="auto"/>
              <w:bottom w:val="single" w:sz="4" w:space="0" w:color="auto"/>
              <w:right w:val="single" w:sz="4" w:space="0" w:color="auto"/>
            </w:tcBorders>
            <w:shd w:val="clear" w:color="auto" w:fill="auto"/>
            <w:noWrap/>
            <w:hideMark/>
          </w:tcPr>
          <w:p w:rsidR="00837D96" w:rsidRPr="00A27A71" w:rsidRDefault="00837D96" w:rsidP="00BD650A">
            <w:pPr>
              <w:jc w:val="left"/>
              <w:rPr>
                <w:color w:val="000000"/>
                <w:sz w:val="20"/>
                <w:szCs w:val="20"/>
              </w:rPr>
            </w:pPr>
            <w:r w:rsidRPr="00A27A71">
              <w:rPr>
                <w:color w:val="000000"/>
                <w:sz w:val="20"/>
                <w:szCs w:val="20"/>
              </w:rPr>
              <w:t>Electrostar</w:t>
            </w:r>
          </w:p>
        </w:tc>
        <w:tc>
          <w:tcPr>
            <w:tcW w:w="906"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32</w:t>
            </w:r>
          </w:p>
        </w:tc>
        <w:tc>
          <w:tcPr>
            <w:tcW w:w="10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352,000 </w:t>
            </w:r>
          </w:p>
        </w:tc>
        <w:tc>
          <w:tcPr>
            <w:tcW w:w="14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295,874 </w:t>
            </w:r>
          </w:p>
        </w:tc>
        <w:tc>
          <w:tcPr>
            <w:tcW w:w="714"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9.25 </w:t>
            </w:r>
          </w:p>
        </w:tc>
      </w:tr>
      <w:tr w:rsidR="00C90C30" w:rsidRPr="00A27A71" w:rsidTr="00BD650A">
        <w:trPr>
          <w:trHeight w:val="89"/>
        </w:trPr>
        <w:tc>
          <w:tcPr>
            <w:tcW w:w="950" w:type="pct"/>
            <w:tcBorders>
              <w:top w:val="nil"/>
              <w:left w:val="single" w:sz="4" w:space="0" w:color="auto"/>
              <w:bottom w:val="single" w:sz="4" w:space="0" w:color="auto"/>
              <w:right w:val="single" w:sz="4" w:space="0" w:color="auto"/>
            </w:tcBorders>
            <w:shd w:val="clear" w:color="auto" w:fill="auto"/>
            <w:noWrap/>
            <w:hideMark/>
          </w:tcPr>
          <w:p w:rsidR="00837D96" w:rsidRPr="00A27A71" w:rsidRDefault="00837D96" w:rsidP="00BD650A">
            <w:pPr>
              <w:jc w:val="left"/>
              <w:rPr>
                <w:color w:val="000000"/>
                <w:sz w:val="20"/>
                <w:szCs w:val="20"/>
              </w:rPr>
            </w:pPr>
            <w:r w:rsidRPr="00A27A71">
              <w:rPr>
                <w:color w:val="000000"/>
                <w:sz w:val="20"/>
                <w:szCs w:val="20"/>
              </w:rPr>
              <w:t>28 SMEs</w:t>
            </w:r>
          </w:p>
        </w:tc>
        <w:tc>
          <w:tcPr>
            <w:tcW w:w="906"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49.79</w:t>
            </w:r>
          </w:p>
        </w:tc>
        <w:tc>
          <w:tcPr>
            <w:tcW w:w="10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710,600 </w:t>
            </w:r>
          </w:p>
        </w:tc>
        <w:tc>
          <w:tcPr>
            <w:tcW w:w="14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515,605 </w:t>
            </w:r>
          </w:p>
        </w:tc>
        <w:tc>
          <w:tcPr>
            <w:tcW w:w="714"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color w:val="000000"/>
                <w:sz w:val="20"/>
                <w:szCs w:val="20"/>
              </w:rPr>
            </w:pPr>
            <w:r w:rsidRPr="00A27A71">
              <w:rPr>
                <w:color w:val="000000"/>
                <w:sz w:val="20"/>
                <w:szCs w:val="20"/>
              </w:rPr>
              <w:t xml:space="preserve">              10.36 </w:t>
            </w:r>
          </w:p>
        </w:tc>
      </w:tr>
      <w:tr w:rsidR="00C90C30" w:rsidRPr="00A27A71" w:rsidTr="000370D2">
        <w:trPr>
          <w:trHeight w:val="125"/>
        </w:trPr>
        <w:tc>
          <w:tcPr>
            <w:tcW w:w="950" w:type="pct"/>
            <w:tcBorders>
              <w:top w:val="nil"/>
              <w:left w:val="single" w:sz="4" w:space="0" w:color="auto"/>
              <w:bottom w:val="single" w:sz="4" w:space="0" w:color="auto"/>
              <w:right w:val="single" w:sz="4" w:space="0" w:color="auto"/>
            </w:tcBorders>
            <w:shd w:val="clear" w:color="auto" w:fill="auto"/>
            <w:noWrap/>
            <w:hideMark/>
          </w:tcPr>
          <w:p w:rsidR="00837D96" w:rsidRPr="00A27A71" w:rsidRDefault="000370D2" w:rsidP="000370D2">
            <w:pPr>
              <w:jc w:val="left"/>
              <w:rPr>
                <w:b/>
                <w:bCs/>
                <w:color w:val="000000"/>
                <w:sz w:val="20"/>
                <w:szCs w:val="20"/>
              </w:rPr>
            </w:pPr>
            <w:r w:rsidRPr="00A27A71">
              <w:rPr>
                <w:b/>
                <w:bCs/>
                <w:color w:val="000000"/>
                <w:sz w:val="20"/>
                <w:szCs w:val="20"/>
              </w:rPr>
              <w:t>Sub-t</w:t>
            </w:r>
            <w:r w:rsidR="00837D96" w:rsidRPr="00A27A71">
              <w:rPr>
                <w:b/>
                <w:bCs/>
                <w:color w:val="000000"/>
                <w:sz w:val="20"/>
                <w:szCs w:val="20"/>
              </w:rPr>
              <w:t>otal</w:t>
            </w:r>
          </w:p>
        </w:tc>
        <w:tc>
          <w:tcPr>
            <w:tcW w:w="906"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b/>
                <w:color w:val="000000"/>
                <w:sz w:val="20"/>
                <w:szCs w:val="20"/>
              </w:rPr>
            </w:pPr>
            <w:r w:rsidRPr="00A27A71">
              <w:rPr>
                <w:b/>
                <w:color w:val="000000"/>
                <w:sz w:val="20"/>
                <w:szCs w:val="20"/>
              </w:rPr>
              <w:t>472.29</w:t>
            </w:r>
          </w:p>
        </w:tc>
        <w:tc>
          <w:tcPr>
            <w:tcW w:w="10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b/>
                <w:color w:val="000000"/>
                <w:sz w:val="20"/>
                <w:szCs w:val="20"/>
              </w:rPr>
            </w:pPr>
            <w:r w:rsidRPr="00A27A71">
              <w:rPr>
                <w:b/>
                <w:color w:val="000000"/>
                <w:sz w:val="20"/>
                <w:szCs w:val="20"/>
              </w:rPr>
              <w:t xml:space="preserve">    4,555,100 </w:t>
            </w:r>
          </w:p>
        </w:tc>
        <w:tc>
          <w:tcPr>
            <w:tcW w:w="1415"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b/>
                <w:color w:val="000000"/>
                <w:sz w:val="20"/>
                <w:szCs w:val="20"/>
              </w:rPr>
            </w:pPr>
            <w:r w:rsidRPr="00A27A71">
              <w:rPr>
                <w:b/>
                <w:color w:val="000000"/>
                <w:sz w:val="20"/>
                <w:szCs w:val="20"/>
              </w:rPr>
              <w:t xml:space="preserve">                              4,003,993 </w:t>
            </w:r>
          </w:p>
        </w:tc>
        <w:tc>
          <w:tcPr>
            <w:tcW w:w="714" w:type="pct"/>
            <w:tcBorders>
              <w:top w:val="nil"/>
              <w:left w:val="nil"/>
              <w:bottom w:val="single" w:sz="4" w:space="0" w:color="auto"/>
              <w:right w:val="single" w:sz="4" w:space="0" w:color="auto"/>
            </w:tcBorders>
            <w:shd w:val="clear" w:color="auto" w:fill="auto"/>
            <w:noWrap/>
            <w:hideMark/>
          </w:tcPr>
          <w:p w:rsidR="00837D96" w:rsidRPr="00A27A71" w:rsidRDefault="00837D96" w:rsidP="00BD650A">
            <w:pPr>
              <w:jc w:val="right"/>
              <w:rPr>
                <w:b/>
                <w:color w:val="000000"/>
                <w:sz w:val="20"/>
                <w:szCs w:val="20"/>
              </w:rPr>
            </w:pPr>
            <w:r w:rsidRPr="00A27A71">
              <w:rPr>
                <w:b/>
                <w:color w:val="000000"/>
                <w:sz w:val="20"/>
                <w:szCs w:val="20"/>
              </w:rPr>
              <w:t xml:space="preserve">                8.48 </w:t>
            </w:r>
          </w:p>
        </w:tc>
      </w:tr>
      <w:tr w:rsidR="000370D2" w:rsidRPr="00A27A71" w:rsidTr="000370D2">
        <w:trPr>
          <w:trHeight w:val="125"/>
        </w:trPr>
        <w:tc>
          <w:tcPr>
            <w:tcW w:w="950" w:type="pct"/>
            <w:tcBorders>
              <w:top w:val="single" w:sz="4" w:space="0" w:color="auto"/>
              <w:left w:val="single" w:sz="4" w:space="0" w:color="auto"/>
              <w:bottom w:val="single" w:sz="4" w:space="0" w:color="auto"/>
              <w:right w:val="single" w:sz="4" w:space="0" w:color="auto"/>
            </w:tcBorders>
            <w:shd w:val="clear" w:color="auto" w:fill="auto"/>
            <w:noWrap/>
          </w:tcPr>
          <w:p w:rsidR="000370D2" w:rsidRPr="00A27A71" w:rsidRDefault="007724A2" w:rsidP="00BD650A">
            <w:pPr>
              <w:jc w:val="left"/>
              <w:rPr>
                <w:bCs/>
                <w:color w:val="000000"/>
                <w:sz w:val="20"/>
                <w:szCs w:val="20"/>
              </w:rPr>
            </w:pPr>
            <w:r w:rsidRPr="00A27A71">
              <w:rPr>
                <w:bCs/>
                <w:color w:val="000000"/>
                <w:sz w:val="20"/>
                <w:szCs w:val="20"/>
              </w:rPr>
              <w:t>Everest</w:t>
            </w:r>
          </w:p>
        </w:tc>
        <w:tc>
          <w:tcPr>
            <w:tcW w:w="906" w:type="pct"/>
            <w:tcBorders>
              <w:top w:val="single" w:sz="4" w:space="0" w:color="auto"/>
              <w:left w:val="nil"/>
              <w:bottom w:val="single" w:sz="4" w:space="0" w:color="auto"/>
              <w:right w:val="single" w:sz="4" w:space="0" w:color="auto"/>
            </w:tcBorders>
            <w:shd w:val="clear" w:color="auto" w:fill="auto"/>
            <w:noWrap/>
          </w:tcPr>
          <w:p w:rsidR="000370D2" w:rsidRPr="00A27A71" w:rsidRDefault="007724A2" w:rsidP="00BD650A">
            <w:pPr>
              <w:jc w:val="right"/>
              <w:rPr>
                <w:color w:val="000000"/>
                <w:sz w:val="20"/>
                <w:szCs w:val="20"/>
              </w:rPr>
            </w:pPr>
            <w:r w:rsidRPr="00A27A71">
              <w:rPr>
                <w:color w:val="000000"/>
                <w:sz w:val="20"/>
                <w:szCs w:val="20"/>
              </w:rPr>
              <w:t>90</w:t>
            </w:r>
          </w:p>
        </w:tc>
        <w:tc>
          <w:tcPr>
            <w:tcW w:w="1015" w:type="pct"/>
            <w:tcBorders>
              <w:top w:val="single" w:sz="4" w:space="0" w:color="auto"/>
              <w:left w:val="nil"/>
              <w:bottom w:val="single" w:sz="4" w:space="0" w:color="auto"/>
              <w:right w:val="single" w:sz="4" w:space="0" w:color="auto"/>
            </w:tcBorders>
            <w:shd w:val="clear" w:color="auto" w:fill="auto"/>
            <w:noWrap/>
          </w:tcPr>
          <w:p w:rsidR="000370D2" w:rsidRPr="00A27A71" w:rsidRDefault="009E2FD0" w:rsidP="00BD650A">
            <w:pPr>
              <w:jc w:val="right"/>
              <w:rPr>
                <w:color w:val="000000"/>
                <w:sz w:val="20"/>
                <w:szCs w:val="20"/>
              </w:rPr>
            </w:pPr>
            <w:r w:rsidRPr="00A27A71">
              <w:rPr>
                <w:color w:val="000000"/>
                <w:sz w:val="20"/>
                <w:szCs w:val="20"/>
              </w:rPr>
              <w:t>n/a</w:t>
            </w:r>
          </w:p>
        </w:tc>
        <w:tc>
          <w:tcPr>
            <w:tcW w:w="1415" w:type="pct"/>
            <w:tcBorders>
              <w:top w:val="single" w:sz="4" w:space="0" w:color="auto"/>
              <w:left w:val="nil"/>
              <w:bottom w:val="single" w:sz="4" w:space="0" w:color="auto"/>
              <w:right w:val="single" w:sz="4" w:space="0" w:color="auto"/>
            </w:tcBorders>
            <w:shd w:val="clear" w:color="auto" w:fill="auto"/>
            <w:noWrap/>
          </w:tcPr>
          <w:p w:rsidR="000370D2" w:rsidRPr="00A27A71" w:rsidRDefault="007724A2" w:rsidP="00BD650A">
            <w:pPr>
              <w:jc w:val="right"/>
              <w:rPr>
                <w:color w:val="000000"/>
                <w:sz w:val="20"/>
                <w:szCs w:val="20"/>
              </w:rPr>
            </w:pPr>
            <w:r w:rsidRPr="00A27A71">
              <w:rPr>
                <w:color w:val="000000"/>
                <w:sz w:val="20"/>
                <w:szCs w:val="20"/>
              </w:rPr>
              <w:t>0</w:t>
            </w:r>
          </w:p>
        </w:tc>
        <w:tc>
          <w:tcPr>
            <w:tcW w:w="714" w:type="pct"/>
            <w:tcBorders>
              <w:top w:val="single" w:sz="4" w:space="0" w:color="auto"/>
              <w:left w:val="nil"/>
              <w:bottom w:val="single" w:sz="4" w:space="0" w:color="auto"/>
              <w:right w:val="single" w:sz="4" w:space="0" w:color="auto"/>
            </w:tcBorders>
            <w:shd w:val="clear" w:color="auto" w:fill="auto"/>
            <w:noWrap/>
          </w:tcPr>
          <w:p w:rsidR="000370D2" w:rsidRPr="00A27A71" w:rsidRDefault="007724A2" w:rsidP="00BD650A">
            <w:pPr>
              <w:jc w:val="right"/>
              <w:rPr>
                <w:color w:val="000000"/>
                <w:sz w:val="20"/>
                <w:szCs w:val="20"/>
              </w:rPr>
            </w:pPr>
            <w:r w:rsidRPr="00A27A71">
              <w:rPr>
                <w:color w:val="000000"/>
                <w:sz w:val="20"/>
                <w:szCs w:val="20"/>
              </w:rPr>
              <w:t>n/a</w:t>
            </w:r>
          </w:p>
        </w:tc>
      </w:tr>
      <w:tr w:rsidR="000370D2" w:rsidRPr="00A27A71" w:rsidTr="000370D2">
        <w:trPr>
          <w:trHeight w:val="125"/>
        </w:trPr>
        <w:tc>
          <w:tcPr>
            <w:tcW w:w="950" w:type="pct"/>
            <w:tcBorders>
              <w:top w:val="nil"/>
              <w:left w:val="single" w:sz="4" w:space="0" w:color="auto"/>
              <w:bottom w:val="single" w:sz="4" w:space="0" w:color="auto"/>
              <w:right w:val="single" w:sz="4" w:space="0" w:color="auto"/>
            </w:tcBorders>
            <w:shd w:val="clear" w:color="auto" w:fill="auto"/>
            <w:noWrap/>
          </w:tcPr>
          <w:p w:rsidR="000370D2" w:rsidRPr="00A27A71" w:rsidRDefault="007724A2" w:rsidP="005D1FF4">
            <w:pPr>
              <w:jc w:val="left"/>
              <w:rPr>
                <w:bCs/>
                <w:color w:val="000000"/>
                <w:sz w:val="20"/>
                <w:szCs w:val="20"/>
              </w:rPr>
            </w:pPr>
            <w:r w:rsidRPr="00A27A71">
              <w:rPr>
                <w:bCs/>
                <w:color w:val="000000"/>
                <w:sz w:val="20"/>
                <w:szCs w:val="20"/>
              </w:rPr>
              <w:t>10 SMEs</w:t>
            </w:r>
          </w:p>
        </w:tc>
        <w:tc>
          <w:tcPr>
            <w:tcW w:w="906" w:type="pct"/>
            <w:tcBorders>
              <w:top w:val="nil"/>
              <w:left w:val="nil"/>
              <w:bottom w:val="single" w:sz="4" w:space="0" w:color="auto"/>
              <w:right w:val="single" w:sz="4" w:space="0" w:color="auto"/>
            </w:tcBorders>
            <w:shd w:val="clear" w:color="auto" w:fill="auto"/>
            <w:noWrap/>
          </w:tcPr>
          <w:p w:rsidR="000370D2" w:rsidRPr="00A27A71" w:rsidRDefault="007724A2" w:rsidP="005D1FF4">
            <w:pPr>
              <w:jc w:val="right"/>
              <w:rPr>
                <w:color w:val="000000"/>
                <w:sz w:val="20"/>
                <w:szCs w:val="20"/>
              </w:rPr>
            </w:pPr>
            <w:r w:rsidRPr="00A27A71">
              <w:rPr>
                <w:color w:val="000000"/>
                <w:sz w:val="20"/>
                <w:szCs w:val="20"/>
              </w:rPr>
              <w:t>24.43</w:t>
            </w:r>
          </w:p>
        </w:tc>
        <w:tc>
          <w:tcPr>
            <w:tcW w:w="1015" w:type="pct"/>
            <w:tcBorders>
              <w:top w:val="nil"/>
              <w:left w:val="nil"/>
              <w:bottom w:val="single" w:sz="4" w:space="0" w:color="auto"/>
              <w:right w:val="single" w:sz="4" w:space="0" w:color="auto"/>
            </w:tcBorders>
            <w:shd w:val="clear" w:color="auto" w:fill="auto"/>
            <w:noWrap/>
          </w:tcPr>
          <w:p w:rsidR="000370D2" w:rsidRPr="00A27A71" w:rsidRDefault="009E2FD0" w:rsidP="005D1FF4">
            <w:pPr>
              <w:jc w:val="right"/>
              <w:rPr>
                <w:color w:val="000000"/>
                <w:sz w:val="20"/>
                <w:szCs w:val="20"/>
              </w:rPr>
            </w:pPr>
            <w:r w:rsidRPr="00A27A71">
              <w:rPr>
                <w:color w:val="000000"/>
                <w:sz w:val="20"/>
                <w:szCs w:val="20"/>
              </w:rPr>
              <w:t>n/a</w:t>
            </w:r>
          </w:p>
        </w:tc>
        <w:tc>
          <w:tcPr>
            <w:tcW w:w="1415" w:type="pct"/>
            <w:tcBorders>
              <w:top w:val="nil"/>
              <w:left w:val="nil"/>
              <w:bottom w:val="single" w:sz="4" w:space="0" w:color="auto"/>
              <w:right w:val="single" w:sz="4" w:space="0" w:color="auto"/>
            </w:tcBorders>
            <w:shd w:val="clear" w:color="auto" w:fill="auto"/>
            <w:noWrap/>
          </w:tcPr>
          <w:p w:rsidR="000370D2" w:rsidRPr="00A27A71" w:rsidRDefault="007724A2" w:rsidP="005D1FF4">
            <w:pPr>
              <w:jc w:val="right"/>
              <w:rPr>
                <w:color w:val="000000"/>
                <w:sz w:val="20"/>
                <w:szCs w:val="20"/>
              </w:rPr>
            </w:pPr>
            <w:r w:rsidRPr="00A27A71">
              <w:rPr>
                <w:color w:val="000000"/>
                <w:sz w:val="20"/>
                <w:szCs w:val="20"/>
              </w:rPr>
              <w:t>0</w:t>
            </w:r>
          </w:p>
        </w:tc>
        <w:tc>
          <w:tcPr>
            <w:tcW w:w="714" w:type="pct"/>
            <w:tcBorders>
              <w:top w:val="nil"/>
              <w:left w:val="nil"/>
              <w:bottom w:val="single" w:sz="4" w:space="0" w:color="auto"/>
              <w:right w:val="single" w:sz="4" w:space="0" w:color="auto"/>
            </w:tcBorders>
            <w:shd w:val="clear" w:color="auto" w:fill="auto"/>
            <w:noWrap/>
          </w:tcPr>
          <w:p w:rsidR="000370D2" w:rsidRPr="00A27A71" w:rsidRDefault="007724A2" w:rsidP="005D1FF4">
            <w:pPr>
              <w:jc w:val="right"/>
              <w:rPr>
                <w:color w:val="000000"/>
                <w:sz w:val="20"/>
                <w:szCs w:val="20"/>
              </w:rPr>
            </w:pPr>
            <w:r w:rsidRPr="00A27A71">
              <w:rPr>
                <w:color w:val="000000"/>
                <w:sz w:val="20"/>
                <w:szCs w:val="20"/>
              </w:rPr>
              <w:t>n/a</w:t>
            </w:r>
          </w:p>
        </w:tc>
      </w:tr>
      <w:tr w:rsidR="000370D2" w:rsidRPr="00A27A71" w:rsidTr="000370D2">
        <w:trPr>
          <w:trHeight w:val="125"/>
        </w:trPr>
        <w:tc>
          <w:tcPr>
            <w:tcW w:w="950" w:type="pct"/>
            <w:tcBorders>
              <w:top w:val="single" w:sz="4" w:space="0" w:color="auto"/>
              <w:left w:val="single" w:sz="4" w:space="0" w:color="auto"/>
              <w:bottom w:val="single" w:sz="4" w:space="0" w:color="auto"/>
              <w:right w:val="single" w:sz="4" w:space="0" w:color="auto"/>
            </w:tcBorders>
            <w:shd w:val="clear" w:color="auto" w:fill="auto"/>
            <w:noWrap/>
          </w:tcPr>
          <w:p w:rsidR="000370D2" w:rsidRPr="00A27A71" w:rsidRDefault="000370D2" w:rsidP="005D1FF4">
            <w:pPr>
              <w:jc w:val="left"/>
              <w:rPr>
                <w:b/>
                <w:bCs/>
                <w:color w:val="000000"/>
                <w:sz w:val="20"/>
                <w:szCs w:val="20"/>
              </w:rPr>
            </w:pPr>
            <w:r w:rsidRPr="00A27A71">
              <w:rPr>
                <w:b/>
                <w:bCs/>
                <w:color w:val="000000"/>
                <w:sz w:val="20"/>
                <w:szCs w:val="20"/>
              </w:rPr>
              <w:t>Total</w:t>
            </w:r>
          </w:p>
        </w:tc>
        <w:tc>
          <w:tcPr>
            <w:tcW w:w="906" w:type="pct"/>
            <w:tcBorders>
              <w:top w:val="single" w:sz="4" w:space="0" w:color="auto"/>
              <w:left w:val="nil"/>
              <w:bottom w:val="single" w:sz="4" w:space="0" w:color="auto"/>
              <w:right w:val="single" w:sz="4" w:space="0" w:color="auto"/>
            </w:tcBorders>
            <w:shd w:val="clear" w:color="auto" w:fill="auto"/>
            <w:noWrap/>
          </w:tcPr>
          <w:p w:rsidR="000370D2" w:rsidRPr="00A27A71" w:rsidRDefault="009E2FD0" w:rsidP="005D1FF4">
            <w:pPr>
              <w:jc w:val="right"/>
              <w:rPr>
                <w:b/>
                <w:color w:val="000000"/>
                <w:sz w:val="20"/>
                <w:szCs w:val="20"/>
              </w:rPr>
            </w:pPr>
            <w:r w:rsidRPr="00A27A71">
              <w:rPr>
                <w:b/>
                <w:color w:val="000000"/>
                <w:sz w:val="20"/>
                <w:szCs w:val="20"/>
              </w:rPr>
              <w:t>586.72</w:t>
            </w:r>
          </w:p>
        </w:tc>
        <w:tc>
          <w:tcPr>
            <w:tcW w:w="1015" w:type="pct"/>
            <w:tcBorders>
              <w:top w:val="single" w:sz="4" w:space="0" w:color="auto"/>
              <w:left w:val="nil"/>
              <w:bottom w:val="single" w:sz="4" w:space="0" w:color="auto"/>
              <w:right w:val="single" w:sz="4" w:space="0" w:color="auto"/>
            </w:tcBorders>
            <w:shd w:val="clear" w:color="auto" w:fill="auto"/>
            <w:noWrap/>
          </w:tcPr>
          <w:p w:rsidR="000370D2" w:rsidRPr="00A27A71" w:rsidRDefault="000370D2" w:rsidP="005D1FF4">
            <w:pPr>
              <w:jc w:val="right"/>
              <w:rPr>
                <w:b/>
                <w:color w:val="000000"/>
                <w:sz w:val="20"/>
                <w:szCs w:val="20"/>
              </w:rPr>
            </w:pPr>
            <w:r w:rsidRPr="00A27A71">
              <w:rPr>
                <w:b/>
                <w:color w:val="000000"/>
                <w:sz w:val="20"/>
                <w:szCs w:val="20"/>
              </w:rPr>
              <w:t xml:space="preserve">    4,555,100 </w:t>
            </w:r>
          </w:p>
        </w:tc>
        <w:tc>
          <w:tcPr>
            <w:tcW w:w="1415" w:type="pct"/>
            <w:tcBorders>
              <w:top w:val="single" w:sz="4" w:space="0" w:color="auto"/>
              <w:left w:val="nil"/>
              <w:bottom w:val="single" w:sz="4" w:space="0" w:color="auto"/>
              <w:right w:val="single" w:sz="4" w:space="0" w:color="auto"/>
            </w:tcBorders>
            <w:shd w:val="clear" w:color="auto" w:fill="auto"/>
            <w:noWrap/>
          </w:tcPr>
          <w:p w:rsidR="000370D2" w:rsidRPr="00A27A71" w:rsidRDefault="000370D2" w:rsidP="005D1FF4">
            <w:pPr>
              <w:jc w:val="right"/>
              <w:rPr>
                <w:b/>
                <w:color w:val="000000"/>
                <w:sz w:val="20"/>
                <w:szCs w:val="20"/>
              </w:rPr>
            </w:pPr>
            <w:r w:rsidRPr="00A27A71">
              <w:rPr>
                <w:b/>
                <w:color w:val="000000"/>
                <w:sz w:val="20"/>
                <w:szCs w:val="20"/>
              </w:rPr>
              <w:t xml:space="preserve">                              4,003,993 </w:t>
            </w:r>
          </w:p>
        </w:tc>
        <w:tc>
          <w:tcPr>
            <w:tcW w:w="714" w:type="pct"/>
            <w:tcBorders>
              <w:top w:val="single" w:sz="4" w:space="0" w:color="auto"/>
              <w:left w:val="nil"/>
              <w:bottom w:val="single" w:sz="4" w:space="0" w:color="auto"/>
              <w:right w:val="single" w:sz="4" w:space="0" w:color="auto"/>
            </w:tcBorders>
            <w:shd w:val="clear" w:color="auto" w:fill="auto"/>
            <w:noWrap/>
          </w:tcPr>
          <w:p w:rsidR="000370D2" w:rsidRPr="00A27A71" w:rsidRDefault="000370D2" w:rsidP="009E2FD0">
            <w:pPr>
              <w:jc w:val="right"/>
              <w:rPr>
                <w:b/>
                <w:color w:val="000000"/>
                <w:sz w:val="20"/>
                <w:szCs w:val="20"/>
              </w:rPr>
            </w:pPr>
            <w:r w:rsidRPr="00A27A71">
              <w:rPr>
                <w:b/>
                <w:color w:val="000000"/>
                <w:sz w:val="20"/>
                <w:szCs w:val="20"/>
              </w:rPr>
              <w:t xml:space="preserve">               </w:t>
            </w:r>
            <w:r w:rsidR="009E2FD0" w:rsidRPr="00A27A71">
              <w:rPr>
                <w:b/>
                <w:color w:val="000000"/>
                <w:sz w:val="20"/>
                <w:szCs w:val="20"/>
              </w:rPr>
              <w:t>6.82</w:t>
            </w:r>
            <w:r w:rsidRPr="00A27A71">
              <w:rPr>
                <w:b/>
                <w:color w:val="000000"/>
                <w:sz w:val="20"/>
                <w:szCs w:val="20"/>
              </w:rPr>
              <w:t xml:space="preserve"> </w:t>
            </w:r>
          </w:p>
        </w:tc>
      </w:tr>
    </w:tbl>
    <w:p w:rsidR="00AF240B" w:rsidRPr="00A27A71" w:rsidRDefault="009D2248" w:rsidP="00C905D9">
      <w:pPr>
        <w:rPr>
          <w:sz w:val="18"/>
          <w:szCs w:val="18"/>
        </w:rPr>
      </w:pPr>
      <w:r w:rsidRPr="00A27A71">
        <w:rPr>
          <w:sz w:val="18"/>
          <w:szCs w:val="18"/>
        </w:rPr>
        <w:t>* 2016 consumption</w:t>
      </w:r>
    </w:p>
    <w:p w:rsidR="009D2248" w:rsidRPr="00A27A71" w:rsidRDefault="009D2248" w:rsidP="00C905D9"/>
    <w:p w:rsidR="00461B4A" w:rsidRPr="00A27A71" w:rsidRDefault="00461B4A" w:rsidP="00461B4A">
      <w:pPr>
        <w:rPr>
          <w:i/>
          <w:highlight w:val="cyan"/>
        </w:rPr>
      </w:pPr>
      <w:r w:rsidRPr="00A27A71">
        <w:rPr>
          <w:i/>
        </w:rPr>
        <w:t>XPS manufacturing sector</w:t>
      </w:r>
    </w:p>
    <w:p w:rsidR="00461B4A" w:rsidRPr="00A27A71" w:rsidRDefault="00461B4A" w:rsidP="00C905D9"/>
    <w:p w:rsidR="00DB696B" w:rsidRPr="00A27A71" w:rsidRDefault="00375749" w:rsidP="00DB696B">
      <w:pPr>
        <w:pStyle w:val="Heading1"/>
      </w:pPr>
      <w:r w:rsidRPr="00A27A71">
        <w:t>The Secretariat sought clarification on the consumption by substance at each enterprise</w:t>
      </w:r>
      <w:r w:rsidR="00A22EEC" w:rsidRPr="00A27A71">
        <w:t xml:space="preserve">. </w:t>
      </w:r>
      <w:r w:rsidR="00550D45" w:rsidRPr="00A27A71">
        <w:t>UNDP clarified that previously, the XPS manufacturing sector used</w:t>
      </w:r>
      <w:r w:rsidR="00574973" w:rsidRPr="00A27A71">
        <w:t xml:space="preserve"> a mixture of 75-80 per cent of</w:t>
      </w:r>
      <w:r w:rsidR="00550D45" w:rsidRPr="00A27A71">
        <w:t xml:space="preserve"> HCFC-142b </w:t>
      </w:r>
      <w:r w:rsidR="00574973" w:rsidRPr="00A27A71">
        <w:t>and</w:t>
      </w:r>
      <w:r w:rsidR="00550D45" w:rsidRPr="00A27A71">
        <w:t xml:space="preserve"> 20-25</w:t>
      </w:r>
      <w:r w:rsidR="00982962" w:rsidRPr="00A27A71">
        <w:t> per cent</w:t>
      </w:r>
      <w:r w:rsidR="00550D45" w:rsidRPr="00A27A71">
        <w:t xml:space="preserve"> of HCFC-22 to mitigate the modest flammability of HCFC-142b. Due to the lower price of HCFC</w:t>
      </w:r>
      <w:r w:rsidR="0013662C" w:rsidRPr="00A27A71">
        <w:noBreakHyphen/>
      </w:r>
      <w:r w:rsidR="00550D45" w:rsidRPr="00A27A71">
        <w:t>22, manufacturers have changed their formulation to exclusively using HCFC-22 or a blend with HCFC-142b (approximately 20 to 40</w:t>
      </w:r>
      <w:r w:rsidR="00982962" w:rsidRPr="00A27A71">
        <w:t> per cent</w:t>
      </w:r>
      <w:r w:rsidR="00550D45" w:rsidRPr="00A27A71">
        <w:t xml:space="preserve">), depending on </w:t>
      </w:r>
      <w:r w:rsidR="00DB696B" w:rsidRPr="00A27A71">
        <w:t>the technical capability of the enterprises and customer quality requirements.</w:t>
      </w:r>
      <w:r w:rsidR="00A22EEC" w:rsidRPr="00A27A71">
        <w:t xml:space="preserve"> Currently, one enterprise consumes both HCFC-142b and HCFC-22, while the other three enterprises consume exclusively HCFC-22. </w:t>
      </w:r>
      <w:r w:rsidR="000067EA" w:rsidRPr="00A27A71">
        <w:t>Given the changes in consumption at the enterprises, it was agreed to use the 2016 consumption as the basis for the project.</w:t>
      </w:r>
    </w:p>
    <w:p w:rsidR="001112FD" w:rsidRPr="00A27A71" w:rsidRDefault="00A22EEC" w:rsidP="00DB696B">
      <w:pPr>
        <w:pStyle w:val="Heading1"/>
      </w:pPr>
      <w:r w:rsidRPr="00A27A71">
        <w:t xml:space="preserve">The proposal notes that some interim use of HFCs might be needed given the pricing and supply situation of HFO-1234ze. The Secretariat would not recommend an interim use of high-GWP HFCs for this use as the conversion is not required to meet Egypt’s HCFC compliance obligations given the other reductions proposed under </w:t>
      </w:r>
      <w:r w:rsidR="007F53A9" w:rsidRPr="00A27A71">
        <w:t>stage </w:t>
      </w:r>
      <w:r w:rsidRPr="00A27A71">
        <w:t xml:space="preserve">II. In addition, </w:t>
      </w:r>
      <w:r w:rsidR="001112FD" w:rsidRPr="00A27A71">
        <w:t xml:space="preserve">in line </w:t>
      </w:r>
      <w:r w:rsidR="0068606F" w:rsidRPr="00A27A71">
        <w:t>with</w:t>
      </w:r>
      <w:r w:rsidR="001112FD" w:rsidRPr="00A27A71">
        <w:t xml:space="preserve"> </w:t>
      </w:r>
      <w:r w:rsidR="007F53A9" w:rsidRPr="00A27A71">
        <w:t>decision </w:t>
      </w:r>
      <w:r w:rsidR="001112FD" w:rsidRPr="00A27A71">
        <w:t xml:space="preserve">72/40, </w:t>
      </w:r>
      <w:r w:rsidR="0068606F" w:rsidRPr="00A27A71">
        <w:t xml:space="preserve">the Secretariat sought </w:t>
      </w:r>
      <w:r w:rsidR="001112FD" w:rsidRPr="00A27A71">
        <w:t>detailed information from the suppliers on how and when an adequate supply of the technology would be made available to the country</w:t>
      </w:r>
      <w:r w:rsidR="0068606F" w:rsidRPr="00A27A71">
        <w:t xml:space="preserve">. It was agreed to shift the funding for the XPS </w:t>
      </w:r>
      <w:r w:rsidR="00574973" w:rsidRPr="00A27A71">
        <w:t xml:space="preserve">foam </w:t>
      </w:r>
      <w:r w:rsidR="0068606F" w:rsidRPr="00A27A71">
        <w:t xml:space="preserve">sector to the second tranche of </w:t>
      </w:r>
      <w:r w:rsidR="007F53A9" w:rsidRPr="00A27A71">
        <w:t>stage </w:t>
      </w:r>
      <w:r w:rsidR="0068606F" w:rsidRPr="00A27A71">
        <w:t>II (expected in 2019) to allow sufficient time for the alternative to be available in the country and ensure that HFCs would not be used in the interim. Confirmation was received that t</w:t>
      </w:r>
      <w:r w:rsidR="001112FD" w:rsidRPr="00A27A71">
        <w:t>he</w:t>
      </w:r>
      <w:r w:rsidR="0068606F" w:rsidRPr="00A27A71">
        <w:t xml:space="preserve"> alternative would be available. </w:t>
      </w:r>
    </w:p>
    <w:p w:rsidR="00550D45" w:rsidRPr="00A27A71" w:rsidRDefault="000067EA" w:rsidP="00DB696B">
      <w:pPr>
        <w:pStyle w:val="Heading1"/>
      </w:pPr>
      <w:r w:rsidRPr="00A27A71">
        <w:t>On this basis, the Secretariat and UNDP discussed the cost of the conversion</w:t>
      </w:r>
      <w:r w:rsidR="00F759DF" w:rsidRPr="00A27A71">
        <w:t xml:space="preserve"> and agreed to adjust t</w:t>
      </w:r>
      <w:r w:rsidRPr="00A27A71">
        <w:t>he cost of technical assistance</w:t>
      </w:r>
      <w:r w:rsidR="00E6165B" w:rsidRPr="00A27A71">
        <w:t xml:space="preserve"> (US $22,500/extruder except for the enterprise that had three extruders where a total of US $60,000 was agreed)</w:t>
      </w:r>
      <w:r w:rsidRPr="00A27A71">
        <w:t>, trials and testing</w:t>
      </w:r>
      <w:r w:rsidR="00E6165B" w:rsidRPr="00A27A71">
        <w:t xml:space="preserve"> (US $30,000-US $40,000, depending on the enterprise)</w:t>
      </w:r>
      <w:r w:rsidRPr="00A27A71">
        <w:t xml:space="preserve">, </w:t>
      </w:r>
      <w:r w:rsidR="00F759DF" w:rsidRPr="00A27A71">
        <w:t>storage tanks</w:t>
      </w:r>
      <w:r w:rsidR="00E6165B" w:rsidRPr="00A27A71">
        <w:t xml:space="preserve"> (US $65,000/tank)</w:t>
      </w:r>
      <w:r w:rsidR="00F759DF" w:rsidRPr="00A27A71">
        <w:t>, ventilation</w:t>
      </w:r>
      <w:r w:rsidR="00E6165B" w:rsidRPr="00A27A71">
        <w:t xml:space="preserve"> (US $15,000/extruder)</w:t>
      </w:r>
      <w:r w:rsidR="00F759DF" w:rsidRPr="00A27A71">
        <w:t>, and local works</w:t>
      </w:r>
      <w:r w:rsidR="00E6165B" w:rsidRPr="00A27A71">
        <w:t xml:space="preserve"> (US $15,000/extruder)</w:t>
      </w:r>
      <w:r w:rsidR="00F759DF" w:rsidRPr="00A27A71">
        <w:t xml:space="preserve">; in addition, the </w:t>
      </w:r>
      <w:r w:rsidRPr="00A27A71">
        <w:t xml:space="preserve">level of IOCs was adjusted in accordance with </w:t>
      </w:r>
      <w:r w:rsidR="007F53A9" w:rsidRPr="00A27A71">
        <w:t>decision </w:t>
      </w:r>
      <w:r w:rsidRPr="00A27A71">
        <w:t>74/50</w:t>
      </w:r>
      <w:r w:rsidR="00F759DF" w:rsidRPr="00A27A71">
        <w:t xml:space="preserve"> as shown in </w:t>
      </w:r>
      <w:r w:rsidR="00223D78" w:rsidRPr="00A27A71">
        <w:t>T</w:t>
      </w:r>
      <w:r w:rsidR="00F759DF" w:rsidRPr="00A27A71">
        <w:t>able 1</w:t>
      </w:r>
      <w:r w:rsidR="00F76143">
        <w:t>2</w:t>
      </w:r>
      <w:r w:rsidR="00F759DF" w:rsidRPr="00A27A71">
        <w:t xml:space="preserve">. </w:t>
      </w:r>
      <w:r w:rsidRPr="00A27A71">
        <w:t xml:space="preserve"> </w:t>
      </w:r>
      <w:r w:rsidR="00DB696B" w:rsidRPr="00A27A71">
        <w:t xml:space="preserve"> </w:t>
      </w:r>
    </w:p>
    <w:p w:rsidR="00D9228A" w:rsidRPr="00A27A71" w:rsidRDefault="00D9228A" w:rsidP="00D9228A">
      <w:pPr>
        <w:pStyle w:val="Heading1"/>
        <w:numPr>
          <w:ilvl w:val="0"/>
          <w:numId w:val="0"/>
        </w:numPr>
        <w:spacing w:after="0"/>
        <w:rPr>
          <w:b/>
        </w:rPr>
      </w:pPr>
      <w:r w:rsidRPr="00A27A71">
        <w:rPr>
          <w:b/>
        </w:rPr>
        <w:lastRenderedPageBreak/>
        <w:t xml:space="preserve">Table </w:t>
      </w:r>
      <w:r w:rsidR="00223D78" w:rsidRPr="00A27A71">
        <w:rPr>
          <w:b/>
        </w:rPr>
        <w:t>1</w:t>
      </w:r>
      <w:r w:rsidR="00F76143">
        <w:rPr>
          <w:b/>
        </w:rPr>
        <w:t>2</w:t>
      </w:r>
      <w:r w:rsidRPr="00A27A71">
        <w:rPr>
          <w:b/>
        </w:rPr>
        <w:t>. Agreed activities and costs for the XPS foam sector</w:t>
      </w:r>
    </w:p>
    <w:tbl>
      <w:tblPr>
        <w:tblW w:w="5000" w:type="pct"/>
        <w:tblLayout w:type="fixed"/>
        <w:tblLook w:val="04A0" w:firstRow="1" w:lastRow="0" w:firstColumn="1" w:lastColumn="0" w:noHBand="0" w:noVBand="1"/>
      </w:tblPr>
      <w:tblGrid>
        <w:gridCol w:w="1548"/>
        <w:gridCol w:w="631"/>
        <w:gridCol w:w="900"/>
        <w:gridCol w:w="720"/>
        <w:gridCol w:w="812"/>
        <w:gridCol w:w="1080"/>
        <w:gridCol w:w="900"/>
        <w:gridCol w:w="1080"/>
        <w:gridCol w:w="1080"/>
        <w:gridCol w:w="825"/>
      </w:tblGrid>
      <w:tr w:rsidR="005E4A12" w:rsidRPr="00A27A71" w:rsidTr="00D25469">
        <w:trPr>
          <w:trHeight w:val="197"/>
        </w:trPr>
        <w:tc>
          <w:tcPr>
            <w:tcW w:w="808" w:type="pct"/>
            <w:vMerge w:val="restart"/>
            <w:tcBorders>
              <w:top w:val="single" w:sz="4" w:space="0" w:color="auto"/>
              <w:left w:val="single" w:sz="4" w:space="0" w:color="auto"/>
              <w:right w:val="single" w:sz="4" w:space="0" w:color="auto"/>
            </w:tcBorders>
            <w:shd w:val="clear" w:color="auto" w:fill="auto"/>
            <w:noWrap/>
            <w:hideMark/>
          </w:tcPr>
          <w:p w:rsidR="005E4A12" w:rsidRPr="00A27A71" w:rsidRDefault="005E4A12" w:rsidP="00BD650A">
            <w:pPr>
              <w:jc w:val="center"/>
              <w:rPr>
                <w:b/>
                <w:bCs/>
                <w:color w:val="000000"/>
                <w:sz w:val="20"/>
                <w:szCs w:val="20"/>
              </w:rPr>
            </w:pPr>
            <w:r w:rsidRPr="00A27A71">
              <w:rPr>
                <w:b/>
                <w:color w:val="000000"/>
                <w:sz w:val="20"/>
                <w:szCs w:val="20"/>
              </w:rPr>
              <w:t>Enterprise</w:t>
            </w:r>
          </w:p>
        </w:tc>
        <w:tc>
          <w:tcPr>
            <w:tcW w:w="799" w:type="pct"/>
            <w:gridSpan w:val="2"/>
            <w:tcBorders>
              <w:top w:val="single" w:sz="4" w:space="0" w:color="auto"/>
              <w:left w:val="nil"/>
              <w:bottom w:val="single" w:sz="4" w:space="0" w:color="auto"/>
              <w:right w:val="single" w:sz="4" w:space="0" w:color="auto"/>
            </w:tcBorders>
            <w:shd w:val="clear" w:color="auto" w:fill="auto"/>
            <w:noWrap/>
            <w:hideMark/>
          </w:tcPr>
          <w:p w:rsidR="005E4A12" w:rsidRPr="00A27A71" w:rsidRDefault="005E4A12" w:rsidP="00BD650A">
            <w:pPr>
              <w:jc w:val="center"/>
              <w:rPr>
                <w:b/>
                <w:bCs/>
                <w:color w:val="000000"/>
                <w:sz w:val="20"/>
                <w:szCs w:val="20"/>
              </w:rPr>
            </w:pPr>
            <w:r w:rsidRPr="00A27A71">
              <w:rPr>
                <w:b/>
                <w:bCs/>
                <w:color w:val="000000"/>
                <w:sz w:val="20"/>
                <w:szCs w:val="20"/>
              </w:rPr>
              <w:t>HCFC-142b</w:t>
            </w:r>
          </w:p>
        </w:tc>
        <w:tc>
          <w:tcPr>
            <w:tcW w:w="800" w:type="pct"/>
            <w:gridSpan w:val="2"/>
            <w:tcBorders>
              <w:top w:val="single" w:sz="4" w:space="0" w:color="auto"/>
              <w:left w:val="nil"/>
              <w:bottom w:val="single" w:sz="4" w:space="0" w:color="auto"/>
              <w:right w:val="single" w:sz="4" w:space="0" w:color="auto"/>
            </w:tcBorders>
            <w:shd w:val="clear" w:color="auto" w:fill="auto"/>
            <w:noWrap/>
            <w:hideMark/>
          </w:tcPr>
          <w:p w:rsidR="005E4A12" w:rsidRPr="00A27A71" w:rsidRDefault="005E4A12" w:rsidP="00BD650A">
            <w:pPr>
              <w:jc w:val="center"/>
              <w:rPr>
                <w:b/>
                <w:bCs/>
                <w:color w:val="000000"/>
                <w:sz w:val="20"/>
                <w:szCs w:val="20"/>
              </w:rPr>
            </w:pPr>
            <w:r w:rsidRPr="00A27A71">
              <w:rPr>
                <w:b/>
                <w:bCs/>
                <w:color w:val="000000"/>
                <w:sz w:val="20"/>
                <w:szCs w:val="20"/>
              </w:rPr>
              <w:t>HCFC-22</w:t>
            </w:r>
          </w:p>
        </w:tc>
        <w:tc>
          <w:tcPr>
            <w:tcW w:w="564" w:type="pct"/>
            <w:vMerge w:val="restart"/>
            <w:tcBorders>
              <w:top w:val="single" w:sz="4" w:space="0" w:color="auto"/>
              <w:left w:val="nil"/>
              <w:right w:val="single" w:sz="4" w:space="0" w:color="auto"/>
            </w:tcBorders>
            <w:shd w:val="clear" w:color="auto" w:fill="auto"/>
            <w:noWrap/>
            <w:hideMark/>
          </w:tcPr>
          <w:p w:rsidR="005E4A12" w:rsidRPr="00A27A71" w:rsidRDefault="005E4A12" w:rsidP="00A44625">
            <w:pPr>
              <w:jc w:val="center"/>
              <w:rPr>
                <w:b/>
                <w:bCs/>
                <w:color w:val="000000"/>
                <w:sz w:val="20"/>
                <w:szCs w:val="20"/>
              </w:rPr>
            </w:pPr>
            <w:r w:rsidRPr="00A27A71">
              <w:rPr>
                <w:b/>
                <w:bCs/>
                <w:color w:val="000000"/>
                <w:sz w:val="20"/>
                <w:szCs w:val="20"/>
              </w:rPr>
              <w:t xml:space="preserve">ICC </w:t>
            </w:r>
            <w:r w:rsidRPr="00A27A71">
              <w:rPr>
                <w:b/>
                <w:color w:val="000000"/>
                <w:sz w:val="20"/>
                <w:szCs w:val="20"/>
              </w:rPr>
              <w:t>(US $)</w:t>
            </w:r>
          </w:p>
        </w:tc>
        <w:tc>
          <w:tcPr>
            <w:tcW w:w="470" w:type="pct"/>
            <w:vMerge w:val="restart"/>
            <w:tcBorders>
              <w:top w:val="single" w:sz="4" w:space="0" w:color="auto"/>
              <w:left w:val="nil"/>
              <w:right w:val="single" w:sz="4" w:space="0" w:color="auto"/>
            </w:tcBorders>
            <w:shd w:val="clear" w:color="auto" w:fill="auto"/>
            <w:noWrap/>
            <w:hideMark/>
          </w:tcPr>
          <w:p w:rsidR="005E4A12" w:rsidRPr="00A27A71" w:rsidRDefault="005E4A12" w:rsidP="00BD650A">
            <w:pPr>
              <w:jc w:val="center"/>
              <w:rPr>
                <w:b/>
                <w:bCs/>
                <w:color w:val="000000"/>
                <w:sz w:val="20"/>
                <w:szCs w:val="20"/>
              </w:rPr>
            </w:pPr>
            <w:r w:rsidRPr="00A27A71">
              <w:rPr>
                <w:b/>
                <w:bCs/>
                <w:color w:val="000000"/>
                <w:sz w:val="20"/>
                <w:szCs w:val="20"/>
              </w:rPr>
              <w:t xml:space="preserve">IOC </w:t>
            </w:r>
            <w:r w:rsidRPr="00A27A71">
              <w:rPr>
                <w:b/>
                <w:color w:val="000000"/>
                <w:sz w:val="20"/>
                <w:szCs w:val="20"/>
              </w:rPr>
              <w:t>(US $)</w:t>
            </w:r>
          </w:p>
        </w:tc>
        <w:tc>
          <w:tcPr>
            <w:tcW w:w="564" w:type="pct"/>
            <w:vMerge w:val="restart"/>
            <w:tcBorders>
              <w:top w:val="single" w:sz="4" w:space="0" w:color="auto"/>
              <w:left w:val="nil"/>
              <w:right w:val="single" w:sz="4" w:space="0" w:color="auto"/>
            </w:tcBorders>
            <w:shd w:val="clear" w:color="auto" w:fill="auto"/>
            <w:noWrap/>
            <w:hideMark/>
          </w:tcPr>
          <w:p w:rsidR="005E4A12" w:rsidRPr="00A27A71" w:rsidRDefault="005E4A12" w:rsidP="00BD650A">
            <w:pPr>
              <w:jc w:val="center"/>
              <w:rPr>
                <w:b/>
                <w:bCs/>
                <w:color w:val="000000"/>
                <w:sz w:val="20"/>
                <w:szCs w:val="20"/>
              </w:rPr>
            </w:pPr>
            <w:r w:rsidRPr="00A27A71">
              <w:rPr>
                <w:b/>
                <w:bCs/>
                <w:color w:val="000000"/>
                <w:sz w:val="20"/>
                <w:szCs w:val="20"/>
              </w:rPr>
              <w:t xml:space="preserve">Total cost </w:t>
            </w:r>
            <w:r w:rsidRPr="00A27A71">
              <w:rPr>
                <w:b/>
                <w:color w:val="000000"/>
                <w:sz w:val="20"/>
                <w:szCs w:val="20"/>
              </w:rPr>
              <w:t>(US $)</w:t>
            </w:r>
          </w:p>
        </w:tc>
        <w:tc>
          <w:tcPr>
            <w:tcW w:w="564" w:type="pct"/>
            <w:vMerge w:val="restart"/>
            <w:tcBorders>
              <w:top w:val="single" w:sz="4" w:space="0" w:color="auto"/>
              <w:left w:val="nil"/>
              <w:right w:val="single" w:sz="4" w:space="0" w:color="auto"/>
            </w:tcBorders>
            <w:shd w:val="clear" w:color="auto" w:fill="auto"/>
            <w:noWrap/>
            <w:hideMark/>
          </w:tcPr>
          <w:p w:rsidR="005E4A12" w:rsidRPr="00A27A71" w:rsidRDefault="005E4A12" w:rsidP="00BD650A">
            <w:pPr>
              <w:jc w:val="center"/>
              <w:rPr>
                <w:b/>
                <w:bCs/>
                <w:color w:val="000000"/>
                <w:sz w:val="20"/>
                <w:szCs w:val="20"/>
              </w:rPr>
            </w:pPr>
            <w:r w:rsidRPr="00A27A71">
              <w:rPr>
                <w:b/>
                <w:bCs/>
                <w:color w:val="000000"/>
                <w:sz w:val="20"/>
                <w:szCs w:val="20"/>
              </w:rPr>
              <w:t xml:space="preserve">Eligible Funding </w:t>
            </w:r>
            <w:r w:rsidRPr="00A27A71">
              <w:rPr>
                <w:b/>
                <w:color w:val="000000"/>
                <w:sz w:val="20"/>
                <w:szCs w:val="20"/>
              </w:rPr>
              <w:t>(US $)</w:t>
            </w:r>
          </w:p>
        </w:tc>
        <w:tc>
          <w:tcPr>
            <w:tcW w:w="431" w:type="pct"/>
            <w:vMerge w:val="restart"/>
            <w:tcBorders>
              <w:top w:val="single" w:sz="4" w:space="0" w:color="auto"/>
              <w:left w:val="nil"/>
              <w:right w:val="single" w:sz="4" w:space="0" w:color="auto"/>
            </w:tcBorders>
          </w:tcPr>
          <w:p w:rsidR="005E4A12" w:rsidRPr="00A27A71" w:rsidRDefault="005E4A12" w:rsidP="00BD650A">
            <w:pPr>
              <w:jc w:val="center"/>
              <w:rPr>
                <w:b/>
                <w:bCs/>
                <w:color w:val="000000"/>
                <w:sz w:val="20"/>
                <w:szCs w:val="20"/>
              </w:rPr>
            </w:pPr>
            <w:r w:rsidRPr="00A27A71">
              <w:rPr>
                <w:b/>
                <w:bCs/>
                <w:color w:val="000000"/>
                <w:sz w:val="20"/>
                <w:szCs w:val="20"/>
              </w:rPr>
              <w:t>CE (US $/kg)</w:t>
            </w:r>
          </w:p>
        </w:tc>
      </w:tr>
      <w:tr w:rsidR="005E4A12" w:rsidRPr="00A27A71" w:rsidTr="00D25469">
        <w:trPr>
          <w:trHeight w:val="300"/>
        </w:trPr>
        <w:tc>
          <w:tcPr>
            <w:tcW w:w="808" w:type="pct"/>
            <w:vMerge/>
            <w:tcBorders>
              <w:left w:val="single" w:sz="4" w:space="0" w:color="auto"/>
              <w:bottom w:val="single" w:sz="4" w:space="0" w:color="auto"/>
              <w:right w:val="single" w:sz="4" w:space="0" w:color="auto"/>
            </w:tcBorders>
            <w:shd w:val="clear" w:color="auto" w:fill="auto"/>
            <w:noWrap/>
            <w:vAlign w:val="bottom"/>
            <w:hideMark/>
          </w:tcPr>
          <w:p w:rsidR="005E4A12" w:rsidRPr="00A27A71" w:rsidRDefault="005E4A12" w:rsidP="00F759DF">
            <w:pPr>
              <w:jc w:val="left"/>
              <w:rPr>
                <w:b/>
                <w:color w:val="000000"/>
                <w:sz w:val="20"/>
                <w:szCs w:val="20"/>
              </w:rPr>
            </w:pPr>
          </w:p>
        </w:tc>
        <w:tc>
          <w:tcPr>
            <w:tcW w:w="329" w:type="pct"/>
            <w:tcBorders>
              <w:top w:val="nil"/>
              <w:left w:val="nil"/>
              <w:bottom w:val="single" w:sz="4" w:space="0" w:color="auto"/>
              <w:right w:val="single" w:sz="4" w:space="0" w:color="auto"/>
            </w:tcBorders>
            <w:shd w:val="clear" w:color="auto" w:fill="auto"/>
            <w:noWrap/>
            <w:hideMark/>
          </w:tcPr>
          <w:p w:rsidR="005E4A12" w:rsidRPr="00A27A71" w:rsidRDefault="005E4A12" w:rsidP="00120DD6">
            <w:pPr>
              <w:jc w:val="center"/>
              <w:rPr>
                <w:b/>
                <w:color w:val="000000"/>
                <w:sz w:val="20"/>
                <w:szCs w:val="20"/>
              </w:rPr>
            </w:pPr>
            <w:r w:rsidRPr="00A27A71">
              <w:rPr>
                <w:b/>
                <w:color w:val="000000"/>
                <w:sz w:val="20"/>
                <w:szCs w:val="20"/>
              </w:rPr>
              <w:t>mt</w:t>
            </w:r>
          </w:p>
        </w:tc>
        <w:tc>
          <w:tcPr>
            <w:tcW w:w="470" w:type="pct"/>
            <w:tcBorders>
              <w:top w:val="nil"/>
              <w:left w:val="nil"/>
              <w:bottom w:val="single" w:sz="4" w:space="0" w:color="auto"/>
              <w:right w:val="single" w:sz="4" w:space="0" w:color="auto"/>
            </w:tcBorders>
            <w:shd w:val="clear" w:color="auto" w:fill="auto"/>
            <w:noWrap/>
            <w:hideMark/>
          </w:tcPr>
          <w:p w:rsidR="005E4A12" w:rsidRPr="00A27A71" w:rsidRDefault="005E4A12" w:rsidP="00120DD6">
            <w:pPr>
              <w:jc w:val="center"/>
              <w:rPr>
                <w:b/>
                <w:color w:val="000000"/>
                <w:sz w:val="20"/>
                <w:szCs w:val="20"/>
              </w:rPr>
            </w:pPr>
            <w:r w:rsidRPr="00A27A71">
              <w:rPr>
                <w:b/>
                <w:color w:val="000000"/>
                <w:sz w:val="20"/>
                <w:szCs w:val="20"/>
              </w:rPr>
              <w:t>ODP tonnes</w:t>
            </w:r>
          </w:p>
        </w:tc>
        <w:tc>
          <w:tcPr>
            <w:tcW w:w="376" w:type="pct"/>
            <w:tcBorders>
              <w:top w:val="nil"/>
              <w:left w:val="nil"/>
              <w:bottom w:val="single" w:sz="4" w:space="0" w:color="auto"/>
              <w:right w:val="single" w:sz="4" w:space="0" w:color="auto"/>
            </w:tcBorders>
            <w:shd w:val="clear" w:color="auto" w:fill="auto"/>
            <w:noWrap/>
            <w:hideMark/>
          </w:tcPr>
          <w:p w:rsidR="005E4A12" w:rsidRPr="00A27A71" w:rsidRDefault="005E4A12" w:rsidP="00A44625">
            <w:pPr>
              <w:jc w:val="center"/>
              <w:rPr>
                <w:b/>
                <w:color w:val="000000"/>
                <w:sz w:val="20"/>
                <w:szCs w:val="20"/>
              </w:rPr>
            </w:pPr>
            <w:r w:rsidRPr="00A27A71">
              <w:rPr>
                <w:b/>
                <w:color w:val="000000"/>
                <w:sz w:val="20"/>
                <w:szCs w:val="20"/>
              </w:rPr>
              <w:t>mt</w:t>
            </w:r>
          </w:p>
        </w:tc>
        <w:tc>
          <w:tcPr>
            <w:tcW w:w="424" w:type="pct"/>
            <w:tcBorders>
              <w:top w:val="nil"/>
              <w:left w:val="nil"/>
              <w:bottom w:val="single" w:sz="4" w:space="0" w:color="auto"/>
              <w:right w:val="single" w:sz="4" w:space="0" w:color="auto"/>
            </w:tcBorders>
            <w:shd w:val="clear" w:color="auto" w:fill="auto"/>
            <w:noWrap/>
            <w:hideMark/>
          </w:tcPr>
          <w:p w:rsidR="005E4A12" w:rsidRPr="00A27A71" w:rsidRDefault="005E4A12" w:rsidP="00120DD6">
            <w:pPr>
              <w:jc w:val="center"/>
              <w:rPr>
                <w:b/>
                <w:color w:val="000000"/>
                <w:sz w:val="20"/>
                <w:szCs w:val="20"/>
              </w:rPr>
            </w:pPr>
            <w:r w:rsidRPr="00A27A71">
              <w:rPr>
                <w:b/>
                <w:color w:val="000000"/>
                <w:sz w:val="20"/>
                <w:szCs w:val="20"/>
              </w:rPr>
              <w:t>ODP tonnes</w:t>
            </w:r>
          </w:p>
        </w:tc>
        <w:tc>
          <w:tcPr>
            <w:tcW w:w="564" w:type="pct"/>
            <w:vMerge/>
            <w:tcBorders>
              <w:left w:val="nil"/>
              <w:bottom w:val="single" w:sz="4" w:space="0" w:color="auto"/>
              <w:right w:val="single" w:sz="4" w:space="0" w:color="auto"/>
            </w:tcBorders>
            <w:shd w:val="clear" w:color="auto" w:fill="auto"/>
            <w:noWrap/>
            <w:vAlign w:val="bottom"/>
            <w:hideMark/>
          </w:tcPr>
          <w:p w:rsidR="005E4A12" w:rsidRPr="00A27A71" w:rsidRDefault="005E4A12" w:rsidP="00F759DF">
            <w:pPr>
              <w:jc w:val="left"/>
              <w:rPr>
                <w:b/>
                <w:color w:val="000000"/>
                <w:sz w:val="20"/>
                <w:szCs w:val="20"/>
              </w:rPr>
            </w:pPr>
          </w:p>
        </w:tc>
        <w:tc>
          <w:tcPr>
            <w:tcW w:w="470" w:type="pct"/>
            <w:vMerge/>
            <w:tcBorders>
              <w:left w:val="nil"/>
              <w:bottom w:val="single" w:sz="4" w:space="0" w:color="auto"/>
              <w:right w:val="single" w:sz="4" w:space="0" w:color="auto"/>
            </w:tcBorders>
            <w:shd w:val="clear" w:color="auto" w:fill="auto"/>
            <w:noWrap/>
            <w:vAlign w:val="bottom"/>
          </w:tcPr>
          <w:p w:rsidR="005E4A12" w:rsidRPr="00A27A71" w:rsidRDefault="005E4A12" w:rsidP="00F759DF">
            <w:pPr>
              <w:jc w:val="left"/>
              <w:rPr>
                <w:b/>
                <w:color w:val="000000"/>
                <w:sz w:val="20"/>
                <w:szCs w:val="20"/>
              </w:rPr>
            </w:pPr>
          </w:p>
        </w:tc>
        <w:tc>
          <w:tcPr>
            <w:tcW w:w="564" w:type="pct"/>
            <w:vMerge/>
            <w:tcBorders>
              <w:left w:val="nil"/>
              <w:bottom w:val="single" w:sz="4" w:space="0" w:color="auto"/>
              <w:right w:val="single" w:sz="4" w:space="0" w:color="auto"/>
            </w:tcBorders>
            <w:shd w:val="clear" w:color="auto" w:fill="auto"/>
            <w:noWrap/>
            <w:vAlign w:val="bottom"/>
          </w:tcPr>
          <w:p w:rsidR="005E4A12" w:rsidRPr="00A27A71" w:rsidRDefault="005E4A12" w:rsidP="00F759DF">
            <w:pPr>
              <w:jc w:val="left"/>
              <w:rPr>
                <w:b/>
                <w:color w:val="000000"/>
                <w:sz w:val="20"/>
                <w:szCs w:val="20"/>
              </w:rPr>
            </w:pPr>
          </w:p>
        </w:tc>
        <w:tc>
          <w:tcPr>
            <w:tcW w:w="564" w:type="pct"/>
            <w:vMerge/>
            <w:tcBorders>
              <w:left w:val="nil"/>
              <w:bottom w:val="single" w:sz="4" w:space="0" w:color="auto"/>
              <w:right w:val="single" w:sz="4" w:space="0" w:color="auto"/>
            </w:tcBorders>
            <w:shd w:val="clear" w:color="auto" w:fill="auto"/>
            <w:noWrap/>
            <w:vAlign w:val="bottom"/>
          </w:tcPr>
          <w:p w:rsidR="005E4A12" w:rsidRPr="00A27A71" w:rsidRDefault="005E4A12" w:rsidP="00F759DF">
            <w:pPr>
              <w:jc w:val="left"/>
              <w:rPr>
                <w:b/>
                <w:color w:val="000000"/>
                <w:sz w:val="20"/>
                <w:szCs w:val="20"/>
              </w:rPr>
            </w:pPr>
          </w:p>
        </w:tc>
        <w:tc>
          <w:tcPr>
            <w:tcW w:w="431" w:type="pct"/>
            <w:vMerge/>
            <w:tcBorders>
              <w:left w:val="nil"/>
              <w:bottom w:val="single" w:sz="4" w:space="0" w:color="auto"/>
              <w:right w:val="single" w:sz="4" w:space="0" w:color="auto"/>
            </w:tcBorders>
          </w:tcPr>
          <w:p w:rsidR="005E4A12" w:rsidRPr="00A27A71" w:rsidRDefault="005E4A12" w:rsidP="00F759DF">
            <w:pPr>
              <w:jc w:val="left"/>
              <w:rPr>
                <w:b/>
                <w:color w:val="000000"/>
                <w:sz w:val="20"/>
                <w:szCs w:val="20"/>
              </w:rPr>
            </w:pPr>
          </w:p>
        </w:tc>
      </w:tr>
      <w:tr w:rsidR="00D25469" w:rsidRPr="00A27A71" w:rsidTr="00D25469">
        <w:trPr>
          <w:trHeight w:val="197"/>
        </w:trPr>
        <w:tc>
          <w:tcPr>
            <w:tcW w:w="808" w:type="pct"/>
            <w:tcBorders>
              <w:top w:val="nil"/>
              <w:left w:val="single" w:sz="4" w:space="0" w:color="auto"/>
              <w:bottom w:val="single" w:sz="4" w:space="0" w:color="auto"/>
              <w:right w:val="single" w:sz="4" w:space="0" w:color="auto"/>
            </w:tcBorders>
            <w:shd w:val="clear" w:color="auto" w:fill="auto"/>
            <w:noWrap/>
            <w:hideMark/>
          </w:tcPr>
          <w:p w:rsidR="00BB39E4" w:rsidRPr="00A27A71" w:rsidRDefault="00BB39E4" w:rsidP="00BD650A">
            <w:pPr>
              <w:jc w:val="left"/>
              <w:rPr>
                <w:color w:val="000000"/>
                <w:sz w:val="20"/>
                <w:szCs w:val="20"/>
              </w:rPr>
            </w:pPr>
            <w:r w:rsidRPr="00A27A71">
              <w:rPr>
                <w:color w:val="000000"/>
                <w:sz w:val="20"/>
                <w:szCs w:val="20"/>
              </w:rPr>
              <w:t>CMB</w:t>
            </w:r>
          </w:p>
        </w:tc>
        <w:tc>
          <w:tcPr>
            <w:tcW w:w="329" w:type="pct"/>
            <w:tcBorders>
              <w:top w:val="nil"/>
              <w:left w:val="nil"/>
              <w:bottom w:val="single" w:sz="4" w:space="0" w:color="auto"/>
              <w:right w:val="single" w:sz="4" w:space="0" w:color="auto"/>
            </w:tcBorders>
            <w:shd w:val="clear" w:color="auto" w:fill="auto"/>
            <w:noWrap/>
            <w:hideMark/>
          </w:tcPr>
          <w:p w:rsidR="00BB39E4" w:rsidRPr="00A27A71" w:rsidRDefault="00BB39E4" w:rsidP="00BD650A">
            <w:pPr>
              <w:jc w:val="right"/>
              <w:rPr>
                <w:color w:val="000000"/>
                <w:sz w:val="20"/>
                <w:szCs w:val="20"/>
              </w:rPr>
            </w:pPr>
            <w:r w:rsidRPr="00A27A71">
              <w:rPr>
                <w:color w:val="000000"/>
                <w:sz w:val="20"/>
                <w:szCs w:val="20"/>
              </w:rPr>
              <w:t xml:space="preserve">24.3 </w:t>
            </w:r>
          </w:p>
        </w:tc>
        <w:tc>
          <w:tcPr>
            <w:tcW w:w="470"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    1.58 </w:t>
            </w:r>
          </w:p>
        </w:tc>
        <w:tc>
          <w:tcPr>
            <w:tcW w:w="376"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  49.0 </w:t>
            </w:r>
          </w:p>
        </w:tc>
        <w:tc>
          <w:tcPr>
            <w:tcW w:w="424" w:type="pct"/>
            <w:tcBorders>
              <w:top w:val="nil"/>
              <w:left w:val="nil"/>
              <w:bottom w:val="single" w:sz="4" w:space="0" w:color="auto"/>
              <w:right w:val="single" w:sz="4" w:space="0" w:color="auto"/>
            </w:tcBorders>
            <w:shd w:val="clear" w:color="auto" w:fill="auto"/>
            <w:noWrap/>
            <w:hideMark/>
          </w:tcPr>
          <w:p w:rsidR="00BB39E4" w:rsidRPr="00A27A71" w:rsidRDefault="00D25469" w:rsidP="005E4A12">
            <w:pPr>
              <w:jc w:val="right"/>
              <w:rPr>
                <w:color w:val="000000"/>
                <w:sz w:val="20"/>
                <w:szCs w:val="20"/>
              </w:rPr>
            </w:pPr>
            <w:r w:rsidRPr="00A27A71">
              <w:rPr>
                <w:color w:val="000000"/>
                <w:sz w:val="20"/>
                <w:szCs w:val="20"/>
              </w:rPr>
              <w:t xml:space="preserve">    </w:t>
            </w:r>
            <w:r w:rsidR="00BB39E4" w:rsidRPr="00A27A71">
              <w:rPr>
                <w:color w:val="000000"/>
                <w:sz w:val="20"/>
                <w:szCs w:val="20"/>
              </w:rPr>
              <w:t xml:space="preserve">2.70 </w:t>
            </w:r>
          </w:p>
        </w:tc>
        <w:tc>
          <w:tcPr>
            <w:tcW w:w="564"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742,500 </w:t>
            </w:r>
          </w:p>
        </w:tc>
        <w:tc>
          <w:tcPr>
            <w:tcW w:w="470"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102,620 </w:t>
            </w:r>
          </w:p>
        </w:tc>
        <w:tc>
          <w:tcPr>
            <w:tcW w:w="564"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   845,120 </w:t>
            </w:r>
          </w:p>
        </w:tc>
        <w:tc>
          <w:tcPr>
            <w:tcW w:w="564"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845,120 </w:t>
            </w:r>
          </w:p>
        </w:tc>
        <w:tc>
          <w:tcPr>
            <w:tcW w:w="431" w:type="pct"/>
            <w:tcBorders>
              <w:top w:val="nil"/>
              <w:left w:val="nil"/>
              <w:bottom w:val="single" w:sz="4" w:space="0" w:color="auto"/>
              <w:right w:val="single" w:sz="4" w:space="0" w:color="auto"/>
            </w:tcBorders>
          </w:tcPr>
          <w:p w:rsidR="00BB39E4" w:rsidRPr="00A27A71" w:rsidRDefault="00730FBC" w:rsidP="00730FBC">
            <w:pPr>
              <w:tabs>
                <w:tab w:val="left" w:pos="463"/>
              </w:tabs>
              <w:jc w:val="right"/>
              <w:rPr>
                <w:color w:val="000000"/>
                <w:sz w:val="20"/>
                <w:szCs w:val="20"/>
              </w:rPr>
            </w:pPr>
            <w:r w:rsidRPr="00A27A71">
              <w:rPr>
                <w:color w:val="000000"/>
                <w:sz w:val="20"/>
                <w:szCs w:val="20"/>
              </w:rPr>
              <w:t>11.53</w:t>
            </w:r>
          </w:p>
        </w:tc>
      </w:tr>
      <w:tr w:rsidR="00D25469" w:rsidRPr="00A27A71" w:rsidTr="00D25469">
        <w:trPr>
          <w:trHeight w:val="134"/>
        </w:trPr>
        <w:tc>
          <w:tcPr>
            <w:tcW w:w="808" w:type="pct"/>
            <w:tcBorders>
              <w:top w:val="nil"/>
              <w:left w:val="single" w:sz="4" w:space="0" w:color="auto"/>
              <w:bottom w:val="single" w:sz="4" w:space="0" w:color="auto"/>
              <w:right w:val="single" w:sz="4" w:space="0" w:color="auto"/>
            </w:tcBorders>
            <w:shd w:val="clear" w:color="auto" w:fill="auto"/>
            <w:noWrap/>
            <w:hideMark/>
          </w:tcPr>
          <w:p w:rsidR="00BB39E4" w:rsidRPr="00A27A71" w:rsidRDefault="00BB39E4" w:rsidP="00120DD6">
            <w:pPr>
              <w:jc w:val="left"/>
              <w:rPr>
                <w:color w:val="000000"/>
                <w:sz w:val="20"/>
                <w:szCs w:val="20"/>
              </w:rPr>
            </w:pPr>
            <w:r w:rsidRPr="00A27A71">
              <w:rPr>
                <w:color w:val="000000"/>
                <w:sz w:val="20"/>
                <w:szCs w:val="20"/>
              </w:rPr>
              <w:t>Insuthec</w:t>
            </w:r>
          </w:p>
        </w:tc>
        <w:tc>
          <w:tcPr>
            <w:tcW w:w="329" w:type="pct"/>
            <w:tcBorders>
              <w:top w:val="nil"/>
              <w:left w:val="nil"/>
              <w:bottom w:val="single" w:sz="4" w:space="0" w:color="auto"/>
              <w:right w:val="single" w:sz="4" w:space="0" w:color="auto"/>
            </w:tcBorders>
            <w:shd w:val="clear" w:color="auto" w:fill="auto"/>
            <w:noWrap/>
            <w:hideMark/>
          </w:tcPr>
          <w:p w:rsidR="00BB39E4" w:rsidRPr="00A27A71" w:rsidRDefault="00BB39E4" w:rsidP="00BD650A">
            <w:pPr>
              <w:jc w:val="right"/>
              <w:rPr>
                <w:color w:val="000000"/>
                <w:sz w:val="20"/>
                <w:szCs w:val="20"/>
              </w:rPr>
            </w:pPr>
            <w:r w:rsidRPr="00A27A71">
              <w:rPr>
                <w:color w:val="000000"/>
                <w:sz w:val="20"/>
                <w:szCs w:val="20"/>
              </w:rPr>
              <w:t xml:space="preserve">0.0 </w:t>
            </w:r>
          </w:p>
        </w:tc>
        <w:tc>
          <w:tcPr>
            <w:tcW w:w="470"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0.0 </w:t>
            </w:r>
          </w:p>
        </w:tc>
        <w:tc>
          <w:tcPr>
            <w:tcW w:w="376"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300.0 </w:t>
            </w:r>
          </w:p>
        </w:tc>
        <w:tc>
          <w:tcPr>
            <w:tcW w:w="424"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16.50 </w:t>
            </w:r>
          </w:p>
        </w:tc>
        <w:tc>
          <w:tcPr>
            <w:tcW w:w="564"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473,000 </w:t>
            </w:r>
          </w:p>
        </w:tc>
        <w:tc>
          <w:tcPr>
            <w:tcW w:w="470"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420,000 </w:t>
            </w:r>
          </w:p>
        </w:tc>
        <w:tc>
          <w:tcPr>
            <w:tcW w:w="564"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    893,000 </w:t>
            </w:r>
          </w:p>
        </w:tc>
        <w:tc>
          <w:tcPr>
            <w:tcW w:w="564"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893,000 </w:t>
            </w:r>
          </w:p>
        </w:tc>
        <w:tc>
          <w:tcPr>
            <w:tcW w:w="431" w:type="pct"/>
            <w:tcBorders>
              <w:top w:val="nil"/>
              <w:left w:val="nil"/>
              <w:bottom w:val="single" w:sz="4" w:space="0" w:color="auto"/>
              <w:right w:val="single" w:sz="4" w:space="0" w:color="auto"/>
            </w:tcBorders>
          </w:tcPr>
          <w:p w:rsidR="00BB39E4" w:rsidRPr="00A27A71" w:rsidRDefault="00730FBC" w:rsidP="00730FBC">
            <w:pPr>
              <w:jc w:val="right"/>
              <w:rPr>
                <w:color w:val="000000"/>
                <w:sz w:val="20"/>
                <w:szCs w:val="20"/>
              </w:rPr>
            </w:pPr>
            <w:r w:rsidRPr="00A27A71">
              <w:rPr>
                <w:color w:val="000000"/>
                <w:sz w:val="20"/>
                <w:szCs w:val="20"/>
              </w:rPr>
              <w:t>2.98</w:t>
            </w:r>
          </w:p>
        </w:tc>
      </w:tr>
      <w:tr w:rsidR="00D25469" w:rsidRPr="00A27A71" w:rsidTr="00D25469">
        <w:trPr>
          <w:trHeight w:val="161"/>
        </w:trPr>
        <w:tc>
          <w:tcPr>
            <w:tcW w:w="808" w:type="pct"/>
            <w:tcBorders>
              <w:top w:val="nil"/>
              <w:left w:val="single" w:sz="4" w:space="0" w:color="auto"/>
              <w:bottom w:val="single" w:sz="4" w:space="0" w:color="auto"/>
              <w:right w:val="single" w:sz="4" w:space="0" w:color="auto"/>
            </w:tcBorders>
            <w:shd w:val="clear" w:color="auto" w:fill="auto"/>
            <w:noWrap/>
            <w:hideMark/>
          </w:tcPr>
          <w:p w:rsidR="00BB39E4" w:rsidRPr="00A27A71" w:rsidRDefault="00BB39E4" w:rsidP="00FB3F9A">
            <w:pPr>
              <w:jc w:val="left"/>
              <w:rPr>
                <w:color w:val="000000"/>
                <w:sz w:val="20"/>
                <w:szCs w:val="20"/>
              </w:rPr>
            </w:pPr>
            <w:r w:rsidRPr="00A27A71">
              <w:rPr>
                <w:color w:val="000000"/>
                <w:sz w:val="20"/>
                <w:szCs w:val="20"/>
              </w:rPr>
              <w:t>Chema-Foam</w:t>
            </w:r>
          </w:p>
        </w:tc>
        <w:tc>
          <w:tcPr>
            <w:tcW w:w="329" w:type="pct"/>
            <w:tcBorders>
              <w:top w:val="nil"/>
              <w:left w:val="nil"/>
              <w:bottom w:val="single" w:sz="4" w:space="0" w:color="auto"/>
              <w:right w:val="single" w:sz="4" w:space="0" w:color="auto"/>
            </w:tcBorders>
            <w:shd w:val="clear" w:color="auto" w:fill="auto"/>
            <w:noWrap/>
            <w:hideMark/>
          </w:tcPr>
          <w:p w:rsidR="00BB39E4" w:rsidRPr="00A27A71" w:rsidRDefault="00BB39E4" w:rsidP="00BD650A">
            <w:pPr>
              <w:jc w:val="right"/>
              <w:rPr>
                <w:color w:val="000000"/>
                <w:sz w:val="20"/>
                <w:szCs w:val="20"/>
              </w:rPr>
            </w:pPr>
            <w:r w:rsidRPr="00A27A71">
              <w:rPr>
                <w:color w:val="000000"/>
                <w:sz w:val="20"/>
                <w:szCs w:val="20"/>
              </w:rPr>
              <w:t xml:space="preserve">0.0 </w:t>
            </w:r>
          </w:p>
        </w:tc>
        <w:tc>
          <w:tcPr>
            <w:tcW w:w="470"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0.0 </w:t>
            </w:r>
          </w:p>
        </w:tc>
        <w:tc>
          <w:tcPr>
            <w:tcW w:w="376"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  10.0 </w:t>
            </w:r>
          </w:p>
        </w:tc>
        <w:tc>
          <w:tcPr>
            <w:tcW w:w="424" w:type="pct"/>
            <w:tcBorders>
              <w:top w:val="nil"/>
              <w:left w:val="nil"/>
              <w:bottom w:val="single" w:sz="4" w:space="0" w:color="auto"/>
              <w:right w:val="single" w:sz="4" w:space="0" w:color="auto"/>
            </w:tcBorders>
            <w:shd w:val="clear" w:color="auto" w:fill="auto"/>
            <w:noWrap/>
            <w:hideMark/>
          </w:tcPr>
          <w:p w:rsidR="00BB39E4" w:rsidRPr="00A27A71" w:rsidRDefault="00D25469" w:rsidP="005E4A12">
            <w:pPr>
              <w:jc w:val="right"/>
              <w:rPr>
                <w:color w:val="000000"/>
                <w:sz w:val="20"/>
                <w:szCs w:val="20"/>
              </w:rPr>
            </w:pPr>
            <w:r w:rsidRPr="00A27A71">
              <w:rPr>
                <w:color w:val="000000"/>
                <w:sz w:val="20"/>
                <w:szCs w:val="20"/>
              </w:rPr>
              <w:t xml:space="preserve">    </w:t>
            </w:r>
            <w:r w:rsidR="00BB39E4" w:rsidRPr="00A27A71">
              <w:rPr>
                <w:color w:val="000000"/>
                <w:sz w:val="20"/>
                <w:szCs w:val="20"/>
              </w:rPr>
              <w:t xml:space="preserve">0.55 </w:t>
            </w:r>
          </w:p>
        </w:tc>
        <w:tc>
          <w:tcPr>
            <w:tcW w:w="564"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299,750 </w:t>
            </w:r>
          </w:p>
        </w:tc>
        <w:tc>
          <w:tcPr>
            <w:tcW w:w="470" w:type="pct"/>
            <w:tcBorders>
              <w:top w:val="nil"/>
              <w:left w:val="nil"/>
              <w:bottom w:val="single" w:sz="4" w:space="0" w:color="auto"/>
              <w:right w:val="single" w:sz="4" w:space="0" w:color="auto"/>
            </w:tcBorders>
            <w:shd w:val="clear" w:color="auto" w:fill="auto"/>
            <w:noWrap/>
            <w:hideMark/>
          </w:tcPr>
          <w:p w:rsidR="00BB39E4" w:rsidRPr="00A27A71" w:rsidRDefault="00D25469" w:rsidP="005E4A12">
            <w:pPr>
              <w:jc w:val="right"/>
              <w:rPr>
                <w:color w:val="000000"/>
                <w:sz w:val="20"/>
                <w:szCs w:val="20"/>
              </w:rPr>
            </w:pPr>
            <w:r w:rsidRPr="00A27A71">
              <w:rPr>
                <w:color w:val="000000"/>
                <w:sz w:val="20"/>
                <w:szCs w:val="20"/>
              </w:rPr>
              <w:t xml:space="preserve"> </w:t>
            </w:r>
            <w:r w:rsidR="00BB39E4" w:rsidRPr="00A27A71">
              <w:rPr>
                <w:color w:val="000000"/>
                <w:sz w:val="20"/>
                <w:szCs w:val="20"/>
              </w:rPr>
              <w:t xml:space="preserve">14,000 </w:t>
            </w:r>
          </w:p>
        </w:tc>
        <w:tc>
          <w:tcPr>
            <w:tcW w:w="564"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   313,750 </w:t>
            </w:r>
          </w:p>
        </w:tc>
        <w:tc>
          <w:tcPr>
            <w:tcW w:w="564" w:type="pct"/>
            <w:tcBorders>
              <w:top w:val="nil"/>
              <w:left w:val="nil"/>
              <w:bottom w:val="single" w:sz="4" w:space="0" w:color="auto"/>
              <w:right w:val="single" w:sz="4" w:space="0" w:color="auto"/>
            </w:tcBorders>
            <w:shd w:val="clear" w:color="auto" w:fill="auto"/>
            <w:noWrap/>
            <w:hideMark/>
          </w:tcPr>
          <w:p w:rsidR="00BB39E4" w:rsidRPr="00A27A71" w:rsidRDefault="00D25469" w:rsidP="005E4A12">
            <w:pPr>
              <w:jc w:val="right"/>
              <w:rPr>
                <w:color w:val="000000"/>
                <w:sz w:val="20"/>
                <w:szCs w:val="20"/>
              </w:rPr>
            </w:pPr>
            <w:r w:rsidRPr="00A27A71">
              <w:rPr>
                <w:color w:val="000000"/>
                <w:sz w:val="20"/>
                <w:szCs w:val="20"/>
              </w:rPr>
              <w:t xml:space="preserve">   </w:t>
            </w:r>
            <w:r w:rsidR="00BB39E4" w:rsidRPr="00A27A71">
              <w:rPr>
                <w:color w:val="000000"/>
                <w:sz w:val="20"/>
                <w:szCs w:val="20"/>
              </w:rPr>
              <w:t xml:space="preserve">205,500 </w:t>
            </w:r>
          </w:p>
        </w:tc>
        <w:tc>
          <w:tcPr>
            <w:tcW w:w="431" w:type="pct"/>
            <w:tcBorders>
              <w:top w:val="nil"/>
              <w:left w:val="nil"/>
              <w:bottom w:val="single" w:sz="4" w:space="0" w:color="auto"/>
              <w:right w:val="single" w:sz="4" w:space="0" w:color="auto"/>
            </w:tcBorders>
          </w:tcPr>
          <w:p w:rsidR="00BB39E4" w:rsidRPr="00A27A71" w:rsidRDefault="00730FBC" w:rsidP="00730FBC">
            <w:pPr>
              <w:jc w:val="right"/>
              <w:rPr>
                <w:color w:val="000000"/>
                <w:sz w:val="20"/>
                <w:szCs w:val="20"/>
              </w:rPr>
            </w:pPr>
            <w:r w:rsidRPr="00A27A71">
              <w:rPr>
                <w:color w:val="000000"/>
                <w:sz w:val="20"/>
                <w:szCs w:val="20"/>
              </w:rPr>
              <w:t>20.55</w:t>
            </w:r>
          </w:p>
        </w:tc>
      </w:tr>
      <w:tr w:rsidR="00D25469" w:rsidRPr="00A27A71" w:rsidTr="00D25469">
        <w:trPr>
          <w:trHeight w:val="107"/>
        </w:trPr>
        <w:tc>
          <w:tcPr>
            <w:tcW w:w="808" w:type="pct"/>
            <w:tcBorders>
              <w:top w:val="nil"/>
              <w:left w:val="single" w:sz="4" w:space="0" w:color="auto"/>
              <w:bottom w:val="single" w:sz="4" w:space="0" w:color="auto"/>
              <w:right w:val="single" w:sz="4" w:space="0" w:color="auto"/>
            </w:tcBorders>
            <w:shd w:val="clear" w:color="auto" w:fill="auto"/>
            <w:noWrap/>
            <w:hideMark/>
          </w:tcPr>
          <w:p w:rsidR="00BB39E4" w:rsidRPr="00A27A71" w:rsidRDefault="00BB39E4" w:rsidP="00D25469">
            <w:pPr>
              <w:jc w:val="left"/>
              <w:rPr>
                <w:color w:val="000000"/>
                <w:sz w:val="20"/>
                <w:szCs w:val="20"/>
              </w:rPr>
            </w:pPr>
            <w:r w:rsidRPr="00A27A71">
              <w:rPr>
                <w:color w:val="000000"/>
                <w:sz w:val="20"/>
                <w:szCs w:val="20"/>
              </w:rPr>
              <w:t xml:space="preserve">Modern </w:t>
            </w:r>
            <w:r w:rsidR="00D25469" w:rsidRPr="00A27A71">
              <w:rPr>
                <w:color w:val="000000"/>
                <w:sz w:val="20"/>
                <w:szCs w:val="20"/>
              </w:rPr>
              <w:t>P</w:t>
            </w:r>
            <w:r w:rsidRPr="00A27A71">
              <w:rPr>
                <w:color w:val="000000"/>
                <w:sz w:val="20"/>
                <w:szCs w:val="20"/>
              </w:rPr>
              <w:t>lastics</w:t>
            </w:r>
          </w:p>
        </w:tc>
        <w:tc>
          <w:tcPr>
            <w:tcW w:w="329" w:type="pct"/>
            <w:tcBorders>
              <w:top w:val="nil"/>
              <w:left w:val="nil"/>
              <w:bottom w:val="single" w:sz="4" w:space="0" w:color="auto"/>
              <w:right w:val="single" w:sz="4" w:space="0" w:color="auto"/>
            </w:tcBorders>
            <w:shd w:val="clear" w:color="auto" w:fill="auto"/>
            <w:noWrap/>
            <w:hideMark/>
          </w:tcPr>
          <w:p w:rsidR="00BB39E4" w:rsidRPr="00A27A71" w:rsidRDefault="00BB39E4" w:rsidP="00BD650A">
            <w:pPr>
              <w:jc w:val="right"/>
              <w:rPr>
                <w:color w:val="000000"/>
                <w:sz w:val="20"/>
                <w:szCs w:val="20"/>
              </w:rPr>
            </w:pPr>
            <w:r w:rsidRPr="00A27A71">
              <w:rPr>
                <w:color w:val="000000"/>
                <w:sz w:val="20"/>
                <w:szCs w:val="20"/>
              </w:rPr>
              <w:t xml:space="preserve">0.0 </w:t>
            </w:r>
          </w:p>
        </w:tc>
        <w:tc>
          <w:tcPr>
            <w:tcW w:w="470"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0.0 </w:t>
            </w:r>
          </w:p>
        </w:tc>
        <w:tc>
          <w:tcPr>
            <w:tcW w:w="376"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200.0 </w:t>
            </w:r>
          </w:p>
        </w:tc>
        <w:tc>
          <w:tcPr>
            <w:tcW w:w="424" w:type="pct"/>
            <w:tcBorders>
              <w:top w:val="nil"/>
              <w:left w:val="nil"/>
              <w:bottom w:val="single" w:sz="4" w:space="0" w:color="auto"/>
              <w:right w:val="single" w:sz="4" w:space="0" w:color="auto"/>
            </w:tcBorders>
            <w:shd w:val="clear" w:color="auto" w:fill="auto"/>
            <w:noWrap/>
            <w:hideMark/>
          </w:tcPr>
          <w:p w:rsidR="00BB39E4" w:rsidRPr="00A27A71" w:rsidRDefault="00D25469" w:rsidP="005E4A12">
            <w:pPr>
              <w:jc w:val="right"/>
              <w:rPr>
                <w:color w:val="000000"/>
                <w:sz w:val="20"/>
                <w:szCs w:val="20"/>
              </w:rPr>
            </w:pPr>
            <w:r w:rsidRPr="00A27A71">
              <w:rPr>
                <w:color w:val="000000"/>
                <w:sz w:val="20"/>
                <w:szCs w:val="20"/>
              </w:rPr>
              <w:t xml:space="preserve">  </w:t>
            </w:r>
            <w:r w:rsidR="00BB39E4" w:rsidRPr="00A27A71">
              <w:rPr>
                <w:color w:val="000000"/>
                <w:sz w:val="20"/>
                <w:szCs w:val="20"/>
              </w:rPr>
              <w:t xml:space="preserve">11.00 </w:t>
            </w:r>
          </w:p>
        </w:tc>
        <w:tc>
          <w:tcPr>
            <w:tcW w:w="564"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354,750 </w:t>
            </w:r>
          </w:p>
        </w:tc>
        <w:tc>
          <w:tcPr>
            <w:tcW w:w="470"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280,000 </w:t>
            </w:r>
          </w:p>
        </w:tc>
        <w:tc>
          <w:tcPr>
            <w:tcW w:w="564"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   634,750 </w:t>
            </w:r>
          </w:p>
        </w:tc>
        <w:tc>
          <w:tcPr>
            <w:tcW w:w="564"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color w:val="000000"/>
                <w:sz w:val="20"/>
                <w:szCs w:val="20"/>
              </w:rPr>
            </w:pPr>
            <w:r w:rsidRPr="00A27A71">
              <w:rPr>
                <w:color w:val="000000"/>
                <w:sz w:val="20"/>
                <w:szCs w:val="20"/>
              </w:rPr>
              <w:t xml:space="preserve">634,750 </w:t>
            </w:r>
          </w:p>
        </w:tc>
        <w:tc>
          <w:tcPr>
            <w:tcW w:w="431" w:type="pct"/>
            <w:tcBorders>
              <w:top w:val="nil"/>
              <w:left w:val="nil"/>
              <w:bottom w:val="single" w:sz="4" w:space="0" w:color="auto"/>
              <w:right w:val="single" w:sz="4" w:space="0" w:color="auto"/>
            </w:tcBorders>
          </w:tcPr>
          <w:p w:rsidR="00BB39E4" w:rsidRPr="00A27A71" w:rsidRDefault="00730FBC" w:rsidP="00730FBC">
            <w:pPr>
              <w:jc w:val="right"/>
              <w:rPr>
                <w:color w:val="000000"/>
                <w:sz w:val="20"/>
                <w:szCs w:val="20"/>
              </w:rPr>
            </w:pPr>
            <w:r w:rsidRPr="00A27A71">
              <w:rPr>
                <w:color w:val="000000"/>
                <w:sz w:val="20"/>
                <w:szCs w:val="20"/>
              </w:rPr>
              <w:t>3.17</w:t>
            </w:r>
          </w:p>
        </w:tc>
      </w:tr>
      <w:tr w:rsidR="00D25469" w:rsidRPr="00A27A71" w:rsidTr="00D25469">
        <w:trPr>
          <w:trHeight w:val="54"/>
        </w:trPr>
        <w:tc>
          <w:tcPr>
            <w:tcW w:w="808" w:type="pct"/>
            <w:tcBorders>
              <w:top w:val="nil"/>
              <w:left w:val="single" w:sz="4" w:space="0" w:color="auto"/>
              <w:bottom w:val="single" w:sz="4" w:space="0" w:color="auto"/>
              <w:right w:val="single" w:sz="4" w:space="0" w:color="auto"/>
            </w:tcBorders>
            <w:shd w:val="clear" w:color="auto" w:fill="auto"/>
            <w:noWrap/>
            <w:hideMark/>
          </w:tcPr>
          <w:p w:rsidR="00BB39E4" w:rsidRPr="00A27A71" w:rsidRDefault="00BB39E4" w:rsidP="00BD650A">
            <w:pPr>
              <w:jc w:val="left"/>
              <w:rPr>
                <w:b/>
                <w:bCs/>
                <w:color w:val="000000"/>
                <w:sz w:val="20"/>
                <w:szCs w:val="20"/>
              </w:rPr>
            </w:pPr>
            <w:r w:rsidRPr="00A27A71">
              <w:rPr>
                <w:b/>
                <w:bCs/>
                <w:color w:val="000000"/>
                <w:sz w:val="20"/>
                <w:szCs w:val="20"/>
              </w:rPr>
              <w:t>Total</w:t>
            </w:r>
          </w:p>
        </w:tc>
        <w:tc>
          <w:tcPr>
            <w:tcW w:w="329"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b/>
                <w:bCs/>
                <w:color w:val="000000"/>
                <w:sz w:val="20"/>
                <w:szCs w:val="20"/>
              </w:rPr>
            </w:pPr>
            <w:r w:rsidRPr="00A27A71">
              <w:rPr>
                <w:b/>
                <w:bCs/>
                <w:color w:val="000000"/>
                <w:sz w:val="20"/>
                <w:szCs w:val="20"/>
              </w:rPr>
              <w:t xml:space="preserve">24.3 </w:t>
            </w:r>
          </w:p>
        </w:tc>
        <w:tc>
          <w:tcPr>
            <w:tcW w:w="470"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b/>
                <w:bCs/>
                <w:color w:val="000000"/>
                <w:sz w:val="20"/>
                <w:szCs w:val="20"/>
              </w:rPr>
            </w:pPr>
            <w:r w:rsidRPr="00A27A71">
              <w:rPr>
                <w:b/>
                <w:bCs/>
                <w:color w:val="000000"/>
                <w:sz w:val="20"/>
                <w:szCs w:val="20"/>
              </w:rPr>
              <w:t xml:space="preserve">      1.6 </w:t>
            </w:r>
          </w:p>
        </w:tc>
        <w:tc>
          <w:tcPr>
            <w:tcW w:w="376"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b/>
                <w:bCs/>
                <w:color w:val="000000"/>
                <w:sz w:val="20"/>
                <w:szCs w:val="20"/>
              </w:rPr>
            </w:pPr>
            <w:r w:rsidRPr="00A27A71">
              <w:rPr>
                <w:b/>
                <w:bCs/>
                <w:color w:val="000000"/>
                <w:sz w:val="20"/>
                <w:szCs w:val="20"/>
              </w:rPr>
              <w:t xml:space="preserve">559.0 </w:t>
            </w:r>
          </w:p>
        </w:tc>
        <w:tc>
          <w:tcPr>
            <w:tcW w:w="424"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b/>
                <w:bCs/>
                <w:color w:val="000000"/>
                <w:sz w:val="20"/>
                <w:szCs w:val="20"/>
              </w:rPr>
            </w:pPr>
            <w:r w:rsidRPr="00A27A71">
              <w:rPr>
                <w:b/>
                <w:bCs/>
                <w:color w:val="000000"/>
                <w:sz w:val="20"/>
                <w:szCs w:val="20"/>
              </w:rPr>
              <w:t xml:space="preserve">    30.7 </w:t>
            </w:r>
          </w:p>
        </w:tc>
        <w:tc>
          <w:tcPr>
            <w:tcW w:w="564"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b/>
                <w:bCs/>
                <w:color w:val="000000"/>
                <w:sz w:val="20"/>
                <w:szCs w:val="20"/>
              </w:rPr>
            </w:pPr>
            <w:r w:rsidRPr="00A27A71">
              <w:rPr>
                <w:b/>
                <w:bCs/>
                <w:color w:val="000000"/>
                <w:sz w:val="20"/>
                <w:szCs w:val="20"/>
              </w:rPr>
              <w:t xml:space="preserve">1,870,000 </w:t>
            </w:r>
          </w:p>
        </w:tc>
        <w:tc>
          <w:tcPr>
            <w:tcW w:w="470"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b/>
                <w:bCs/>
                <w:color w:val="000000"/>
                <w:sz w:val="20"/>
                <w:szCs w:val="20"/>
              </w:rPr>
            </w:pPr>
            <w:r w:rsidRPr="00A27A71">
              <w:rPr>
                <w:b/>
                <w:bCs/>
                <w:color w:val="000000"/>
                <w:sz w:val="20"/>
                <w:szCs w:val="20"/>
              </w:rPr>
              <w:t xml:space="preserve">816,620 </w:t>
            </w:r>
          </w:p>
        </w:tc>
        <w:tc>
          <w:tcPr>
            <w:tcW w:w="564"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b/>
                <w:bCs/>
                <w:color w:val="000000"/>
                <w:sz w:val="20"/>
                <w:szCs w:val="20"/>
              </w:rPr>
            </w:pPr>
            <w:r w:rsidRPr="00A27A71">
              <w:rPr>
                <w:b/>
                <w:bCs/>
                <w:color w:val="000000"/>
                <w:sz w:val="20"/>
                <w:szCs w:val="20"/>
              </w:rPr>
              <w:t xml:space="preserve">2,686,620 </w:t>
            </w:r>
          </w:p>
        </w:tc>
        <w:tc>
          <w:tcPr>
            <w:tcW w:w="564" w:type="pct"/>
            <w:tcBorders>
              <w:top w:val="nil"/>
              <w:left w:val="nil"/>
              <w:bottom w:val="single" w:sz="4" w:space="0" w:color="auto"/>
              <w:right w:val="single" w:sz="4" w:space="0" w:color="auto"/>
            </w:tcBorders>
            <w:shd w:val="clear" w:color="auto" w:fill="auto"/>
            <w:noWrap/>
            <w:hideMark/>
          </w:tcPr>
          <w:p w:rsidR="00BB39E4" w:rsidRPr="00A27A71" w:rsidRDefault="00BB39E4" w:rsidP="005E4A12">
            <w:pPr>
              <w:jc w:val="right"/>
              <w:rPr>
                <w:b/>
                <w:bCs/>
                <w:color w:val="000000"/>
                <w:sz w:val="20"/>
                <w:szCs w:val="20"/>
              </w:rPr>
            </w:pPr>
            <w:r w:rsidRPr="00A27A71">
              <w:rPr>
                <w:b/>
                <w:bCs/>
                <w:color w:val="000000"/>
                <w:sz w:val="20"/>
                <w:szCs w:val="20"/>
              </w:rPr>
              <w:t xml:space="preserve">2,578,370 </w:t>
            </w:r>
          </w:p>
        </w:tc>
        <w:tc>
          <w:tcPr>
            <w:tcW w:w="431" w:type="pct"/>
            <w:tcBorders>
              <w:top w:val="nil"/>
              <w:left w:val="nil"/>
              <w:bottom w:val="single" w:sz="4" w:space="0" w:color="auto"/>
              <w:right w:val="single" w:sz="4" w:space="0" w:color="auto"/>
            </w:tcBorders>
          </w:tcPr>
          <w:p w:rsidR="00BB39E4" w:rsidRPr="00A27A71" w:rsidRDefault="00730FBC" w:rsidP="005E4A12">
            <w:pPr>
              <w:jc w:val="right"/>
              <w:rPr>
                <w:b/>
                <w:bCs/>
                <w:color w:val="000000"/>
                <w:sz w:val="20"/>
                <w:szCs w:val="20"/>
              </w:rPr>
            </w:pPr>
            <w:r w:rsidRPr="00A27A71">
              <w:rPr>
                <w:b/>
                <w:bCs/>
                <w:color w:val="000000"/>
                <w:sz w:val="20"/>
                <w:szCs w:val="20"/>
              </w:rPr>
              <w:t>4.42</w:t>
            </w:r>
          </w:p>
        </w:tc>
      </w:tr>
    </w:tbl>
    <w:p w:rsidR="00F759DF" w:rsidRPr="00A27A71" w:rsidRDefault="00F759DF" w:rsidP="00F759DF"/>
    <w:p w:rsidR="00461B4A" w:rsidRPr="00A27A71" w:rsidRDefault="00D9228A" w:rsidP="00550D45">
      <w:pPr>
        <w:pStyle w:val="Heading1"/>
      </w:pPr>
      <w:r w:rsidRPr="00A27A71">
        <w:t xml:space="preserve">The Government of Egypt would ban the use of HCFCs and their blends in the manufacture of XPS </w:t>
      </w:r>
      <w:r w:rsidR="00A44625" w:rsidRPr="00A27A71">
        <w:t xml:space="preserve">foam </w:t>
      </w:r>
      <w:r w:rsidRPr="00A27A71">
        <w:t>by 1</w:t>
      </w:r>
      <w:r w:rsidR="00A44625" w:rsidRPr="00A27A71">
        <w:t> </w:t>
      </w:r>
      <w:r w:rsidR="00403196" w:rsidRPr="00A27A71">
        <w:t>January 2023</w:t>
      </w:r>
      <w:r w:rsidRPr="00A27A71">
        <w:t xml:space="preserve">. </w:t>
      </w:r>
      <w:r w:rsidR="00550D45" w:rsidRPr="00A27A71">
        <w:t>The Secretariat also noted</w:t>
      </w:r>
      <w:r w:rsidR="00A44625" w:rsidRPr="00A27A71">
        <w:t xml:space="preserve"> that</w:t>
      </w:r>
      <w:r w:rsidR="00550D45" w:rsidRPr="00A27A71">
        <w:t xml:space="preserve"> HCFC-142b was consumed as a blend (R</w:t>
      </w:r>
      <w:r w:rsidR="005D1FF4" w:rsidRPr="00A27A71">
        <w:noBreakHyphen/>
      </w:r>
      <w:r w:rsidR="00550D45" w:rsidRPr="00A27A71">
        <w:t xml:space="preserve">406a) in the refrigeration servicing sector, that this consumption </w:t>
      </w:r>
      <w:r w:rsidR="00DB696B" w:rsidRPr="00A27A71">
        <w:t xml:space="preserve">has been decreasing, and suggested that addressing this consumption in </w:t>
      </w:r>
      <w:r w:rsidR="007F53A9" w:rsidRPr="00A27A71">
        <w:t>stage </w:t>
      </w:r>
      <w:r w:rsidR="00DB696B" w:rsidRPr="00A27A71">
        <w:t>II would enhance the sustainability of the XPS</w:t>
      </w:r>
      <w:r w:rsidR="00A44625" w:rsidRPr="00A27A71">
        <w:t xml:space="preserve"> foam </w:t>
      </w:r>
      <w:r w:rsidR="00DB696B" w:rsidRPr="00A27A71">
        <w:t xml:space="preserve">conversion. The Government of Egypt agreed to ban the import and use of HCFC-142b and its blends </w:t>
      </w:r>
      <w:r w:rsidR="00432B4D" w:rsidRPr="00A27A71">
        <w:t>by</w:t>
      </w:r>
      <w:r w:rsidR="00DB696B" w:rsidRPr="00A27A71">
        <w:t xml:space="preserve"> 1</w:t>
      </w:r>
      <w:r w:rsidR="00A44625" w:rsidRPr="00A27A71">
        <w:t> </w:t>
      </w:r>
      <w:r w:rsidR="00DB696B" w:rsidRPr="00A27A71">
        <w:t>January 2023.</w:t>
      </w:r>
    </w:p>
    <w:p w:rsidR="00C905D9" w:rsidRPr="00A27A71" w:rsidRDefault="00DE3114" w:rsidP="00C905D9">
      <w:pPr>
        <w:rPr>
          <w:i/>
        </w:rPr>
      </w:pPr>
      <w:r w:rsidRPr="00A27A71">
        <w:rPr>
          <w:i/>
        </w:rPr>
        <w:t xml:space="preserve">Domestic </w:t>
      </w:r>
      <w:r w:rsidR="00F75F42" w:rsidRPr="00A27A71">
        <w:rPr>
          <w:i/>
        </w:rPr>
        <w:t>AC</w:t>
      </w:r>
      <w:r w:rsidR="00C905D9" w:rsidRPr="00A27A71">
        <w:rPr>
          <w:i/>
        </w:rPr>
        <w:t xml:space="preserve"> manufacturing sector</w:t>
      </w:r>
    </w:p>
    <w:p w:rsidR="00C905D9" w:rsidRPr="00A27A71" w:rsidRDefault="00C905D9" w:rsidP="00C905D9">
      <w:pPr>
        <w:rPr>
          <w:i/>
        </w:rPr>
      </w:pPr>
    </w:p>
    <w:p w:rsidR="001D0D3D" w:rsidRPr="00A27A71" w:rsidRDefault="009171BE" w:rsidP="001D0D3D">
      <w:pPr>
        <w:pStyle w:val="Heading1"/>
      </w:pPr>
      <w:r w:rsidRPr="00A27A71">
        <w:t xml:space="preserve">The Secretariat understands </w:t>
      </w:r>
      <w:r w:rsidR="00775DBC" w:rsidRPr="00A27A71">
        <w:t>that the enterprises may wish to wait until the activities in EGYPRA and PRAHA-II are further developed before they make their technology selection</w:t>
      </w:r>
      <w:r w:rsidRPr="00A27A71">
        <w:t>. Nonetheless</w:t>
      </w:r>
      <w:r w:rsidR="00775DBC" w:rsidRPr="00A27A71">
        <w:t xml:space="preserve">, the Secretariat was unable to assess the incremental cost of the proposal as the incremental costs associated with the conversion will depend on the technology selection. </w:t>
      </w:r>
    </w:p>
    <w:p w:rsidR="00643731" w:rsidRPr="00A27A71" w:rsidRDefault="00775DBC" w:rsidP="004420B1">
      <w:pPr>
        <w:pStyle w:val="Heading1"/>
      </w:pPr>
      <w:r w:rsidRPr="00A27A71">
        <w:t>The Secretariat considers that, absent a signal to the market to convert to low-GWP alternatives, it is likely that the market would instead convert to high-GWP alternatives, particularly given that high</w:t>
      </w:r>
      <w:r w:rsidR="00D228AD" w:rsidRPr="00A27A71">
        <w:noBreakHyphen/>
      </w:r>
      <w:r w:rsidRPr="00A27A71">
        <w:t xml:space="preserve">GWP alternatives are already present in the market and several of the enterprises already manufacture such equipment. </w:t>
      </w:r>
      <w:r w:rsidR="001D0D3D" w:rsidRPr="00A27A71">
        <w:t>R</w:t>
      </w:r>
      <w:r w:rsidRPr="00A27A71">
        <w:t xml:space="preserve">ather than deferring the domestic </w:t>
      </w:r>
      <w:r w:rsidR="00F75F42" w:rsidRPr="00A27A71">
        <w:t>AC</w:t>
      </w:r>
      <w:r w:rsidRPr="00A27A71">
        <w:t xml:space="preserve"> sector to </w:t>
      </w:r>
      <w:r w:rsidR="007F53A9" w:rsidRPr="00A27A71">
        <w:t>stage </w:t>
      </w:r>
      <w:r w:rsidRPr="00A27A71">
        <w:t xml:space="preserve">III, </w:t>
      </w:r>
      <w:r w:rsidR="004420B1" w:rsidRPr="00A27A71">
        <w:t xml:space="preserve">and in order to ensure that the momentum from EGYPRA and PRAHA-II was maintained, </w:t>
      </w:r>
      <w:r w:rsidR="001D0D3D" w:rsidRPr="00A27A71">
        <w:t xml:space="preserve">it was agreed </w:t>
      </w:r>
      <w:r w:rsidRPr="00A27A71">
        <w:t xml:space="preserve">that the Government of Egypt </w:t>
      </w:r>
      <w:r w:rsidR="001D0D3D" w:rsidRPr="00A27A71">
        <w:t xml:space="preserve">could </w:t>
      </w:r>
      <w:r w:rsidRPr="00A27A71">
        <w:t xml:space="preserve">be invited to submit prior to </w:t>
      </w:r>
      <w:r w:rsidR="001D0D3D" w:rsidRPr="00A27A71">
        <w:t xml:space="preserve">1 January </w:t>
      </w:r>
      <w:r w:rsidRPr="00A27A71">
        <w:t>2020</w:t>
      </w:r>
      <w:r w:rsidR="001D0D3D" w:rsidRPr="00A27A71">
        <w:t>,</w:t>
      </w:r>
      <w:r w:rsidRPr="00A27A71">
        <w:t xml:space="preserve"> and as part of </w:t>
      </w:r>
      <w:r w:rsidR="007F53A9" w:rsidRPr="00A27A71">
        <w:t>stage </w:t>
      </w:r>
      <w:r w:rsidRPr="00A27A71">
        <w:t>II</w:t>
      </w:r>
      <w:r w:rsidR="001D0D3D" w:rsidRPr="00A27A71">
        <w:t>,</w:t>
      </w:r>
      <w:r w:rsidRPr="00A27A71">
        <w:t xml:space="preserve"> </w:t>
      </w:r>
      <w:r w:rsidR="001D0D3D" w:rsidRPr="00A27A71">
        <w:t>a</w:t>
      </w:r>
      <w:r w:rsidRPr="00A27A71">
        <w:t xml:space="preserve"> proposal to convert the domestic </w:t>
      </w:r>
      <w:r w:rsidR="00F75F42" w:rsidRPr="00A27A71">
        <w:t>AC</w:t>
      </w:r>
      <w:r w:rsidRPr="00A27A71">
        <w:t xml:space="preserve"> sector to low-GWP alternatives once a technology is selected, thus allowing the incremental costs to be determined.</w:t>
      </w:r>
      <w:r w:rsidR="004420B1" w:rsidRPr="00A27A71">
        <w:t xml:space="preserve"> S</w:t>
      </w:r>
      <w:r w:rsidRPr="00A27A71">
        <w:t>uch an approach would facilitate the submission of the proposal as early as possible, thereby sending a signal to the market to convert to low-GWP technology as early as possible</w:t>
      </w:r>
      <w:r w:rsidR="004420B1" w:rsidRPr="00A27A71">
        <w:t xml:space="preserve">, which could </w:t>
      </w:r>
      <w:r w:rsidRPr="00A27A71">
        <w:t>bend the trajectory of market transformation in this sector in favour of low</w:t>
      </w:r>
      <w:r w:rsidR="006F4CFF">
        <w:noBreakHyphen/>
      </w:r>
      <w:r w:rsidRPr="00A27A71">
        <w:t>GWP alternatives.</w:t>
      </w:r>
      <w:r w:rsidR="004420B1" w:rsidRPr="00A27A71">
        <w:t xml:space="preserve"> </w:t>
      </w:r>
    </w:p>
    <w:p w:rsidR="00643731" w:rsidRPr="00A27A71" w:rsidRDefault="004420B1" w:rsidP="000F0199">
      <w:pPr>
        <w:pStyle w:val="Heading1"/>
      </w:pPr>
      <w:r w:rsidRPr="00A27A71">
        <w:t xml:space="preserve">In addition, it was agreed </w:t>
      </w:r>
      <w:r w:rsidR="00643731" w:rsidRPr="00A27A71">
        <w:t>to include US $250,000</w:t>
      </w:r>
      <w:r w:rsidR="00D228AD" w:rsidRPr="00A27A71">
        <w:t xml:space="preserve"> as</w:t>
      </w:r>
      <w:r w:rsidR="00643731" w:rsidRPr="00A27A71">
        <w:t xml:space="preserve"> technical assistance to build on the EGPYRA activities and enable a continued engagement of the manufacturers with the objective of ensuring a conversion to climate friendly alternatives.</w:t>
      </w:r>
      <w:r w:rsidR="001D68FC" w:rsidRPr="00A27A71">
        <w:t xml:space="preserve"> The technical assistance will include workshops, design analysis and optimization of the initial prototypes, development of terms of references for the selection of a regional testing facility and testing of the optimized prototypes in the facility, and risk assessment. A deduction of 52.08</w:t>
      </w:r>
      <w:r w:rsidR="00982962" w:rsidRPr="00A27A71">
        <w:t> mt</w:t>
      </w:r>
      <w:r w:rsidR="001D68FC" w:rsidRPr="00A27A71">
        <w:t xml:space="preserve"> (2.86</w:t>
      </w:r>
      <w:r w:rsidR="00982962" w:rsidRPr="00A27A71">
        <w:t> ODP tonnes</w:t>
      </w:r>
      <w:r w:rsidR="001D68FC" w:rsidRPr="00A27A71">
        <w:t xml:space="preserve">) of HCFC-22 would be associated with his activity. </w:t>
      </w:r>
    </w:p>
    <w:p w:rsidR="00775DBC" w:rsidRPr="00A27A71" w:rsidRDefault="00775DBC" w:rsidP="000F0199">
      <w:pPr>
        <w:rPr>
          <w:i/>
        </w:rPr>
      </w:pPr>
      <w:r w:rsidRPr="00A27A71">
        <w:rPr>
          <w:i/>
        </w:rPr>
        <w:t xml:space="preserve">Commercial </w:t>
      </w:r>
      <w:r w:rsidR="00F75F42" w:rsidRPr="00A27A71">
        <w:rPr>
          <w:i/>
        </w:rPr>
        <w:t>AC</w:t>
      </w:r>
      <w:r w:rsidRPr="00A27A71">
        <w:rPr>
          <w:i/>
        </w:rPr>
        <w:t xml:space="preserve"> manufacturing sector</w:t>
      </w:r>
    </w:p>
    <w:p w:rsidR="008E0439" w:rsidRPr="00A27A71" w:rsidRDefault="008E0439" w:rsidP="000F0199">
      <w:pPr>
        <w:rPr>
          <w:i/>
        </w:rPr>
      </w:pPr>
    </w:p>
    <w:p w:rsidR="003C0A86" w:rsidRPr="00A27A71" w:rsidRDefault="003C0A86" w:rsidP="000F0199">
      <w:pPr>
        <w:pStyle w:val="Heading1"/>
      </w:pPr>
      <w:r w:rsidRPr="00A27A71">
        <w:t>The Secretariat noted that no clear technology selection was provided, and that conversion of this sector at this time was not required to ensure Egypt’s compliance with the Montreal Protocol control targets. The Secretariat also noted, however, that deferral of this sector would likely result in the conversion of the market to high-GWP alternatives, and that the proposal to integrate IEC with a low</w:t>
      </w:r>
      <w:r w:rsidR="008E0439" w:rsidRPr="00A27A71">
        <w:noBreakHyphen/>
      </w:r>
      <w:r w:rsidRPr="00A27A71">
        <w:t>GWP alternative used in a direct expansion refrigerant circuit could be a long-term solution for the large capacity units in the sector. UNIDO also emphasized that the project would not only phase</w:t>
      </w:r>
      <w:r w:rsidR="00223D78" w:rsidRPr="00A27A71">
        <w:t xml:space="preserve"> </w:t>
      </w:r>
      <w:r w:rsidRPr="00A27A71">
        <w:t xml:space="preserve">out HCFC consumption in the manufacturing of the equipment, but would also result in a reduction in </w:t>
      </w:r>
      <w:r w:rsidRPr="00A27A71">
        <w:lastRenderedPageBreak/>
        <w:t xml:space="preserve">consumption of HCFC-22 in the servicing of commercial </w:t>
      </w:r>
      <w:r w:rsidR="00F75F42" w:rsidRPr="00A27A71">
        <w:t>AC</w:t>
      </w:r>
      <w:r w:rsidRPr="00A27A71">
        <w:t xml:space="preserve"> equipment and </w:t>
      </w:r>
      <w:r w:rsidR="00385EDF" w:rsidRPr="00A27A71">
        <w:t xml:space="preserve">enhancement of the </w:t>
      </w:r>
      <w:r w:rsidRPr="00A27A71">
        <w:t xml:space="preserve">energy efficiency </w:t>
      </w:r>
      <w:r w:rsidR="00385EDF" w:rsidRPr="00A27A71">
        <w:t>of such equipment</w:t>
      </w:r>
      <w:r w:rsidRPr="00A27A71">
        <w:t>.</w:t>
      </w:r>
    </w:p>
    <w:p w:rsidR="000E3FB0" w:rsidRPr="00A27A71" w:rsidRDefault="000E3FB0" w:rsidP="003C0A86">
      <w:pPr>
        <w:pStyle w:val="Heading1"/>
      </w:pPr>
      <w:r w:rsidRPr="00A27A71">
        <w:t xml:space="preserve">A primary concern relates to the sustainability of the conversion, particularly given </w:t>
      </w:r>
      <w:r w:rsidR="003C0A86" w:rsidRPr="00A27A71">
        <w:t xml:space="preserve">the market </w:t>
      </w:r>
      <w:r w:rsidRPr="00A27A71">
        <w:t xml:space="preserve">already used high-GWP HFCs </w:t>
      </w:r>
      <w:r w:rsidR="003C0A86" w:rsidRPr="00A27A71">
        <w:t>in package units, central units and chillers</w:t>
      </w:r>
      <w:r w:rsidRPr="00A27A71">
        <w:t xml:space="preserve">, including </w:t>
      </w:r>
      <w:r w:rsidR="003C0A86" w:rsidRPr="00A27A71">
        <w:t>HFC-134a</w:t>
      </w:r>
      <w:r w:rsidR="008118D0">
        <w:t xml:space="preserve"> and</w:t>
      </w:r>
      <w:r w:rsidR="003C0A86" w:rsidRPr="00A27A71">
        <w:t xml:space="preserve"> R</w:t>
      </w:r>
      <w:r w:rsidR="008118D0">
        <w:noBreakHyphen/>
      </w:r>
      <w:r w:rsidR="003C0A86" w:rsidRPr="00A27A71">
        <w:t>410A</w:t>
      </w:r>
      <w:r w:rsidRPr="00A27A71">
        <w:t>. The Secretar</w:t>
      </w:r>
      <w:r w:rsidR="00AC175A" w:rsidRPr="00A27A71">
        <w:t>iat suggested that a ban on the</w:t>
      </w:r>
      <w:r w:rsidRPr="00A27A71">
        <w:t xml:space="preserve"> import and manufacture of high-GWP based commercial </w:t>
      </w:r>
      <w:r w:rsidR="00F75F42" w:rsidRPr="00A27A71">
        <w:t>AC</w:t>
      </w:r>
      <w:r w:rsidRPr="00A27A71">
        <w:t xml:space="preserve"> equipment, or that a set of policies and measures (e.g., government procurement, green labelling, tax or other financial incentives for promoting the low-GWP technology or as a disincentive for high</w:t>
      </w:r>
      <w:r w:rsidR="0013662C" w:rsidRPr="00A27A71">
        <w:noBreakHyphen/>
      </w:r>
      <w:r w:rsidRPr="00A27A71">
        <w:t>GWP</w:t>
      </w:r>
      <w:r w:rsidR="0013662C" w:rsidRPr="00A27A71">
        <w:noBreakHyphen/>
      </w:r>
      <w:r w:rsidRPr="00A27A71">
        <w:t xml:space="preserve">based technology) could be implemented to ensure the sustainability of the conversion. </w:t>
      </w:r>
    </w:p>
    <w:p w:rsidR="003C0A86" w:rsidRPr="00A27A71" w:rsidRDefault="00BE29B2" w:rsidP="00BE29B2">
      <w:pPr>
        <w:pStyle w:val="Heading1"/>
      </w:pPr>
      <w:r w:rsidRPr="00A27A71">
        <w:t>Recognizing that it would be difficult to determine a specific date by which the technology would be developed and taken up by the market, it was agreed that the Government would have flexibility during implementation in choosing amongst the measures below, or additional measures that the Government identifies, to ensure the sustainability of the conversion</w:t>
      </w:r>
      <w:r w:rsidR="003C0A86" w:rsidRPr="00A27A71">
        <w:t xml:space="preserve">: </w:t>
      </w:r>
    </w:p>
    <w:p w:rsidR="003C0A86" w:rsidRPr="00A27A71" w:rsidRDefault="003C0A86" w:rsidP="00BE29B2">
      <w:pPr>
        <w:pStyle w:val="Heading2"/>
      </w:pPr>
      <w:r w:rsidRPr="00A27A71">
        <w:t xml:space="preserve">Active promotion of procurement and installation of </w:t>
      </w:r>
      <w:r w:rsidR="00055FFE" w:rsidRPr="00A27A71">
        <w:t>the new technology</w:t>
      </w:r>
      <w:r w:rsidRPr="00A27A71">
        <w:t xml:space="preserve">, including through government procurement; </w:t>
      </w:r>
    </w:p>
    <w:p w:rsidR="003C0A86" w:rsidRPr="00A27A71" w:rsidRDefault="003C0A86" w:rsidP="00BE29B2">
      <w:pPr>
        <w:pStyle w:val="Heading2"/>
      </w:pPr>
      <w:r w:rsidRPr="00A27A71">
        <w:t>Green labelling to promote adoption</w:t>
      </w:r>
      <w:r w:rsidR="00055FFE" w:rsidRPr="00A27A71">
        <w:t xml:space="preserve"> of the technology</w:t>
      </w:r>
      <w:r w:rsidRPr="00A27A71">
        <w:t>;</w:t>
      </w:r>
    </w:p>
    <w:p w:rsidR="003C0A86" w:rsidRPr="00A27A71" w:rsidRDefault="003C0A86" w:rsidP="00BE29B2">
      <w:pPr>
        <w:pStyle w:val="Heading2"/>
      </w:pPr>
      <w:r w:rsidRPr="00A27A71">
        <w:t xml:space="preserve">Active promotion </w:t>
      </w:r>
      <w:r w:rsidR="00055FFE" w:rsidRPr="00A27A71">
        <w:t>of</w:t>
      </w:r>
      <w:r w:rsidRPr="00A27A71">
        <w:t xml:space="preserve"> the use of </w:t>
      </w:r>
      <w:r w:rsidR="00055FFE" w:rsidRPr="00A27A71">
        <w:t xml:space="preserve">integrated </w:t>
      </w:r>
      <w:r w:rsidRPr="00A27A71">
        <w:t xml:space="preserve">IEC </w:t>
      </w:r>
      <w:r w:rsidR="00055FFE" w:rsidRPr="00A27A71">
        <w:t xml:space="preserve">and low-GWP direct expansion technology </w:t>
      </w:r>
      <w:r w:rsidRPr="00A27A71">
        <w:t xml:space="preserve">for specific </w:t>
      </w:r>
      <w:r w:rsidR="00F75F42" w:rsidRPr="00A27A71">
        <w:t>AC</w:t>
      </w:r>
      <w:r w:rsidRPr="00A27A71">
        <w:t xml:space="preserve"> capacity ranges;</w:t>
      </w:r>
    </w:p>
    <w:p w:rsidR="00BE29B2" w:rsidRPr="00A27A71" w:rsidRDefault="003C0A86" w:rsidP="00BE29B2">
      <w:pPr>
        <w:pStyle w:val="Heading2"/>
      </w:pPr>
      <w:r w:rsidRPr="00A27A71">
        <w:t xml:space="preserve">Incentives (tax and other financial incentives) for promoting IEC technology and disincentives to discourage high-GWP based </w:t>
      </w:r>
      <w:r w:rsidR="00D228AD" w:rsidRPr="00A27A71">
        <w:t>direct expansion</w:t>
      </w:r>
      <w:r w:rsidRPr="00A27A71">
        <w:t xml:space="preserve"> technologies for commercial </w:t>
      </w:r>
      <w:r w:rsidR="00F75F42" w:rsidRPr="00A27A71">
        <w:t>AC</w:t>
      </w:r>
      <w:r w:rsidRPr="00A27A71">
        <w:t xml:space="preserve"> applications; </w:t>
      </w:r>
      <w:r w:rsidR="00BE29B2" w:rsidRPr="00A27A71">
        <w:t>and</w:t>
      </w:r>
    </w:p>
    <w:p w:rsidR="003C0A86" w:rsidRPr="00A27A71" w:rsidRDefault="00BE29B2" w:rsidP="00BE29B2">
      <w:pPr>
        <w:pStyle w:val="Heading2"/>
      </w:pPr>
      <w:r w:rsidRPr="00A27A71">
        <w:t>A b</w:t>
      </w:r>
      <w:r w:rsidR="003C0A86" w:rsidRPr="00A27A71">
        <w:t>an</w:t>
      </w:r>
      <w:r w:rsidRPr="00A27A71">
        <w:t xml:space="preserve"> </w:t>
      </w:r>
      <w:r w:rsidR="00AC175A" w:rsidRPr="00A27A71">
        <w:t>on the</w:t>
      </w:r>
      <w:r w:rsidRPr="00A27A71">
        <w:t xml:space="preserve"> import and manufacture of high-GWP based commercial </w:t>
      </w:r>
      <w:r w:rsidR="00F75F42" w:rsidRPr="00A27A71">
        <w:t>AC</w:t>
      </w:r>
      <w:r w:rsidRPr="00A27A71">
        <w:t xml:space="preserve"> equipment</w:t>
      </w:r>
      <w:r w:rsidR="0069138E" w:rsidRPr="00A27A71">
        <w:t>.</w:t>
      </w:r>
    </w:p>
    <w:p w:rsidR="003C0A86" w:rsidRPr="00A27A71" w:rsidRDefault="00EC606A" w:rsidP="00055FFE">
      <w:pPr>
        <w:pStyle w:val="Heading1"/>
      </w:pPr>
      <w:r w:rsidRPr="00A27A71">
        <w:t xml:space="preserve">On that basis, the level of funding for the sector was </w:t>
      </w:r>
      <w:r w:rsidR="003C0A86" w:rsidRPr="00A27A71">
        <w:t xml:space="preserve">agreed </w:t>
      </w:r>
      <w:r w:rsidRPr="00A27A71">
        <w:t>at</w:t>
      </w:r>
      <w:r w:rsidR="003C0A86" w:rsidRPr="00A27A71">
        <w:t xml:space="preserve"> </w:t>
      </w:r>
      <w:r w:rsidR="0013662C" w:rsidRPr="00A27A71">
        <w:t>US $</w:t>
      </w:r>
      <w:r w:rsidR="003C0A86" w:rsidRPr="00A27A71">
        <w:t>370,000</w:t>
      </w:r>
      <w:r w:rsidRPr="00A27A71">
        <w:t xml:space="preserve"> (US $6.35/kg)</w:t>
      </w:r>
      <w:r w:rsidR="003C0A86" w:rsidRPr="00A27A71">
        <w:t xml:space="preserve"> </w:t>
      </w:r>
      <w:r w:rsidRPr="00A27A71">
        <w:t>on</w:t>
      </w:r>
      <w:r w:rsidR="003C0A86" w:rsidRPr="00A27A71">
        <w:t xml:space="preserve"> the understanding that:</w:t>
      </w:r>
    </w:p>
    <w:p w:rsidR="003C0A86" w:rsidRPr="00A27A71" w:rsidRDefault="00EC606A" w:rsidP="00055FFE">
      <w:pPr>
        <w:pStyle w:val="Heading2"/>
      </w:pPr>
      <w:r w:rsidRPr="00A27A71">
        <w:t>58.23</w:t>
      </w:r>
      <w:r w:rsidR="00982962" w:rsidRPr="00A27A71">
        <w:t> mt</w:t>
      </w:r>
      <w:r w:rsidRPr="00A27A71">
        <w:t xml:space="preserve"> of HCFC-22 would be</w:t>
      </w:r>
      <w:r w:rsidR="003C0A86" w:rsidRPr="00A27A71">
        <w:t xml:space="preserve"> deducted from Egypt’s remaining consumption eligible for funding; </w:t>
      </w:r>
    </w:p>
    <w:p w:rsidR="003C0A86" w:rsidRPr="00A27A71" w:rsidRDefault="003C0A86" w:rsidP="00055FFE">
      <w:pPr>
        <w:pStyle w:val="Heading2"/>
      </w:pPr>
      <w:r w:rsidRPr="00A27A71">
        <w:t>The Government</w:t>
      </w:r>
      <w:r w:rsidR="00D228AD" w:rsidRPr="00A27A71">
        <w:t>, through UNIDO</w:t>
      </w:r>
      <w:r w:rsidRPr="00A27A71">
        <w:t xml:space="preserve"> would report on the</w:t>
      </w:r>
      <w:r w:rsidR="00224174" w:rsidRPr="00A27A71">
        <w:t xml:space="preserve"> implementation of the</w:t>
      </w:r>
      <w:r w:rsidRPr="00A27A71">
        <w:t xml:space="preserve"> policies and measures </w:t>
      </w:r>
      <w:r w:rsidR="00EC606A" w:rsidRPr="00A27A71">
        <w:t xml:space="preserve">identified </w:t>
      </w:r>
      <w:r w:rsidRPr="00A27A71">
        <w:t>above</w:t>
      </w:r>
      <w:r w:rsidR="006E0A5B" w:rsidRPr="00A27A71">
        <w:t>,</w:t>
      </w:r>
      <w:r w:rsidR="00D228AD" w:rsidRPr="00A27A71">
        <w:t xml:space="preserve"> </w:t>
      </w:r>
      <w:r w:rsidR="00224174" w:rsidRPr="00A27A71">
        <w:t>or that it has otherwise identified</w:t>
      </w:r>
      <w:r w:rsidR="006E0A5B" w:rsidRPr="00A27A71">
        <w:t>,</w:t>
      </w:r>
      <w:r w:rsidR="00D228AD" w:rsidRPr="00A27A71">
        <w:t xml:space="preserve"> through the tranche implementation progress report</w:t>
      </w:r>
      <w:r w:rsidRPr="00A27A71">
        <w:t xml:space="preserve"> of </w:t>
      </w:r>
      <w:r w:rsidR="007F53A9" w:rsidRPr="00A27A71">
        <w:t>stage </w:t>
      </w:r>
      <w:r w:rsidR="00EC606A" w:rsidRPr="00A27A71">
        <w:t>II</w:t>
      </w:r>
      <w:r w:rsidR="00D228AD" w:rsidRPr="00A27A71">
        <w:t xml:space="preserve"> of the</w:t>
      </w:r>
      <w:r w:rsidR="00EC606A" w:rsidRPr="00A27A71">
        <w:t xml:space="preserve"> </w:t>
      </w:r>
      <w:r w:rsidRPr="00A27A71">
        <w:t>HPMP until the successful uptake in the market of the alternatives;</w:t>
      </w:r>
      <w:r w:rsidR="008E0439" w:rsidRPr="00A27A71">
        <w:t xml:space="preserve"> and</w:t>
      </w:r>
    </w:p>
    <w:p w:rsidR="003C0A86" w:rsidRPr="00A27A71" w:rsidRDefault="003C0A86" w:rsidP="000F0199">
      <w:pPr>
        <w:pStyle w:val="Heading2"/>
      </w:pPr>
      <w:r w:rsidRPr="00A27A71">
        <w:t xml:space="preserve">The equipment would </w:t>
      </w:r>
      <w:r w:rsidR="00C86E06" w:rsidRPr="00A27A71">
        <w:t xml:space="preserve">be converted to </w:t>
      </w:r>
      <w:r w:rsidRPr="00A27A71">
        <w:t>only low</w:t>
      </w:r>
      <w:r w:rsidR="00EC606A" w:rsidRPr="00A27A71">
        <w:t xml:space="preserve">-GWP alternatives </w:t>
      </w:r>
      <w:r w:rsidR="00C86E06" w:rsidRPr="00A27A71">
        <w:t>for the direct expansion component</w:t>
      </w:r>
      <w:r w:rsidR="00EC606A" w:rsidRPr="00A27A71">
        <w:t>.</w:t>
      </w:r>
    </w:p>
    <w:p w:rsidR="00461B4A" w:rsidRPr="00A27A71" w:rsidRDefault="00461B4A" w:rsidP="000F0199">
      <w:pPr>
        <w:rPr>
          <w:i/>
          <w:highlight w:val="cyan"/>
        </w:rPr>
      </w:pPr>
      <w:r w:rsidRPr="00A27A71">
        <w:rPr>
          <w:i/>
        </w:rPr>
        <w:t>Commercial refrigeration manufacturing sector</w:t>
      </w:r>
    </w:p>
    <w:p w:rsidR="00DE3114" w:rsidRPr="00A27A71" w:rsidRDefault="00DE3114" w:rsidP="000F0199">
      <w:pPr>
        <w:rPr>
          <w:highlight w:val="cyan"/>
        </w:rPr>
      </w:pPr>
    </w:p>
    <w:p w:rsidR="00910674" w:rsidRPr="00A27A71" w:rsidRDefault="00720568" w:rsidP="000F0199">
      <w:pPr>
        <w:pStyle w:val="Heading1"/>
      </w:pPr>
      <w:r w:rsidRPr="00A27A71">
        <w:t xml:space="preserve">The Secretariat noted </w:t>
      </w:r>
      <w:r w:rsidR="00910674" w:rsidRPr="00A27A71">
        <w:t xml:space="preserve">that the sector already imports and manufacturers high-GWP-based equipment, and that such import and manufacturing may be larger than </w:t>
      </w:r>
      <w:r w:rsidR="00D228AD" w:rsidRPr="00A27A71">
        <w:t xml:space="preserve">that </w:t>
      </w:r>
      <w:r w:rsidRPr="00A27A71">
        <w:t xml:space="preserve">would be addressed through the conversion of the HCFC-22-based manufacturing, </w:t>
      </w:r>
      <w:r w:rsidR="00D228AD" w:rsidRPr="00A27A71">
        <w:t>and</w:t>
      </w:r>
      <w:r w:rsidRPr="00A27A71">
        <w:t xml:space="preserve"> questioned whether the proposal for conversion to low</w:t>
      </w:r>
      <w:r w:rsidR="008E0439" w:rsidRPr="00A27A71">
        <w:noBreakHyphen/>
      </w:r>
      <w:r w:rsidRPr="00A27A71">
        <w:t>GWP alternatives would be sustainable in the absence</w:t>
      </w:r>
      <w:r w:rsidR="00D228AD" w:rsidRPr="00A27A71">
        <w:t xml:space="preserve"> of</w:t>
      </w:r>
      <w:r w:rsidRPr="00A27A71">
        <w:t xml:space="preserve"> a ban on the import and manufacturing of high-GWP-based equipment or other regulatory measures. Given the current status of alternatives and the market, in particular the significant import and manufacturing of high-GWP-based equipment in the country, the Government was not in a position to ban such import and manufacturing. </w:t>
      </w:r>
      <w:r w:rsidR="002F5AAC" w:rsidRPr="00A27A71">
        <w:t xml:space="preserve">Therefore, and notwithstanding the cost-effectiveness of the proposal, </w:t>
      </w:r>
      <w:r w:rsidRPr="00A27A71">
        <w:t xml:space="preserve">and given that the conversion of </w:t>
      </w:r>
      <w:r w:rsidR="002F5AAC" w:rsidRPr="00A27A71">
        <w:t xml:space="preserve">the </w:t>
      </w:r>
      <w:r w:rsidRPr="00A27A71">
        <w:t xml:space="preserve">sector at this </w:t>
      </w:r>
      <w:r w:rsidRPr="00A27A71">
        <w:lastRenderedPageBreak/>
        <w:t xml:space="preserve">time is not required </w:t>
      </w:r>
      <w:r w:rsidR="00486CD5" w:rsidRPr="00A27A71">
        <w:t>to help ensure Egypt’s compliance with the Montreal Protocol control measures, i</w:t>
      </w:r>
      <w:r w:rsidRPr="00A27A71">
        <w:t xml:space="preserve">t was agreed to defer this sector. </w:t>
      </w:r>
    </w:p>
    <w:p w:rsidR="00461B4A" w:rsidRPr="00A27A71" w:rsidRDefault="00F94F72" w:rsidP="00461B4A">
      <w:pPr>
        <w:rPr>
          <w:i/>
          <w:highlight w:val="cyan"/>
        </w:rPr>
      </w:pPr>
      <w:r w:rsidRPr="00A27A71">
        <w:rPr>
          <w:i/>
        </w:rPr>
        <w:t>HC</w:t>
      </w:r>
      <w:r w:rsidR="00461B4A" w:rsidRPr="00A27A71">
        <w:rPr>
          <w:i/>
        </w:rPr>
        <w:t xml:space="preserve"> production </w:t>
      </w:r>
    </w:p>
    <w:p w:rsidR="00DE3114" w:rsidRPr="00A27A71" w:rsidRDefault="00DE3114" w:rsidP="00DE3114">
      <w:pPr>
        <w:rPr>
          <w:highlight w:val="cyan"/>
        </w:rPr>
      </w:pPr>
    </w:p>
    <w:p w:rsidR="00486CD5" w:rsidRPr="00A27A71" w:rsidRDefault="007A4A2C" w:rsidP="007A4A2C">
      <w:pPr>
        <w:pStyle w:val="Heading1"/>
        <w:rPr>
          <w:color w:val="000000"/>
          <w:kern w:val="36"/>
        </w:rPr>
      </w:pPr>
      <w:r w:rsidRPr="00A27A71">
        <w:rPr>
          <w:color w:val="000000"/>
          <w:kern w:val="36"/>
        </w:rPr>
        <w:t>The Secretariat does not consider the</w:t>
      </w:r>
      <w:r w:rsidR="000626CE" w:rsidRPr="00A27A71">
        <w:rPr>
          <w:color w:val="000000"/>
          <w:kern w:val="36"/>
        </w:rPr>
        <w:t xml:space="preserve"> demonstration project for the production and safe use of HC in Nigeria</w:t>
      </w:r>
      <w:r w:rsidR="000626CE" w:rsidRPr="00A27A71">
        <w:t xml:space="preserve"> </w:t>
      </w:r>
      <w:r w:rsidR="000626CE" w:rsidRPr="00A27A71">
        <w:rPr>
          <w:color w:val="000000"/>
          <w:kern w:val="36"/>
        </w:rPr>
        <w:t>approved as part of its stage I of the HPMP</w:t>
      </w:r>
      <w:r w:rsidRPr="00A27A71">
        <w:rPr>
          <w:color w:val="000000"/>
          <w:kern w:val="36"/>
        </w:rPr>
        <w:t xml:space="preserve"> as a precedent for the approval of funding for the HC production facility in Egypt based on the following:</w:t>
      </w:r>
    </w:p>
    <w:p w:rsidR="0099494C" w:rsidRPr="00A27A71" w:rsidRDefault="0099494C" w:rsidP="0099494C">
      <w:pPr>
        <w:pStyle w:val="Heading2"/>
      </w:pPr>
      <w:r w:rsidRPr="00A27A71">
        <w:t>The request for the HC production facility in Nigeria was submitted as a demonstration project to the 62</w:t>
      </w:r>
      <w:r w:rsidRPr="00A27A71">
        <w:rPr>
          <w:vertAlign w:val="superscript"/>
        </w:rPr>
        <w:t>nd</w:t>
      </w:r>
      <w:r w:rsidR="007F53A9" w:rsidRPr="00A27A71">
        <w:t> meeting</w:t>
      </w:r>
      <w:r w:rsidRPr="00A27A71">
        <w:t xml:space="preserve">, in response to </w:t>
      </w:r>
      <w:r w:rsidR="000626CE" w:rsidRPr="00A27A71">
        <w:t>d</w:t>
      </w:r>
      <w:r w:rsidR="007F53A9" w:rsidRPr="00A27A71">
        <w:t>ecision </w:t>
      </w:r>
      <w:r w:rsidRPr="00A27A71">
        <w:t xml:space="preserve">55/43, inviting bilateral and implementing agencies to submit a limited number of demonstration projects for the conversion of HCFCs in the </w:t>
      </w:r>
      <w:r w:rsidR="00F75F42" w:rsidRPr="00A27A71">
        <w:t>RAC</w:t>
      </w:r>
      <w:r w:rsidRPr="00A27A71">
        <w:t xml:space="preserve"> sector to low</w:t>
      </w:r>
      <w:r w:rsidR="00A720C2" w:rsidRPr="00A27A71">
        <w:t>-</w:t>
      </w:r>
      <w:r w:rsidRPr="00A27A71">
        <w:t xml:space="preserve">GWP technologies; the call for submitting proposals was later limited by </w:t>
      </w:r>
      <w:r w:rsidR="007F53A9" w:rsidRPr="00A27A71">
        <w:t>decision </w:t>
      </w:r>
      <w:r w:rsidRPr="00A27A71">
        <w:t xml:space="preserve">54/39(d) to 2010 as the last year when such projects could be submitted. </w:t>
      </w:r>
      <w:r w:rsidR="007F53A9" w:rsidRPr="00A27A71">
        <w:t>Decision </w:t>
      </w:r>
      <w:r w:rsidRPr="00A27A71">
        <w:t>72/40 provided a further funding window for demonstration projects introducing low-GWP alternatives, which is now closed. There is currently no decision requesting submission of new demonstration projects; and</w:t>
      </w:r>
    </w:p>
    <w:p w:rsidR="0099494C" w:rsidRPr="00A27A71" w:rsidRDefault="0099494C" w:rsidP="0099494C">
      <w:pPr>
        <w:pStyle w:val="Heading2"/>
      </w:pPr>
      <w:r w:rsidRPr="00A27A71">
        <w:t>The demonstration project in Nigeria included a phase-out of 10.6</w:t>
      </w:r>
      <w:r w:rsidR="00982962" w:rsidRPr="00A27A71">
        <w:t> ODP tonnes</w:t>
      </w:r>
      <w:r w:rsidRPr="00A27A71">
        <w:t xml:space="preserve"> of HCFC</w:t>
      </w:r>
      <w:r w:rsidR="008E0439" w:rsidRPr="00A27A71">
        <w:noBreakHyphen/>
      </w:r>
      <w:r w:rsidRPr="00A27A71">
        <w:t xml:space="preserve">22 (at </w:t>
      </w:r>
      <w:r w:rsidR="0013662C" w:rsidRPr="00A27A71">
        <w:t>US $</w:t>
      </w:r>
      <w:r w:rsidRPr="00A27A71">
        <w:t>4.5</w:t>
      </w:r>
      <w:r w:rsidR="00A646F2" w:rsidRPr="00A27A71">
        <w:t>0</w:t>
      </w:r>
      <w:r w:rsidRPr="00A27A71">
        <w:t>/kg) associated with the project.</w:t>
      </w:r>
    </w:p>
    <w:p w:rsidR="00486CD5" w:rsidRPr="00A27A71" w:rsidRDefault="0099494C" w:rsidP="00486CD5">
      <w:pPr>
        <w:pStyle w:val="Heading1"/>
      </w:pPr>
      <w:r w:rsidRPr="00A27A71">
        <w:t xml:space="preserve">In addition, the Secretariat noted that consideration of such a proposal might be more appropriate once the Government of Egypt and industry have finalised the technology selection for conversion in the </w:t>
      </w:r>
      <w:r w:rsidR="00F75F42" w:rsidRPr="00A27A71">
        <w:t>AC</w:t>
      </w:r>
      <w:r w:rsidRPr="00A27A71">
        <w:t xml:space="preserve"> manufacturing sector. UNDP suggested </w:t>
      </w:r>
      <w:r w:rsidR="00486CD5" w:rsidRPr="00A27A71">
        <w:t xml:space="preserve">that the </w:t>
      </w:r>
      <w:r w:rsidRPr="00A27A71">
        <w:t>HC</w:t>
      </w:r>
      <w:r w:rsidR="00486CD5" w:rsidRPr="00A27A71">
        <w:t xml:space="preserve"> production component be deferred to </w:t>
      </w:r>
      <w:r w:rsidR="007F53A9" w:rsidRPr="00A27A71">
        <w:t>stage </w:t>
      </w:r>
      <w:r w:rsidR="00486CD5" w:rsidRPr="00A27A71">
        <w:t xml:space="preserve">III, and that this might be considered in the context of an inter-sectoral approach to enable the supply of affordable, refrigerant-grade </w:t>
      </w:r>
      <w:r w:rsidR="00F94F72" w:rsidRPr="00A27A71">
        <w:t>HC</w:t>
      </w:r>
      <w:r w:rsidR="00486CD5" w:rsidRPr="00A27A71">
        <w:t>s, which could be useful in manufacturing or servicing/maintenance, and also noting the nexus with the expected submission of the domestic AC manufacturing sector component.</w:t>
      </w:r>
    </w:p>
    <w:p w:rsidR="00C905D9" w:rsidRPr="00A27A71" w:rsidRDefault="00C905D9" w:rsidP="00C905D9">
      <w:pPr>
        <w:rPr>
          <w:i/>
        </w:rPr>
      </w:pPr>
      <w:r w:rsidRPr="00A27A71">
        <w:rPr>
          <w:i/>
        </w:rPr>
        <w:t>Refrigeration servicing sector</w:t>
      </w:r>
    </w:p>
    <w:p w:rsidR="00C905D9" w:rsidRPr="00A27A71" w:rsidRDefault="00C905D9" w:rsidP="00C905D9">
      <w:pPr>
        <w:rPr>
          <w:i/>
        </w:rPr>
      </w:pPr>
    </w:p>
    <w:p w:rsidR="00EC606A" w:rsidRPr="00A27A71" w:rsidRDefault="002B4243" w:rsidP="00EC606A">
      <w:pPr>
        <w:pStyle w:val="Heading1"/>
      </w:pPr>
      <w:r w:rsidRPr="00A27A71">
        <w:t xml:space="preserve">Noting the increase in consumption in the servicing sector, and recalling the limited activities undertaken under </w:t>
      </w:r>
      <w:r w:rsidR="007F53A9" w:rsidRPr="00A27A71">
        <w:t>stage </w:t>
      </w:r>
      <w:r w:rsidRPr="00A27A71">
        <w:t xml:space="preserve">I, the Secretariat considers a robust set of activities in the servicing sector appropriate. </w:t>
      </w:r>
      <w:r w:rsidR="00EC606A" w:rsidRPr="00A27A71">
        <w:t xml:space="preserve">The Secretariat </w:t>
      </w:r>
      <w:r w:rsidR="00FA0FCC" w:rsidRPr="00A27A71">
        <w:t xml:space="preserve">and UNIDO discussed </w:t>
      </w:r>
      <w:r w:rsidR="00EC606A" w:rsidRPr="00A27A71">
        <w:t xml:space="preserve">the need and scale of </w:t>
      </w:r>
      <w:r w:rsidR="00FA0FCC" w:rsidRPr="00A27A71">
        <w:t xml:space="preserve">the </w:t>
      </w:r>
      <w:r w:rsidR="00EC606A" w:rsidRPr="00A27A71">
        <w:t xml:space="preserve">recovery and reclamation </w:t>
      </w:r>
      <w:r w:rsidR="00FA0FCC" w:rsidRPr="00A27A71">
        <w:t xml:space="preserve">(R&amp;R) </w:t>
      </w:r>
      <w:r w:rsidR="00EC606A" w:rsidRPr="00A27A71">
        <w:t>pro</w:t>
      </w:r>
      <w:r w:rsidR="007F53A9" w:rsidRPr="00A27A71">
        <w:t>gramme</w:t>
      </w:r>
      <w:r w:rsidR="00EC606A" w:rsidRPr="00A27A71">
        <w:t xml:space="preserve">. </w:t>
      </w:r>
      <w:r w:rsidR="00FA0FCC" w:rsidRPr="00A27A71">
        <w:t xml:space="preserve">While the quantity of refrigerants that will be </w:t>
      </w:r>
      <w:r w:rsidR="00EC606A" w:rsidRPr="00A27A71">
        <w:t xml:space="preserve">recovered </w:t>
      </w:r>
      <w:r w:rsidR="00FA0FCC" w:rsidRPr="00A27A71">
        <w:t xml:space="preserve">and reclaimed is not known, it is expected that the quantity </w:t>
      </w:r>
      <w:r w:rsidR="00EC606A" w:rsidRPr="00A27A71">
        <w:t xml:space="preserve">will increase annually with the introduction of regulations </w:t>
      </w:r>
      <w:r w:rsidR="00FA0FCC" w:rsidRPr="00A27A71">
        <w:t xml:space="preserve">and the expected increase in </w:t>
      </w:r>
      <w:r w:rsidR="00EC606A" w:rsidRPr="00A27A71">
        <w:t xml:space="preserve">price of HCFC-22. </w:t>
      </w:r>
      <w:r w:rsidR="00AE013C" w:rsidRPr="00A27A71">
        <w:t xml:space="preserve">In order to proceed in a step-wise fashion and learn from practical experiences on the ground, </w:t>
      </w:r>
      <w:r w:rsidR="00FA0FCC" w:rsidRPr="00A27A71">
        <w:t xml:space="preserve">it was agreed to adjust the proposal to include two </w:t>
      </w:r>
      <w:r w:rsidR="00982962" w:rsidRPr="00A27A71">
        <w:t>R&amp;R</w:t>
      </w:r>
      <w:r w:rsidR="00EC606A" w:rsidRPr="00A27A71">
        <w:t xml:space="preserve"> centres with testing facilities, 500</w:t>
      </w:r>
      <w:r w:rsidR="0069138E" w:rsidRPr="00A27A71">
        <w:t> </w:t>
      </w:r>
      <w:r w:rsidR="00EC606A" w:rsidRPr="00A27A71">
        <w:t>service kits</w:t>
      </w:r>
      <w:r w:rsidR="00FA0FCC" w:rsidRPr="00A27A71">
        <w:t>, and capacity-</w:t>
      </w:r>
      <w:r w:rsidR="00EC606A" w:rsidRPr="00A27A71">
        <w:t xml:space="preserve">building </w:t>
      </w:r>
      <w:r w:rsidR="00FA0FCC" w:rsidRPr="00A27A71">
        <w:t xml:space="preserve">for </w:t>
      </w:r>
      <w:r w:rsidR="00EC606A" w:rsidRPr="00A27A71">
        <w:t>more than 100 certified service centres and on-site training pro</w:t>
      </w:r>
      <w:r w:rsidR="007F53A9" w:rsidRPr="00A27A71">
        <w:t>gramme</w:t>
      </w:r>
      <w:r w:rsidR="00FA0FCC" w:rsidRPr="00A27A71">
        <w:t>,</w:t>
      </w:r>
      <w:r w:rsidR="00EC606A" w:rsidRPr="00A27A71">
        <w:t xml:space="preserve"> at a total cost of </w:t>
      </w:r>
      <w:r w:rsidR="0013662C" w:rsidRPr="00A27A71">
        <w:t>US $</w:t>
      </w:r>
      <w:r w:rsidR="00EC606A" w:rsidRPr="00A27A71">
        <w:t>1,300,200.</w:t>
      </w:r>
    </w:p>
    <w:p w:rsidR="00C905D9" w:rsidRPr="00A27A71" w:rsidRDefault="005054D8" w:rsidP="00352AB9">
      <w:pPr>
        <w:pStyle w:val="Heading1"/>
      </w:pPr>
      <w:r w:rsidRPr="00A27A71">
        <w:t>T</w:t>
      </w:r>
      <w:r w:rsidR="00EC606A" w:rsidRPr="00A27A71">
        <w:t xml:space="preserve">he total funding for </w:t>
      </w:r>
      <w:r w:rsidRPr="00A27A71">
        <w:t xml:space="preserve">the </w:t>
      </w:r>
      <w:r w:rsidR="00EC606A" w:rsidRPr="00A27A71">
        <w:t xml:space="preserve">service sector amounts to </w:t>
      </w:r>
      <w:r w:rsidR="0013662C" w:rsidRPr="00A27A71">
        <w:t>US $</w:t>
      </w:r>
      <w:r w:rsidR="00EC606A" w:rsidRPr="00A27A71">
        <w:t>2,942,500</w:t>
      </w:r>
      <w:r w:rsidRPr="00A27A71">
        <w:t>, with an associated phase-out of 613.02</w:t>
      </w:r>
      <w:r w:rsidR="00982962" w:rsidRPr="00A27A71">
        <w:t> mt</w:t>
      </w:r>
      <w:r w:rsidRPr="00A27A71">
        <w:t xml:space="preserve"> (33.72</w:t>
      </w:r>
      <w:r w:rsidR="00982962" w:rsidRPr="00A27A71">
        <w:t> ODP tonnes</w:t>
      </w:r>
      <w:r w:rsidRPr="00A27A71">
        <w:t xml:space="preserve">) of HCFC-22 in accordance with </w:t>
      </w:r>
      <w:r w:rsidR="007F53A9" w:rsidRPr="00A27A71">
        <w:t>decision </w:t>
      </w:r>
      <w:r w:rsidRPr="00A27A71">
        <w:t xml:space="preserve">74/50. </w:t>
      </w:r>
    </w:p>
    <w:p w:rsidR="00C905D9" w:rsidRPr="00A27A71" w:rsidRDefault="00B60D18" w:rsidP="00C905D9">
      <w:pPr>
        <w:rPr>
          <w:i/>
        </w:rPr>
      </w:pPr>
      <w:r w:rsidRPr="00A27A71">
        <w:rPr>
          <w:i/>
        </w:rPr>
        <w:t>PMU</w:t>
      </w:r>
    </w:p>
    <w:p w:rsidR="00C905D9" w:rsidRPr="00A27A71" w:rsidRDefault="00C905D9" w:rsidP="00C905D9"/>
    <w:p w:rsidR="00D34018" w:rsidRPr="00A27A71" w:rsidRDefault="000C17A3" w:rsidP="00D34018">
      <w:pPr>
        <w:pStyle w:val="Heading1"/>
      </w:pPr>
      <w:r w:rsidRPr="00A27A71">
        <w:t xml:space="preserve">Based on the adjustments made to the </w:t>
      </w:r>
      <w:r w:rsidR="007F53A9" w:rsidRPr="00A27A71">
        <w:t>stage </w:t>
      </w:r>
      <w:r w:rsidRPr="00A27A71">
        <w:t xml:space="preserve">II activities, the PMU for UNIDO and UNDP was adjusted to US $660,000 and US $150,000. </w:t>
      </w:r>
      <w:r w:rsidR="00D34018" w:rsidRPr="00A27A71">
        <w:t>It was agreed that the costs of the PMU might be increased if a domestic AC manufacturing sector proposal is approved</w:t>
      </w:r>
      <w:r w:rsidR="004913CB" w:rsidRPr="00A27A71">
        <w:t xml:space="preserve"> as part of </w:t>
      </w:r>
      <w:r w:rsidR="007F53A9" w:rsidRPr="00A27A71">
        <w:t>stage </w:t>
      </w:r>
      <w:r w:rsidR="004913CB" w:rsidRPr="00A27A71">
        <w:t>II</w:t>
      </w:r>
      <w:r w:rsidR="00D34018" w:rsidRPr="00A27A71">
        <w:t>.</w:t>
      </w:r>
    </w:p>
    <w:p w:rsidR="00C905D9" w:rsidRPr="00A27A71" w:rsidRDefault="00C905D9" w:rsidP="000F0199">
      <w:pPr>
        <w:keepNext/>
        <w:keepLines/>
        <w:rPr>
          <w:u w:val="single"/>
        </w:rPr>
      </w:pPr>
      <w:r w:rsidRPr="00A27A71">
        <w:rPr>
          <w:u w:val="single"/>
        </w:rPr>
        <w:lastRenderedPageBreak/>
        <w:t xml:space="preserve">Agreed costs for </w:t>
      </w:r>
      <w:r w:rsidR="00E61A05" w:rsidRPr="00A27A71">
        <w:rPr>
          <w:u w:val="single"/>
        </w:rPr>
        <w:t>stage </w:t>
      </w:r>
      <w:r w:rsidRPr="00A27A71">
        <w:rPr>
          <w:u w:val="single"/>
        </w:rPr>
        <w:t>II of the HPMP</w:t>
      </w:r>
    </w:p>
    <w:p w:rsidR="00C905D9" w:rsidRPr="00A27A71" w:rsidRDefault="00C905D9" w:rsidP="000F0199">
      <w:pPr>
        <w:keepNext/>
        <w:keepLines/>
        <w:rPr>
          <w:u w:val="single"/>
        </w:rPr>
      </w:pPr>
    </w:p>
    <w:p w:rsidR="00C905D9" w:rsidRPr="00A27A71" w:rsidRDefault="000C17A3" w:rsidP="000F0199">
      <w:pPr>
        <w:pStyle w:val="Heading1"/>
        <w:keepNext/>
        <w:keepLines/>
      </w:pPr>
      <w:r w:rsidRPr="00A27A71">
        <w:t xml:space="preserve">The agreed cost of the activities proposed in </w:t>
      </w:r>
      <w:r w:rsidR="007F53A9" w:rsidRPr="00A27A71">
        <w:t>stage </w:t>
      </w:r>
      <w:r w:rsidRPr="00A27A71">
        <w:t>II of the HPMP</w:t>
      </w:r>
      <w:r w:rsidR="00A646F2" w:rsidRPr="00A27A71">
        <w:t xml:space="preserve"> to achieve 67.5 per cent reduction in 2025</w:t>
      </w:r>
      <w:r w:rsidRPr="00A27A71">
        <w:t xml:space="preserve"> amounts to </w:t>
      </w:r>
      <w:r w:rsidR="0013662C" w:rsidRPr="00A27A71">
        <w:t>US $</w:t>
      </w:r>
      <w:r w:rsidR="00BD1144" w:rsidRPr="00A27A71">
        <w:t xml:space="preserve">10,954,863 </w:t>
      </w:r>
      <w:r w:rsidRPr="00A27A71">
        <w:t xml:space="preserve">(excluding agency support costs), with a CE of </w:t>
      </w:r>
      <w:r w:rsidR="0013662C" w:rsidRPr="00A27A71">
        <w:t>US $</w:t>
      </w:r>
      <w:r w:rsidR="00BD1144" w:rsidRPr="00A27A71">
        <w:t>6.16</w:t>
      </w:r>
      <w:r w:rsidRPr="00A27A71">
        <w:t>/kg as summarized in Table</w:t>
      </w:r>
      <w:r w:rsidR="00223D78" w:rsidRPr="00A27A71">
        <w:t> 1</w:t>
      </w:r>
      <w:r w:rsidR="00F76143">
        <w:t>3</w:t>
      </w:r>
      <w:r w:rsidRPr="00A27A71">
        <w:t>.</w:t>
      </w:r>
    </w:p>
    <w:p w:rsidR="00C905D9" w:rsidRPr="00A27A71" w:rsidRDefault="00C905D9" w:rsidP="00C905D9">
      <w:pPr>
        <w:rPr>
          <w:b/>
          <w:u w:val="single"/>
        </w:rPr>
      </w:pPr>
      <w:r w:rsidRPr="00A27A71">
        <w:rPr>
          <w:b/>
        </w:rPr>
        <w:t xml:space="preserve">Table </w:t>
      </w:r>
      <w:r w:rsidR="00B77D27" w:rsidRPr="00A27A71">
        <w:rPr>
          <w:b/>
        </w:rPr>
        <w:t>1</w:t>
      </w:r>
      <w:r w:rsidR="00F76143">
        <w:rPr>
          <w:b/>
        </w:rPr>
        <w:t>3</w:t>
      </w:r>
      <w:r w:rsidRPr="00A27A71">
        <w:rPr>
          <w:b/>
        </w:rPr>
        <w:t xml:space="preserve">. Agreed cost for </w:t>
      </w:r>
      <w:r w:rsidR="00E61A05" w:rsidRPr="00A27A71">
        <w:rPr>
          <w:b/>
        </w:rPr>
        <w:t>stage </w:t>
      </w:r>
      <w:r w:rsidRPr="00A27A71">
        <w:rPr>
          <w:b/>
        </w:rPr>
        <w:t xml:space="preserve">II of the HPMP for </w:t>
      </w:r>
      <w:r w:rsidR="00F46820" w:rsidRPr="00A27A71">
        <w:rPr>
          <w:b/>
        </w:rPr>
        <w:t>Egypt</w:t>
      </w:r>
      <w:r w:rsidRPr="00A27A71">
        <w:rPr>
          <w:b/>
        </w:rPr>
        <w:t xml:space="preserve"> </w:t>
      </w:r>
    </w:p>
    <w:tbl>
      <w:tblPr>
        <w:tblW w:w="5000" w:type="pct"/>
        <w:tblLayout w:type="fixed"/>
        <w:tblLook w:val="04A0" w:firstRow="1" w:lastRow="0" w:firstColumn="1" w:lastColumn="0" w:noHBand="0" w:noVBand="1"/>
      </w:tblPr>
      <w:tblGrid>
        <w:gridCol w:w="2802"/>
        <w:gridCol w:w="992"/>
        <w:gridCol w:w="1264"/>
        <w:gridCol w:w="1004"/>
        <w:gridCol w:w="917"/>
        <w:gridCol w:w="1268"/>
        <w:gridCol w:w="1329"/>
      </w:tblGrid>
      <w:tr w:rsidR="003C0A86" w:rsidRPr="00A27A71" w:rsidTr="00120DD6">
        <w:trPr>
          <w:trHeight w:val="269"/>
        </w:trPr>
        <w:tc>
          <w:tcPr>
            <w:tcW w:w="1463" w:type="pct"/>
            <w:tcBorders>
              <w:top w:val="single" w:sz="4" w:space="0" w:color="auto"/>
              <w:left w:val="single" w:sz="4" w:space="0" w:color="auto"/>
              <w:bottom w:val="single" w:sz="4" w:space="0" w:color="auto"/>
              <w:right w:val="single" w:sz="4" w:space="0" w:color="auto"/>
            </w:tcBorders>
            <w:shd w:val="clear" w:color="auto" w:fill="auto"/>
            <w:noWrap/>
            <w:hideMark/>
          </w:tcPr>
          <w:p w:rsidR="003C0A86" w:rsidRPr="00A27A71" w:rsidRDefault="003C0A86" w:rsidP="00120DD6">
            <w:pPr>
              <w:jc w:val="center"/>
              <w:rPr>
                <w:b/>
                <w:bCs/>
                <w:color w:val="000000"/>
                <w:sz w:val="20"/>
                <w:szCs w:val="20"/>
                <w:lang w:eastAsia="en-CA"/>
              </w:rPr>
            </w:pPr>
            <w:r w:rsidRPr="00A27A71">
              <w:rPr>
                <w:b/>
                <w:bCs/>
                <w:color w:val="000000"/>
                <w:sz w:val="20"/>
                <w:szCs w:val="20"/>
                <w:lang w:eastAsia="en-CA"/>
              </w:rPr>
              <w:t>Sector</w:t>
            </w:r>
          </w:p>
        </w:tc>
        <w:tc>
          <w:tcPr>
            <w:tcW w:w="518" w:type="pct"/>
            <w:tcBorders>
              <w:top w:val="single" w:sz="4" w:space="0" w:color="auto"/>
              <w:left w:val="nil"/>
              <w:bottom w:val="single" w:sz="4" w:space="0" w:color="auto"/>
              <w:right w:val="single" w:sz="4" w:space="0" w:color="auto"/>
            </w:tcBorders>
            <w:shd w:val="clear" w:color="auto" w:fill="auto"/>
            <w:noWrap/>
            <w:hideMark/>
          </w:tcPr>
          <w:p w:rsidR="003C0A86" w:rsidRPr="00A27A71" w:rsidRDefault="003C0A86" w:rsidP="00120DD6">
            <w:pPr>
              <w:jc w:val="center"/>
              <w:rPr>
                <w:b/>
                <w:bCs/>
                <w:color w:val="000000"/>
                <w:sz w:val="20"/>
                <w:szCs w:val="20"/>
                <w:lang w:eastAsia="en-CA"/>
              </w:rPr>
            </w:pPr>
            <w:r w:rsidRPr="00A27A71">
              <w:rPr>
                <w:b/>
                <w:bCs/>
                <w:color w:val="000000"/>
                <w:sz w:val="20"/>
                <w:szCs w:val="20"/>
                <w:lang w:eastAsia="en-CA"/>
              </w:rPr>
              <w:t>Agency</w:t>
            </w:r>
          </w:p>
        </w:tc>
        <w:tc>
          <w:tcPr>
            <w:tcW w:w="660" w:type="pct"/>
            <w:tcBorders>
              <w:top w:val="single" w:sz="4" w:space="0" w:color="auto"/>
              <w:left w:val="nil"/>
              <w:bottom w:val="single" w:sz="4" w:space="0" w:color="auto"/>
              <w:right w:val="single" w:sz="4" w:space="0" w:color="auto"/>
            </w:tcBorders>
            <w:shd w:val="clear" w:color="auto" w:fill="auto"/>
            <w:noWrap/>
            <w:hideMark/>
          </w:tcPr>
          <w:p w:rsidR="003C0A86" w:rsidRPr="00A27A71" w:rsidRDefault="003C0A86" w:rsidP="00120DD6">
            <w:pPr>
              <w:jc w:val="center"/>
              <w:rPr>
                <w:b/>
                <w:bCs/>
                <w:color w:val="000000"/>
                <w:sz w:val="20"/>
                <w:szCs w:val="20"/>
                <w:lang w:eastAsia="en-CA"/>
              </w:rPr>
            </w:pPr>
            <w:r w:rsidRPr="00A27A71">
              <w:rPr>
                <w:b/>
                <w:bCs/>
                <w:color w:val="000000"/>
                <w:sz w:val="20"/>
                <w:szCs w:val="20"/>
                <w:lang w:eastAsia="en-CA"/>
              </w:rPr>
              <w:t>Chemical</w:t>
            </w:r>
          </w:p>
        </w:tc>
        <w:tc>
          <w:tcPr>
            <w:tcW w:w="524" w:type="pct"/>
            <w:tcBorders>
              <w:top w:val="single" w:sz="4" w:space="0" w:color="auto"/>
              <w:left w:val="nil"/>
              <w:bottom w:val="single" w:sz="4" w:space="0" w:color="auto"/>
              <w:right w:val="single" w:sz="4" w:space="0" w:color="auto"/>
            </w:tcBorders>
            <w:shd w:val="clear" w:color="auto" w:fill="auto"/>
            <w:noWrap/>
            <w:hideMark/>
          </w:tcPr>
          <w:p w:rsidR="003C0A86" w:rsidRPr="00A27A71" w:rsidRDefault="00274EA5" w:rsidP="00274EA5">
            <w:pPr>
              <w:jc w:val="center"/>
              <w:rPr>
                <w:b/>
                <w:bCs/>
                <w:color w:val="000000"/>
                <w:sz w:val="20"/>
                <w:szCs w:val="20"/>
                <w:lang w:eastAsia="en-CA"/>
              </w:rPr>
            </w:pPr>
            <w:r>
              <w:rPr>
                <w:b/>
                <w:bCs/>
                <w:color w:val="000000"/>
                <w:sz w:val="20"/>
                <w:szCs w:val="20"/>
                <w:lang w:eastAsia="en-CA"/>
              </w:rPr>
              <w:t>mt</w:t>
            </w:r>
          </w:p>
        </w:tc>
        <w:tc>
          <w:tcPr>
            <w:tcW w:w="479" w:type="pct"/>
            <w:tcBorders>
              <w:top w:val="single" w:sz="4" w:space="0" w:color="auto"/>
              <w:left w:val="nil"/>
              <w:bottom w:val="single" w:sz="4" w:space="0" w:color="auto"/>
              <w:right w:val="single" w:sz="4" w:space="0" w:color="auto"/>
            </w:tcBorders>
            <w:shd w:val="clear" w:color="auto" w:fill="auto"/>
            <w:noWrap/>
            <w:hideMark/>
          </w:tcPr>
          <w:p w:rsidR="003C0A86" w:rsidRPr="00A27A71" w:rsidRDefault="003C0A86" w:rsidP="00120DD6">
            <w:pPr>
              <w:jc w:val="center"/>
              <w:rPr>
                <w:b/>
                <w:bCs/>
                <w:color w:val="000000"/>
                <w:sz w:val="20"/>
                <w:szCs w:val="20"/>
                <w:lang w:eastAsia="en-CA"/>
              </w:rPr>
            </w:pPr>
            <w:r w:rsidRPr="00A27A71">
              <w:rPr>
                <w:b/>
                <w:bCs/>
                <w:color w:val="000000"/>
                <w:sz w:val="20"/>
                <w:szCs w:val="20"/>
                <w:lang w:eastAsia="en-CA"/>
              </w:rPr>
              <w:t>ODP</w:t>
            </w:r>
          </w:p>
        </w:tc>
        <w:tc>
          <w:tcPr>
            <w:tcW w:w="662" w:type="pct"/>
            <w:tcBorders>
              <w:top w:val="single" w:sz="4" w:space="0" w:color="auto"/>
              <w:left w:val="nil"/>
              <w:bottom w:val="single" w:sz="4" w:space="0" w:color="auto"/>
              <w:right w:val="single" w:sz="4" w:space="0" w:color="auto"/>
            </w:tcBorders>
            <w:shd w:val="clear" w:color="auto" w:fill="auto"/>
            <w:noWrap/>
            <w:hideMark/>
          </w:tcPr>
          <w:p w:rsidR="003C0A86" w:rsidRPr="00A27A71" w:rsidRDefault="00BD1144" w:rsidP="00120DD6">
            <w:pPr>
              <w:jc w:val="center"/>
              <w:rPr>
                <w:b/>
                <w:bCs/>
                <w:color w:val="000000"/>
                <w:sz w:val="20"/>
                <w:szCs w:val="20"/>
                <w:lang w:eastAsia="en-CA"/>
              </w:rPr>
            </w:pPr>
            <w:r w:rsidRPr="00A27A71">
              <w:rPr>
                <w:b/>
                <w:bCs/>
                <w:color w:val="000000"/>
                <w:sz w:val="20"/>
                <w:szCs w:val="20"/>
                <w:lang w:eastAsia="en-CA"/>
              </w:rPr>
              <w:t>F</w:t>
            </w:r>
            <w:r w:rsidR="003C0A86" w:rsidRPr="00A27A71">
              <w:rPr>
                <w:b/>
                <w:bCs/>
                <w:color w:val="000000"/>
                <w:sz w:val="20"/>
                <w:szCs w:val="20"/>
                <w:lang w:eastAsia="en-CA"/>
              </w:rPr>
              <w:t>unding</w:t>
            </w:r>
            <w:r w:rsidRPr="00A27A71">
              <w:rPr>
                <w:b/>
                <w:bCs/>
                <w:color w:val="000000"/>
                <w:sz w:val="20"/>
                <w:szCs w:val="20"/>
                <w:lang w:eastAsia="en-CA"/>
              </w:rPr>
              <w:t xml:space="preserve"> (</w:t>
            </w:r>
            <w:r w:rsidR="0013662C" w:rsidRPr="00A27A71">
              <w:rPr>
                <w:b/>
                <w:bCs/>
                <w:color w:val="000000"/>
                <w:sz w:val="20"/>
                <w:szCs w:val="20"/>
                <w:lang w:eastAsia="en-CA"/>
              </w:rPr>
              <w:t>US $</w:t>
            </w:r>
            <w:r w:rsidRPr="00A27A71">
              <w:rPr>
                <w:b/>
                <w:bCs/>
                <w:color w:val="000000"/>
                <w:sz w:val="20"/>
                <w:szCs w:val="20"/>
                <w:lang w:eastAsia="en-CA"/>
              </w:rPr>
              <w:t>)</w:t>
            </w:r>
          </w:p>
        </w:tc>
        <w:tc>
          <w:tcPr>
            <w:tcW w:w="694" w:type="pct"/>
            <w:tcBorders>
              <w:top w:val="single" w:sz="4" w:space="0" w:color="auto"/>
              <w:left w:val="nil"/>
              <w:bottom w:val="single" w:sz="4" w:space="0" w:color="auto"/>
              <w:right w:val="single" w:sz="4" w:space="0" w:color="auto"/>
            </w:tcBorders>
            <w:shd w:val="clear" w:color="auto" w:fill="auto"/>
            <w:hideMark/>
          </w:tcPr>
          <w:p w:rsidR="003C0A86" w:rsidRPr="00A27A71" w:rsidRDefault="00BD1144" w:rsidP="00120DD6">
            <w:pPr>
              <w:jc w:val="center"/>
              <w:rPr>
                <w:b/>
                <w:bCs/>
                <w:color w:val="000000"/>
                <w:sz w:val="20"/>
                <w:szCs w:val="20"/>
                <w:lang w:eastAsia="en-CA"/>
              </w:rPr>
            </w:pPr>
            <w:r w:rsidRPr="00A27A71">
              <w:rPr>
                <w:b/>
                <w:bCs/>
                <w:color w:val="000000"/>
                <w:sz w:val="20"/>
                <w:szCs w:val="20"/>
                <w:lang w:eastAsia="en-CA"/>
              </w:rPr>
              <w:t>CE</w:t>
            </w:r>
            <w:r w:rsidR="00120DD6" w:rsidRPr="00A27A71">
              <w:rPr>
                <w:b/>
                <w:bCs/>
                <w:color w:val="000000"/>
                <w:sz w:val="20"/>
                <w:szCs w:val="20"/>
                <w:lang w:eastAsia="en-CA"/>
              </w:rPr>
              <w:t xml:space="preserve"> </w:t>
            </w:r>
            <w:r w:rsidRPr="00A27A71">
              <w:rPr>
                <w:b/>
                <w:bCs/>
                <w:color w:val="000000"/>
                <w:sz w:val="20"/>
                <w:szCs w:val="20"/>
                <w:lang w:eastAsia="en-CA"/>
              </w:rPr>
              <w:t>(</w:t>
            </w:r>
            <w:r w:rsidR="0013662C" w:rsidRPr="00A27A71">
              <w:rPr>
                <w:b/>
                <w:bCs/>
                <w:color w:val="000000"/>
                <w:sz w:val="20"/>
                <w:szCs w:val="20"/>
                <w:lang w:eastAsia="en-CA"/>
              </w:rPr>
              <w:t>US $</w:t>
            </w:r>
            <w:r w:rsidR="003C0A86" w:rsidRPr="00A27A71">
              <w:rPr>
                <w:b/>
                <w:bCs/>
                <w:color w:val="000000"/>
                <w:sz w:val="20"/>
                <w:szCs w:val="20"/>
                <w:lang w:eastAsia="en-CA"/>
              </w:rPr>
              <w:t>/kg</w:t>
            </w:r>
            <w:r w:rsidRPr="00A27A71">
              <w:rPr>
                <w:b/>
                <w:bCs/>
                <w:color w:val="000000"/>
                <w:sz w:val="20"/>
                <w:szCs w:val="20"/>
                <w:lang w:eastAsia="en-CA"/>
              </w:rPr>
              <w:t>)</w:t>
            </w:r>
          </w:p>
        </w:tc>
      </w:tr>
      <w:tr w:rsidR="003C0A86" w:rsidRPr="00A27A71" w:rsidTr="00120DD6">
        <w:trPr>
          <w:trHeight w:val="290"/>
        </w:trPr>
        <w:tc>
          <w:tcPr>
            <w:tcW w:w="1463" w:type="pct"/>
            <w:tcBorders>
              <w:top w:val="nil"/>
              <w:left w:val="single" w:sz="4" w:space="0" w:color="auto"/>
              <w:bottom w:val="single" w:sz="4" w:space="0" w:color="auto"/>
              <w:right w:val="single" w:sz="4" w:space="0" w:color="auto"/>
            </w:tcBorders>
            <w:shd w:val="clear" w:color="auto" w:fill="auto"/>
            <w:hideMark/>
          </w:tcPr>
          <w:p w:rsidR="003C0A86" w:rsidRPr="00A27A71" w:rsidRDefault="003C0A86" w:rsidP="00120DD6">
            <w:pPr>
              <w:jc w:val="left"/>
              <w:rPr>
                <w:color w:val="000000"/>
                <w:sz w:val="20"/>
                <w:szCs w:val="20"/>
                <w:lang w:eastAsia="en-CA"/>
              </w:rPr>
            </w:pPr>
            <w:r w:rsidRPr="00A27A71">
              <w:rPr>
                <w:color w:val="000000"/>
                <w:sz w:val="20"/>
                <w:szCs w:val="20"/>
                <w:lang w:eastAsia="en-CA"/>
              </w:rPr>
              <w:t xml:space="preserve">Domestic </w:t>
            </w:r>
            <w:r w:rsidR="00F75F42" w:rsidRPr="00A27A71">
              <w:rPr>
                <w:color w:val="000000"/>
                <w:sz w:val="20"/>
                <w:szCs w:val="20"/>
                <w:lang w:eastAsia="en-CA"/>
              </w:rPr>
              <w:t>AC</w:t>
            </w:r>
            <w:r w:rsidRPr="00A27A71">
              <w:rPr>
                <w:color w:val="000000"/>
                <w:sz w:val="20"/>
                <w:szCs w:val="20"/>
                <w:lang w:eastAsia="en-CA"/>
              </w:rPr>
              <w:t xml:space="preserve"> (technical assistance)</w:t>
            </w:r>
          </w:p>
        </w:tc>
        <w:tc>
          <w:tcPr>
            <w:tcW w:w="518"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left"/>
              <w:rPr>
                <w:color w:val="000000"/>
                <w:sz w:val="20"/>
                <w:szCs w:val="20"/>
                <w:lang w:eastAsia="en-CA"/>
              </w:rPr>
            </w:pPr>
            <w:r w:rsidRPr="00A27A71">
              <w:rPr>
                <w:color w:val="000000"/>
                <w:sz w:val="20"/>
                <w:szCs w:val="20"/>
                <w:lang w:eastAsia="en-CA"/>
              </w:rPr>
              <w:t>UNIDO</w:t>
            </w:r>
          </w:p>
        </w:tc>
        <w:tc>
          <w:tcPr>
            <w:tcW w:w="660" w:type="pct"/>
            <w:tcBorders>
              <w:top w:val="nil"/>
              <w:left w:val="nil"/>
              <w:bottom w:val="single" w:sz="4" w:space="0" w:color="auto"/>
              <w:right w:val="single" w:sz="4" w:space="0" w:color="auto"/>
            </w:tcBorders>
            <w:shd w:val="clear" w:color="auto" w:fill="auto"/>
            <w:noWrap/>
            <w:hideMark/>
          </w:tcPr>
          <w:p w:rsidR="003C0A86" w:rsidRPr="00A27A71" w:rsidRDefault="003C0A86" w:rsidP="00FA0FCC">
            <w:pPr>
              <w:rPr>
                <w:color w:val="000000"/>
                <w:sz w:val="20"/>
                <w:szCs w:val="20"/>
                <w:lang w:eastAsia="en-CA"/>
              </w:rPr>
            </w:pPr>
            <w:r w:rsidRPr="00A27A71">
              <w:rPr>
                <w:color w:val="000000"/>
                <w:sz w:val="20"/>
                <w:szCs w:val="20"/>
                <w:lang w:eastAsia="en-CA"/>
              </w:rPr>
              <w:t>HCFC-22</w:t>
            </w:r>
          </w:p>
        </w:tc>
        <w:tc>
          <w:tcPr>
            <w:tcW w:w="52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52.08</w:t>
            </w:r>
          </w:p>
        </w:tc>
        <w:tc>
          <w:tcPr>
            <w:tcW w:w="479"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2.86</w:t>
            </w:r>
          </w:p>
        </w:tc>
        <w:tc>
          <w:tcPr>
            <w:tcW w:w="662"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250,000</w:t>
            </w:r>
          </w:p>
        </w:tc>
        <w:tc>
          <w:tcPr>
            <w:tcW w:w="694" w:type="pct"/>
            <w:tcBorders>
              <w:top w:val="nil"/>
              <w:left w:val="nil"/>
              <w:bottom w:val="single" w:sz="4" w:space="0" w:color="auto"/>
              <w:right w:val="single" w:sz="4" w:space="0" w:color="auto"/>
            </w:tcBorders>
            <w:shd w:val="clear" w:color="auto" w:fill="auto"/>
            <w:hideMark/>
          </w:tcPr>
          <w:p w:rsidR="003C0A86" w:rsidRPr="00A27A71" w:rsidRDefault="003C0A86" w:rsidP="00120DD6">
            <w:pPr>
              <w:jc w:val="right"/>
              <w:rPr>
                <w:color w:val="000000"/>
                <w:sz w:val="20"/>
                <w:szCs w:val="20"/>
                <w:lang w:eastAsia="en-CA"/>
              </w:rPr>
            </w:pPr>
            <w:r w:rsidRPr="00A27A71">
              <w:rPr>
                <w:color w:val="000000"/>
                <w:sz w:val="20"/>
                <w:szCs w:val="20"/>
                <w:lang w:eastAsia="en-CA"/>
              </w:rPr>
              <w:t>4.80</w:t>
            </w:r>
          </w:p>
        </w:tc>
      </w:tr>
      <w:tr w:rsidR="003C0A86" w:rsidRPr="00A27A71" w:rsidTr="00120DD6">
        <w:trPr>
          <w:trHeight w:val="290"/>
        </w:trPr>
        <w:tc>
          <w:tcPr>
            <w:tcW w:w="1463" w:type="pct"/>
            <w:tcBorders>
              <w:top w:val="nil"/>
              <w:left w:val="single" w:sz="4" w:space="0" w:color="auto"/>
              <w:bottom w:val="single" w:sz="4" w:space="0" w:color="auto"/>
              <w:right w:val="single" w:sz="4" w:space="0" w:color="auto"/>
            </w:tcBorders>
            <w:shd w:val="clear" w:color="auto" w:fill="auto"/>
            <w:noWrap/>
            <w:hideMark/>
          </w:tcPr>
          <w:p w:rsidR="003C0A86" w:rsidRPr="00A27A71" w:rsidRDefault="003C0A86" w:rsidP="00120DD6">
            <w:pPr>
              <w:jc w:val="left"/>
              <w:rPr>
                <w:color w:val="000000"/>
                <w:sz w:val="20"/>
                <w:szCs w:val="20"/>
                <w:lang w:eastAsia="en-CA"/>
              </w:rPr>
            </w:pPr>
            <w:r w:rsidRPr="00A27A71">
              <w:rPr>
                <w:color w:val="000000"/>
                <w:sz w:val="20"/>
                <w:szCs w:val="20"/>
                <w:lang w:eastAsia="en-CA"/>
              </w:rPr>
              <w:t>Commercial AC (technical assistance)</w:t>
            </w:r>
          </w:p>
        </w:tc>
        <w:tc>
          <w:tcPr>
            <w:tcW w:w="518"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left"/>
              <w:rPr>
                <w:color w:val="000000"/>
                <w:sz w:val="20"/>
                <w:szCs w:val="20"/>
                <w:lang w:eastAsia="en-CA"/>
              </w:rPr>
            </w:pPr>
            <w:r w:rsidRPr="00A27A71">
              <w:rPr>
                <w:color w:val="000000"/>
                <w:sz w:val="20"/>
                <w:szCs w:val="20"/>
                <w:lang w:eastAsia="en-CA"/>
              </w:rPr>
              <w:t>UNIDO</w:t>
            </w:r>
          </w:p>
        </w:tc>
        <w:tc>
          <w:tcPr>
            <w:tcW w:w="660" w:type="pct"/>
            <w:tcBorders>
              <w:top w:val="nil"/>
              <w:left w:val="nil"/>
              <w:bottom w:val="single" w:sz="4" w:space="0" w:color="auto"/>
              <w:right w:val="single" w:sz="4" w:space="0" w:color="auto"/>
            </w:tcBorders>
            <w:shd w:val="clear" w:color="auto" w:fill="auto"/>
            <w:noWrap/>
            <w:hideMark/>
          </w:tcPr>
          <w:p w:rsidR="003C0A86" w:rsidRPr="00A27A71" w:rsidRDefault="003C0A86" w:rsidP="00FA0FCC">
            <w:pPr>
              <w:rPr>
                <w:color w:val="000000"/>
                <w:sz w:val="20"/>
                <w:szCs w:val="20"/>
                <w:lang w:eastAsia="en-CA"/>
              </w:rPr>
            </w:pPr>
            <w:r w:rsidRPr="00A27A71">
              <w:rPr>
                <w:color w:val="000000"/>
                <w:sz w:val="20"/>
                <w:szCs w:val="20"/>
                <w:lang w:eastAsia="en-CA"/>
              </w:rPr>
              <w:t>HCFC-22</w:t>
            </w:r>
          </w:p>
        </w:tc>
        <w:tc>
          <w:tcPr>
            <w:tcW w:w="52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58.23</w:t>
            </w:r>
          </w:p>
        </w:tc>
        <w:tc>
          <w:tcPr>
            <w:tcW w:w="479"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3.20</w:t>
            </w:r>
          </w:p>
        </w:tc>
        <w:tc>
          <w:tcPr>
            <w:tcW w:w="662"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370,000</w:t>
            </w:r>
          </w:p>
        </w:tc>
        <w:tc>
          <w:tcPr>
            <w:tcW w:w="69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6.35</w:t>
            </w:r>
          </w:p>
        </w:tc>
      </w:tr>
      <w:tr w:rsidR="003C0A86" w:rsidRPr="00A27A71" w:rsidTr="00120DD6">
        <w:trPr>
          <w:trHeight w:val="290"/>
        </w:trPr>
        <w:tc>
          <w:tcPr>
            <w:tcW w:w="1463" w:type="pct"/>
            <w:tcBorders>
              <w:top w:val="nil"/>
              <w:left w:val="single" w:sz="4" w:space="0" w:color="auto"/>
              <w:bottom w:val="single" w:sz="4" w:space="0" w:color="auto"/>
              <w:right w:val="single" w:sz="4" w:space="0" w:color="auto"/>
            </w:tcBorders>
            <w:shd w:val="clear" w:color="auto" w:fill="auto"/>
            <w:noWrap/>
            <w:hideMark/>
          </w:tcPr>
          <w:p w:rsidR="003C0A86" w:rsidRPr="00A27A71" w:rsidRDefault="003C0A86" w:rsidP="000F0199">
            <w:pPr>
              <w:jc w:val="left"/>
              <w:rPr>
                <w:color w:val="000000"/>
                <w:sz w:val="20"/>
                <w:szCs w:val="20"/>
                <w:lang w:eastAsia="en-CA"/>
              </w:rPr>
            </w:pPr>
            <w:r w:rsidRPr="00A27A71">
              <w:rPr>
                <w:color w:val="000000"/>
                <w:sz w:val="20"/>
                <w:szCs w:val="20"/>
                <w:lang w:eastAsia="en-CA"/>
              </w:rPr>
              <w:t>Domestic refrigerat</w:t>
            </w:r>
            <w:r w:rsidR="000F0199">
              <w:rPr>
                <w:color w:val="000000"/>
                <w:sz w:val="20"/>
                <w:szCs w:val="20"/>
                <w:lang w:eastAsia="en-CA"/>
              </w:rPr>
              <w:t>ion</w:t>
            </w:r>
            <w:r w:rsidRPr="00A27A71">
              <w:rPr>
                <w:color w:val="000000"/>
                <w:sz w:val="20"/>
                <w:szCs w:val="20"/>
                <w:lang w:eastAsia="en-CA"/>
              </w:rPr>
              <w:t xml:space="preserve"> </w:t>
            </w:r>
            <w:r w:rsidR="000F3199" w:rsidRPr="00A27A71">
              <w:rPr>
                <w:color w:val="000000"/>
                <w:sz w:val="20"/>
                <w:szCs w:val="20"/>
                <w:lang w:eastAsia="en-CA"/>
              </w:rPr>
              <w:t>m</w:t>
            </w:r>
            <w:r w:rsidRPr="00A27A71">
              <w:rPr>
                <w:color w:val="000000"/>
                <w:sz w:val="20"/>
                <w:szCs w:val="20"/>
                <w:lang w:eastAsia="en-CA"/>
              </w:rPr>
              <w:t>anufactur</w:t>
            </w:r>
            <w:r w:rsidR="000F0199">
              <w:rPr>
                <w:color w:val="000000"/>
                <w:sz w:val="20"/>
                <w:szCs w:val="20"/>
                <w:lang w:eastAsia="en-CA"/>
              </w:rPr>
              <w:t>ing</w:t>
            </w:r>
          </w:p>
        </w:tc>
        <w:tc>
          <w:tcPr>
            <w:tcW w:w="518"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left"/>
              <w:rPr>
                <w:color w:val="000000"/>
                <w:sz w:val="20"/>
                <w:szCs w:val="20"/>
                <w:lang w:eastAsia="en-CA"/>
              </w:rPr>
            </w:pPr>
            <w:r w:rsidRPr="00A27A71">
              <w:rPr>
                <w:color w:val="000000"/>
                <w:sz w:val="20"/>
                <w:szCs w:val="20"/>
                <w:lang w:eastAsia="en-CA"/>
              </w:rPr>
              <w:t>UNIDO</w:t>
            </w:r>
          </w:p>
        </w:tc>
        <w:tc>
          <w:tcPr>
            <w:tcW w:w="660" w:type="pct"/>
            <w:tcBorders>
              <w:top w:val="nil"/>
              <w:left w:val="nil"/>
              <w:bottom w:val="single" w:sz="4" w:space="0" w:color="auto"/>
              <w:right w:val="single" w:sz="4" w:space="0" w:color="auto"/>
            </w:tcBorders>
            <w:shd w:val="clear" w:color="auto" w:fill="auto"/>
            <w:noWrap/>
            <w:hideMark/>
          </w:tcPr>
          <w:p w:rsidR="003C0A86" w:rsidRPr="00A27A71" w:rsidRDefault="003C0A86" w:rsidP="00FA0FCC">
            <w:pPr>
              <w:rPr>
                <w:color w:val="000000"/>
                <w:sz w:val="20"/>
                <w:szCs w:val="20"/>
                <w:lang w:eastAsia="en-CA"/>
              </w:rPr>
            </w:pPr>
            <w:r w:rsidRPr="00A27A71">
              <w:rPr>
                <w:color w:val="000000"/>
                <w:sz w:val="20"/>
                <w:szCs w:val="20"/>
                <w:lang w:eastAsia="en-CA"/>
              </w:rPr>
              <w:t>HCFC-141b</w:t>
            </w:r>
          </w:p>
        </w:tc>
        <w:tc>
          <w:tcPr>
            <w:tcW w:w="52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372.5</w:t>
            </w:r>
          </w:p>
        </w:tc>
        <w:tc>
          <w:tcPr>
            <w:tcW w:w="479"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40.98</w:t>
            </w:r>
          </w:p>
        </w:tc>
        <w:tc>
          <w:tcPr>
            <w:tcW w:w="662"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3,036,641</w:t>
            </w:r>
          </w:p>
        </w:tc>
        <w:tc>
          <w:tcPr>
            <w:tcW w:w="69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8.15</w:t>
            </w:r>
          </w:p>
        </w:tc>
      </w:tr>
      <w:tr w:rsidR="003C0A86" w:rsidRPr="00A27A71" w:rsidTr="00120DD6">
        <w:trPr>
          <w:trHeight w:val="54"/>
        </w:trPr>
        <w:tc>
          <w:tcPr>
            <w:tcW w:w="1463" w:type="pct"/>
            <w:tcBorders>
              <w:top w:val="nil"/>
              <w:left w:val="single" w:sz="4" w:space="0" w:color="auto"/>
              <w:bottom w:val="single" w:sz="4" w:space="0" w:color="auto"/>
              <w:right w:val="single" w:sz="4" w:space="0" w:color="auto"/>
            </w:tcBorders>
            <w:shd w:val="clear" w:color="auto" w:fill="auto"/>
            <w:noWrap/>
            <w:hideMark/>
          </w:tcPr>
          <w:p w:rsidR="003C0A86" w:rsidRPr="000F0199" w:rsidRDefault="003C0A86" w:rsidP="000F0199">
            <w:pPr>
              <w:jc w:val="left"/>
              <w:rPr>
                <w:color w:val="000000"/>
                <w:sz w:val="20"/>
                <w:szCs w:val="20"/>
                <w:lang w:eastAsia="en-CA"/>
              </w:rPr>
            </w:pPr>
            <w:r w:rsidRPr="000F0199">
              <w:rPr>
                <w:color w:val="000000"/>
                <w:sz w:val="20"/>
                <w:szCs w:val="20"/>
                <w:lang w:eastAsia="en-CA"/>
              </w:rPr>
              <w:t xml:space="preserve">PU foam (other than </w:t>
            </w:r>
            <w:r w:rsidR="000F0199">
              <w:rPr>
                <w:color w:val="000000"/>
                <w:sz w:val="20"/>
                <w:szCs w:val="20"/>
                <w:lang w:eastAsia="en-CA"/>
              </w:rPr>
              <w:t>domestic refrigeration manufacturing</w:t>
            </w:r>
            <w:r w:rsidRPr="000F0199">
              <w:rPr>
                <w:color w:val="000000"/>
                <w:sz w:val="20"/>
                <w:szCs w:val="20"/>
                <w:lang w:eastAsia="en-CA"/>
              </w:rPr>
              <w:t>)</w:t>
            </w:r>
          </w:p>
        </w:tc>
        <w:tc>
          <w:tcPr>
            <w:tcW w:w="518"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left"/>
              <w:rPr>
                <w:color w:val="000000"/>
                <w:sz w:val="20"/>
                <w:szCs w:val="20"/>
                <w:lang w:eastAsia="en-CA"/>
              </w:rPr>
            </w:pPr>
            <w:r w:rsidRPr="00A27A71">
              <w:rPr>
                <w:color w:val="000000"/>
                <w:sz w:val="20"/>
                <w:szCs w:val="20"/>
                <w:lang w:eastAsia="en-CA"/>
              </w:rPr>
              <w:t>UNDP</w:t>
            </w:r>
          </w:p>
        </w:tc>
        <w:tc>
          <w:tcPr>
            <w:tcW w:w="660" w:type="pct"/>
            <w:tcBorders>
              <w:top w:val="nil"/>
              <w:left w:val="nil"/>
              <w:bottom w:val="single" w:sz="4" w:space="0" w:color="auto"/>
              <w:right w:val="single" w:sz="4" w:space="0" w:color="auto"/>
            </w:tcBorders>
            <w:shd w:val="clear" w:color="auto" w:fill="auto"/>
            <w:noWrap/>
            <w:hideMark/>
          </w:tcPr>
          <w:p w:rsidR="003C0A86" w:rsidRPr="00A27A71" w:rsidRDefault="003C0A86" w:rsidP="00FA0FCC">
            <w:pPr>
              <w:rPr>
                <w:color w:val="000000"/>
                <w:sz w:val="20"/>
                <w:szCs w:val="20"/>
                <w:lang w:eastAsia="en-CA"/>
              </w:rPr>
            </w:pPr>
            <w:r w:rsidRPr="00A27A71">
              <w:rPr>
                <w:color w:val="000000"/>
                <w:sz w:val="20"/>
                <w:szCs w:val="20"/>
                <w:lang w:eastAsia="en-CA"/>
              </w:rPr>
              <w:t>HCFC-141b</w:t>
            </w:r>
          </w:p>
        </w:tc>
        <w:tc>
          <w:tcPr>
            <w:tcW w:w="52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99.79</w:t>
            </w:r>
          </w:p>
        </w:tc>
        <w:tc>
          <w:tcPr>
            <w:tcW w:w="479"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10.98</w:t>
            </w:r>
          </w:p>
        </w:tc>
        <w:tc>
          <w:tcPr>
            <w:tcW w:w="662"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967,352</w:t>
            </w:r>
          </w:p>
        </w:tc>
        <w:tc>
          <w:tcPr>
            <w:tcW w:w="69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sz w:val="20"/>
                <w:szCs w:val="20"/>
                <w:lang w:eastAsia="en-CA"/>
              </w:rPr>
            </w:pPr>
            <w:r w:rsidRPr="00A27A71">
              <w:rPr>
                <w:sz w:val="20"/>
                <w:szCs w:val="20"/>
                <w:lang w:eastAsia="en-CA"/>
              </w:rPr>
              <w:t>9.69</w:t>
            </w:r>
          </w:p>
        </w:tc>
      </w:tr>
      <w:tr w:rsidR="00515AB1" w:rsidRPr="00A27A71" w:rsidTr="00FB3F9A">
        <w:trPr>
          <w:trHeight w:val="58"/>
        </w:trPr>
        <w:tc>
          <w:tcPr>
            <w:tcW w:w="1463" w:type="pct"/>
            <w:vMerge w:val="restart"/>
            <w:tcBorders>
              <w:top w:val="nil"/>
              <w:left w:val="single" w:sz="4" w:space="0" w:color="auto"/>
              <w:right w:val="single" w:sz="4" w:space="0" w:color="auto"/>
            </w:tcBorders>
            <w:shd w:val="clear" w:color="auto" w:fill="auto"/>
            <w:noWrap/>
            <w:hideMark/>
          </w:tcPr>
          <w:p w:rsidR="00515AB1" w:rsidRPr="00A27A71" w:rsidRDefault="00515AB1" w:rsidP="00120DD6">
            <w:pPr>
              <w:jc w:val="left"/>
              <w:rPr>
                <w:color w:val="000000"/>
                <w:sz w:val="20"/>
                <w:szCs w:val="20"/>
                <w:lang w:eastAsia="en-CA"/>
              </w:rPr>
            </w:pPr>
            <w:r w:rsidRPr="00A27A71">
              <w:rPr>
                <w:color w:val="000000"/>
                <w:sz w:val="20"/>
                <w:szCs w:val="20"/>
                <w:lang w:eastAsia="en-CA"/>
              </w:rPr>
              <w:t>XPS</w:t>
            </w:r>
          </w:p>
        </w:tc>
        <w:tc>
          <w:tcPr>
            <w:tcW w:w="518" w:type="pct"/>
            <w:vMerge w:val="restart"/>
            <w:tcBorders>
              <w:top w:val="nil"/>
              <w:left w:val="nil"/>
              <w:right w:val="single" w:sz="4" w:space="0" w:color="auto"/>
            </w:tcBorders>
            <w:shd w:val="clear" w:color="auto" w:fill="auto"/>
            <w:noWrap/>
            <w:hideMark/>
          </w:tcPr>
          <w:p w:rsidR="00515AB1" w:rsidRPr="00A27A71" w:rsidRDefault="00515AB1" w:rsidP="00120DD6">
            <w:pPr>
              <w:jc w:val="left"/>
              <w:rPr>
                <w:color w:val="000000"/>
                <w:sz w:val="20"/>
                <w:szCs w:val="20"/>
                <w:lang w:eastAsia="en-CA"/>
              </w:rPr>
            </w:pPr>
            <w:r w:rsidRPr="00A27A71">
              <w:rPr>
                <w:color w:val="000000"/>
                <w:sz w:val="20"/>
                <w:szCs w:val="20"/>
                <w:lang w:eastAsia="en-CA"/>
              </w:rPr>
              <w:t>UNDP</w:t>
            </w:r>
          </w:p>
        </w:tc>
        <w:tc>
          <w:tcPr>
            <w:tcW w:w="660" w:type="pct"/>
            <w:tcBorders>
              <w:top w:val="nil"/>
              <w:left w:val="nil"/>
              <w:bottom w:val="single" w:sz="4" w:space="0" w:color="auto"/>
              <w:right w:val="single" w:sz="4" w:space="0" w:color="auto"/>
            </w:tcBorders>
            <w:shd w:val="clear" w:color="auto" w:fill="auto"/>
            <w:noWrap/>
            <w:hideMark/>
          </w:tcPr>
          <w:p w:rsidR="00515AB1" w:rsidRPr="00A27A71" w:rsidRDefault="00515AB1" w:rsidP="00FA0FCC">
            <w:pPr>
              <w:rPr>
                <w:color w:val="000000"/>
                <w:sz w:val="20"/>
                <w:szCs w:val="20"/>
                <w:lang w:eastAsia="en-CA"/>
              </w:rPr>
            </w:pPr>
            <w:r w:rsidRPr="00A27A71">
              <w:rPr>
                <w:color w:val="000000"/>
                <w:sz w:val="20"/>
                <w:szCs w:val="20"/>
                <w:lang w:eastAsia="en-CA"/>
              </w:rPr>
              <w:t>HCFC-22</w:t>
            </w:r>
          </w:p>
        </w:tc>
        <w:tc>
          <w:tcPr>
            <w:tcW w:w="524" w:type="pct"/>
            <w:tcBorders>
              <w:top w:val="nil"/>
              <w:left w:val="nil"/>
              <w:bottom w:val="single" w:sz="4" w:space="0" w:color="auto"/>
              <w:right w:val="single" w:sz="4" w:space="0" w:color="auto"/>
            </w:tcBorders>
            <w:shd w:val="clear" w:color="auto" w:fill="auto"/>
            <w:noWrap/>
            <w:hideMark/>
          </w:tcPr>
          <w:p w:rsidR="00515AB1" w:rsidRPr="00A27A71" w:rsidRDefault="00515AB1" w:rsidP="00120DD6">
            <w:pPr>
              <w:jc w:val="right"/>
              <w:rPr>
                <w:color w:val="000000"/>
                <w:sz w:val="20"/>
                <w:szCs w:val="20"/>
                <w:lang w:eastAsia="en-CA"/>
              </w:rPr>
            </w:pPr>
            <w:r w:rsidRPr="00A27A71">
              <w:rPr>
                <w:color w:val="000000"/>
                <w:sz w:val="20"/>
                <w:szCs w:val="20"/>
                <w:lang w:eastAsia="en-CA"/>
              </w:rPr>
              <w:t>559</w:t>
            </w:r>
          </w:p>
        </w:tc>
        <w:tc>
          <w:tcPr>
            <w:tcW w:w="479" w:type="pct"/>
            <w:tcBorders>
              <w:top w:val="nil"/>
              <w:left w:val="nil"/>
              <w:bottom w:val="single" w:sz="4" w:space="0" w:color="auto"/>
              <w:right w:val="single" w:sz="4" w:space="0" w:color="auto"/>
            </w:tcBorders>
            <w:shd w:val="clear" w:color="auto" w:fill="auto"/>
            <w:noWrap/>
            <w:hideMark/>
          </w:tcPr>
          <w:p w:rsidR="00515AB1" w:rsidRPr="00A27A71" w:rsidRDefault="00515AB1" w:rsidP="00120DD6">
            <w:pPr>
              <w:jc w:val="right"/>
              <w:rPr>
                <w:color w:val="000000"/>
                <w:sz w:val="20"/>
                <w:szCs w:val="20"/>
                <w:lang w:eastAsia="en-CA"/>
              </w:rPr>
            </w:pPr>
            <w:r w:rsidRPr="00A27A71">
              <w:rPr>
                <w:color w:val="000000"/>
                <w:sz w:val="20"/>
                <w:szCs w:val="20"/>
                <w:lang w:eastAsia="en-CA"/>
              </w:rPr>
              <w:t>30.75</w:t>
            </w:r>
          </w:p>
        </w:tc>
        <w:tc>
          <w:tcPr>
            <w:tcW w:w="662" w:type="pct"/>
            <w:vMerge w:val="restart"/>
            <w:tcBorders>
              <w:top w:val="nil"/>
              <w:left w:val="nil"/>
              <w:right w:val="single" w:sz="4" w:space="0" w:color="auto"/>
            </w:tcBorders>
            <w:shd w:val="clear" w:color="auto" w:fill="auto"/>
            <w:noWrap/>
            <w:hideMark/>
          </w:tcPr>
          <w:p w:rsidR="00515AB1" w:rsidRPr="00A27A71" w:rsidRDefault="00515AB1" w:rsidP="00120DD6">
            <w:pPr>
              <w:jc w:val="right"/>
              <w:rPr>
                <w:color w:val="000000"/>
                <w:sz w:val="20"/>
                <w:szCs w:val="20"/>
                <w:lang w:eastAsia="en-CA"/>
              </w:rPr>
            </w:pPr>
            <w:r w:rsidRPr="00A27A71">
              <w:rPr>
                <w:color w:val="000000"/>
                <w:sz w:val="20"/>
                <w:szCs w:val="20"/>
                <w:lang w:eastAsia="en-CA"/>
              </w:rPr>
              <w:t>2,578,370</w:t>
            </w:r>
          </w:p>
        </w:tc>
        <w:tc>
          <w:tcPr>
            <w:tcW w:w="694" w:type="pct"/>
            <w:vMerge w:val="restart"/>
            <w:tcBorders>
              <w:top w:val="nil"/>
              <w:left w:val="single" w:sz="4" w:space="0" w:color="auto"/>
              <w:bottom w:val="single" w:sz="4" w:space="0" w:color="000000"/>
              <w:right w:val="single" w:sz="4" w:space="0" w:color="auto"/>
            </w:tcBorders>
            <w:shd w:val="clear" w:color="auto" w:fill="auto"/>
            <w:noWrap/>
            <w:hideMark/>
          </w:tcPr>
          <w:p w:rsidR="00515AB1" w:rsidRPr="00A27A71" w:rsidRDefault="00515AB1" w:rsidP="00120DD6">
            <w:pPr>
              <w:jc w:val="right"/>
              <w:rPr>
                <w:color w:val="000000"/>
                <w:sz w:val="20"/>
                <w:szCs w:val="20"/>
                <w:lang w:eastAsia="en-CA"/>
              </w:rPr>
            </w:pPr>
            <w:r w:rsidRPr="00A27A71">
              <w:rPr>
                <w:color w:val="000000"/>
                <w:sz w:val="20"/>
                <w:szCs w:val="20"/>
                <w:lang w:eastAsia="en-CA"/>
              </w:rPr>
              <w:t>4.42</w:t>
            </w:r>
          </w:p>
        </w:tc>
      </w:tr>
      <w:tr w:rsidR="00515AB1" w:rsidRPr="00A27A71" w:rsidTr="00FB3F9A">
        <w:trPr>
          <w:trHeight w:val="58"/>
        </w:trPr>
        <w:tc>
          <w:tcPr>
            <w:tcW w:w="1463" w:type="pct"/>
            <w:vMerge/>
            <w:tcBorders>
              <w:left w:val="single" w:sz="4" w:space="0" w:color="auto"/>
              <w:bottom w:val="single" w:sz="4" w:space="0" w:color="auto"/>
              <w:right w:val="single" w:sz="4" w:space="0" w:color="auto"/>
            </w:tcBorders>
            <w:shd w:val="clear" w:color="auto" w:fill="auto"/>
            <w:noWrap/>
            <w:hideMark/>
          </w:tcPr>
          <w:p w:rsidR="00515AB1" w:rsidRPr="00A27A71" w:rsidRDefault="00515AB1" w:rsidP="00120DD6">
            <w:pPr>
              <w:jc w:val="left"/>
              <w:rPr>
                <w:color w:val="000000"/>
                <w:sz w:val="20"/>
                <w:szCs w:val="20"/>
                <w:lang w:eastAsia="en-CA"/>
              </w:rPr>
            </w:pPr>
          </w:p>
        </w:tc>
        <w:tc>
          <w:tcPr>
            <w:tcW w:w="518" w:type="pct"/>
            <w:vMerge/>
            <w:tcBorders>
              <w:left w:val="nil"/>
              <w:bottom w:val="single" w:sz="4" w:space="0" w:color="auto"/>
              <w:right w:val="single" w:sz="4" w:space="0" w:color="auto"/>
            </w:tcBorders>
            <w:shd w:val="clear" w:color="auto" w:fill="auto"/>
            <w:noWrap/>
            <w:hideMark/>
          </w:tcPr>
          <w:p w:rsidR="00515AB1" w:rsidRPr="00A27A71" w:rsidRDefault="00515AB1" w:rsidP="00120DD6">
            <w:pPr>
              <w:jc w:val="left"/>
              <w:rPr>
                <w:color w:val="000000"/>
                <w:sz w:val="20"/>
                <w:szCs w:val="20"/>
                <w:lang w:eastAsia="en-CA"/>
              </w:rPr>
            </w:pPr>
          </w:p>
        </w:tc>
        <w:tc>
          <w:tcPr>
            <w:tcW w:w="660" w:type="pct"/>
            <w:tcBorders>
              <w:top w:val="nil"/>
              <w:left w:val="nil"/>
              <w:bottom w:val="single" w:sz="4" w:space="0" w:color="auto"/>
              <w:right w:val="single" w:sz="4" w:space="0" w:color="auto"/>
            </w:tcBorders>
            <w:shd w:val="clear" w:color="auto" w:fill="auto"/>
            <w:noWrap/>
            <w:hideMark/>
          </w:tcPr>
          <w:p w:rsidR="00515AB1" w:rsidRPr="00A27A71" w:rsidRDefault="00515AB1" w:rsidP="00FA0FCC">
            <w:pPr>
              <w:rPr>
                <w:color w:val="000000"/>
                <w:sz w:val="20"/>
                <w:szCs w:val="20"/>
                <w:lang w:eastAsia="en-CA"/>
              </w:rPr>
            </w:pPr>
            <w:r w:rsidRPr="00A27A71">
              <w:rPr>
                <w:color w:val="000000"/>
                <w:sz w:val="20"/>
                <w:szCs w:val="20"/>
                <w:lang w:eastAsia="en-CA"/>
              </w:rPr>
              <w:t>HCFC-142b</w:t>
            </w:r>
          </w:p>
        </w:tc>
        <w:tc>
          <w:tcPr>
            <w:tcW w:w="524" w:type="pct"/>
            <w:tcBorders>
              <w:top w:val="nil"/>
              <w:left w:val="nil"/>
              <w:bottom w:val="single" w:sz="4" w:space="0" w:color="auto"/>
              <w:right w:val="single" w:sz="4" w:space="0" w:color="auto"/>
            </w:tcBorders>
            <w:shd w:val="clear" w:color="auto" w:fill="auto"/>
            <w:noWrap/>
            <w:hideMark/>
          </w:tcPr>
          <w:p w:rsidR="00515AB1" w:rsidRPr="00A27A71" w:rsidRDefault="00515AB1" w:rsidP="00120DD6">
            <w:pPr>
              <w:jc w:val="right"/>
              <w:rPr>
                <w:color w:val="000000"/>
                <w:sz w:val="20"/>
                <w:szCs w:val="20"/>
                <w:lang w:eastAsia="en-CA"/>
              </w:rPr>
            </w:pPr>
            <w:r w:rsidRPr="00A27A71">
              <w:rPr>
                <w:color w:val="000000"/>
                <w:sz w:val="20"/>
                <w:szCs w:val="20"/>
                <w:lang w:eastAsia="en-CA"/>
              </w:rPr>
              <w:t>24.3</w:t>
            </w:r>
          </w:p>
        </w:tc>
        <w:tc>
          <w:tcPr>
            <w:tcW w:w="479" w:type="pct"/>
            <w:tcBorders>
              <w:top w:val="nil"/>
              <w:left w:val="nil"/>
              <w:bottom w:val="single" w:sz="4" w:space="0" w:color="auto"/>
              <w:right w:val="single" w:sz="4" w:space="0" w:color="auto"/>
            </w:tcBorders>
            <w:shd w:val="clear" w:color="auto" w:fill="auto"/>
            <w:noWrap/>
            <w:hideMark/>
          </w:tcPr>
          <w:p w:rsidR="00515AB1" w:rsidRPr="00A27A71" w:rsidRDefault="00515AB1" w:rsidP="00120DD6">
            <w:pPr>
              <w:jc w:val="right"/>
              <w:rPr>
                <w:color w:val="000000"/>
                <w:sz w:val="20"/>
                <w:szCs w:val="20"/>
                <w:lang w:eastAsia="en-CA"/>
              </w:rPr>
            </w:pPr>
            <w:r w:rsidRPr="00A27A71">
              <w:rPr>
                <w:color w:val="000000"/>
                <w:sz w:val="20"/>
                <w:szCs w:val="20"/>
                <w:lang w:eastAsia="en-CA"/>
              </w:rPr>
              <w:t>1.58</w:t>
            </w:r>
          </w:p>
        </w:tc>
        <w:tc>
          <w:tcPr>
            <w:tcW w:w="662" w:type="pct"/>
            <w:vMerge/>
            <w:tcBorders>
              <w:left w:val="nil"/>
              <w:bottom w:val="single" w:sz="4" w:space="0" w:color="auto"/>
              <w:right w:val="single" w:sz="4" w:space="0" w:color="auto"/>
            </w:tcBorders>
            <w:shd w:val="clear" w:color="auto" w:fill="auto"/>
            <w:noWrap/>
            <w:hideMark/>
          </w:tcPr>
          <w:p w:rsidR="00515AB1" w:rsidRPr="00A27A71" w:rsidRDefault="00515AB1" w:rsidP="00120DD6">
            <w:pPr>
              <w:jc w:val="right"/>
              <w:rPr>
                <w:color w:val="000000"/>
                <w:sz w:val="20"/>
                <w:szCs w:val="20"/>
                <w:lang w:eastAsia="en-CA"/>
              </w:rPr>
            </w:pPr>
          </w:p>
        </w:tc>
        <w:tc>
          <w:tcPr>
            <w:tcW w:w="694" w:type="pct"/>
            <w:vMerge/>
            <w:tcBorders>
              <w:top w:val="nil"/>
              <w:left w:val="single" w:sz="4" w:space="0" w:color="auto"/>
              <w:bottom w:val="single" w:sz="4" w:space="0" w:color="000000"/>
              <w:right w:val="single" w:sz="4" w:space="0" w:color="auto"/>
            </w:tcBorders>
            <w:hideMark/>
          </w:tcPr>
          <w:p w:rsidR="00515AB1" w:rsidRPr="00A27A71" w:rsidRDefault="00515AB1" w:rsidP="00120DD6">
            <w:pPr>
              <w:jc w:val="right"/>
              <w:rPr>
                <w:color w:val="000000"/>
                <w:sz w:val="20"/>
                <w:szCs w:val="20"/>
                <w:lang w:eastAsia="en-CA"/>
              </w:rPr>
            </w:pPr>
          </w:p>
        </w:tc>
      </w:tr>
      <w:tr w:rsidR="003C0A86" w:rsidRPr="00A27A71" w:rsidTr="00120DD6">
        <w:trPr>
          <w:trHeight w:val="161"/>
        </w:trPr>
        <w:tc>
          <w:tcPr>
            <w:tcW w:w="1463" w:type="pct"/>
            <w:tcBorders>
              <w:top w:val="nil"/>
              <w:left w:val="single" w:sz="4" w:space="0" w:color="auto"/>
              <w:bottom w:val="single" w:sz="4" w:space="0" w:color="auto"/>
              <w:right w:val="single" w:sz="4" w:space="0" w:color="auto"/>
            </w:tcBorders>
            <w:shd w:val="clear" w:color="auto" w:fill="auto"/>
            <w:noWrap/>
            <w:hideMark/>
          </w:tcPr>
          <w:p w:rsidR="003C0A86" w:rsidRPr="00A27A71" w:rsidRDefault="003C0A86" w:rsidP="00120DD6">
            <w:pPr>
              <w:jc w:val="left"/>
              <w:rPr>
                <w:color w:val="000000"/>
                <w:sz w:val="20"/>
                <w:szCs w:val="20"/>
                <w:lang w:eastAsia="en-CA"/>
              </w:rPr>
            </w:pPr>
            <w:r w:rsidRPr="00A27A71">
              <w:rPr>
                <w:color w:val="000000"/>
                <w:sz w:val="20"/>
                <w:szCs w:val="20"/>
                <w:lang w:eastAsia="en-CA"/>
              </w:rPr>
              <w:t>Servicing</w:t>
            </w:r>
          </w:p>
        </w:tc>
        <w:tc>
          <w:tcPr>
            <w:tcW w:w="518"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left"/>
              <w:rPr>
                <w:color w:val="000000"/>
                <w:sz w:val="20"/>
                <w:szCs w:val="20"/>
                <w:lang w:eastAsia="en-CA"/>
              </w:rPr>
            </w:pPr>
          </w:p>
        </w:tc>
        <w:tc>
          <w:tcPr>
            <w:tcW w:w="660" w:type="pct"/>
            <w:tcBorders>
              <w:top w:val="nil"/>
              <w:left w:val="nil"/>
              <w:bottom w:val="single" w:sz="4" w:space="0" w:color="auto"/>
              <w:right w:val="single" w:sz="4" w:space="0" w:color="auto"/>
            </w:tcBorders>
            <w:shd w:val="clear" w:color="auto" w:fill="auto"/>
            <w:noWrap/>
            <w:hideMark/>
          </w:tcPr>
          <w:p w:rsidR="003C0A86" w:rsidRPr="00A27A71" w:rsidRDefault="003C0A86" w:rsidP="00FA0FCC">
            <w:pPr>
              <w:rPr>
                <w:color w:val="000000"/>
                <w:sz w:val="20"/>
                <w:szCs w:val="20"/>
                <w:lang w:eastAsia="en-CA"/>
              </w:rPr>
            </w:pPr>
          </w:p>
        </w:tc>
        <w:tc>
          <w:tcPr>
            <w:tcW w:w="52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p>
        </w:tc>
        <w:tc>
          <w:tcPr>
            <w:tcW w:w="479"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p>
        </w:tc>
        <w:tc>
          <w:tcPr>
            <w:tcW w:w="662"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p>
        </w:tc>
        <w:tc>
          <w:tcPr>
            <w:tcW w:w="69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p>
        </w:tc>
      </w:tr>
      <w:tr w:rsidR="003C0A86" w:rsidRPr="00A27A71" w:rsidTr="00FB3F9A">
        <w:trPr>
          <w:trHeight w:val="548"/>
        </w:trPr>
        <w:tc>
          <w:tcPr>
            <w:tcW w:w="1463" w:type="pct"/>
            <w:tcBorders>
              <w:top w:val="nil"/>
              <w:left w:val="single" w:sz="4" w:space="0" w:color="auto"/>
              <w:bottom w:val="single" w:sz="4" w:space="0" w:color="auto"/>
              <w:right w:val="single" w:sz="4" w:space="0" w:color="auto"/>
            </w:tcBorders>
            <w:shd w:val="clear" w:color="auto" w:fill="auto"/>
            <w:noWrap/>
            <w:hideMark/>
          </w:tcPr>
          <w:p w:rsidR="003C0A86" w:rsidRPr="00A27A71" w:rsidRDefault="003C0A86" w:rsidP="00120DD6">
            <w:pPr>
              <w:jc w:val="left"/>
              <w:rPr>
                <w:iCs/>
                <w:color w:val="000000"/>
                <w:sz w:val="20"/>
                <w:szCs w:val="20"/>
                <w:lang w:eastAsia="en-CA"/>
              </w:rPr>
            </w:pPr>
            <w:r w:rsidRPr="00A27A71">
              <w:rPr>
                <w:iCs/>
                <w:color w:val="000000"/>
                <w:sz w:val="20"/>
                <w:szCs w:val="20"/>
                <w:lang w:eastAsia="en-CA"/>
              </w:rPr>
              <w:t>Training and certification for HC</w:t>
            </w:r>
          </w:p>
        </w:tc>
        <w:tc>
          <w:tcPr>
            <w:tcW w:w="518" w:type="pct"/>
            <w:tcBorders>
              <w:top w:val="nil"/>
              <w:left w:val="nil"/>
              <w:bottom w:val="single" w:sz="4" w:space="0" w:color="auto"/>
              <w:right w:val="single" w:sz="4" w:space="0" w:color="auto"/>
            </w:tcBorders>
            <w:shd w:val="clear" w:color="auto" w:fill="auto"/>
            <w:noWrap/>
            <w:hideMark/>
          </w:tcPr>
          <w:p w:rsidR="003C0A86" w:rsidRPr="00A27A71" w:rsidRDefault="00FB3F9A" w:rsidP="00120DD6">
            <w:pPr>
              <w:jc w:val="left"/>
              <w:rPr>
                <w:color w:val="000000"/>
                <w:sz w:val="20"/>
                <w:szCs w:val="20"/>
                <w:lang w:eastAsia="en-CA"/>
              </w:rPr>
            </w:pPr>
            <w:r w:rsidRPr="00A27A71">
              <w:rPr>
                <w:color w:val="000000"/>
                <w:sz w:val="20"/>
                <w:szCs w:val="20"/>
                <w:lang w:eastAsia="en-CA"/>
              </w:rPr>
              <w:t>Germany</w:t>
            </w:r>
          </w:p>
        </w:tc>
        <w:tc>
          <w:tcPr>
            <w:tcW w:w="660" w:type="pct"/>
            <w:tcBorders>
              <w:top w:val="nil"/>
              <w:left w:val="nil"/>
              <w:bottom w:val="single" w:sz="4" w:space="0" w:color="auto"/>
              <w:right w:val="single" w:sz="4" w:space="0" w:color="auto"/>
            </w:tcBorders>
            <w:shd w:val="clear" w:color="auto" w:fill="auto"/>
            <w:noWrap/>
            <w:hideMark/>
          </w:tcPr>
          <w:p w:rsidR="003C0A86" w:rsidRPr="00A27A71" w:rsidRDefault="003C0A86" w:rsidP="00FA0FCC">
            <w:pPr>
              <w:rPr>
                <w:color w:val="000000"/>
                <w:sz w:val="20"/>
                <w:szCs w:val="20"/>
                <w:lang w:eastAsia="en-CA"/>
              </w:rPr>
            </w:pPr>
            <w:r w:rsidRPr="00A27A71">
              <w:rPr>
                <w:color w:val="000000"/>
                <w:sz w:val="20"/>
                <w:szCs w:val="20"/>
                <w:lang w:eastAsia="en-CA"/>
              </w:rPr>
              <w:t>HCFC-22</w:t>
            </w:r>
          </w:p>
        </w:tc>
        <w:tc>
          <w:tcPr>
            <w:tcW w:w="52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43.19</w:t>
            </w:r>
          </w:p>
        </w:tc>
        <w:tc>
          <w:tcPr>
            <w:tcW w:w="479"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2.38</w:t>
            </w:r>
          </w:p>
        </w:tc>
        <w:tc>
          <w:tcPr>
            <w:tcW w:w="662"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207,300</w:t>
            </w:r>
          </w:p>
        </w:tc>
        <w:tc>
          <w:tcPr>
            <w:tcW w:w="69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4.80</w:t>
            </w:r>
          </w:p>
        </w:tc>
      </w:tr>
      <w:tr w:rsidR="003C0A86" w:rsidRPr="00A27A71" w:rsidTr="00120DD6">
        <w:trPr>
          <w:trHeight w:val="290"/>
        </w:trPr>
        <w:tc>
          <w:tcPr>
            <w:tcW w:w="1463" w:type="pct"/>
            <w:tcBorders>
              <w:top w:val="nil"/>
              <w:left w:val="single" w:sz="4" w:space="0" w:color="auto"/>
              <w:bottom w:val="single" w:sz="4" w:space="0" w:color="auto"/>
              <w:right w:val="single" w:sz="4" w:space="0" w:color="auto"/>
            </w:tcBorders>
            <w:shd w:val="clear" w:color="auto" w:fill="auto"/>
            <w:noWrap/>
            <w:hideMark/>
          </w:tcPr>
          <w:p w:rsidR="003C0A86" w:rsidRPr="00A27A71" w:rsidRDefault="00317C9F" w:rsidP="00120DD6">
            <w:pPr>
              <w:jc w:val="left"/>
              <w:rPr>
                <w:iCs/>
                <w:color w:val="000000"/>
                <w:sz w:val="20"/>
                <w:szCs w:val="20"/>
                <w:lang w:eastAsia="en-CA"/>
              </w:rPr>
            </w:pPr>
            <w:r w:rsidRPr="00A27A71">
              <w:rPr>
                <w:iCs/>
                <w:color w:val="000000"/>
                <w:sz w:val="20"/>
                <w:szCs w:val="20"/>
                <w:lang w:eastAsia="en-CA"/>
              </w:rPr>
              <w:t>Policy, training and certification, standards and awareness campaign</w:t>
            </w:r>
          </w:p>
        </w:tc>
        <w:tc>
          <w:tcPr>
            <w:tcW w:w="518" w:type="pct"/>
            <w:tcBorders>
              <w:top w:val="nil"/>
              <w:left w:val="nil"/>
              <w:bottom w:val="single" w:sz="4" w:space="0" w:color="auto"/>
              <w:right w:val="single" w:sz="4" w:space="0" w:color="auto"/>
            </w:tcBorders>
            <w:shd w:val="clear" w:color="auto" w:fill="auto"/>
            <w:noWrap/>
            <w:hideMark/>
          </w:tcPr>
          <w:p w:rsidR="003C0A86" w:rsidRPr="00A27A71" w:rsidRDefault="007F53A9" w:rsidP="00120DD6">
            <w:pPr>
              <w:jc w:val="left"/>
              <w:rPr>
                <w:color w:val="000000"/>
                <w:sz w:val="20"/>
                <w:szCs w:val="20"/>
                <w:lang w:eastAsia="en-CA"/>
              </w:rPr>
            </w:pPr>
            <w:r w:rsidRPr="00A27A71">
              <w:rPr>
                <w:color w:val="000000"/>
                <w:sz w:val="20"/>
                <w:szCs w:val="20"/>
                <w:lang w:eastAsia="en-CA"/>
              </w:rPr>
              <w:t>UN Environment</w:t>
            </w:r>
          </w:p>
        </w:tc>
        <w:tc>
          <w:tcPr>
            <w:tcW w:w="660" w:type="pct"/>
            <w:tcBorders>
              <w:top w:val="nil"/>
              <w:left w:val="nil"/>
              <w:bottom w:val="single" w:sz="4" w:space="0" w:color="auto"/>
              <w:right w:val="single" w:sz="4" w:space="0" w:color="auto"/>
            </w:tcBorders>
            <w:shd w:val="clear" w:color="auto" w:fill="auto"/>
            <w:noWrap/>
            <w:hideMark/>
          </w:tcPr>
          <w:p w:rsidR="003C0A86" w:rsidRPr="00A27A71" w:rsidRDefault="003C0A86" w:rsidP="00FA0FCC">
            <w:pPr>
              <w:rPr>
                <w:color w:val="000000"/>
                <w:sz w:val="20"/>
                <w:szCs w:val="20"/>
                <w:lang w:eastAsia="en-CA"/>
              </w:rPr>
            </w:pPr>
            <w:r w:rsidRPr="00A27A71">
              <w:rPr>
                <w:color w:val="000000"/>
                <w:sz w:val="20"/>
                <w:szCs w:val="20"/>
                <w:lang w:eastAsia="en-CA"/>
              </w:rPr>
              <w:t>HCFC-22</w:t>
            </w:r>
          </w:p>
        </w:tc>
        <w:tc>
          <w:tcPr>
            <w:tcW w:w="52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219.79</w:t>
            </w:r>
          </w:p>
        </w:tc>
        <w:tc>
          <w:tcPr>
            <w:tcW w:w="479"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12.09</w:t>
            </w:r>
          </w:p>
        </w:tc>
        <w:tc>
          <w:tcPr>
            <w:tcW w:w="662"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1,055,000</w:t>
            </w:r>
          </w:p>
        </w:tc>
        <w:tc>
          <w:tcPr>
            <w:tcW w:w="69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4.80</w:t>
            </w:r>
          </w:p>
        </w:tc>
      </w:tr>
      <w:tr w:rsidR="003C0A86" w:rsidRPr="00A27A71" w:rsidTr="00120DD6">
        <w:trPr>
          <w:trHeight w:val="107"/>
        </w:trPr>
        <w:tc>
          <w:tcPr>
            <w:tcW w:w="1463" w:type="pct"/>
            <w:tcBorders>
              <w:top w:val="nil"/>
              <w:left w:val="single" w:sz="4" w:space="0" w:color="auto"/>
              <w:bottom w:val="single" w:sz="4" w:space="0" w:color="auto"/>
              <w:right w:val="single" w:sz="4" w:space="0" w:color="auto"/>
            </w:tcBorders>
            <w:shd w:val="clear" w:color="auto" w:fill="auto"/>
            <w:noWrap/>
            <w:hideMark/>
          </w:tcPr>
          <w:p w:rsidR="003C0A86" w:rsidRPr="00A27A71" w:rsidRDefault="003C0A86" w:rsidP="00120DD6">
            <w:pPr>
              <w:jc w:val="left"/>
              <w:rPr>
                <w:iCs/>
                <w:color w:val="000000"/>
                <w:sz w:val="20"/>
                <w:szCs w:val="20"/>
                <w:lang w:eastAsia="en-CA"/>
              </w:rPr>
            </w:pPr>
            <w:r w:rsidRPr="00A27A71">
              <w:rPr>
                <w:iCs/>
                <w:color w:val="000000"/>
                <w:sz w:val="20"/>
                <w:szCs w:val="20"/>
                <w:lang w:eastAsia="en-CA"/>
              </w:rPr>
              <w:t>Reclamation</w:t>
            </w:r>
          </w:p>
        </w:tc>
        <w:tc>
          <w:tcPr>
            <w:tcW w:w="518"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left"/>
              <w:rPr>
                <w:color w:val="000000"/>
                <w:sz w:val="20"/>
                <w:szCs w:val="20"/>
                <w:lang w:eastAsia="en-CA"/>
              </w:rPr>
            </w:pPr>
            <w:r w:rsidRPr="00A27A71">
              <w:rPr>
                <w:color w:val="000000"/>
                <w:sz w:val="20"/>
                <w:szCs w:val="20"/>
                <w:lang w:eastAsia="en-CA"/>
              </w:rPr>
              <w:t>UNIDO</w:t>
            </w:r>
          </w:p>
        </w:tc>
        <w:tc>
          <w:tcPr>
            <w:tcW w:w="660" w:type="pct"/>
            <w:tcBorders>
              <w:top w:val="nil"/>
              <w:left w:val="nil"/>
              <w:bottom w:val="single" w:sz="4" w:space="0" w:color="auto"/>
              <w:right w:val="single" w:sz="4" w:space="0" w:color="auto"/>
            </w:tcBorders>
            <w:shd w:val="clear" w:color="auto" w:fill="auto"/>
            <w:noWrap/>
            <w:hideMark/>
          </w:tcPr>
          <w:p w:rsidR="003C0A86" w:rsidRPr="00A27A71" w:rsidRDefault="003C0A86" w:rsidP="00FA0FCC">
            <w:pPr>
              <w:rPr>
                <w:color w:val="000000"/>
                <w:sz w:val="20"/>
                <w:szCs w:val="20"/>
                <w:lang w:eastAsia="en-CA"/>
              </w:rPr>
            </w:pPr>
            <w:r w:rsidRPr="00A27A71">
              <w:rPr>
                <w:color w:val="000000"/>
                <w:sz w:val="20"/>
                <w:szCs w:val="20"/>
                <w:lang w:eastAsia="en-CA"/>
              </w:rPr>
              <w:t>HCFC-22</w:t>
            </w:r>
          </w:p>
        </w:tc>
        <w:tc>
          <w:tcPr>
            <w:tcW w:w="52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270.88</w:t>
            </w:r>
          </w:p>
        </w:tc>
        <w:tc>
          <w:tcPr>
            <w:tcW w:w="479"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14.90</w:t>
            </w:r>
          </w:p>
        </w:tc>
        <w:tc>
          <w:tcPr>
            <w:tcW w:w="662"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1,300,200</w:t>
            </w:r>
          </w:p>
        </w:tc>
        <w:tc>
          <w:tcPr>
            <w:tcW w:w="69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4.80</w:t>
            </w:r>
          </w:p>
        </w:tc>
      </w:tr>
      <w:tr w:rsidR="003C0A86" w:rsidRPr="00A27A71" w:rsidTr="00120DD6">
        <w:trPr>
          <w:trHeight w:val="290"/>
        </w:trPr>
        <w:tc>
          <w:tcPr>
            <w:tcW w:w="1463" w:type="pct"/>
            <w:tcBorders>
              <w:top w:val="nil"/>
              <w:left w:val="single" w:sz="4" w:space="0" w:color="auto"/>
              <w:bottom w:val="single" w:sz="4" w:space="0" w:color="auto"/>
              <w:right w:val="single" w:sz="4" w:space="0" w:color="auto"/>
            </w:tcBorders>
            <w:shd w:val="clear" w:color="auto" w:fill="auto"/>
            <w:noWrap/>
            <w:hideMark/>
          </w:tcPr>
          <w:p w:rsidR="003C0A86" w:rsidRPr="00A27A71" w:rsidRDefault="00DF1C3B" w:rsidP="00120DD6">
            <w:pPr>
              <w:jc w:val="left"/>
              <w:rPr>
                <w:iCs/>
                <w:color w:val="000000"/>
                <w:sz w:val="20"/>
                <w:szCs w:val="20"/>
                <w:lang w:eastAsia="en-CA"/>
              </w:rPr>
            </w:pPr>
            <w:r w:rsidRPr="00A27A71">
              <w:rPr>
                <w:iCs/>
                <w:color w:val="000000"/>
                <w:sz w:val="20"/>
                <w:szCs w:val="20"/>
                <w:lang w:eastAsia="en-CA"/>
              </w:rPr>
              <w:t>Equipment procurement for the servicing sector</w:t>
            </w:r>
          </w:p>
        </w:tc>
        <w:tc>
          <w:tcPr>
            <w:tcW w:w="518"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left"/>
              <w:rPr>
                <w:color w:val="000000"/>
                <w:sz w:val="20"/>
                <w:szCs w:val="20"/>
                <w:lang w:eastAsia="en-CA"/>
              </w:rPr>
            </w:pPr>
            <w:r w:rsidRPr="00A27A71">
              <w:rPr>
                <w:color w:val="000000"/>
                <w:sz w:val="20"/>
                <w:szCs w:val="20"/>
                <w:lang w:eastAsia="en-CA"/>
              </w:rPr>
              <w:t>UNIDO</w:t>
            </w:r>
          </w:p>
        </w:tc>
        <w:tc>
          <w:tcPr>
            <w:tcW w:w="660" w:type="pct"/>
            <w:tcBorders>
              <w:top w:val="nil"/>
              <w:left w:val="nil"/>
              <w:bottom w:val="single" w:sz="4" w:space="0" w:color="auto"/>
              <w:right w:val="single" w:sz="4" w:space="0" w:color="auto"/>
            </w:tcBorders>
            <w:shd w:val="clear" w:color="auto" w:fill="auto"/>
            <w:noWrap/>
            <w:hideMark/>
          </w:tcPr>
          <w:p w:rsidR="003C0A86" w:rsidRPr="00A27A71" w:rsidRDefault="003C0A86" w:rsidP="00FA0FCC">
            <w:pPr>
              <w:rPr>
                <w:color w:val="000000"/>
                <w:sz w:val="20"/>
                <w:szCs w:val="20"/>
                <w:lang w:eastAsia="en-CA"/>
              </w:rPr>
            </w:pPr>
            <w:r w:rsidRPr="00A27A71">
              <w:rPr>
                <w:color w:val="000000"/>
                <w:sz w:val="20"/>
                <w:szCs w:val="20"/>
                <w:lang w:eastAsia="en-CA"/>
              </w:rPr>
              <w:t>HCFC-22</w:t>
            </w:r>
          </w:p>
        </w:tc>
        <w:tc>
          <w:tcPr>
            <w:tcW w:w="52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79.17</w:t>
            </w:r>
          </w:p>
        </w:tc>
        <w:tc>
          <w:tcPr>
            <w:tcW w:w="479"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4.35</w:t>
            </w:r>
          </w:p>
        </w:tc>
        <w:tc>
          <w:tcPr>
            <w:tcW w:w="662"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380,000</w:t>
            </w:r>
          </w:p>
        </w:tc>
        <w:tc>
          <w:tcPr>
            <w:tcW w:w="69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4.80</w:t>
            </w:r>
          </w:p>
        </w:tc>
      </w:tr>
      <w:tr w:rsidR="003C0A86" w:rsidRPr="00A27A71" w:rsidTr="00120DD6">
        <w:trPr>
          <w:trHeight w:val="206"/>
        </w:trPr>
        <w:tc>
          <w:tcPr>
            <w:tcW w:w="1463" w:type="pct"/>
            <w:tcBorders>
              <w:top w:val="nil"/>
              <w:left w:val="single" w:sz="4" w:space="0" w:color="auto"/>
              <w:bottom w:val="single" w:sz="4" w:space="0" w:color="auto"/>
              <w:right w:val="single" w:sz="4" w:space="0" w:color="auto"/>
            </w:tcBorders>
            <w:shd w:val="clear" w:color="auto" w:fill="auto"/>
            <w:noWrap/>
            <w:hideMark/>
          </w:tcPr>
          <w:p w:rsidR="003C0A86" w:rsidRPr="00A27A71" w:rsidRDefault="003C0A86" w:rsidP="00120DD6">
            <w:pPr>
              <w:jc w:val="left"/>
              <w:rPr>
                <w:color w:val="000000"/>
                <w:sz w:val="20"/>
                <w:szCs w:val="20"/>
                <w:lang w:eastAsia="en-CA"/>
              </w:rPr>
            </w:pPr>
            <w:r w:rsidRPr="00A27A71">
              <w:rPr>
                <w:color w:val="000000"/>
                <w:sz w:val="20"/>
                <w:szCs w:val="20"/>
                <w:lang w:eastAsia="en-CA"/>
              </w:rPr>
              <w:t>PMU</w:t>
            </w:r>
          </w:p>
        </w:tc>
        <w:tc>
          <w:tcPr>
            <w:tcW w:w="518"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left"/>
              <w:rPr>
                <w:color w:val="000000"/>
                <w:sz w:val="20"/>
                <w:szCs w:val="20"/>
                <w:lang w:eastAsia="en-CA"/>
              </w:rPr>
            </w:pPr>
          </w:p>
        </w:tc>
        <w:tc>
          <w:tcPr>
            <w:tcW w:w="660" w:type="pct"/>
            <w:tcBorders>
              <w:top w:val="nil"/>
              <w:left w:val="nil"/>
              <w:bottom w:val="single" w:sz="4" w:space="0" w:color="auto"/>
              <w:right w:val="single" w:sz="4" w:space="0" w:color="auto"/>
            </w:tcBorders>
            <w:shd w:val="clear" w:color="auto" w:fill="auto"/>
            <w:noWrap/>
            <w:hideMark/>
          </w:tcPr>
          <w:p w:rsidR="003C0A86" w:rsidRPr="00A27A71" w:rsidRDefault="003C0A86" w:rsidP="00FA0FCC">
            <w:pPr>
              <w:rPr>
                <w:color w:val="000000"/>
                <w:sz w:val="20"/>
                <w:szCs w:val="20"/>
                <w:lang w:eastAsia="en-CA"/>
              </w:rPr>
            </w:pPr>
          </w:p>
        </w:tc>
        <w:tc>
          <w:tcPr>
            <w:tcW w:w="52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p>
        </w:tc>
        <w:tc>
          <w:tcPr>
            <w:tcW w:w="479"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p>
        </w:tc>
        <w:tc>
          <w:tcPr>
            <w:tcW w:w="662"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p>
        </w:tc>
        <w:tc>
          <w:tcPr>
            <w:tcW w:w="69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p>
        </w:tc>
      </w:tr>
      <w:tr w:rsidR="003C0A86" w:rsidRPr="00A27A71" w:rsidTr="00120DD6">
        <w:trPr>
          <w:trHeight w:val="143"/>
        </w:trPr>
        <w:tc>
          <w:tcPr>
            <w:tcW w:w="1463" w:type="pct"/>
            <w:tcBorders>
              <w:top w:val="nil"/>
              <w:left w:val="single" w:sz="4" w:space="0" w:color="auto"/>
              <w:bottom w:val="single" w:sz="4" w:space="0" w:color="auto"/>
              <w:right w:val="single" w:sz="4" w:space="0" w:color="auto"/>
            </w:tcBorders>
            <w:shd w:val="clear" w:color="auto" w:fill="auto"/>
            <w:noWrap/>
            <w:hideMark/>
          </w:tcPr>
          <w:p w:rsidR="003C0A86" w:rsidRPr="00A27A71" w:rsidRDefault="003C0A86" w:rsidP="00120DD6">
            <w:pPr>
              <w:jc w:val="left"/>
              <w:rPr>
                <w:color w:val="000000"/>
                <w:sz w:val="20"/>
                <w:szCs w:val="20"/>
                <w:lang w:eastAsia="en-CA"/>
              </w:rPr>
            </w:pPr>
          </w:p>
        </w:tc>
        <w:tc>
          <w:tcPr>
            <w:tcW w:w="518"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left"/>
              <w:rPr>
                <w:color w:val="000000"/>
                <w:sz w:val="20"/>
                <w:szCs w:val="20"/>
                <w:lang w:eastAsia="en-CA"/>
              </w:rPr>
            </w:pPr>
            <w:r w:rsidRPr="00A27A71">
              <w:rPr>
                <w:color w:val="000000"/>
                <w:sz w:val="20"/>
                <w:szCs w:val="20"/>
                <w:lang w:eastAsia="en-CA"/>
              </w:rPr>
              <w:t>UNDP</w:t>
            </w:r>
          </w:p>
        </w:tc>
        <w:tc>
          <w:tcPr>
            <w:tcW w:w="660" w:type="pct"/>
            <w:tcBorders>
              <w:top w:val="nil"/>
              <w:left w:val="nil"/>
              <w:bottom w:val="single" w:sz="4" w:space="0" w:color="auto"/>
              <w:right w:val="single" w:sz="4" w:space="0" w:color="auto"/>
            </w:tcBorders>
            <w:shd w:val="clear" w:color="auto" w:fill="auto"/>
            <w:noWrap/>
            <w:hideMark/>
          </w:tcPr>
          <w:p w:rsidR="003C0A86" w:rsidRPr="00A27A71" w:rsidRDefault="003C0A86" w:rsidP="00FA0FCC">
            <w:pPr>
              <w:rPr>
                <w:color w:val="000000"/>
                <w:sz w:val="20"/>
                <w:szCs w:val="20"/>
                <w:lang w:eastAsia="en-CA"/>
              </w:rPr>
            </w:pPr>
          </w:p>
        </w:tc>
        <w:tc>
          <w:tcPr>
            <w:tcW w:w="52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p>
        </w:tc>
        <w:tc>
          <w:tcPr>
            <w:tcW w:w="479"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p>
        </w:tc>
        <w:tc>
          <w:tcPr>
            <w:tcW w:w="662"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150,000</w:t>
            </w:r>
          </w:p>
        </w:tc>
        <w:tc>
          <w:tcPr>
            <w:tcW w:w="69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p>
        </w:tc>
      </w:tr>
      <w:tr w:rsidR="003C0A86" w:rsidRPr="00A27A71" w:rsidTr="00120DD6">
        <w:trPr>
          <w:trHeight w:val="179"/>
        </w:trPr>
        <w:tc>
          <w:tcPr>
            <w:tcW w:w="1463" w:type="pct"/>
            <w:tcBorders>
              <w:top w:val="nil"/>
              <w:left w:val="single" w:sz="4" w:space="0" w:color="auto"/>
              <w:bottom w:val="single" w:sz="4" w:space="0" w:color="auto"/>
              <w:right w:val="single" w:sz="4" w:space="0" w:color="auto"/>
            </w:tcBorders>
            <w:shd w:val="clear" w:color="auto" w:fill="auto"/>
            <w:noWrap/>
            <w:hideMark/>
          </w:tcPr>
          <w:p w:rsidR="003C0A86" w:rsidRPr="00A27A71" w:rsidRDefault="003C0A86" w:rsidP="00120DD6">
            <w:pPr>
              <w:jc w:val="left"/>
              <w:rPr>
                <w:color w:val="000000"/>
                <w:sz w:val="20"/>
                <w:szCs w:val="20"/>
                <w:lang w:eastAsia="en-CA"/>
              </w:rPr>
            </w:pPr>
          </w:p>
        </w:tc>
        <w:tc>
          <w:tcPr>
            <w:tcW w:w="518"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left"/>
              <w:rPr>
                <w:color w:val="000000"/>
                <w:sz w:val="20"/>
                <w:szCs w:val="20"/>
                <w:lang w:eastAsia="en-CA"/>
              </w:rPr>
            </w:pPr>
            <w:r w:rsidRPr="00A27A71">
              <w:rPr>
                <w:color w:val="000000"/>
                <w:sz w:val="20"/>
                <w:szCs w:val="20"/>
                <w:lang w:eastAsia="en-CA"/>
              </w:rPr>
              <w:t>UNIDO</w:t>
            </w:r>
          </w:p>
        </w:tc>
        <w:tc>
          <w:tcPr>
            <w:tcW w:w="660" w:type="pct"/>
            <w:tcBorders>
              <w:top w:val="nil"/>
              <w:left w:val="nil"/>
              <w:bottom w:val="single" w:sz="4" w:space="0" w:color="auto"/>
              <w:right w:val="single" w:sz="4" w:space="0" w:color="auto"/>
            </w:tcBorders>
            <w:shd w:val="clear" w:color="auto" w:fill="auto"/>
            <w:noWrap/>
            <w:hideMark/>
          </w:tcPr>
          <w:p w:rsidR="003C0A86" w:rsidRPr="00A27A71" w:rsidRDefault="003C0A86" w:rsidP="00FA0FCC">
            <w:pPr>
              <w:rPr>
                <w:color w:val="000000"/>
                <w:sz w:val="20"/>
                <w:szCs w:val="20"/>
                <w:lang w:eastAsia="en-CA"/>
              </w:rPr>
            </w:pPr>
          </w:p>
        </w:tc>
        <w:tc>
          <w:tcPr>
            <w:tcW w:w="52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p>
        </w:tc>
        <w:tc>
          <w:tcPr>
            <w:tcW w:w="479"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p>
        </w:tc>
        <w:tc>
          <w:tcPr>
            <w:tcW w:w="662"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660,000</w:t>
            </w:r>
          </w:p>
        </w:tc>
        <w:tc>
          <w:tcPr>
            <w:tcW w:w="69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p>
        </w:tc>
      </w:tr>
      <w:tr w:rsidR="003C0A86" w:rsidRPr="00A27A71" w:rsidTr="00120DD6">
        <w:trPr>
          <w:trHeight w:val="116"/>
        </w:trPr>
        <w:tc>
          <w:tcPr>
            <w:tcW w:w="1463" w:type="pct"/>
            <w:tcBorders>
              <w:top w:val="nil"/>
              <w:left w:val="single" w:sz="4" w:space="0" w:color="auto"/>
              <w:bottom w:val="single" w:sz="4" w:space="0" w:color="auto"/>
              <w:right w:val="single" w:sz="4" w:space="0" w:color="auto"/>
            </w:tcBorders>
            <w:shd w:val="clear" w:color="auto" w:fill="auto"/>
            <w:noWrap/>
            <w:hideMark/>
          </w:tcPr>
          <w:p w:rsidR="003C0A86" w:rsidRPr="00A27A71" w:rsidRDefault="003C0A86" w:rsidP="00120DD6">
            <w:pPr>
              <w:jc w:val="left"/>
              <w:rPr>
                <w:b/>
                <w:bCs/>
                <w:color w:val="000000"/>
                <w:sz w:val="20"/>
                <w:szCs w:val="20"/>
                <w:lang w:eastAsia="en-CA"/>
              </w:rPr>
            </w:pPr>
            <w:r w:rsidRPr="00A27A71">
              <w:rPr>
                <w:b/>
                <w:bCs/>
                <w:color w:val="000000"/>
                <w:sz w:val="20"/>
                <w:szCs w:val="20"/>
                <w:lang w:eastAsia="en-CA"/>
              </w:rPr>
              <w:t>Total</w:t>
            </w:r>
          </w:p>
        </w:tc>
        <w:tc>
          <w:tcPr>
            <w:tcW w:w="518"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left"/>
              <w:rPr>
                <w:b/>
                <w:bCs/>
                <w:color w:val="000000"/>
                <w:sz w:val="20"/>
                <w:szCs w:val="20"/>
                <w:lang w:eastAsia="en-CA"/>
              </w:rPr>
            </w:pPr>
          </w:p>
        </w:tc>
        <w:tc>
          <w:tcPr>
            <w:tcW w:w="660" w:type="pct"/>
            <w:tcBorders>
              <w:top w:val="nil"/>
              <w:left w:val="nil"/>
              <w:bottom w:val="single" w:sz="4" w:space="0" w:color="auto"/>
              <w:right w:val="single" w:sz="4" w:space="0" w:color="auto"/>
            </w:tcBorders>
            <w:shd w:val="clear" w:color="auto" w:fill="auto"/>
            <w:noWrap/>
            <w:hideMark/>
          </w:tcPr>
          <w:p w:rsidR="003C0A86" w:rsidRPr="00A27A71" w:rsidRDefault="003C0A86" w:rsidP="00FA0FCC">
            <w:pPr>
              <w:rPr>
                <w:b/>
                <w:bCs/>
                <w:color w:val="000000"/>
                <w:sz w:val="20"/>
                <w:szCs w:val="20"/>
                <w:lang w:eastAsia="en-CA"/>
              </w:rPr>
            </w:pPr>
          </w:p>
        </w:tc>
        <w:tc>
          <w:tcPr>
            <w:tcW w:w="52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b/>
                <w:bCs/>
                <w:color w:val="000000"/>
                <w:sz w:val="20"/>
                <w:szCs w:val="20"/>
                <w:lang w:eastAsia="en-CA"/>
              </w:rPr>
            </w:pPr>
            <w:r w:rsidRPr="00A27A71">
              <w:rPr>
                <w:b/>
                <w:bCs/>
                <w:color w:val="000000"/>
                <w:sz w:val="20"/>
                <w:szCs w:val="20"/>
                <w:lang w:eastAsia="en-CA"/>
              </w:rPr>
              <w:t>1,778.92</w:t>
            </w:r>
          </w:p>
        </w:tc>
        <w:tc>
          <w:tcPr>
            <w:tcW w:w="479"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b/>
                <w:bCs/>
                <w:color w:val="000000"/>
                <w:sz w:val="20"/>
                <w:szCs w:val="20"/>
                <w:lang w:eastAsia="en-CA"/>
              </w:rPr>
            </w:pPr>
            <w:r w:rsidRPr="00A27A71">
              <w:rPr>
                <w:b/>
                <w:bCs/>
                <w:color w:val="000000"/>
                <w:sz w:val="20"/>
                <w:szCs w:val="20"/>
                <w:lang w:eastAsia="en-CA"/>
              </w:rPr>
              <w:t>124.06</w:t>
            </w:r>
          </w:p>
        </w:tc>
        <w:tc>
          <w:tcPr>
            <w:tcW w:w="662"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b/>
                <w:bCs/>
                <w:color w:val="000000"/>
                <w:sz w:val="20"/>
                <w:szCs w:val="20"/>
                <w:lang w:eastAsia="en-CA"/>
              </w:rPr>
            </w:pPr>
            <w:r w:rsidRPr="00A27A71">
              <w:rPr>
                <w:b/>
                <w:bCs/>
                <w:color w:val="000000"/>
                <w:sz w:val="20"/>
                <w:szCs w:val="20"/>
                <w:lang w:eastAsia="en-CA"/>
              </w:rPr>
              <w:t>10,954,863</w:t>
            </w:r>
          </w:p>
        </w:tc>
        <w:tc>
          <w:tcPr>
            <w:tcW w:w="694" w:type="pct"/>
            <w:tcBorders>
              <w:top w:val="nil"/>
              <w:left w:val="nil"/>
              <w:bottom w:val="single" w:sz="4" w:space="0" w:color="auto"/>
              <w:right w:val="single" w:sz="4" w:space="0" w:color="auto"/>
            </w:tcBorders>
            <w:shd w:val="clear" w:color="auto" w:fill="auto"/>
            <w:noWrap/>
            <w:hideMark/>
          </w:tcPr>
          <w:p w:rsidR="003C0A86" w:rsidRPr="00A27A71" w:rsidRDefault="003C0A86" w:rsidP="00120DD6">
            <w:pPr>
              <w:jc w:val="right"/>
              <w:rPr>
                <w:color w:val="000000"/>
                <w:sz w:val="20"/>
                <w:szCs w:val="20"/>
                <w:lang w:eastAsia="en-CA"/>
              </w:rPr>
            </w:pPr>
            <w:r w:rsidRPr="00A27A71">
              <w:rPr>
                <w:color w:val="000000"/>
                <w:sz w:val="20"/>
                <w:szCs w:val="20"/>
                <w:lang w:eastAsia="en-CA"/>
              </w:rPr>
              <w:t>6.16</w:t>
            </w:r>
          </w:p>
        </w:tc>
      </w:tr>
      <w:tr w:rsidR="00D05189" w:rsidRPr="00A27A71" w:rsidTr="00120DD6">
        <w:trPr>
          <w:trHeight w:val="143"/>
        </w:trPr>
        <w:tc>
          <w:tcPr>
            <w:tcW w:w="1981" w:type="pct"/>
            <w:gridSpan w:val="2"/>
            <w:tcBorders>
              <w:top w:val="single" w:sz="4" w:space="0" w:color="auto"/>
              <w:left w:val="single" w:sz="4" w:space="0" w:color="auto"/>
              <w:bottom w:val="single" w:sz="4" w:space="0" w:color="auto"/>
              <w:right w:val="single" w:sz="4" w:space="0" w:color="auto"/>
            </w:tcBorders>
            <w:shd w:val="clear" w:color="auto" w:fill="auto"/>
            <w:noWrap/>
          </w:tcPr>
          <w:p w:rsidR="00D05189" w:rsidRPr="00A27A71" w:rsidRDefault="00D05189" w:rsidP="00120DD6">
            <w:pPr>
              <w:jc w:val="left"/>
              <w:rPr>
                <w:bCs/>
                <w:color w:val="000000"/>
                <w:sz w:val="20"/>
                <w:szCs w:val="20"/>
                <w:lang w:eastAsia="en-CA"/>
              </w:rPr>
            </w:pPr>
            <w:r w:rsidRPr="00A27A71">
              <w:rPr>
                <w:bCs/>
                <w:color w:val="000000"/>
                <w:sz w:val="20"/>
                <w:szCs w:val="20"/>
                <w:lang w:eastAsia="en-CA"/>
              </w:rPr>
              <w:t>Additional reductions with no funding*</w:t>
            </w:r>
          </w:p>
        </w:tc>
        <w:tc>
          <w:tcPr>
            <w:tcW w:w="660" w:type="pct"/>
            <w:tcBorders>
              <w:top w:val="single" w:sz="4" w:space="0" w:color="auto"/>
              <w:left w:val="single" w:sz="4" w:space="0" w:color="auto"/>
              <w:bottom w:val="single" w:sz="4" w:space="0" w:color="auto"/>
              <w:right w:val="single" w:sz="4" w:space="0" w:color="auto"/>
            </w:tcBorders>
            <w:shd w:val="clear" w:color="auto" w:fill="auto"/>
            <w:noWrap/>
          </w:tcPr>
          <w:p w:rsidR="00D05189" w:rsidRPr="00A27A71" w:rsidRDefault="00D05189" w:rsidP="00120DD6">
            <w:pPr>
              <w:jc w:val="left"/>
              <w:rPr>
                <w:bCs/>
                <w:color w:val="000000"/>
                <w:sz w:val="20"/>
                <w:szCs w:val="20"/>
                <w:lang w:eastAsia="en-CA"/>
              </w:rPr>
            </w:pPr>
            <w:r w:rsidRPr="00A27A71">
              <w:rPr>
                <w:bCs/>
                <w:color w:val="000000"/>
                <w:sz w:val="20"/>
                <w:szCs w:val="20"/>
                <w:lang w:eastAsia="en-CA"/>
              </w:rPr>
              <w:t>HCFC-141b</w:t>
            </w: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D05189" w:rsidRPr="00A27A71" w:rsidRDefault="00795B59" w:rsidP="00120DD6">
            <w:pPr>
              <w:jc w:val="right"/>
              <w:rPr>
                <w:bCs/>
                <w:color w:val="000000"/>
                <w:sz w:val="20"/>
                <w:szCs w:val="20"/>
                <w:lang w:eastAsia="en-CA"/>
              </w:rPr>
            </w:pPr>
            <w:r w:rsidRPr="00A27A71">
              <w:rPr>
                <w:bCs/>
                <w:color w:val="000000"/>
                <w:sz w:val="20"/>
                <w:szCs w:val="20"/>
                <w:lang w:eastAsia="en-CA"/>
              </w:rPr>
              <w:t>114.43</w:t>
            </w:r>
          </w:p>
        </w:tc>
        <w:tc>
          <w:tcPr>
            <w:tcW w:w="479" w:type="pct"/>
            <w:tcBorders>
              <w:top w:val="single" w:sz="4" w:space="0" w:color="auto"/>
              <w:left w:val="single" w:sz="4" w:space="0" w:color="auto"/>
              <w:bottom w:val="single" w:sz="4" w:space="0" w:color="auto"/>
              <w:right w:val="single" w:sz="4" w:space="0" w:color="auto"/>
            </w:tcBorders>
            <w:shd w:val="clear" w:color="auto" w:fill="auto"/>
            <w:noWrap/>
          </w:tcPr>
          <w:p w:rsidR="00D05189" w:rsidRPr="00A27A71" w:rsidRDefault="00795B59" w:rsidP="00120DD6">
            <w:pPr>
              <w:jc w:val="right"/>
              <w:rPr>
                <w:bCs/>
                <w:color w:val="000000"/>
                <w:sz w:val="20"/>
                <w:szCs w:val="20"/>
                <w:lang w:eastAsia="en-CA"/>
              </w:rPr>
            </w:pPr>
            <w:r w:rsidRPr="00A27A71">
              <w:rPr>
                <w:bCs/>
                <w:color w:val="000000"/>
                <w:sz w:val="20"/>
                <w:szCs w:val="20"/>
                <w:lang w:eastAsia="en-CA"/>
              </w:rPr>
              <w:t>12.59</w:t>
            </w:r>
          </w:p>
        </w:tc>
        <w:tc>
          <w:tcPr>
            <w:tcW w:w="662" w:type="pct"/>
            <w:tcBorders>
              <w:top w:val="single" w:sz="4" w:space="0" w:color="auto"/>
              <w:left w:val="single" w:sz="4" w:space="0" w:color="auto"/>
              <w:bottom w:val="single" w:sz="4" w:space="0" w:color="auto"/>
              <w:right w:val="single" w:sz="4" w:space="0" w:color="auto"/>
            </w:tcBorders>
            <w:shd w:val="clear" w:color="auto" w:fill="auto"/>
            <w:noWrap/>
          </w:tcPr>
          <w:p w:rsidR="00D05189" w:rsidRPr="00A27A71" w:rsidRDefault="00D05189" w:rsidP="00120DD6">
            <w:pPr>
              <w:jc w:val="right"/>
              <w:rPr>
                <w:bCs/>
                <w:color w:val="000000"/>
                <w:sz w:val="20"/>
                <w:szCs w:val="20"/>
                <w:lang w:eastAsia="en-CA"/>
              </w:rPr>
            </w:pPr>
          </w:p>
        </w:tc>
        <w:tc>
          <w:tcPr>
            <w:tcW w:w="694" w:type="pct"/>
            <w:tcBorders>
              <w:top w:val="single" w:sz="4" w:space="0" w:color="auto"/>
              <w:left w:val="single" w:sz="4" w:space="0" w:color="auto"/>
              <w:bottom w:val="single" w:sz="4" w:space="0" w:color="auto"/>
              <w:right w:val="single" w:sz="4" w:space="0" w:color="auto"/>
            </w:tcBorders>
            <w:shd w:val="clear" w:color="auto" w:fill="auto"/>
            <w:noWrap/>
          </w:tcPr>
          <w:p w:rsidR="00D05189" w:rsidRPr="00A27A71" w:rsidRDefault="00D05189" w:rsidP="00120DD6">
            <w:pPr>
              <w:jc w:val="right"/>
              <w:rPr>
                <w:color w:val="000000"/>
                <w:sz w:val="20"/>
                <w:szCs w:val="20"/>
                <w:lang w:eastAsia="en-CA"/>
              </w:rPr>
            </w:pPr>
          </w:p>
        </w:tc>
      </w:tr>
      <w:tr w:rsidR="00D05189" w:rsidRPr="00A27A71" w:rsidTr="00120DD6">
        <w:trPr>
          <w:trHeight w:val="89"/>
        </w:trPr>
        <w:tc>
          <w:tcPr>
            <w:tcW w:w="1981" w:type="pct"/>
            <w:gridSpan w:val="2"/>
            <w:tcBorders>
              <w:top w:val="single" w:sz="4" w:space="0" w:color="auto"/>
              <w:left w:val="single" w:sz="4" w:space="0" w:color="auto"/>
              <w:bottom w:val="single" w:sz="4" w:space="0" w:color="auto"/>
              <w:right w:val="single" w:sz="4" w:space="0" w:color="auto"/>
            </w:tcBorders>
            <w:shd w:val="clear" w:color="auto" w:fill="auto"/>
            <w:noWrap/>
          </w:tcPr>
          <w:p w:rsidR="00D05189" w:rsidRPr="00A27A71" w:rsidRDefault="00D05189" w:rsidP="00120DD6">
            <w:pPr>
              <w:jc w:val="left"/>
              <w:rPr>
                <w:bCs/>
                <w:color w:val="000000"/>
                <w:sz w:val="20"/>
                <w:szCs w:val="20"/>
                <w:lang w:eastAsia="en-CA"/>
              </w:rPr>
            </w:pPr>
            <w:r w:rsidRPr="00A27A71">
              <w:rPr>
                <w:bCs/>
                <w:color w:val="000000"/>
                <w:sz w:val="20"/>
                <w:szCs w:val="20"/>
                <w:lang w:eastAsia="en-CA"/>
              </w:rPr>
              <w:t>Additional reductions with no funding</w:t>
            </w:r>
          </w:p>
        </w:tc>
        <w:tc>
          <w:tcPr>
            <w:tcW w:w="660" w:type="pct"/>
            <w:tcBorders>
              <w:top w:val="single" w:sz="4" w:space="0" w:color="auto"/>
              <w:left w:val="single" w:sz="4" w:space="0" w:color="auto"/>
              <w:bottom w:val="single" w:sz="4" w:space="0" w:color="auto"/>
              <w:right w:val="single" w:sz="4" w:space="0" w:color="auto"/>
            </w:tcBorders>
            <w:shd w:val="clear" w:color="auto" w:fill="auto"/>
            <w:noWrap/>
          </w:tcPr>
          <w:p w:rsidR="00D05189" w:rsidRPr="00A27A71" w:rsidRDefault="00D05189" w:rsidP="00352AB9">
            <w:pPr>
              <w:rPr>
                <w:bCs/>
                <w:color w:val="000000"/>
                <w:sz w:val="20"/>
                <w:szCs w:val="20"/>
                <w:lang w:eastAsia="en-CA"/>
              </w:rPr>
            </w:pPr>
            <w:r w:rsidRPr="00A27A71">
              <w:rPr>
                <w:bCs/>
                <w:color w:val="000000"/>
                <w:sz w:val="20"/>
                <w:szCs w:val="20"/>
                <w:lang w:eastAsia="en-CA"/>
              </w:rPr>
              <w:t>HCFC-142b</w:t>
            </w: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D05189" w:rsidRPr="00A27A71" w:rsidRDefault="00D05189" w:rsidP="00120DD6">
            <w:pPr>
              <w:jc w:val="right"/>
              <w:rPr>
                <w:bCs/>
                <w:color w:val="000000"/>
                <w:sz w:val="20"/>
                <w:szCs w:val="20"/>
                <w:lang w:eastAsia="en-CA"/>
              </w:rPr>
            </w:pPr>
            <w:r w:rsidRPr="00A27A71">
              <w:rPr>
                <w:bCs/>
                <w:color w:val="000000"/>
                <w:sz w:val="20"/>
                <w:szCs w:val="20"/>
                <w:lang w:eastAsia="en-CA"/>
              </w:rPr>
              <w:t>227.39</w:t>
            </w:r>
          </w:p>
        </w:tc>
        <w:tc>
          <w:tcPr>
            <w:tcW w:w="479" w:type="pct"/>
            <w:tcBorders>
              <w:top w:val="single" w:sz="4" w:space="0" w:color="auto"/>
              <w:left w:val="single" w:sz="4" w:space="0" w:color="auto"/>
              <w:bottom w:val="single" w:sz="4" w:space="0" w:color="auto"/>
              <w:right w:val="single" w:sz="4" w:space="0" w:color="auto"/>
            </w:tcBorders>
            <w:shd w:val="clear" w:color="auto" w:fill="auto"/>
            <w:noWrap/>
          </w:tcPr>
          <w:p w:rsidR="00D05189" w:rsidRPr="00A27A71" w:rsidRDefault="00D05189" w:rsidP="00120DD6">
            <w:pPr>
              <w:jc w:val="right"/>
              <w:rPr>
                <w:bCs/>
                <w:color w:val="000000"/>
                <w:sz w:val="20"/>
                <w:szCs w:val="20"/>
                <w:lang w:eastAsia="en-CA"/>
              </w:rPr>
            </w:pPr>
            <w:r w:rsidRPr="00A27A71">
              <w:rPr>
                <w:bCs/>
                <w:color w:val="000000"/>
                <w:sz w:val="20"/>
                <w:szCs w:val="20"/>
                <w:lang w:eastAsia="en-CA"/>
              </w:rPr>
              <w:t>14.78</w:t>
            </w:r>
          </w:p>
        </w:tc>
        <w:tc>
          <w:tcPr>
            <w:tcW w:w="662" w:type="pct"/>
            <w:tcBorders>
              <w:top w:val="single" w:sz="4" w:space="0" w:color="auto"/>
              <w:left w:val="single" w:sz="4" w:space="0" w:color="auto"/>
              <w:bottom w:val="single" w:sz="4" w:space="0" w:color="auto"/>
              <w:right w:val="single" w:sz="4" w:space="0" w:color="auto"/>
            </w:tcBorders>
            <w:shd w:val="clear" w:color="auto" w:fill="auto"/>
            <w:noWrap/>
          </w:tcPr>
          <w:p w:rsidR="00D05189" w:rsidRPr="00A27A71" w:rsidRDefault="00D05189" w:rsidP="00120DD6">
            <w:pPr>
              <w:jc w:val="right"/>
              <w:rPr>
                <w:bCs/>
                <w:color w:val="000000"/>
                <w:sz w:val="20"/>
                <w:szCs w:val="20"/>
                <w:lang w:eastAsia="en-CA"/>
              </w:rPr>
            </w:pPr>
          </w:p>
        </w:tc>
        <w:tc>
          <w:tcPr>
            <w:tcW w:w="694" w:type="pct"/>
            <w:tcBorders>
              <w:top w:val="single" w:sz="4" w:space="0" w:color="auto"/>
              <w:left w:val="single" w:sz="4" w:space="0" w:color="auto"/>
              <w:bottom w:val="single" w:sz="4" w:space="0" w:color="auto"/>
              <w:right w:val="single" w:sz="4" w:space="0" w:color="auto"/>
            </w:tcBorders>
            <w:shd w:val="clear" w:color="auto" w:fill="auto"/>
            <w:noWrap/>
          </w:tcPr>
          <w:p w:rsidR="00D05189" w:rsidRPr="00A27A71" w:rsidRDefault="00D05189" w:rsidP="00120DD6">
            <w:pPr>
              <w:jc w:val="right"/>
              <w:rPr>
                <w:color w:val="000000"/>
                <w:sz w:val="20"/>
                <w:szCs w:val="20"/>
                <w:lang w:eastAsia="en-CA"/>
              </w:rPr>
            </w:pPr>
          </w:p>
        </w:tc>
      </w:tr>
      <w:tr w:rsidR="00795B59" w:rsidRPr="00A27A71" w:rsidTr="00120DD6">
        <w:trPr>
          <w:trHeight w:val="116"/>
        </w:trPr>
        <w:tc>
          <w:tcPr>
            <w:tcW w:w="1463" w:type="pct"/>
            <w:tcBorders>
              <w:top w:val="single" w:sz="4" w:space="0" w:color="auto"/>
              <w:left w:val="single" w:sz="4" w:space="0" w:color="auto"/>
              <w:bottom w:val="single" w:sz="4" w:space="0" w:color="auto"/>
              <w:right w:val="single" w:sz="4" w:space="0" w:color="auto"/>
            </w:tcBorders>
            <w:shd w:val="clear" w:color="auto" w:fill="auto"/>
            <w:noWrap/>
          </w:tcPr>
          <w:p w:rsidR="00795B59" w:rsidRPr="00A27A71" w:rsidRDefault="00795B59" w:rsidP="00120DD6">
            <w:pPr>
              <w:jc w:val="left"/>
              <w:rPr>
                <w:b/>
                <w:bCs/>
                <w:color w:val="000000"/>
                <w:sz w:val="20"/>
                <w:szCs w:val="20"/>
                <w:lang w:eastAsia="en-CA"/>
              </w:rPr>
            </w:pPr>
            <w:r w:rsidRPr="00A27A71">
              <w:rPr>
                <w:b/>
                <w:bCs/>
                <w:color w:val="000000"/>
                <w:sz w:val="20"/>
                <w:szCs w:val="20"/>
                <w:lang w:eastAsia="en-CA"/>
              </w:rPr>
              <w:t>Total</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5B59" w:rsidRPr="00A27A71" w:rsidRDefault="00795B59" w:rsidP="00795B59">
            <w:pPr>
              <w:jc w:val="left"/>
              <w:rPr>
                <w:b/>
                <w:bCs/>
                <w:color w:val="000000"/>
                <w:sz w:val="20"/>
                <w:szCs w:val="20"/>
                <w:lang w:eastAsia="en-CA"/>
              </w:rPr>
            </w:pP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5B59" w:rsidRPr="00A27A71" w:rsidRDefault="00795B59" w:rsidP="00795B59">
            <w:pPr>
              <w:jc w:val="left"/>
              <w:rPr>
                <w:b/>
                <w:bCs/>
                <w:color w:val="000000"/>
                <w:sz w:val="20"/>
                <w:szCs w:val="20"/>
                <w:lang w:eastAsia="en-CA"/>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795B59" w:rsidRPr="00A27A71" w:rsidRDefault="00795B59" w:rsidP="00120DD6">
            <w:pPr>
              <w:jc w:val="right"/>
              <w:rPr>
                <w:color w:val="000000"/>
                <w:sz w:val="20"/>
                <w:szCs w:val="20"/>
              </w:rPr>
            </w:pPr>
            <w:r w:rsidRPr="00A27A71">
              <w:rPr>
                <w:color w:val="000000"/>
                <w:sz w:val="20"/>
                <w:szCs w:val="20"/>
              </w:rPr>
              <w:t xml:space="preserve">2,120.75 </w:t>
            </w:r>
          </w:p>
        </w:tc>
        <w:tc>
          <w:tcPr>
            <w:tcW w:w="479" w:type="pct"/>
            <w:tcBorders>
              <w:top w:val="single" w:sz="4" w:space="0" w:color="auto"/>
              <w:left w:val="single" w:sz="4" w:space="0" w:color="auto"/>
              <w:bottom w:val="single" w:sz="4" w:space="0" w:color="auto"/>
              <w:right w:val="single" w:sz="4" w:space="0" w:color="auto"/>
            </w:tcBorders>
            <w:shd w:val="clear" w:color="auto" w:fill="auto"/>
            <w:noWrap/>
          </w:tcPr>
          <w:p w:rsidR="00795B59" w:rsidRPr="00A27A71" w:rsidRDefault="00795B59" w:rsidP="00120DD6">
            <w:pPr>
              <w:jc w:val="right"/>
              <w:rPr>
                <w:color w:val="000000"/>
                <w:sz w:val="20"/>
                <w:szCs w:val="20"/>
              </w:rPr>
            </w:pPr>
            <w:r w:rsidRPr="00A27A71">
              <w:rPr>
                <w:color w:val="000000"/>
                <w:sz w:val="20"/>
                <w:szCs w:val="20"/>
              </w:rPr>
              <w:t xml:space="preserve">151.43 </w:t>
            </w:r>
          </w:p>
        </w:tc>
        <w:tc>
          <w:tcPr>
            <w:tcW w:w="662" w:type="pct"/>
            <w:tcBorders>
              <w:top w:val="single" w:sz="4" w:space="0" w:color="auto"/>
              <w:left w:val="single" w:sz="4" w:space="0" w:color="auto"/>
              <w:bottom w:val="single" w:sz="4" w:space="0" w:color="auto"/>
              <w:right w:val="single" w:sz="4" w:space="0" w:color="auto"/>
            </w:tcBorders>
            <w:shd w:val="clear" w:color="auto" w:fill="auto"/>
            <w:noWrap/>
          </w:tcPr>
          <w:p w:rsidR="00795B59" w:rsidRPr="00A27A71" w:rsidRDefault="00795B59" w:rsidP="00120DD6">
            <w:pPr>
              <w:jc w:val="right"/>
              <w:rPr>
                <w:color w:val="000000"/>
                <w:sz w:val="20"/>
                <w:szCs w:val="20"/>
              </w:rPr>
            </w:pPr>
            <w:r w:rsidRPr="00A27A71">
              <w:rPr>
                <w:color w:val="000000"/>
                <w:sz w:val="20"/>
                <w:szCs w:val="20"/>
              </w:rPr>
              <w:t>10,954,863</w:t>
            </w:r>
          </w:p>
        </w:tc>
        <w:tc>
          <w:tcPr>
            <w:tcW w:w="694" w:type="pct"/>
            <w:tcBorders>
              <w:top w:val="single" w:sz="4" w:space="0" w:color="auto"/>
              <w:left w:val="single" w:sz="4" w:space="0" w:color="auto"/>
              <w:bottom w:val="single" w:sz="4" w:space="0" w:color="auto"/>
              <w:right w:val="single" w:sz="4" w:space="0" w:color="auto"/>
            </w:tcBorders>
            <w:shd w:val="clear" w:color="auto" w:fill="auto"/>
            <w:noWrap/>
          </w:tcPr>
          <w:p w:rsidR="00795B59" w:rsidRPr="00A27A71" w:rsidRDefault="00795B59" w:rsidP="00120DD6">
            <w:pPr>
              <w:jc w:val="right"/>
              <w:rPr>
                <w:color w:val="000000"/>
                <w:sz w:val="20"/>
                <w:szCs w:val="20"/>
                <w:lang w:eastAsia="en-CA"/>
              </w:rPr>
            </w:pPr>
            <w:r w:rsidRPr="00A27A71">
              <w:rPr>
                <w:color w:val="000000"/>
                <w:sz w:val="20"/>
                <w:szCs w:val="20"/>
                <w:lang w:eastAsia="en-CA"/>
              </w:rPr>
              <w:t>5.17</w:t>
            </w:r>
          </w:p>
        </w:tc>
      </w:tr>
    </w:tbl>
    <w:p w:rsidR="003C0A86" w:rsidRPr="00A27A71" w:rsidRDefault="00D05189" w:rsidP="00C905D9">
      <w:pPr>
        <w:rPr>
          <w:sz w:val="16"/>
          <w:szCs w:val="16"/>
        </w:rPr>
      </w:pPr>
      <w:r w:rsidRPr="00A27A71">
        <w:rPr>
          <w:sz w:val="16"/>
          <w:szCs w:val="16"/>
        </w:rPr>
        <w:t xml:space="preserve">* Includes </w:t>
      </w:r>
      <w:r w:rsidR="00207E97">
        <w:rPr>
          <w:sz w:val="16"/>
          <w:szCs w:val="16"/>
        </w:rPr>
        <w:t xml:space="preserve">8.86 ODP tonnes of </w:t>
      </w:r>
      <w:r w:rsidRPr="00A27A71">
        <w:rPr>
          <w:sz w:val="16"/>
          <w:szCs w:val="16"/>
        </w:rPr>
        <w:t>consumption beyond the remaining consumption eligible for funding.</w:t>
      </w:r>
    </w:p>
    <w:p w:rsidR="003C0A86" w:rsidRPr="00A27A71" w:rsidRDefault="003C0A86" w:rsidP="00C905D9">
      <w:pPr>
        <w:rPr>
          <w:u w:val="single"/>
        </w:rPr>
      </w:pPr>
    </w:p>
    <w:p w:rsidR="00C905D9" w:rsidRPr="00A27A71" w:rsidRDefault="00C905D9" w:rsidP="00C905D9">
      <w:pPr>
        <w:spacing w:after="240"/>
        <w:rPr>
          <w:u w:val="single"/>
        </w:rPr>
      </w:pPr>
      <w:r w:rsidRPr="00A27A71">
        <w:rPr>
          <w:u w:val="single"/>
        </w:rPr>
        <w:t>Impact on the climate</w:t>
      </w:r>
    </w:p>
    <w:p w:rsidR="00C905D9" w:rsidRPr="00A27A71" w:rsidRDefault="00C905D9" w:rsidP="00C905D9">
      <w:pPr>
        <w:pStyle w:val="Heading1"/>
      </w:pPr>
      <w:r w:rsidRPr="00A27A71">
        <w:t xml:space="preserve">The conversion of the remaining PU </w:t>
      </w:r>
      <w:r w:rsidR="000F3199" w:rsidRPr="00A27A71">
        <w:t xml:space="preserve">and XPS </w:t>
      </w:r>
      <w:r w:rsidRPr="00A27A71">
        <w:t xml:space="preserve">foam manufacturing enterprises in </w:t>
      </w:r>
      <w:r w:rsidR="00F46820" w:rsidRPr="00A27A71">
        <w:t>Egypt</w:t>
      </w:r>
      <w:r w:rsidRPr="00A27A71">
        <w:t xml:space="preserve"> would avoid the emission into the atmosphere of some </w:t>
      </w:r>
      <w:r w:rsidR="009A19E2" w:rsidRPr="00A27A71">
        <w:t>1,480</w:t>
      </w:r>
      <w:r w:rsidRPr="00A27A71">
        <w:t> thousand tonnes of CO</w:t>
      </w:r>
      <w:r w:rsidRPr="00A27A71">
        <w:rPr>
          <w:vertAlign w:val="subscript"/>
        </w:rPr>
        <w:t>2</w:t>
      </w:r>
      <w:r w:rsidRPr="00A27A71">
        <w:t xml:space="preserve"> equivalent per year, as shown in Table 1</w:t>
      </w:r>
      <w:r w:rsidR="00F76143">
        <w:t>4</w:t>
      </w:r>
      <w:r w:rsidRPr="00A27A71">
        <w:t>.</w:t>
      </w:r>
    </w:p>
    <w:p w:rsidR="00C905D9" w:rsidRPr="00A27A71" w:rsidRDefault="00C905D9" w:rsidP="0069138E">
      <w:pPr>
        <w:keepNext/>
        <w:keepLines/>
        <w:outlineLvl w:val="0"/>
        <w:rPr>
          <w:b/>
        </w:rPr>
      </w:pPr>
      <w:r w:rsidRPr="00A27A71">
        <w:rPr>
          <w:b/>
        </w:rPr>
        <w:t xml:space="preserve">Table </w:t>
      </w:r>
      <w:r w:rsidR="00B77D27" w:rsidRPr="00A27A71">
        <w:rPr>
          <w:b/>
        </w:rPr>
        <w:t>1</w:t>
      </w:r>
      <w:r w:rsidR="00F76143">
        <w:rPr>
          <w:b/>
        </w:rPr>
        <w:t>4</w:t>
      </w:r>
      <w:r w:rsidRPr="00A27A71">
        <w:rPr>
          <w:b/>
        </w:rPr>
        <w:t>. Impact on the climate</w:t>
      </w:r>
      <w:r w:rsidR="006F4CFF">
        <w:rPr>
          <w:b/>
        </w:rPr>
        <w:t xml:space="preserve"> from the </w:t>
      </w:r>
      <w:r w:rsidRPr="00A27A71">
        <w:rPr>
          <w:b/>
        </w:rPr>
        <w:t xml:space="preserve">PU </w:t>
      </w:r>
      <w:r w:rsidR="006F4CFF">
        <w:rPr>
          <w:b/>
        </w:rPr>
        <w:t xml:space="preserve">and XPS </w:t>
      </w:r>
      <w:r w:rsidRPr="00A27A71">
        <w:rPr>
          <w:b/>
        </w:rPr>
        <w:t>foam projects</w:t>
      </w:r>
    </w:p>
    <w:tbl>
      <w:tblPr>
        <w:tblW w:w="93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960"/>
        <w:gridCol w:w="1650"/>
        <w:gridCol w:w="2700"/>
      </w:tblGrid>
      <w:tr w:rsidR="00487013" w:rsidRPr="00A27A71" w:rsidTr="005D1FF4">
        <w:trPr>
          <w:trHeight w:val="133"/>
          <w:tblHeader/>
        </w:trPr>
        <w:tc>
          <w:tcPr>
            <w:tcW w:w="4060" w:type="dxa"/>
            <w:shd w:val="clear" w:color="auto" w:fill="auto"/>
            <w:noWrap/>
            <w:hideMark/>
          </w:tcPr>
          <w:p w:rsidR="00487013" w:rsidRPr="00A27A71" w:rsidRDefault="00487013" w:rsidP="0069138E">
            <w:pPr>
              <w:keepNext/>
              <w:keepLines/>
              <w:jc w:val="center"/>
              <w:rPr>
                <w:b/>
                <w:bCs/>
                <w:color w:val="000000"/>
                <w:sz w:val="20"/>
                <w:szCs w:val="20"/>
              </w:rPr>
            </w:pPr>
            <w:r w:rsidRPr="00A27A71">
              <w:rPr>
                <w:b/>
                <w:bCs/>
                <w:color w:val="000000"/>
                <w:sz w:val="20"/>
                <w:szCs w:val="20"/>
              </w:rPr>
              <w:t>Substance</w:t>
            </w:r>
          </w:p>
        </w:tc>
        <w:tc>
          <w:tcPr>
            <w:tcW w:w="960" w:type="dxa"/>
            <w:shd w:val="clear" w:color="auto" w:fill="auto"/>
            <w:hideMark/>
          </w:tcPr>
          <w:p w:rsidR="00487013" w:rsidRPr="00A27A71" w:rsidRDefault="00487013" w:rsidP="0069138E">
            <w:pPr>
              <w:keepNext/>
              <w:keepLines/>
              <w:jc w:val="center"/>
              <w:rPr>
                <w:b/>
                <w:bCs/>
                <w:color w:val="000000"/>
                <w:sz w:val="20"/>
                <w:szCs w:val="20"/>
              </w:rPr>
            </w:pPr>
            <w:r w:rsidRPr="00A27A71">
              <w:rPr>
                <w:b/>
                <w:bCs/>
                <w:color w:val="000000"/>
                <w:sz w:val="20"/>
                <w:szCs w:val="20"/>
              </w:rPr>
              <w:t>GWP</w:t>
            </w:r>
          </w:p>
        </w:tc>
        <w:tc>
          <w:tcPr>
            <w:tcW w:w="1650" w:type="dxa"/>
            <w:shd w:val="clear" w:color="auto" w:fill="auto"/>
            <w:noWrap/>
            <w:hideMark/>
          </w:tcPr>
          <w:p w:rsidR="00487013" w:rsidRPr="00A27A71" w:rsidRDefault="00487013" w:rsidP="0069138E">
            <w:pPr>
              <w:keepNext/>
              <w:keepLines/>
              <w:jc w:val="center"/>
              <w:rPr>
                <w:b/>
                <w:bCs/>
                <w:color w:val="000000"/>
                <w:sz w:val="20"/>
                <w:szCs w:val="20"/>
              </w:rPr>
            </w:pPr>
            <w:r w:rsidRPr="00A27A71">
              <w:rPr>
                <w:b/>
                <w:bCs/>
                <w:color w:val="000000"/>
                <w:sz w:val="20"/>
                <w:szCs w:val="20"/>
              </w:rPr>
              <w:t>Tonnes/year</w:t>
            </w:r>
          </w:p>
        </w:tc>
        <w:tc>
          <w:tcPr>
            <w:tcW w:w="2700" w:type="dxa"/>
            <w:shd w:val="clear" w:color="auto" w:fill="auto"/>
            <w:noWrap/>
            <w:hideMark/>
          </w:tcPr>
          <w:p w:rsidR="00487013" w:rsidRPr="00A27A71" w:rsidRDefault="00487013" w:rsidP="0069138E">
            <w:pPr>
              <w:keepNext/>
              <w:keepLines/>
              <w:jc w:val="center"/>
              <w:rPr>
                <w:b/>
                <w:bCs/>
                <w:color w:val="000000"/>
                <w:sz w:val="20"/>
                <w:szCs w:val="20"/>
              </w:rPr>
            </w:pPr>
            <w:r w:rsidRPr="00A27A71">
              <w:rPr>
                <w:b/>
                <w:bCs/>
                <w:color w:val="000000"/>
                <w:sz w:val="20"/>
                <w:szCs w:val="20"/>
              </w:rPr>
              <w:t>CO</w:t>
            </w:r>
            <w:r w:rsidRPr="00A27A71">
              <w:rPr>
                <w:b/>
                <w:bCs/>
                <w:color w:val="000000"/>
                <w:sz w:val="20"/>
                <w:szCs w:val="20"/>
                <w:vertAlign w:val="subscript"/>
              </w:rPr>
              <w:t>2</w:t>
            </w:r>
            <w:r w:rsidRPr="00A27A71">
              <w:rPr>
                <w:b/>
                <w:bCs/>
                <w:color w:val="000000"/>
                <w:sz w:val="20"/>
                <w:szCs w:val="20"/>
              </w:rPr>
              <w:t>-eq (tonnes/year)</w:t>
            </w:r>
          </w:p>
        </w:tc>
      </w:tr>
      <w:tr w:rsidR="00487013" w:rsidRPr="00A27A71" w:rsidTr="005D1FF4">
        <w:trPr>
          <w:trHeight w:val="89"/>
        </w:trPr>
        <w:tc>
          <w:tcPr>
            <w:tcW w:w="4060" w:type="dxa"/>
            <w:shd w:val="clear" w:color="auto" w:fill="auto"/>
            <w:noWrap/>
            <w:hideMark/>
          </w:tcPr>
          <w:p w:rsidR="00487013" w:rsidRPr="00A27A71" w:rsidRDefault="00487013" w:rsidP="00120DD6">
            <w:pPr>
              <w:jc w:val="left"/>
              <w:rPr>
                <w:b/>
                <w:bCs/>
                <w:color w:val="000000"/>
                <w:sz w:val="20"/>
                <w:szCs w:val="20"/>
              </w:rPr>
            </w:pPr>
            <w:r w:rsidRPr="00A27A71">
              <w:rPr>
                <w:b/>
                <w:bCs/>
                <w:color w:val="000000"/>
                <w:sz w:val="20"/>
                <w:szCs w:val="20"/>
              </w:rPr>
              <w:t>Before conversion</w:t>
            </w:r>
          </w:p>
        </w:tc>
        <w:tc>
          <w:tcPr>
            <w:tcW w:w="960" w:type="dxa"/>
            <w:shd w:val="clear" w:color="auto" w:fill="auto"/>
            <w:hideMark/>
          </w:tcPr>
          <w:p w:rsidR="00487013" w:rsidRPr="00A27A71" w:rsidRDefault="00487013" w:rsidP="00120DD6">
            <w:pPr>
              <w:jc w:val="right"/>
              <w:rPr>
                <w:b/>
                <w:bCs/>
                <w:color w:val="000000"/>
                <w:sz w:val="20"/>
                <w:szCs w:val="20"/>
              </w:rPr>
            </w:pPr>
            <w:r w:rsidRPr="00A27A71">
              <w:rPr>
                <w:b/>
                <w:bCs/>
                <w:color w:val="000000"/>
                <w:sz w:val="20"/>
                <w:szCs w:val="20"/>
              </w:rPr>
              <w:t> </w:t>
            </w:r>
          </w:p>
        </w:tc>
        <w:tc>
          <w:tcPr>
            <w:tcW w:w="1650" w:type="dxa"/>
            <w:shd w:val="clear" w:color="auto" w:fill="auto"/>
            <w:noWrap/>
            <w:hideMark/>
          </w:tcPr>
          <w:p w:rsidR="00487013" w:rsidRPr="00A27A71" w:rsidRDefault="00487013" w:rsidP="00120DD6">
            <w:pPr>
              <w:jc w:val="right"/>
              <w:rPr>
                <w:b/>
                <w:bCs/>
                <w:color w:val="000000"/>
                <w:sz w:val="20"/>
                <w:szCs w:val="20"/>
              </w:rPr>
            </w:pPr>
            <w:r w:rsidRPr="00A27A71">
              <w:rPr>
                <w:b/>
                <w:bCs/>
                <w:color w:val="000000"/>
                <w:sz w:val="20"/>
                <w:szCs w:val="20"/>
              </w:rPr>
              <w:t> </w:t>
            </w:r>
          </w:p>
        </w:tc>
        <w:tc>
          <w:tcPr>
            <w:tcW w:w="2700" w:type="dxa"/>
            <w:shd w:val="clear" w:color="auto" w:fill="auto"/>
            <w:hideMark/>
          </w:tcPr>
          <w:p w:rsidR="00487013" w:rsidRPr="00A27A71" w:rsidRDefault="00487013" w:rsidP="00120DD6">
            <w:pPr>
              <w:jc w:val="right"/>
              <w:rPr>
                <w:b/>
                <w:bCs/>
                <w:color w:val="000000"/>
                <w:sz w:val="20"/>
                <w:szCs w:val="20"/>
              </w:rPr>
            </w:pPr>
            <w:r w:rsidRPr="00A27A71">
              <w:rPr>
                <w:b/>
                <w:bCs/>
                <w:color w:val="000000"/>
                <w:sz w:val="20"/>
                <w:szCs w:val="20"/>
              </w:rPr>
              <w:t> </w:t>
            </w:r>
          </w:p>
        </w:tc>
      </w:tr>
      <w:tr w:rsidR="00487013" w:rsidRPr="00A27A71" w:rsidTr="005D1FF4">
        <w:trPr>
          <w:trHeight w:val="206"/>
        </w:trPr>
        <w:tc>
          <w:tcPr>
            <w:tcW w:w="4060" w:type="dxa"/>
            <w:shd w:val="clear" w:color="auto" w:fill="auto"/>
            <w:noWrap/>
            <w:hideMark/>
          </w:tcPr>
          <w:p w:rsidR="00487013" w:rsidRPr="00A27A71" w:rsidRDefault="00487013" w:rsidP="00120DD6">
            <w:pPr>
              <w:jc w:val="left"/>
              <w:rPr>
                <w:color w:val="000000"/>
                <w:sz w:val="20"/>
                <w:szCs w:val="20"/>
              </w:rPr>
            </w:pPr>
            <w:r w:rsidRPr="00A27A71">
              <w:rPr>
                <w:color w:val="000000"/>
                <w:sz w:val="20"/>
                <w:szCs w:val="20"/>
              </w:rPr>
              <w:t>HCFC-22</w:t>
            </w:r>
          </w:p>
        </w:tc>
        <w:tc>
          <w:tcPr>
            <w:tcW w:w="960" w:type="dxa"/>
            <w:shd w:val="clear" w:color="auto" w:fill="auto"/>
            <w:hideMark/>
          </w:tcPr>
          <w:p w:rsidR="00487013" w:rsidRPr="00A27A71" w:rsidRDefault="00487013" w:rsidP="00120DD6">
            <w:pPr>
              <w:jc w:val="right"/>
              <w:rPr>
                <w:color w:val="000000"/>
                <w:sz w:val="20"/>
                <w:szCs w:val="20"/>
              </w:rPr>
            </w:pPr>
            <w:r w:rsidRPr="00A27A71">
              <w:rPr>
                <w:color w:val="000000"/>
                <w:sz w:val="20"/>
                <w:szCs w:val="20"/>
              </w:rPr>
              <w:t xml:space="preserve">    1,810 </w:t>
            </w:r>
          </w:p>
        </w:tc>
        <w:tc>
          <w:tcPr>
            <w:tcW w:w="1650" w:type="dxa"/>
            <w:shd w:val="clear" w:color="auto" w:fill="auto"/>
            <w:noWrap/>
            <w:hideMark/>
          </w:tcPr>
          <w:p w:rsidR="00487013" w:rsidRPr="00A27A71" w:rsidRDefault="00487013" w:rsidP="00120DD6">
            <w:pPr>
              <w:jc w:val="right"/>
              <w:rPr>
                <w:color w:val="000000"/>
                <w:sz w:val="20"/>
                <w:szCs w:val="20"/>
              </w:rPr>
            </w:pPr>
            <w:r w:rsidRPr="00A27A71">
              <w:rPr>
                <w:color w:val="000000"/>
                <w:sz w:val="20"/>
                <w:szCs w:val="20"/>
              </w:rPr>
              <w:t>559.0</w:t>
            </w:r>
          </w:p>
        </w:tc>
        <w:tc>
          <w:tcPr>
            <w:tcW w:w="2700" w:type="dxa"/>
            <w:shd w:val="clear" w:color="auto" w:fill="auto"/>
            <w:hideMark/>
          </w:tcPr>
          <w:p w:rsidR="00487013" w:rsidRPr="00A27A71" w:rsidRDefault="00487013" w:rsidP="00120DD6">
            <w:pPr>
              <w:jc w:val="right"/>
              <w:rPr>
                <w:color w:val="000000"/>
                <w:sz w:val="20"/>
                <w:szCs w:val="20"/>
              </w:rPr>
            </w:pPr>
            <w:r w:rsidRPr="00A27A71">
              <w:rPr>
                <w:color w:val="000000"/>
                <w:sz w:val="20"/>
                <w:szCs w:val="20"/>
              </w:rPr>
              <w:t xml:space="preserve">      1,011,790 </w:t>
            </w:r>
          </w:p>
        </w:tc>
      </w:tr>
      <w:tr w:rsidR="00487013" w:rsidRPr="00A27A71" w:rsidTr="005D1FF4">
        <w:trPr>
          <w:trHeight w:val="54"/>
        </w:trPr>
        <w:tc>
          <w:tcPr>
            <w:tcW w:w="4060" w:type="dxa"/>
            <w:shd w:val="clear" w:color="auto" w:fill="auto"/>
            <w:noWrap/>
            <w:hideMark/>
          </w:tcPr>
          <w:p w:rsidR="00487013" w:rsidRPr="00A27A71" w:rsidRDefault="00487013" w:rsidP="00120DD6">
            <w:pPr>
              <w:jc w:val="left"/>
              <w:rPr>
                <w:color w:val="000000"/>
                <w:sz w:val="20"/>
                <w:szCs w:val="20"/>
              </w:rPr>
            </w:pPr>
            <w:r w:rsidRPr="00A27A71">
              <w:rPr>
                <w:color w:val="000000"/>
                <w:sz w:val="20"/>
                <w:szCs w:val="20"/>
              </w:rPr>
              <w:t>HCFC-142b</w:t>
            </w:r>
          </w:p>
        </w:tc>
        <w:tc>
          <w:tcPr>
            <w:tcW w:w="960" w:type="dxa"/>
            <w:shd w:val="clear" w:color="auto" w:fill="auto"/>
            <w:hideMark/>
          </w:tcPr>
          <w:p w:rsidR="00487013" w:rsidRPr="00A27A71" w:rsidRDefault="00487013" w:rsidP="00120DD6">
            <w:pPr>
              <w:jc w:val="right"/>
              <w:rPr>
                <w:color w:val="000000"/>
                <w:sz w:val="20"/>
                <w:szCs w:val="20"/>
              </w:rPr>
            </w:pPr>
            <w:r w:rsidRPr="00A27A71">
              <w:rPr>
                <w:color w:val="000000"/>
                <w:sz w:val="20"/>
                <w:szCs w:val="20"/>
              </w:rPr>
              <w:t xml:space="preserve">     2,310 </w:t>
            </w:r>
          </w:p>
        </w:tc>
        <w:tc>
          <w:tcPr>
            <w:tcW w:w="1650" w:type="dxa"/>
            <w:shd w:val="clear" w:color="auto" w:fill="auto"/>
            <w:noWrap/>
            <w:hideMark/>
          </w:tcPr>
          <w:p w:rsidR="00487013" w:rsidRPr="00A27A71" w:rsidRDefault="00487013" w:rsidP="00120DD6">
            <w:pPr>
              <w:jc w:val="right"/>
              <w:rPr>
                <w:color w:val="000000"/>
                <w:sz w:val="20"/>
                <w:szCs w:val="20"/>
              </w:rPr>
            </w:pPr>
            <w:r w:rsidRPr="00A27A71">
              <w:rPr>
                <w:color w:val="000000"/>
                <w:sz w:val="20"/>
                <w:szCs w:val="20"/>
              </w:rPr>
              <w:t>24.3</w:t>
            </w:r>
          </w:p>
        </w:tc>
        <w:tc>
          <w:tcPr>
            <w:tcW w:w="2700" w:type="dxa"/>
            <w:shd w:val="clear" w:color="auto" w:fill="auto"/>
            <w:hideMark/>
          </w:tcPr>
          <w:p w:rsidR="00487013" w:rsidRPr="00A27A71" w:rsidRDefault="00487013" w:rsidP="00120DD6">
            <w:pPr>
              <w:jc w:val="right"/>
              <w:rPr>
                <w:color w:val="000000"/>
                <w:sz w:val="20"/>
                <w:szCs w:val="20"/>
              </w:rPr>
            </w:pPr>
            <w:r w:rsidRPr="00A27A71">
              <w:rPr>
                <w:color w:val="000000"/>
                <w:sz w:val="20"/>
                <w:szCs w:val="20"/>
              </w:rPr>
              <w:t xml:space="preserve">             56,133 </w:t>
            </w:r>
          </w:p>
        </w:tc>
      </w:tr>
      <w:tr w:rsidR="00487013" w:rsidRPr="00A27A71" w:rsidTr="005D1FF4">
        <w:trPr>
          <w:trHeight w:val="89"/>
        </w:trPr>
        <w:tc>
          <w:tcPr>
            <w:tcW w:w="4060" w:type="dxa"/>
            <w:shd w:val="clear" w:color="auto" w:fill="auto"/>
            <w:noWrap/>
            <w:hideMark/>
          </w:tcPr>
          <w:p w:rsidR="00487013" w:rsidRPr="00A27A71" w:rsidRDefault="00487013" w:rsidP="00120DD6">
            <w:pPr>
              <w:jc w:val="left"/>
              <w:rPr>
                <w:color w:val="000000"/>
                <w:sz w:val="20"/>
                <w:szCs w:val="20"/>
              </w:rPr>
            </w:pPr>
            <w:r w:rsidRPr="00A27A71">
              <w:rPr>
                <w:color w:val="000000"/>
                <w:sz w:val="20"/>
                <w:szCs w:val="20"/>
              </w:rPr>
              <w:t>HCFC-141b</w:t>
            </w:r>
          </w:p>
        </w:tc>
        <w:tc>
          <w:tcPr>
            <w:tcW w:w="960" w:type="dxa"/>
            <w:shd w:val="clear" w:color="auto" w:fill="auto"/>
            <w:hideMark/>
          </w:tcPr>
          <w:p w:rsidR="00487013" w:rsidRPr="00A27A71" w:rsidRDefault="00487013" w:rsidP="00120DD6">
            <w:pPr>
              <w:jc w:val="right"/>
              <w:rPr>
                <w:color w:val="000000"/>
                <w:sz w:val="20"/>
                <w:szCs w:val="20"/>
              </w:rPr>
            </w:pPr>
            <w:r w:rsidRPr="00A27A71">
              <w:rPr>
                <w:color w:val="000000"/>
                <w:sz w:val="20"/>
                <w:szCs w:val="20"/>
              </w:rPr>
              <w:t>725</w:t>
            </w:r>
          </w:p>
        </w:tc>
        <w:tc>
          <w:tcPr>
            <w:tcW w:w="1650" w:type="dxa"/>
            <w:shd w:val="clear" w:color="auto" w:fill="auto"/>
            <w:noWrap/>
            <w:hideMark/>
          </w:tcPr>
          <w:p w:rsidR="00487013" w:rsidRPr="00A27A71" w:rsidRDefault="00487013" w:rsidP="00120DD6">
            <w:pPr>
              <w:jc w:val="right"/>
              <w:rPr>
                <w:color w:val="000000"/>
                <w:sz w:val="20"/>
                <w:szCs w:val="20"/>
              </w:rPr>
            </w:pPr>
            <w:r w:rsidRPr="00A27A71">
              <w:rPr>
                <w:color w:val="000000"/>
                <w:sz w:val="20"/>
                <w:szCs w:val="20"/>
              </w:rPr>
              <w:t>586.7</w:t>
            </w:r>
          </w:p>
        </w:tc>
        <w:tc>
          <w:tcPr>
            <w:tcW w:w="2700" w:type="dxa"/>
            <w:shd w:val="clear" w:color="auto" w:fill="auto"/>
            <w:hideMark/>
          </w:tcPr>
          <w:p w:rsidR="00487013" w:rsidRPr="00A27A71" w:rsidRDefault="00487013" w:rsidP="00B60D18">
            <w:pPr>
              <w:jc w:val="right"/>
              <w:rPr>
                <w:color w:val="000000"/>
                <w:sz w:val="20"/>
                <w:szCs w:val="20"/>
              </w:rPr>
            </w:pPr>
            <w:r w:rsidRPr="00A27A71">
              <w:rPr>
                <w:color w:val="000000"/>
                <w:sz w:val="20"/>
                <w:szCs w:val="20"/>
              </w:rPr>
              <w:t xml:space="preserve">         425,372 </w:t>
            </w:r>
          </w:p>
        </w:tc>
      </w:tr>
      <w:tr w:rsidR="00487013" w:rsidRPr="00A27A71" w:rsidTr="005D1FF4">
        <w:trPr>
          <w:trHeight w:val="54"/>
        </w:trPr>
        <w:tc>
          <w:tcPr>
            <w:tcW w:w="4060" w:type="dxa"/>
            <w:shd w:val="clear" w:color="auto" w:fill="auto"/>
            <w:noWrap/>
            <w:hideMark/>
          </w:tcPr>
          <w:p w:rsidR="00487013" w:rsidRPr="00A27A71" w:rsidRDefault="00487013" w:rsidP="005D1FF4">
            <w:pPr>
              <w:keepNext/>
              <w:keepLines/>
              <w:jc w:val="left"/>
              <w:rPr>
                <w:b/>
                <w:bCs/>
                <w:color w:val="000000"/>
                <w:sz w:val="20"/>
                <w:szCs w:val="20"/>
              </w:rPr>
            </w:pPr>
            <w:r w:rsidRPr="00A27A71">
              <w:rPr>
                <w:b/>
                <w:bCs/>
                <w:color w:val="000000"/>
                <w:sz w:val="20"/>
                <w:szCs w:val="20"/>
              </w:rPr>
              <w:t>After conversion</w:t>
            </w:r>
          </w:p>
        </w:tc>
        <w:tc>
          <w:tcPr>
            <w:tcW w:w="960" w:type="dxa"/>
            <w:shd w:val="clear" w:color="auto" w:fill="auto"/>
            <w:hideMark/>
          </w:tcPr>
          <w:p w:rsidR="00487013" w:rsidRPr="00A27A71" w:rsidRDefault="00487013" w:rsidP="005D1FF4">
            <w:pPr>
              <w:keepNext/>
              <w:keepLines/>
              <w:jc w:val="right"/>
              <w:rPr>
                <w:b/>
                <w:bCs/>
                <w:color w:val="000000"/>
                <w:sz w:val="20"/>
                <w:szCs w:val="20"/>
              </w:rPr>
            </w:pPr>
            <w:r w:rsidRPr="00A27A71">
              <w:rPr>
                <w:b/>
                <w:bCs/>
                <w:color w:val="000000"/>
                <w:sz w:val="20"/>
                <w:szCs w:val="20"/>
              </w:rPr>
              <w:t> </w:t>
            </w:r>
          </w:p>
        </w:tc>
        <w:tc>
          <w:tcPr>
            <w:tcW w:w="1650" w:type="dxa"/>
            <w:shd w:val="clear" w:color="auto" w:fill="auto"/>
            <w:noWrap/>
            <w:hideMark/>
          </w:tcPr>
          <w:p w:rsidR="00487013" w:rsidRPr="00A27A71" w:rsidRDefault="00487013" w:rsidP="005D1FF4">
            <w:pPr>
              <w:keepNext/>
              <w:keepLines/>
              <w:jc w:val="right"/>
              <w:rPr>
                <w:b/>
                <w:bCs/>
                <w:color w:val="000000"/>
                <w:sz w:val="20"/>
                <w:szCs w:val="20"/>
              </w:rPr>
            </w:pPr>
            <w:r w:rsidRPr="00A27A71">
              <w:rPr>
                <w:b/>
                <w:bCs/>
                <w:color w:val="000000"/>
                <w:sz w:val="20"/>
                <w:szCs w:val="20"/>
              </w:rPr>
              <w:t> </w:t>
            </w:r>
          </w:p>
        </w:tc>
        <w:tc>
          <w:tcPr>
            <w:tcW w:w="2700" w:type="dxa"/>
            <w:shd w:val="clear" w:color="auto" w:fill="auto"/>
            <w:hideMark/>
          </w:tcPr>
          <w:p w:rsidR="00487013" w:rsidRPr="00A27A71" w:rsidRDefault="00487013" w:rsidP="005D1FF4">
            <w:pPr>
              <w:keepNext/>
              <w:keepLines/>
              <w:jc w:val="right"/>
              <w:rPr>
                <w:b/>
                <w:bCs/>
                <w:color w:val="000000"/>
                <w:sz w:val="20"/>
                <w:szCs w:val="20"/>
              </w:rPr>
            </w:pPr>
            <w:r w:rsidRPr="00A27A71">
              <w:rPr>
                <w:b/>
                <w:bCs/>
                <w:color w:val="000000"/>
                <w:sz w:val="20"/>
                <w:szCs w:val="20"/>
              </w:rPr>
              <w:t> </w:t>
            </w:r>
          </w:p>
        </w:tc>
      </w:tr>
      <w:tr w:rsidR="00487013" w:rsidRPr="00A27A71" w:rsidTr="005D1FF4">
        <w:trPr>
          <w:trHeight w:val="54"/>
        </w:trPr>
        <w:tc>
          <w:tcPr>
            <w:tcW w:w="4060" w:type="dxa"/>
            <w:shd w:val="clear" w:color="auto" w:fill="auto"/>
            <w:noWrap/>
            <w:hideMark/>
          </w:tcPr>
          <w:p w:rsidR="00487013" w:rsidRPr="00A27A71" w:rsidRDefault="00487013" w:rsidP="005D1FF4">
            <w:pPr>
              <w:keepNext/>
              <w:keepLines/>
              <w:jc w:val="left"/>
              <w:rPr>
                <w:color w:val="000000"/>
                <w:sz w:val="20"/>
                <w:szCs w:val="20"/>
              </w:rPr>
            </w:pPr>
            <w:r w:rsidRPr="00A27A71">
              <w:rPr>
                <w:color w:val="000000"/>
                <w:sz w:val="20"/>
                <w:szCs w:val="20"/>
              </w:rPr>
              <w:t xml:space="preserve">Cyclopentane, HFO-1234ze and </w:t>
            </w:r>
            <w:r w:rsidR="0013662C" w:rsidRPr="00A27A71">
              <w:rPr>
                <w:color w:val="000000"/>
                <w:sz w:val="20"/>
                <w:szCs w:val="20"/>
              </w:rPr>
              <w:t>MF</w:t>
            </w:r>
          </w:p>
        </w:tc>
        <w:tc>
          <w:tcPr>
            <w:tcW w:w="960" w:type="dxa"/>
            <w:shd w:val="clear" w:color="auto" w:fill="auto"/>
            <w:hideMark/>
          </w:tcPr>
          <w:p w:rsidR="00487013" w:rsidRPr="00A27A71" w:rsidRDefault="00487013" w:rsidP="005D1FF4">
            <w:pPr>
              <w:keepNext/>
              <w:keepLines/>
              <w:jc w:val="right"/>
              <w:rPr>
                <w:color w:val="000000"/>
                <w:sz w:val="20"/>
                <w:szCs w:val="20"/>
              </w:rPr>
            </w:pPr>
            <w:r w:rsidRPr="00A27A71">
              <w:rPr>
                <w:color w:val="000000"/>
                <w:sz w:val="20"/>
                <w:szCs w:val="20"/>
              </w:rPr>
              <w:t>~ 20</w:t>
            </w:r>
          </w:p>
        </w:tc>
        <w:tc>
          <w:tcPr>
            <w:tcW w:w="1650" w:type="dxa"/>
            <w:shd w:val="clear" w:color="auto" w:fill="auto"/>
            <w:noWrap/>
            <w:hideMark/>
          </w:tcPr>
          <w:p w:rsidR="00487013" w:rsidRPr="00A27A71" w:rsidRDefault="00487013" w:rsidP="005D1FF4">
            <w:pPr>
              <w:keepNext/>
              <w:keepLines/>
              <w:jc w:val="right"/>
              <w:rPr>
                <w:color w:val="000000"/>
                <w:sz w:val="20"/>
                <w:szCs w:val="20"/>
              </w:rPr>
            </w:pPr>
            <w:r w:rsidRPr="00A27A71">
              <w:rPr>
                <w:color w:val="000000"/>
                <w:sz w:val="20"/>
                <w:szCs w:val="20"/>
              </w:rPr>
              <w:t>702.012</w:t>
            </w:r>
          </w:p>
        </w:tc>
        <w:tc>
          <w:tcPr>
            <w:tcW w:w="2700" w:type="dxa"/>
            <w:shd w:val="clear" w:color="auto" w:fill="auto"/>
            <w:hideMark/>
          </w:tcPr>
          <w:p w:rsidR="00487013" w:rsidRPr="00A27A71" w:rsidRDefault="00487013" w:rsidP="005D1FF4">
            <w:pPr>
              <w:keepNext/>
              <w:keepLines/>
              <w:jc w:val="right"/>
              <w:rPr>
                <w:color w:val="000000"/>
                <w:sz w:val="20"/>
                <w:szCs w:val="20"/>
              </w:rPr>
            </w:pPr>
            <w:r w:rsidRPr="00A27A71">
              <w:rPr>
                <w:color w:val="000000"/>
                <w:sz w:val="20"/>
                <w:szCs w:val="20"/>
              </w:rPr>
              <w:t xml:space="preserve">        14,040 </w:t>
            </w:r>
          </w:p>
        </w:tc>
      </w:tr>
      <w:tr w:rsidR="00487013" w:rsidRPr="00A27A71" w:rsidTr="005D1FF4">
        <w:trPr>
          <w:trHeight w:val="89"/>
        </w:trPr>
        <w:tc>
          <w:tcPr>
            <w:tcW w:w="4060" w:type="dxa"/>
            <w:shd w:val="clear" w:color="auto" w:fill="auto"/>
            <w:noWrap/>
            <w:hideMark/>
          </w:tcPr>
          <w:p w:rsidR="00487013" w:rsidRPr="00A27A71" w:rsidRDefault="00487013" w:rsidP="00120DD6">
            <w:pPr>
              <w:jc w:val="left"/>
              <w:rPr>
                <w:b/>
                <w:bCs/>
                <w:color w:val="000000"/>
                <w:sz w:val="20"/>
                <w:szCs w:val="20"/>
              </w:rPr>
            </w:pPr>
            <w:r w:rsidRPr="00A27A71">
              <w:rPr>
                <w:b/>
                <w:bCs/>
                <w:color w:val="000000"/>
                <w:sz w:val="20"/>
                <w:szCs w:val="20"/>
              </w:rPr>
              <w:t>Impact</w:t>
            </w:r>
          </w:p>
        </w:tc>
        <w:tc>
          <w:tcPr>
            <w:tcW w:w="960" w:type="dxa"/>
            <w:shd w:val="clear" w:color="auto" w:fill="auto"/>
            <w:hideMark/>
          </w:tcPr>
          <w:p w:rsidR="00487013" w:rsidRPr="00A27A71" w:rsidRDefault="00487013" w:rsidP="00120DD6">
            <w:pPr>
              <w:jc w:val="right"/>
              <w:rPr>
                <w:b/>
                <w:bCs/>
                <w:color w:val="000000"/>
                <w:sz w:val="20"/>
                <w:szCs w:val="20"/>
              </w:rPr>
            </w:pPr>
            <w:r w:rsidRPr="00A27A71">
              <w:rPr>
                <w:b/>
                <w:bCs/>
                <w:color w:val="000000"/>
                <w:sz w:val="20"/>
                <w:szCs w:val="20"/>
              </w:rPr>
              <w:t> </w:t>
            </w:r>
          </w:p>
        </w:tc>
        <w:tc>
          <w:tcPr>
            <w:tcW w:w="1650" w:type="dxa"/>
            <w:shd w:val="clear" w:color="auto" w:fill="auto"/>
            <w:noWrap/>
            <w:hideMark/>
          </w:tcPr>
          <w:p w:rsidR="00487013" w:rsidRPr="00A27A71" w:rsidRDefault="00487013" w:rsidP="00120DD6">
            <w:pPr>
              <w:jc w:val="right"/>
              <w:rPr>
                <w:b/>
                <w:bCs/>
                <w:color w:val="000000"/>
                <w:sz w:val="20"/>
                <w:szCs w:val="20"/>
              </w:rPr>
            </w:pPr>
            <w:r w:rsidRPr="00A27A71">
              <w:rPr>
                <w:b/>
                <w:bCs/>
                <w:color w:val="000000"/>
                <w:sz w:val="20"/>
                <w:szCs w:val="20"/>
              </w:rPr>
              <w:t> </w:t>
            </w:r>
          </w:p>
        </w:tc>
        <w:tc>
          <w:tcPr>
            <w:tcW w:w="2700" w:type="dxa"/>
            <w:shd w:val="clear" w:color="auto" w:fill="auto"/>
            <w:hideMark/>
          </w:tcPr>
          <w:p w:rsidR="00487013" w:rsidRPr="00A27A71" w:rsidRDefault="00487013" w:rsidP="00120DD6">
            <w:pPr>
              <w:jc w:val="right"/>
              <w:rPr>
                <w:b/>
                <w:bCs/>
                <w:color w:val="000000"/>
                <w:sz w:val="20"/>
                <w:szCs w:val="20"/>
              </w:rPr>
            </w:pPr>
            <w:r w:rsidRPr="00A27A71">
              <w:rPr>
                <w:b/>
                <w:bCs/>
                <w:color w:val="000000"/>
                <w:sz w:val="20"/>
                <w:szCs w:val="20"/>
              </w:rPr>
              <w:t xml:space="preserve">    1,479,255 </w:t>
            </w:r>
          </w:p>
        </w:tc>
      </w:tr>
    </w:tbl>
    <w:p w:rsidR="00487013" w:rsidRPr="00A27A71" w:rsidRDefault="00487013" w:rsidP="00487013"/>
    <w:p w:rsidR="00BC6589" w:rsidRPr="00A27A71" w:rsidRDefault="00352AB9" w:rsidP="00B30366">
      <w:pPr>
        <w:pStyle w:val="Heading1"/>
        <w:keepNext/>
        <w:keepLines/>
      </w:pPr>
      <w:r w:rsidRPr="00A27A71">
        <w:lastRenderedPageBreak/>
        <w:t>I</w:t>
      </w:r>
      <w:r w:rsidR="00BC6589" w:rsidRPr="00A27A71">
        <w:t xml:space="preserve">n light of the range of equipment manufactured in the </w:t>
      </w:r>
      <w:r w:rsidRPr="00A27A71">
        <w:t xml:space="preserve">commercial </w:t>
      </w:r>
      <w:r w:rsidR="00F75F42" w:rsidRPr="00A27A71">
        <w:t>AC</w:t>
      </w:r>
      <w:r w:rsidR="00BC6589" w:rsidRPr="00A27A71">
        <w:t xml:space="preserve"> manufacturing sector, and</w:t>
      </w:r>
      <w:r w:rsidRPr="00A27A71">
        <w:t xml:space="preserve"> </w:t>
      </w:r>
      <w:r w:rsidR="00BC6589" w:rsidRPr="00A27A71">
        <w:t xml:space="preserve">that the selection of low-GWP technology </w:t>
      </w:r>
      <w:r w:rsidRPr="00A27A71">
        <w:t>has not yet been determined and the energy efficiency enhancements achieved through the use of IEC</w:t>
      </w:r>
      <w:r w:rsidR="00521372">
        <w:t xml:space="preserve"> are not yet quantified</w:t>
      </w:r>
      <w:r w:rsidRPr="00A27A71">
        <w:t xml:space="preserve">, </w:t>
      </w:r>
      <w:r w:rsidR="00BC6589" w:rsidRPr="00A27A71">
        <w:t>the climate benefits of the conversions</w:t>
      </w:r>
      <w:r w:rsidRPr="00A27A71">
        <w:t xml:space="preserve"> </w:t>
      </w:r>
      <w:r w:rsidR="00BC6589" w:rsidRPr="00A27A71">
        <w:t xml:space="preserve">in the </w:t>
      </w:r>
      <w:r w:rsidRPr="00A27A71">
        <w:t xml:space="preserve">commercial </w:t>
      </w:r>
      <w:r w:rsidR="00F75F42" w:rsidRPr="00A27A71">
        <w:t>AC</w:t>
      </w:r>
      <w:r w:rsidRPr="00A27A71">
        <w:t xml:space="preserve"> </w:t>
      </w:r>
      <w:r w:rsidR="00BC6589" w:rsidRPr="00A27A71">
        <w:t xml:space="preserve">manufacturing sector are estimated based </w:t>
      </w:r>
      <w:r w:rsidRPr="00A27A71">
        <w:t xml:space="preserve">only </w:t>
      </w:r>
      <w:r w:rsidR="00BC6589" w:rsidRPr="00A27A71">
        <w:t xml:space="preserve">on the </w:t>
      </w:r>
      <w:r w:rsidRPr="00A27A71">
        <w:t xml:space="preserve">direct </w:t>
      </w:r>
      <w:r w:rsidR="00BC6589" w:rsidRPr="00A27A71">
        <w:t>emission reductions of HCFC-22</w:t>
      </w:r>
      <w:r w:rsidRPr="00A27A71">
        <w:t xml:space="preserve"> achieved</w:t>
      </w:r>
      <w:r w:rsidR="00FB6BC8" w:rsidRPr="00A27A71">
        <w:t>, resulting in the avoidance of some 105 thousand tonnes of CO</w:t>
      </w:r>
      <w:r w:rsidR="00FB6BC8" w:rsidRPr="00A27A71">
        <w:rPr>
          <w:vertAlign w:val="subscript"/>
        </w:rPr>
        <w:t>2</w:t>
      </w:r>
      <w:r w:rsidR="00FB6BC8" w:rsidRPr="00A27A71">
        <w:t xml:space="preserve"> equivalent per year</w:t>
      </w:r>
      <w:r w:rsidRPr="00A27A71">
        <w:t xml:space="preserve">. </w:t>
      </w:r>
      <w:r w:rsidR="00FB6BC8" w:rsidRPr="00A27A71">
        <w:t>Improvements in energy efficiency would result in additional climate benefits.</w:t>
      </w:r>
    </w:p>
    <w:p w:rsidR="00C905D9" w:rsidRPr="00A27A71" w:rsidRDefault="00FB6BC8" w:rsidP="00FB6BC8">
      <w:pPr>
        <w:pStyle w:val="Heading1"/>
      </w:pPr>
      <w:r w:rsidRPr="00A27A71">
        <w:t>T</w:t>
      </w:r>
      <w:r w:rsidR="00BC6589" w:rsidRPr="00A27A71">
        <w:t>he proposed activities in the servicing sector, which include better containment of refrigerants</w:t>
      </w:r>
      <w:r w:rsidRPr="00A27A71">
        <w:t xml:space="preserve"> </w:t>
      </w:r>
      <w:r w:rsidR="00BC6589" w:rsidRPr="00A27A71">
        <w:t>through training and provision of equipment, will further reduce the amount of HCFC-22 used for</w:t>
      </w:r>
      <w:r w:rsidRPr="00A27A71">
        <w:t xml:space="preserve"> </w:t>
      </w:r>
      <w:r w:rsidR="00BC6589" w:rsidRPr="00A27A71">
        <w:t>refrigeration servicing. Although a calculation of the impact on the climate was not included in the</w:t>
      </w:r>
      <w:r w:rsidRPr="00A27A71">
        <w:t xml:space="preserve"> </w:t>
      </w:r>
      <w:r w:rsidR="00BC6589" w:rsidRPr="00A27A71">
        <w:t xml:space="preserve">HPMP, the activities planned by the </w:t>
      </w:r>
      <w:r w:rsidRPr="00A27A71">
        <w:t>Government of Egypt</w:t>
      </w:r>
      <w:r w:rsidR="00BC6589" w:rsidRPr="00A27A71">
        <w:t>, in particular its efforts to promote</w:t>
      </w:r>
      <w:r w:rsidRPr="00A27A71">
        <w:t xml:space="preserve"> </w:t>
      </w:r>
      <w:r w:rsidR="00BC6589" w:rsidRPr="00A27A71">
        <w:t xml:space="preserve">low-GWP alternatives, refrigerant </w:t>
      </w:r>
      <w:r w:rsidR="00982962" w:rsidRPr="00A27A71">
        <w:t>R&amp;R</w:t>
      </w:r>
      <w:r w:rsidRPr="00A27A71">
        <w:t xml:space="preserve">, </w:t>
      </w:r>
      <w:r w:rsidR="00BC6589" w:rsidRPr="00A27A71">
        <w:t>indicate that the implementation of the HPMP will</w:t>
      </w:r>
      <w:r w:rsidRPr="00A27A71">
        <w:t xml:space="preserve"> </w:t>
      </w:r>
      <w:r w:rsidR="00BC6589" w:rsidRPr="00A27A71">
        <w:t>reduce the emission of refrigerants into the atmosphere therefore resulting in benefits on the climate.</w:t>
      </w:r>
    </w:p>
    <w:p w:rsidR="00C905D9" w:rsidRPr="00A27A71" w:rsidRDefault="00C905D9" w:rsidP="00C905D9">
      <w:pPr>
        <w:spacing w:after="240"/>
        <w:outlineLvl w:val="0"/>
        <w:rPr>
          <w:b/>
          <w:color w:val="000000"/>
          <w:shd w:val="clear" w:color="auto" w:fill="FFFF00"/>
        </w:rPr>
      </w:pPr>
      <w:r w:rsidRPr="00A27A71">
        <w:rPr>
          <w:b/>
          <w:color w:val="000000"/>
        </w:rPr>
        <w:t>Co-financing</w:t>
      </w:r>
    </w:p>
    <w:p w:rsidR="00C905D9" w:rsidRPr="00A27A71" w:rsidRDefault="00C905D9" w:rsidP="003A7D7F">
      <w:pPr>
        <w:pStyle w:val="Heading1"/>
        <w:rPr>
          <w:bCs/>
        </w:rPr>
      </w:pPr>
      <w:r w:rsidRPr="00A27A71">
        <w:t>Based on the project as submitted, the cost of the foam sector was estimated at US $</w:t>
      </w:r>
      <w:r w:rsidR="003A7D7F" w:rsidRPr="00A27A71">
        <w:t>4,555,100</w:t>
      </w:r>
      <w:r w:rsidRPr="00A27A71">
        <w:t>, of which US $</w:t>
      </w:r>
      <w:r w:rsidR="003A7D7F" w:rsidRPr="00A27A71">
        <w:t>4,003,993</w:t>
      </w:r>
      <w:r w:rsidRPr="00A27A71">
        <w:t xml:space="preserve"> was requested from the Multilateral Fund, with the difference of US $</w:t>
      </w:r>
      <w:r w:rsidR="003A7D7F" w:rsidRPr="00A27A71">
        <w:t>551,107</w:t>
      </w:r>
      <w:r w:rsidRPr="00A27A71">
        <w:t xml:space="preserve"> provided by the enterprises. </w:t>
      </w:r>
    </w:p>
    <w:p w:rsidR="00C905D9" w:rsidRPr="00A27A71" w:rsidRDefault="00C905D9" w:rsidP="00C905D9">
      <w:pPr>
        <w:keepNext/>
        <w:spacing w:after="240"/>
        <w:outlineLvl w:val="0"/>
        <w:rPr>
          <w:b/>
          <w:bCs/>
        </w:rPr>
      </w:pPr>
      <w:r w:rsidRPr="00A27A71">
        <w:rPr>
          <w:b/>
          <w:bCs/>
        </w:rPr>
        <w:t>20</w:t>
      </w:r>
      <w:r w:rsidR="00500C82" w:rsidRPr="00A27A71">
        <w:rPr>
          <w:b/>
          <w:bCs/>
        </w:rPr>
        <w:t>17</w:t>
      </w:r>
      <w:r w:rsidRPr="00A27A71">
        <w:rPr>
          <w:b/>
          <w:bCs/>
        </w:rPr>
        <w:t>-20</w:t>
      </w:r>
      <w:r w:rsidR="00500C82" w:rsidRPr="00A27A71">
        <w:rPr>
          <w:b/>
          <w:bCs/>
        </w:rPr>
        <w:t>19</w:t>
      </w:r>
      <w:r w:rsidRPr="00A27A71">
        <w:rPr>
          <w:b/>
          <w:bCs/>
        </w:rPr>
        <w:t xml:space="preserve"> draft business plan of the Multilateral Fund</w:t>
      </w:r>
    </w:p>
    <w:p w:rsidR="00EA75C0" w:rsidRPr="00A27A71" w:rsidRDefault="00E26B33" w:rsidP="00EA75C0">
      <w:pPr>
        <w:pStyle w:val="Heading1"/>
      </w:pPr>
      <w:r w:rsidRPr="00A27A71">
        <w:t xml:space="preserve">UNIDO, </w:t>
      </w:r>
      <w:r w:rsidR="007F53A9" w:rsidRPr="00A27A71">
        <w:t>UNDP, UN Environment</w:t>
      </w:r>
      <w:r w:rsidR="00EA75C0" w:rsidRPr="00A27A71">
        <w:t xml:space="preserve">, and the Government of Germany are requesting </w:t>
      </w:r>
      <w:r w:rsidR="0013662C" w:rsidRPr="00A27A71">
        <w:t>US $</w:t>
      </w:r>
      <w:r w:rsidRPr="00A27A71">
        <w:t xml:space="preserve">10,954,863 </w:t>
      </w:r>
      <w:r w:rsidR="00EA75C0" w:rsidRPr="00A27A71">
        <w:t>plus</w:t>
      </w:r>
      <w:r w:rsidRPr="00A27A71">
        <w:t xml:space="preserve"> </w:t>
      </w:r>
      <w:r w:rsidR="00EA75C0" w:rsidRPr="00A27A71">
        <w:t xml:space="preserve">agency support costs for the implementation of </w:t>
      </w:r>
      <w:r w:rsidR="007F53A9" w:rsidRPr="00A27A71">
        <w:t>stage </w:t>
      </w:r>
      <w:r w:rsidR="00EA75C0" w:rsidRPr="00A27A71">
        <w:t>II of the HPMP. The total value requested of</w:t>
      </w:r>
      <w:r w:rsidRPr="00A27A71">
        <w:t xml:space="preserve"> </w:t>
      </w:r>
      <w:r w:rsidR="00EA75C0" w:rsidRPr="00A27A71">
        <w:t>US</w:t>
      </w:r>
      <w:r w:rsidR="008E0439" w:rsidRPr="00A27A71">
        <w:t> </w:t>
      </w:r>
      <w:r w:rsidR="00EA75C0" w:rsidRPr="00A27A71">
        <w:t>$</w:t>
      </w:r>
      <w:r w:rsidR="000F3199" w:rsidRPr="00A27A71">
        <w:t>10,137,024</w:t>
      </w:r>
      <w:r w:rsidRPr="00A27A71">
        <w:t xml:space="preserve"> </w:t>
      </w:r>
      <w:r w:rsidR="00EA75C0" w:rsidRPr="00A27A71">
        <w:t>for the period 201</w:t>
      </w:r>
      <w:r w:rsidRPr="00A27A71">
        <w:t xml:space="preserve">7 to 2019, is </w:t>
      </w:r>
      <w:r w:rsidR="0013662C" w:rsidRPr="00A27A71">
        <w:t>US $</w:t>
      </w:r>
      <w:r w:rsidR="00064056" w:rsidRPr="00A27A71">
        <w:t>4,227,209</w:t>
      </w:r>
      <w:r w:rsidR="00EA75C0" w:rsidRPr="00A27A71">
        <w:t xml:space="preserve"> </w:t>
      </w:r>
      <w:r w:rsidRPr="00A27A71">
        <w:t>below</w:t>
      </w:r>
      <w:r w:rsidR="00EA75C0" w:rsidRPr="00A27A71">
        <w:t xml:space="preserve"> the amount in the business plan</w:t>
      </w:r>
      <w:r w:rsidRPr="00A27A71">
        <w:t xml:space="preserve"> </w:t>
      </w:r>
      <w:r w:rsidR="00EA75C0" w:rsidRPr="00A27A71">
        <w:t>between 201</w:t>
      </w:r>
      <w:r w:rsidRPr="00A27A71">
        <w:t>7</w:t>
      </w:r>
      <w:r w:rsidR="00EA75C0" w:rsidRPr="00A27A71">
        <w:t xml:space="preserve"> and 201</w:t>
      </w:r>
      <w:r w:rsidRPr="00A27A71">
        <w:t>9</w:t>
      </w:r>
      <w:r w:rsidR="000F3199" w:rsidRPr="00A27A71">
        <w:t>.</w:t>
      </w:r>
    </w:p>
    <w:p w:rsidR="00C905D9" w:rsidRPr="00A27A71" w:rsidRDefault="00C905D9" w:rsidP="00C905D9">
      <w:pPr>
        <w:pStyle w:val="Style1"/>
        <w:numPr>
          <w:ilvl w:val="0"/>
          <w:numId w:val="0"/>
        </w:numPr>
        <w:spacing w:line="240" w:lineRule="auto"/>
        <w:rPr>
          <w:b/>
          <w:bCs/>
          <w:color w:val="000000" w:themeColor="text1"/>
          <w:szCs w:val="32"/>
        </w:rPr>
      </w:pPr>
      <w:r w:rsidRPr="00A27A71">
        <w:rPr>
          <w:b/>
          <w:bCs/>
          <w:color w:val="000000" w:themeColor="text1"/>
          <w:szCs w:val="32"/>
        </w:rPr>
        <w:t>Draft Agreement</w:t>
      </w:r>
    </w:p>
    <w:p w:rsidR="00C905D9" w:rsidRPr="00A27A71" w:rsidRDefault="00C905D9" w:rsidP="00C905D9">
      <w:pPr>
        <w:pStyle w:val="Style1"/>
        <w:numPr>
          <w:ilvl w:val="0"/>
          <w:numId w:val="0"/>
        </w:numPr>
        <w:spacing w:line="240" w:lineRule="auto"/>
        <w:rPr>
          <w:color w:val="000000" w:themeColor="text1"/>
          <w:szCs w:val="32"/>
          <w:u w:val="single"/>
        </w:rPr>
      </w:pPr>
    </w:p>
    <w:p w:rsidR="00C905D9" w:rsidRPr="00A27A71" w:rsidRDefault="00C905D9" w:rsidP="00C905D9">
      <w:pPr>
        <w:pStyle w:val="Heading1"/>
        <w:rPr>
          <w:u w:val="single"/>
        </w:rPr>
      </w:pPr>
      <w:r w:rsidRPr="00A27A71">
        <w:t xml:space="preserve">A draft Agreement between the Government of </w:t>
      </w:r>
      <w:r w:rsidR="00F46820" w:rsidRPr="00A27A71">
        <w:t>Egypt</w:t>
      </w:r>
      <w:r w:rsidRPr="00A27A71">
        <w:t xml:space="preserve"> and the Executive Committee for the phase</w:t>
      </w:r>
      <w:r w:rsidRPr="00A27A71">
        <w:noBreakHyphen/>
        <w:t xml:space="preserve">out of HCFCs in </w:t>
      </w:r>
      <w:r w:rsidR="00E61A05" w:rsidRPr="00A27A71">
        <w:t>stage </w:t>
      </w:r>
      <w:r w:rsidRPr="00A27A71">
        <w:t>II of the HPMP is contained in Annex</w:t>
      </w:r>
      <w:r w:rsidR="00E61A05" w:rsidRPr="00A27A71">
        <w:t> </w:t>
      </w:r>
      <w:r w:rsidRPr="00A27A71">
        <w:t>I to the present document.</w:t>
      </w:r>
    </w:p>
    <w:p w:rsidR="000264DF" w:rsidRPr="00A27A71" w:rsidRDefault="000264DF" w:rsidP="00C905D9">
      <w:pPr>
        <w:contextualSpacing/>
        <w:rPr>
          <w:b/>
          <w:bCs/>
          <w:color w:val="000000" w:themeColor="text1"/>
          <w:szCs w:val="32"/>
        </w:rPr>
      </w:pPr>
    </w:p>
    <w:p w:rsidR="00C905D9" w:rsidRPr="00A27A71" w:rsidRDefault="00C905D9" w:rsidP="00C905D9">
      <w:pPr>
        <w:contextualSpacing/>
        <w:rPr>
          <w:b/>
          <w:bCs/>
          <w:color w:val="000000" w:themeColor="text1"/>
          <w:szCs w:val="32"/>
        </w:rPr>
      </w:pPr>
      <w:r w:rsidRPr="00A27A71">
        <w:rPr>
          <w:b/>
          <w:bCs/>
          <w:color w:val="000000" w:themeColor="text1"/>
          <w:szCs w:val="32"/>
        </w:rPr>
        <w:t>RECOMMENDATION</w:t>
      </w:r>
    </w:p>
    <w:p w:rsidR="00C905D9" w:rsidRPr="00A27A71" w:rsidRDefault="00C905D9" w:rsidP="00C905D9">
      <w:pPr>
        <w:contextualSpacing/>
        <w:rPr>
          <w:color w:val="000000" w:themeColor="text1"/>
          <w:szCs w:val="32"/>
          <w:u w:val="single"/>
        </w:rPr>
      </w:pPr>
    </w:p>
    <w:p w:rsidR="00C905D9" w:rsidRPr="00A27A71" w:rsidRDefault="00C905D9" w:rsidP="00C905D9">
      <w:pPr>
        <w:pStyle w:val="Heading1"/>
        <w:rPr>
          <w:u w:val="single"/>
        </w:rPr>
      </w:pPr>
      <w:r w:rsidRPr="00A27A71">
        <w:t>The Executive Committee may wish to consider:</w:t>
      </w:r>
    </w:p>
    <w:p w:rsidR="00064056" w:rsidRPr="00A27A71" w:rsidRDefault="00C905D9" w:rsidP="00064056">
      <w:pPr>
        <w:widowControl w:val="0"/>
        <w:numPr>
          <w:ilvl w:val="1"/>
          <w:numId w:val="22"/>
        </w:numPr>
        <w:spacing w:after="240"/>
        <w:outlineLvl w:val="1"/>
      </w:pPr>
      <w:r w:rsidRPr="00A27A71">
        <w:t xml:space="preserve">Approving, in principle, </w:t>
      </w:r>
      <w:r w:rsidR="00E61A05" w:rsidRPr="00A27A71">
        <w:t>stage </w:t>
      </w:r>
      <w:r w:rsidRPr="00A27A71">
        <w:t>II of the HCFC phase</w:t>
      </w:r>
      <w:r w:rsidRPr="00A27A71">
        <w:noBreakHyphen/>
        <w:t xml:space="preserve">out management plan (HPMP) for </w:t>
      </w:r>
      <w:r w:rsidR="00F46820" w:rsidRPr="00A27A71">
        <w:t>Egypt</w:t>
      </w:r>
      <w:r w:rsidRPr="00A27A71">
        <w:t xml:space="preserve"> for the period from 20</w:t>
      </w:r>
      <w:r w:rsidR="00585D4E" w:rsidRPr="00A27A71">
        <w:t>17</w:t>
      </w:r>
      <w:r w:rsidRPr="00A27A71">
        <w:t xml:space="preserve"> to 20</w:t>
      </w:r>
      <w:r w:rsidR="00585D4E" w:rsidRPr="00A27A71">
        <w:t>25</w:t>
      </w:r>
      <w:r w:rsidRPr="00A27A71">
        <w:t xml:space="preserve"> to reduce HCFC consumption by </w:t>
      </w:r>
      <w:r w:rsidR="00D3593B" w:rsidRPr="00A27A71">
        <w:t>67.5</w:t>
      </w:r>
      <w:r w:rsidR="008E0439" w:rsidRPr="00A27A71">
        <w:t> </w:t>
      </w:r>
      <w:r w:rsidRPr="00A27A71">
        <w:t>per cent of its baseline,</w:t>
      </w:r>
      <w:r w:rsidR="00064056" w:rsidRPr="00A27A71">
        <w:t xml:space="preserve"> at the amount of US $11,786,341 consisting of US $5,996,841, plus agency support costs of US $419,779 for UNIDO; US $3,695,722, plus agency support costs of US $258,701 for UNDP; US $1,055,000, plus agency support costs of US $126,050 for UN Environment; and US $207,300, plus agency support costs of US $26,949 for the Government of Germany</w:t>
      </w:r>
      <w:r w:rsidR="00500B49" w:rsidRPr="00A27A71">
        <w:t>;</w:t>
      </w:r>
    </w:p>
    <w:p w:rsidR="00C905D9" w:rsidRPr="00A27A71" w:rsidRDefault="00C905D9" w:rsidP="00C905D9">
      <w:pPr>
        <w:widowControl w:val="0"/>
        <w:numPr>
          <w:ilvl w:val="1"/>
          <w:numId w:val="22"/>
        </w:numPr>
        <w:tabs>
          <w:tab w:val="clear" w:pos="0"/>
          <w:tab w:val="num" w:pos="90"/>
        </w:tabs>
        <w:spacing w:after="240"/>
        <w:outlineLvl w:val="1"/>
      </w:pPr>
      <w:r w:rsidRPr="00A27A71">
        <w:t xml:space="preserve">Noting that the Government of </w:t>
      </w:r>
      <w:r w:rsidR="00F46820" w:rsidRPr="00A27A71">
        <w:t>Egypt</w:t>
      </w:r>
      <w:r w:rsidRPr="00A27A71">
        <w:t xml:space="preserve"> has </w:t>
      </w:r>
      <w:r w:rsidR="00DE3DD5" w:rsidRPr="00A27A71">
        <w:t xml:space="preserve">also </w:t>
      </w:r>
      <w:r w:rsidRPr="00A27A71">
        <w:t xml:space="preserve">committed to reducing HCFC consumption by </w:t>
      </w:r>
      <w:r w:rsidR="00894E83" w:rsidRPr="00A27A71">
        <w:t>35</w:t>
      </w:r>
      <w:r w:rsidR="008E0439" w:rsidRPr="00A27A71">
        <w:t> </w:t>
      </w:r>
      <w:r w:rsidR="00894E83" w:rsidRPr="00A27A71">
        <w:t>per cent by 2020;</w:t>
      </w:r>
    </w:p>
    <w:p w:rsidR="00D14E53" w:rsidRPr="00A27A71" w:rsidRDefault="00C905D9" w:rsidP="005D1FF4">
      <w:pPr>
        <w:keepNext/>
        <w:keepLines/>
        <w:widowControl w:val="0"/>
        <w:numPr>
          <w:ilvl w:val="1"/>
          <w:numId w:val="22"/>
        </w:numPr>
        <w:tabs>
          <w:tab w:val="clear" w:pos="0"/>
          <w:tab w:val="num" w:pos="90"/>
        </w:tabs>
        <w:spacing w:after="240"/>
        <w:outlineLvl w:val="1"/>
      </w:pPr>
      <w:r w:rsidRPr="00A27A71">
        <w:lastRenderedPageBreak/>
        <w:t xml:space="preserve">Noting the commitment of the Government of </w:t>
      </w:r>
      <w:r w:rsidR="00F46820" w:rsidRPr="00A27A71">
        <w:t>Egypt</w:t>
      </w:r>
      <w:r w:rsidRPr="00A27A71">
        <w:t xml:space="preserve"> to</w:t>
      </w:r>
      <w:r w:rsidR="00D14E53" w:rsidRPr="00A27A71">
        <w:t>:</w:t>
      </w:r>
    </w:p>
    <w:p w:rsidR="00421C41" w:rsidRPr="00A27A71" w:rsidRDefault="00D14E53" w:rsidP="005D1FF4">
      <w:pPr>
        <w:keepNext/>
        <w:keepLines/>
        <w:widowControl w:val="0"/>
        <w:numPr>
          <w:ilvl w:val="2"/>
          <w:numId w:val="22"/>
        </w:numPr>
        <w:spacing w:after="240"/>
        <w:outlineLvl w:val="1"/>
      </w:pPr>
      <w:r w:rsidRPr="00A27A71">
        <w:t>B</w:t>
      </w:r>
      <w:r w:rsidR="00C905D9" w:rsidRPr="00A27A71">
        <w:t xml:space="preserve">an </w:t>
      </w:r>
      <w:r w:rsidRPr="00A27A71">
        <w:t xml:space="preserve">the </w:t>
      </w:r>
      <w:r w:rsidR="00C905D9" w:rsidRPr="00A27A71">
        <w:t>import of HCFC</w:t>
      </w:r>
      <w:r w:rsidR="00C905D9" w:rsidRPr="00A27A71">
        <w:noBreakHyphen/>
        <w:t xml:space="preserve">141b </w:t>
      </w:r>
      <w:r w:rsidRPr="00A27A71">
        <w:t>contained in imported pre-blended polyols by 1</w:t>
      </w:r>
      <w:r w:rsidR="008E0439" w:rsidRPr="00A27A71">
        <w:t> </w:t>
      </w:r>
      <w:r w:rsidRPr="00A27A71">
        <w:t>January 2018</w:t>
      </w:r>
      <w:r w:rsidR="00500B49" w:rsidRPr="00A27A71">
        <w:t xml:space="preserve"> pursuant to decision </w:t>
      </w:r>
      <w:r w:rsidR="002A4C05" w:rsidRPr="00A27A71">
        <w:t>65/38</w:t>
      </w:r>
      <w:r w:rsidRPr="00A27A71">
        <w:t>;</w:t>
      </w:r>
    </w:p>
    <w:p w:rsidR="00421C41" w:rsidRPr="00A27A71" w:rsidRDefault="0007647D" w:rsidP="00D14E53">
      <w:pPr>
        <w:widowControl w:val="0"/>
        <w:numPr>
          <w:ilvl w:val="2"/>
          <w:numId w:val="22"/>
        </w:numPr>
        <w:spacing w:after="240"/>
        <w:outlineLvl w:val="1"/>
      </w:pPr>
      <w:r w:rsidRPr="00A27A71">
        <w:t>Ban the import, use and export of HCFC-141b in bulk and export of HCFC-141b contained in pre-blended polyols by 1</w:t>
      </w:r>
      <w:r w:rsidR="008E0439" w:rsidRPr="00A27A71">
        <w:t> </w:t>
      </w:r>
      <w:r w:rsidRPr="00A27A71">
        <w:t>January 2020</w:t>
      </w:r>
      <w:r w:rsidR="00421C41" w:rsidRPr="00A27A71">
        <w:t>;</w:t>
      </w:r>
    </w:p>
    <w:p w:rsidR="00D14E53" w:rsidRPr="00A27A71" w:rsidRDefault="00421C41" w:rsidP="000F0199">
      <w:pPr>
        <w:keepNext/>
        <w:keepLines/>
        <w:widowControl w:val="0"/>
        <w:numPr>
          <w:ilvl w:val="2"/>
          <w:numId w:val="22"/>
        </w:numPr>
        <w:spacing w:after="240"/>
        <w:outlineLvl w:val="1"/>
      </w:pPr>
      <w:r w:rsidRPr="00A27A71">
        <w:t xml:space="preserve">Ban the </w:t>
      </w:r>
      <w:r w:rsidR="00B91799" w:rsidRPr="00A27A71">
        <w:t xml:space="preserve">use of HCFCs </w:t>
      </w:r>
      <w:r w:rsidR="00DE3DD5" w:rsidRPr="00A27A71">
        <w:t xml:space="preserve">and blends of HCFCs </w:t>
      </w:r>
      <w:r w:rsidR="00B91799" w:rsidRPr="00A27A71">
        <w:t>in the manufacture of</w:t>
      </w:r>
      <w:r w:rsidR="00500B49" w:rsidRPr="00A27A71">
        <w:t xml:space="preserve"> </w:t>
      </w:r>
      <w:r w:rsidR="00500B49" w:rsidRPr="00A27A71">
        <w:rPr>
          <w:rFonts w:eastAsia="Calibri"/>
        </w:rPr>
        <w:t>extruded polystyrene</w:t>
      </w:r>
      <w:r w:rsidR="00B91799" w:rsidRPr="00A27A71">
        <w:t xml:space="preserve"> foam by</w:t>
      </w:r>
      <w:r w:rsidR="00C870E3" w:rsidRPr="00A27A71">
        <w:t xml:space="preserve"> 1 January 2023</w:t>
      </w:r>
      <w:r w:rsidRPr="00A27A71">
        <w:t>;</w:t>
      </w:r>
      <w:r w:rsidR="007131C2" w:rsidRPr="00A27A71">
        <w:t xml:space="preserve"> and</w:t>
      </w:r>
    </w:p>
    <w:p w:rsidR="00C905D9" w:rsidRPr="00A27A71" w:rsidRDefault="00E563A7" w:rsidP="00D14E53">
      <w:pPr>
        <w:widowControl w:val="0"/>
        <w:numPr>
          <w:ilvl w:val="2"/>
          <w:numId w:val="22"/>
        </w:numPr>
        <w:spacing w:after="240"/>
        <w:outlineLvl w:val="1"/>
      </w:pPr>
      <w:r w:rsidRPr="00A27A71">
        <w:t>Ban the import of HCFC-142b and blends of HCFC-142b by 1 January 2023</w:t>
      </w:r>
      <w:r w:rsidR="00C905D9" w:rsidRPr="00A27A71">
        <w:t>;</w:t>
      </w:r>
    </w:p>
    <w:p w:rsidR="00D34018" w:rsidRPr="00A27A71" w:rsidRDefault="00D34018" w:rsidP="00D34018">
      <w:pPr>
        <w:widowControl w:val="0"/>
        <w:numPr>
          <w:ilvl w:val="1"/>
          <w:numId w:val="22"/>
        </w:numPr>
        <w:spacing w:after="240"/>
        <w:outlineLvl w:val="1"/>
      </w:pPr>
      <w:r w:rsidRPr="00A27A71">
        <w:t>To invite the Government of Egypt to submit, once a technology is selected and prior to 1</w:t>
      </w:r>
      <w:r w:rsidR="008E0439" w:rsidRPr="00A27A71">
        <w:t> </w:t>
      </w:r>
      <w:r w:rsidRPr="00A27A71">
        <w:t xml:space="preserve">January 2020, as part of </w:t>
      </w:r>
      <w:r w:rsidR="007F53A9" w:rsidRPr="00A27A71">
        <w:t>stage </w:t>
      </w:r>
      <w:r w:rsidRPr="00A27A71">
        <w:t>II, a proposal to convert the domestic air-conditioning sector to low-global warming potential alternatives;</w:t>
      </w:r>
    </w:p>
    <w:p w:rsidR="00D64BBE" w:rsidRPr="00A27A71" w:rsidRDefault="00D64BBE" w:rsidP="00D64BBE">
      <w:pPr>
        <w:widowControl w:val="0"/>
        <w:numPr>
          <w:ilvl w:val="1"/>
          <w:numId w:val="22"/>
        </w:numPr>
        <w:spacing w:after="240"/>
        <w:outlineLvl w:val="1"/>
      </w:pPr>
      <w:r w:rsidRPr="00A27A71">
        <w:t>To note that the Government of Egypt would have flexibility to allocate funding to the eligible enterprises in the polyurethane foam sector for which funding was not requested, if deemed necessary during implementation;</w:t>
      </w:r>
    </w:p>
    <w:p w:rsidR="00C905D9" w:rsidRPr="00A27A71" w:rsidRDefault="00C905D9" w:rsidP="00C905D9">
      <w:pPr>
        <w:widowControl w:val="0"/>
        <w:numPr>
          <w:ilvl w:val="1"/>
          <w:numId w:val="22"/>
        </w:numPr>
        <w:tabs>
          <w:tab w:val="clear" w:pos="0"/>
          <w:tab w:val="num" w:pos="90"/>
        </w:tabs>
        <w:spacing w:after="240"/>
        <w:outlineLvl w:val="1"/>
      </w:pPr>
      <w:r w:rsidRPr="00A27A71">
        <w:t xml:space="preserve">Deducting </w:t>
      </w:r>
      <w:r w:rsidR="00723402" w:rsidRPr="00A27A71">
        <w:t>14</w:t>
      </w:r>
      <w:r w:rsidR="006F578A" w:rsidRPr="00A27A71">
        <w:t>6.9</w:t>
      </w:r>
      <w:r w:rsidR="00723402" w:rsidRPr="00A27A71">
        <w:t>7</w:t>
      </w:r>
      <w:r w:rsidRPr="00A27A71">
        <w:t> ODP tonnes of HCFCs from the remaining HCFC consumption eligible for funding</w:t>
      </w:r>
      <w:r w:rsidR="006F578A" w:rsidRPr="00A27A71">
        <w:t>, including 4.4 ODP tonnes pursuant to decision</w:t>
      </w:r>
      <w:r w:rsidR="005D1FF4" w:rsidRPr="00A27A71">
        <w:t> </w:t>
      </w:r>
      <w:r w:rsidR="006F578A" w:rsidRPr="00A27A71">
        <w:t>76/40</w:t>
      </w:r>
      <w:r w:rsidRPr="00A27A71">
        <w:t xml:space="preserve">; </w:t>
      </w:r>
    </w:p>
    <w:p w:rsidR="00C905D9" w:rsidRPr="00A27A71" w:rsidRDefault="00C905D9" w:rsidP="00C905D9">
      <w:pPr>
        <w:widowControl w:val="0"/>
        <w:numPr>
          <w:ilvl w:val="1"/>
          <w:numId w:val="22"/>
        </w:numPr>
        <w:tabs>
          <w:tab w:val="clear" w:pos="0"/>
          <w:tab w:val="num" w:pos="90"/>
        </w:tabs>
        <w:spacing w:after="240"/>
        <w:outlineLvl w:val="1"/>
      </w:pPr>
      <w:r w:rsidRPr="00A27A71">
        <w:t xml:space="preserve">Approving the draft Agreement between the Government of </w:t>
      </w:r>
      <w:r w:rsidR="00F46820" w:rsidRPr="00A27A71">
        <w:t>Egypt</w:t>
      </w:r>
      <w:r w:rsidRPr="00A27A71">
        <w:t xml:space="preserve"> and the Executive Committee for the reduction in consumption of HCFCs, in accordance with </w:t>
      </w:r>
      <w:r w:rsidR="00E61A05" w:rsidRPr="00A27A71">
        <w:t>stage </w:t>
      </w:r>
      <w:r w:rsidRPr="00A27A71">
        <w:t>II of the HPMP, contained in Annex</w:t>
      </w:r>
      <w:r w:rsidR="00E61A05" w:rsidRPr="00A27A71">
        <w:t> </w:t>
      </w:r>
      <w:r w:rsidRPr="00A27A71">
        <w:t>I to the present document; and</w:t>
      </w:r>
    </w:p>
    <w:p w:rsidR="00E85409" w:rsidRPr="00A27A71" w:rsidRDefault="00C905D9" w:rsidP="007C7D63">
      <w:pPr>
        <w:widowControl w:val="0"/>
        <w:numPr>
          <w:ilvl w:val="1"/>
          <w:numId w:val="22"/>
        </w:numPr>
        <w:spacing w:after="240"/>
        <w:outlineLvl w:val="1"/>
      </w:pPr>
      <w:r w:rsidRPr="00A27A71">
        <w:t xml:space="preserve">Approving the first tranche of </w:t>
      </w:r>
      <w:r w:rsidR="00E61A05" w:rsidRPr="00A27A71">
        <w:t>stage </w:t>
      </w:r>
      <w:r w:rsidRPr="00A27A71">
        <w:t xml:space="preserve">II of the HPMP for </w:t>
      </w:r>
      <w:r w:rsidR="00F46820" w:rsidRPr="00A27A71">
        <w:t>Egypt</w:t>
      </w:r>
      <w:r w:rsidRPr="00A27A71">
        <w:t xml:space="preserve">, and the corresponding tranche implementation plans, </w:t>
      </w:r>
      <w:r w:rsidR="00500B49" w:rsidRPr="00A27A71">
        <w:t>in</w:t>
      </w:r>
      <w:r w:rsidRPr="00A27A71">
        <w:t xml:space="preserve"> the amount of </w:t>
      </w:r>
      <w:r w:rsidR="00500B49" w:rsidRPr="00A27A71">
        <w:t xml:space="preserve"> US $5,498,394, consisting of </w:t>
      </w:r>
      <w:r w:rsidRPr="00A27A71">
        <w:t>US $</w:t>
      </w:r>
      <w:r w:rsidR="007C7D63" w:rsidRPr="00A27A71">
        <w:t>3,921,047</w:t>
      </w:r>
      <w:r w:rsidR="00500B49" w:rsidRPr="00A27A71">
        <w:t>,</w:t>
      </w:r>
      <w:r w:rsidRPr="00A27A71">
        <w:t xml:space="preserve"> plus agen</w:t>
      </w:r>
      <w:bookmarkStart w:id="0" w:name="_GoBack"/>
      <w:bookmarkEnd w:id="0"/>
      <w:r w:rsidRPr="00A27A71">
        <w:t>cy support costs of US $</w:t>
      </w:r>
      <w:r w:rsidR="007C7D63" w:rsidRPr="00A27A71">
        <w:t>274,473</w:t>
      </w:r>
      <w:r w:rsidRPr="00A27A71">
        <w:t xml:space="preserve"> for </w:t>
      </w:r>
      <w:r w:rsidR="00585D4E" w:rsidRPr="00A27A71">
        <w:t>UNIDO, US $</w:t>
      </w:r>
      <w:r w:rsidR="007C7D63" w:rsidRPr="00A27A71">
        <w:t>945,617,</w:t>
      </w:r>
      <w:r w:rsidR="00585D4E" w:rsidRPr="00A27A71">
        <w:t xml:space="preserve"> plus agency support costs of US $</w:t>
      </w:r>
      <w:r w:rsidR="007C7D63" w:rsidRPr="00A27A71">
        <w:t>66,193</w:t>
      </w:r>
      <w:r w:rsidR="00585D4E" w:rsidRPr="00A27A71">
        <w:t xml:space="preserve"> for UNDP, </w:t>
      </w:r>
      <w:r w:rsidR="00EA75C0" w:rsidRPr="00A27A71">
        <w:t xml:space="preserve">and </w:t>
      </w:r>
      <w:r w:rsidR="00585D4E" w:rsidRPr="00A27A71">
        <w:t>US $</w:t>
      </w:r>
      <w:r w:rsidR="007C7D63" w:rsidRPr="00A27A71">
        <w:t>260,000</w:t>
      </w:r>
      <w:r w:rsidR="00585D4E" w:rsidRPr="00A27A71">
        <w:t>, plus agency support costs of US $</w:t>
      </w:r>
      <w:r w:rsidR="007C7D63" w:rsidRPr="00A27A71">
        <w:t>31,064</w:t>
      </w:r>
      <w:r w:rsidR="00585D4E" w:rsidRPr="00A27A71">
        <w:t xml:space="preserve"> for UN</w:t>
      </w:r>
      <w:r w:rsidR="00E61A05" w:rsidRPr="00A27A71">
        <w:t xml:space="preserve"> Environment</w:t>
      </w:r>
      <w:r w:rsidR="007C7D63" w:rsidRPr="00A27A71">
        <w:t>.</w:t>
      </w:r>
    </w:p>
    <w:p w:rsidR="00E85409" w:rsidRPr="00A27A71" w:rsidRDefault="00E85409" w:rsidP="004E7F9C"/>
    <w:p w:rsidR="00E61A05" w:rsidRPr="00A27A71" w:rsidRDefault="00E61A05" w:rsidP="004E7F9C"/>
    <w:p w:rsidR="00E61A05" w:rsidRPr="00A27A71" w:rsidRDefault="00E61A05" w:rsidP="004E7F9C"/>
    <w:p w:rsidR="00E61A05" w:rsidRPr="00A27A71" w:rsidRDefault="00E61A05" w:rsidP="004E7F9C">
      <w:pPr>
        <w:sectPr w:rsidR="00E61A05" w:rsidRPr="00A27A71" w:rsidSect="00B0239D">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pPr>
    </w:p>
    <w:p w:rsidR="00B14D07" w:rsidRPr="00A27A71" w:rsidRDefault="00B14D07" w:rsidP="00B14D07">
      <w:pPr>
        <w:jc w:val="center"/>
        <w:rPr>
          <w:b/>
        </w:rPr>
      </w:pPr>
      <w:r w:rsidRPr="00A27A71">
        <w:rPr>
          <w:b/>
        </w:rPr>
        <w:lastRenderedPageBreak/>
        <w:t>Annex I</w:t>
      </w:r>
    </w:p>
    <w:p w:rsidR="00B14D07" w:rsidRPr="00A27A71" w:rsidRDefault="00B14D07" w:rsidP="00B14D07">
      <w:pPr>
        <w:jc w:val="center"/>
        <w:rPr>
          <w:b/>
        </w:rPr>
      </w:pPr>
    </w:p>
    <w:p w:rsidR="00B14D07" w:rsidRPr="00A27A71" w:rsidRDefault="00B14D07" w:rsidP="00B14D07">
      <w:pPr>
        <w:jc w:val="center"/>
        <w:rPr>
          <w:b/>
        </w:rPr>
      </w:pPr>
      <w:r w:rsidRPr="00A27A71">
        <w:rPr>
          <w:b/>
        </w:rPr>
        <w:t>DRAFT AGREEMENT BETWEEN THE GOVERNMENT OF EGYPT AND THE EXECUTIVE COMMITTEE OF THE MULTILATERAL FUND FOR THE REDUCTION IN CONSUMPTION OF HYDROCHLOROFLUOROCARBONS IN ACCORDANCE WITH STAGE II OF THE HCFC PHASE-OUT MANAGEMENT PLAN</w:t>
      </w:r>
    </w:p>
    <w:p w:rsidR="00B14D07" w:rsidRPr="00A27A71" w:rsidRDefault="00B14D07" w:rsidP="00B14D07"/>
    <w:p w:rsidR="00B14D07" w:rsidRPr="00A27A71" w:rsidRDefault="00B14D07" w:rsidP="00B14D07">
      <w:pPr>
        <w:rPr>
          <w:b/>
        </w:rPr>
      </w:pPr>
      <w:r w:rsidRPr="00A27A71">
        <w:rPr>
          <w:b/>
        </w:rPr>
        <w:t>Purpose</w:t>
      </w:r>
    </w:p>
    <w:p w:rsidR="00B14D07" w:rsidRPr="00A27A71" w:rsidRDefault="00B14D07" w:rsidP="00B14D07"/>
    <w:p w:rsidR="00B14D07" w:rsidRPr="00A27A71" w:rsidRDefault="00B14D07" w:rsidP="00B14D07">
      <w:pPr>
        <w:pStyle w:val="Heading1"/>
        <w:numPr>
          <w:ilvl w:val="0"/>
          <w:numId w:val="30"/>
        </w:numPr>
      </w:pPr>
      <w:r w:rsidRPr="00A27A71">
        <w:t>This Agreement represents the understanding of the Government of Egypt (the “Country”) and the Executive Committee with respect to the reduction of controlled use of the ozone depleting substances (ODS) set out in Appendix 1-A (“The Substances”) to a sustained level of 125.54 ODP tonnes by 1 January 2025 in compliance with Montreal Protocol schedule.</w:t>
      </w:r>
    </w:p>
    <w:p w:rsidR="00B14D07" w:rsidRPr="00A27A71" w:rsidRDefault="00B14D07" w:rsidP="00B14D07">
      <w:pPr>
        <w:pStyle w:val="Heading1"/>
      </w:pPr>
      <w:r w:rsidRPr="00A27A71">
        <w:t>The Country agrees to meet the annual consumption limits of the Substances as set out in row 1.2 of Appendix 2-A (“The Targets, and Funding”) in this Agreement as well as in the Montreal Protocol reduction schedule for all Substances mentioned in Appendix 1-A. The Country accepts that, by its acceptance of this Agreement and performance by the Executive Committee of its funding obligations described in paragraph3, it is precluded from applying for or receiving further funding from the Multilateral Fund in respect to any consumption of the Substances that exceeds the level defined in row 1.2 of Appendix 2-A as the final reduction step under this Agreement for all of the Substances specified in Appendix 1-A, and in respect to any consumption of each of the Substances that exceeds the level defined in rows 4.1.3, 4.2.3, 4.3.3, 4.4.3 and 4.5.3 (remaining consumption eligible for funding).</w:t>
      </w:r>
    </w:p>
    <w:p w:rsidR="00B14D07" w:rsidRPr="00A27A71" w:rsidRDefault="00B14D07" w:rsidP="00B14D07">
      <w:pPr>
        <w:pStyle w:val="Heading1"/>
      </w:pPr>
      <w:r w:rsidRPr="00A27A71">
        <w:t>Subject to compliance by the Country with its obligations set out in this Agreement, the Executive Committee agrees, in principle, to provide the funding set out in row 3.1 of Appendix 2-A to the Country. The Executive Committee will, in principle, provide this funding at the Executive Committee meetings specified in Appendix 3-A (“Funding Approval Schedule”).</w:t>
      </w:r>
    </w:p>
    <w:p w:rsidR="00B14D07" w:rsidRPr="00A27A71" w:rsidRDefault="00B14D07" w:rsidP="00B14D07">
      <w:pPr>
        <w:pStyle w:val="Heading1"/>
      </w:pPr>
      <w:r w:rsidRPr="00A27A71">
        <w:t>The Country agrees to implement this Agreement in accordance with the stage II of the HCFC phase-out management plan (HPMP) approved (“the Plan”). In accordance with sub-paragraph 5(b) of this Agreement, the Country will accept independent verification of the achievement of the annual consumption limits of the Substances as set out in row 1.2 of Appendix 2-A of this Agreement. The aforementioned verification will be commissioned by the relevant bilateral or implementing agency.</w:t>
      </w:r>
    </w:p>
    <w:p w:rsidR="00B14D07" w:rsidRPr="00A27A71" w:rsidRDefault="00B14D07" w:rsidP="00B14D07">
      <w:pPr>
        <w:rPr>
          <w:b/>
        </w:rPr>
      </w:pPr>
      <w:r w:rsidRPr="00A27A71">
        <w:rPr>
          <w:b/>
        </w:rPr>
        <w:t>Conditions for funding release</w:t>
      </w:r>
    </w:p>
    <w:p w:rsidR="00B14D07" w:rsidRPr="00A27A71" w:rsidRDefault="00B14D07" w:rsidP="00B14D07"/>
    <w:p w:rsidR="00B14D07" w:rsidRPr="00A27A71" w:rsidRDefault="00B14D07" w:rsidP="00B14D07">
      <w:pPr>
        <w:pStyle w:val="Heading1"/>
      </w:pPr>
      <w:r w:rsidRPr="00A27A71">
        <w:t>The Executive Committee will only provide the Funding in accordance with the Funding Approval Schedule when the Country satisfies the following conditions at least eight weeks in advance of the applicable Executive Committee meeting set out in the Funding Approval Schedule:</w:t>
      </w:r>
    </w:p>
    <w:p w:rsidR="00B14D07" w:rsidRPr="00A27A71" w:rsidRDefault="00B14D07" w:rsidP="00B14D07">
      <w:pPr>
        <w:pStyle w:val="Heading2"/>
        <w:numPr>
          <w:ilvl w:val="1"/>
          <w:numId w:val="1"/>
        </w:numPr>
      </w:pPr>
      <w:r w:rsidRPr="00A27A71">
        <w:t>That the Country has met the Targets set out in row 1.2 of Appendix 2-A for all relevant years. Relevant years are all years since the year in which this Agreement was approved. Years for which there are no due country programme implementation reports at the date of the Executive Committee meeting at which the funding request is being presented are exempted;</w:t>
      </w:r>
    </w:p>
    <w:p w:rsidR="00B14D07" w:rsidRPr="00A27A71" w:rsidRDefault="00B14D07" w:rsidP="00B14D07">
      <w:pPr>
        <w:pStyle w:val="Heading2"/>
        <w:numPr>
          <w:ilvl w:val="1"/>
          <w:numId w:val="1"/>
        </w:numPr>
      </w:pPr>
      <w:r w:rsidRPr="00A27A71">
        <w:t>That the meeting of these Targets has been independently verified for all relevant years, unless the Executive Committee decided that such verification would not be required;</w:t>
      </w:r>
    </w:p>
    <w:p w:rsidR="00B14D07" w:rsidRPr="00A27A71" w:rsidRDefault="00B14D07" w:rsidP="00B14D07">
      <w:pPr>
        <w:pStyle w:val="Heading2"/>
        <w:keepNext/>
        <w:keepLines/>
        <w:numPr>
          <w:ilvl w:val="1"/>
          <w:numId w:val="1"/>
        </w:numPr>
      </w:pPr>
      <w:r w:rsidRPr="00A27A71">
        <w:lastRenderedPageBreak/>
        <w:t>That the Country had submitted a Tranche Implementation Report in the form of Appendix 4-A (“Format of Tranche Implementation Reports and Plans”) covering each previous calendar year; that it had achieved a significant level of implementation of activities initiated with previously approved tranches; and that the rate of disbursement of funding available from the previously approved tranche was more than 20 per cent; and</w:t>
      </w:r>
    </w:p>
    <w:p w:rsidR="00B14D07" w:rsidRPr="00A27A71" w:rsidRDefault="00B14D07" w:rsidP="00B14D07">
      <w:pPr>
        <w:pStyle w:val="Heading2"/>
        <w:numPr>
          <w:ilvl w:val="1"/>
          <w:numId w:val="1"/>
        </w:numPr>
      </w:pPr>
      <w:r w:rsidRPr="00A27A71">
        <w:t>That the Country has submitted a Tranche Implementation Plan in the form of Appendix 4-A covering each calendar year until and including the year for which the funding schedule foresees the submission of the next tranche or, in case of the final tranche, until completion of all activities foreseen.</w:t>
      </w:r>
    </w:p>
    <w:p w:rsidR="00B14D07" w:rsidRPr="00A27A71" w:rsidRDefault="00B14D07" w:rsidP="00B14D07">
      <w:pPr>
        <w:rPr>
          <w:b/>
        </w:rPr>
      </w:pPr>
      <w:r w:rsidRPr="00A27A71">
        <w:rPr>
          <w:b/>
        </w:rPr>
        <w:t>Monitoring</w:t>
      </w:r>
    </w:p>
    <w:p w:rsidR="00B14D07" w:rsidRPr="00A27A71" w:rsidRDefault="00B14D07" w:rsidP="00B14D07"/>
    <w:p w:rsidR="00B14D07" w:rsidRPr="00A27A71" w:rsidRDefault="00B14D07" w:rsidP="00B14D07">
      <w:pPr>
        <w:pStyle w:val="Heading1"/>
      </w:pPr>
      <w:r w:rsidRPr="00A27A71">
        <w:t>The Country will ensure that it conducts accurate monitoring of its activities under this Agreement. The institutions set out in Appendix 5-A (“Monitoring Institutions and Roles”) will monitor and report on implementation of the activities in the previous Tranche Implementation Plans in accordance with their roles and responsibilities set out in the same appendix.</w:t>
      </w:r>
    </w:p>
    <w:p w:rsidR="00B14D07" w:rsidRPr="00A27A71" w:rsidRDefault="00B14D07" w:rsidP="00B14D07">
      <w:pPr>
        <w:rPr>
          <w:b/>
        </w:rPr>
      </w:pPr>
      <w:r w:rsidRPr="00A27A71">
        <w:rPr>
          <w:b/>
        </w:rPr>
        <w:t>Flexibility in the reallocation of funds</w:t>
      </w:r>
    </w:p>
    <w:p w:rsidR="00B14D07" w:rsidRPr="00A27A71" w:rsidRDefault="00B14D07" w:rsidP="00B14D07"/>
    <w:p w:rsidR="00B14D07" w:rsidRPr="00A27A71" w:rsidRDefault="00B14D07" w:rsidP="00B14D07">
      <w:pPr>
        <w:pStyle w:val="Heading1"/>
      </w:pPr>
      <w:r w:rsidRPr="00A27A71">
        <w:t>The Executive Committee agrees that the Country may have the flexibility to reallocate part or all of the approved funds, according to the evolving circumstances to achieve the smoothest reduction of consumption and phase-out of the Substances specified in Appendix 1-A:</w:t>
      </w:r>
    </w:p>
    <w:p w:rsidR="00B14D07" w:rsidRPr="00A27A71" w:rsidRDefault="00B14D07" w:rsidP="00B14D07">
      <w:pPr>
        <w:pStyle w:val="Heading2"/>
        <w:numPr>
          <w:ilvl w:val="1"/>
          <w:numId w:val="1"/>
        </w:numPr>
      </w:pPr>
      <w:r w:rsidRPr="00A27A71">
        <w:t>Reallocations categorized as major changes must be documented in advance either in a Tranche Implementation Plan as foreseen in sub-paragraph 5(d) above, or as a revision to an existing Tranche Implementation Plan to be submitted eight weeks prior to any meeting of the Executive Committee, for its approval. Major changes would relate to:</w:t>
      </w:r>
    </w:p>
    <w:p w:rsidR="00B14D07" w:rsidRPr="00A27A71" w:rsidRDefault="00B14D07" w:rsidP="00B14D07">
      <w:pPr>
        <w:pStyle w:val="Heading3"/>
        <w:numPr>
          <w:ilvl w:val="2"/>
          <w:numId w:val="1"/>
        </w:numPr>
      </w:pPr>
      <w:r w:rsidRPr="00A27A71">
        <w:t xml:space="preserve">Issues potentially concerning the rules and policies of the Multilateral Fund; </w:t>
      </w:r>
    </w:p>
    <w:p w:rsidR="00B14D07" w:rsidRPr="00A27A71" w:rsidRDefault="00B14D07" w:rsidP="00B14D07">
      <w:pPr>
        <w:pStyle w:val="Heading3"/>
        <w:numPr>
          <w:ilvl w:val="2"/>
          <w:numId w:val="1"/>
        </w:numPr>
      </w:pPr>
      <w:r w:rsidRPr="00A27A71">
        <w:t xml:space="preserve">Changes which would modify any clause of this Agreement; </w:t>
      </w:r>
    </w:p>
    <w:p w:rsidR="00B14D07" w:rsidRPr="00A27A71" w:rsidRDefault="00B14D07" w:rsidP="00B14D07">
      <w:pPr>
        <w:pStyle w:val="Heading3"/>
        <w:numPr>
          <w:ilvl w:val="2"/>
          <w:numId w:val="1"/>
        </w:numPr>
      </w:pPr>
      <w:r w:rsidRPr="00A27A71">
        <w:t>Changes in the annual levels of funding allocated to individual bilateral or implementing agencies for the different tranches;</w:t>
      </w:r>
    </w:p>
    <w:p w:rsidR="00B14D07" w:rsidRPr="00A27A71" w:rsidRDefault="00B14D07" w:rsidP="00B14D07">
      <w:pPr>
        <w:pStyle w:val="Heading3"/>
        <w:numPr>
          <w:ilvl w:val="2"/>
          <w:numId w:val="1"/>
        </w:numPr>
      </w:pPr>
      <w:r w:rsidRPr="00A27A71">
        <w:t>Provision of funding for activities not included in the current endorsed Tranche Implementation Plan, or removal of an activity in the Tranche Implementation Plan, with a cost greater than 30 per cent of the total cost of the last approved tranche; and</w:t>
      </w:r>
    </w:p>
    <w:p w:rsidR="00B14D07" w:rsidRPr="00A27A71" w:rsidRDefault="00B14D07" w:rsidP="00B14D07">
      <w:pPr>
        <w:pStyle w:val="Heading3"/>
        <w:numPr>
          <w:ilvl w:val="2"/>
          <w:numId w:val="1"/>
        </w:numPr>
      </w:pPr>
      <w:r w:rsidRPr="00A27A71">
        <w:t>Changes in alternative technologies, on the understanding that any submission for such a request would identify the associated incremental costs, the potential impact to the climate, and any differences in ODP tonnes to be phased out if applicable, as well as confirm that the Country agrees that potential savings related to the change of technology would decrease the overall funding level under this Agreement accordingly;</w:t>
      </w:r>
    </w:p>
    <w:p w:rsidR="00B14D07" w:rsidRPr="00A27A71" w:rsidRDefault="00B14D07" w:rsidP="00B14D07">
      <w:pPr>
        <w:pStyle w:val="Heading2"/>
        <w:numPr>
          <w:ilvl w:val="1"/>
          <w:numId w:val="1"/>
        </w:numPr>
      </w:pPr>
      <w:r w:rsidRPr="00A27A71">
        <w:t>Reallocations not categorized as major changes may be incorporated in the approved Tranche Implementation Plan, under implementation at the time, and reported to the Executive Committee in the subsequent Tranche Implementation Report;</w:t>
      </w:r>
    </w:p>
    <w:p w:rsidR="00B14D07" w:rsidRPr="00A27A71" w:rsidRDefault="00B14D07" w:rsidP="00B14D07">
      <w:pPr>
        <w:pStyle w:val="Heading2"/>
        <w:keepNext/>
        <w:keepLines/>
        <w:numPr>
          <w:ilvl w:val="1"/>
          <w:numId w:val="1"/>
        </w:numPr>
      </w:pPr>
      <w:r w:rsidRPr="00A27A71">
        <w:lastRenderedPageBreak/>
        <w:t>Any enterprise to be converted to non-HCFC technology included in the Plan and that would be found to be ineligible under the policies of the Multilateral Fund (i.e., due to foreign ownership or establishment post the 21 September 2007 cut-off date), would not receive financial assistance. This information would be reported as part of the Tranche Implementation Plan;</w:t>
      </w:r>
    </w:p>
    <w:p w:rsidR="00B14D07" w:rsidRPr="00A27A71" w:rsidRDefault="00B14D07" w:rsidP="00B14D07">
      <w:pPr>
        <w:pStyle w:val="Heading2"/>
        <w:keepNext/>
        <w:keepLines/>
        <w:numPr>
          <w:ilvl w:val="1"/>
          <w:numId w:val="1"/>
        </w:numPr>
      </w:pPr>
      <w:r w:rsidRPr="00A27A71">
        <w:t>The Country agrees, in cases where HFC technologies have been chosen as an alternative to HCFCs, and taking into account national circumstances related to health and safety: to monitor the availability of substitutes and alternatives that further minimize impacts on the climate; to consider, in the review of regulations standards and incentives adequate provisions that encourage introduction of such alternatives; and to consider the potential for adoption of cost-effective alternatives that minimize the climate impact in the implementation of the HPMP, as appropriate, and inform the Executive Committee on the progress accordingly in tranche implementation reports; and</w:t>
      </w:r>
    </w:p>
    <w:p w:rsidR="00B14D07" w:rsidRPr="00A27A71" w:rsidRDefault="00B14D07" w:rsidP="00B14D07">
      <w:pPr>
        <w:pStyle w:val="Heading2"/>
        <w:numPr>
          <w:ilvl w:val="1"/>
          <w:numId w:val="1"/>
        </w:numPr>
      </w:pPr>
      <w:r w:rsidRPr="00A27A71">
        <w:t>Any remaining funds held by the bilateral or implementing agencies or the Country under the Plan will be returned to the Multilateral Fund upon completion of the last tranche foreseen under this Agreement.</w:t>
      </w:r>
    </w:p>
    <w:p w:rsidR="00B14D07" w:rsidRPr="00A27A71" w:rsidRDefault="00B14D07" w:rsidP="00B14D07">
      <w:pPr>
        <w:rPr>
          <w:b/>
        </w:rPr>
      </w:pPr>
      <w:r w:rsidRPr="00A27A71">
        <w:rPr>
          <w:b/>
        </w:rPr>
        <w:t>Considerations for the refrigeration servicing sector</w:t>
      </w:r>
    </w:p>
    <w:p w:rsidR="00B14D07" w:rsidRPr="00A27A71" w:rsidRDefault="00B14D07" w:rsidP="00B14D07"/>
    <w:p w:rsidR="00B14D07" w:rsidRPr="00A27A71" w:rsidRDefault="00B14D07" w:rsidP="00B14D07">
      <w:pPr>
        <w:pStyle w:val="Heading1"/>
      </w:pPr>
      <w:r w:rsidRPr="00A27A71">
        <w:t>Specific attention will be paid to the execution of the activities in the refrigeration servicing sector included in the Plan, in particular:</w:t>
      </w:r>
    </w:p>
    <w:p w:rsidR="00B14D07" w:rsidRPr="00A27A71" w:rsidRDefault="00B14D07" w:rsidP="00B14D07">
      <w:pPr>
        <w:pStyle w:val="Heading2"/>
        <w:numPr>
          <w:ilvl w:val="1"/>
          <w:numId w:val="1"/>
        </w:numPr>
      </w:pPr>
      <w:r w:rsidRPr="00A27A71">
        <w:t>The Country would use the flexibility available under this Agreement to address specific needs that might arise during project implementation; and</w:t>
      </w:r>
    </w:p>
    <w:p w:rsidR="00B14D07" w:rsidRPr="00A27A71" w:rsidRDefault="00B14D07" w:rsidP="00B14D07">
      <w:pPr>
        <w:pStyle w:val="Heading2"/>
        <w:numPr>
          <w:ilvl w:val="1"/>
          <w:numId w:val="1"/>
        </w:numPr>
      </w:pPr>
      <w:r w:rsidRPr="00A27A71">
        <w:t>The Country and relevant bilateral and/or implementing agencies would take into consideration relevant decisions on the refrigeration servicing sector during the implementation of the Plan.</w:t>
      </w:r>
    </w:p>
    <w:p w:rsidR="00B14D07" w:rsidRPr="00A27A71" w:rsidRDefault="00B14D07" w:rsidP="00B14D07">
      <w:pPr>
        <w:rPr>
          <w:b/>
        </w:rPr>
      </w:pPr>
      <w:r w:rsidRPr="00A27A71">
        <w:rPr>
          <w:b/>
        </w:rPr>
        <w:t>Bilateral and implementing agencies</w:t>
      </w:r>
    </w:p>
    <w:p w:rsidR="00B14D07" w:rsidRPr="00A27A71" w:rsidRDefault="00B14D07" w:rsidP="00B14D07"/>
    <w:p w:rsidR="00B14D07" w:rsidRPr="00A27A71" w:rsidRDefault="00B14D07" w:rsidP="00B14D07">
      <w:pPr>
        <w:pStyle w:val="Heading1"/>
      </w:pPr>
      <w:r w:rsidRPr="00A27A71">
        <w:t>The Country agrees to assume overall responsibility for the management and implementation of this Agreement and of all activities undertaken by it or on its behalf to fulfil the obligations under this Agreement.  UNIDO has agreed to be the lead implementing agency (the “Lead IA”) and UNDP, United Nations Environment Programme (UN Environment) and the Government of Germany have agreed to be the cooperating implementing agencies (the “Cooperating IAs”) under the lead of the Lead IA in respect of the Country’s activities under this Agreement. The Country agrees to evaluations, which might be carried out under the monitoring and evaluation work programmes of the Multilateral Fund or under the evaluation programme of the Lead IA and Cooperating IAs taking part in this Agreement.</w:t>
      </w:r>
    </w:p>
    <w:p w:rsidR="00B14D07" w:rsidRPr="00A27A71" w:rsidRDefault="00B14D07" w:rsidP="00B14D07">
      <w:pPr>
        <w:pStyle w:val="Heading1"/>
      </w:pPr>
      <w:r w:rsidRPr="00A27A71">
        <w:t>The Lead IA will be responsible for ensuring co-ordinated planning, implementation and reporting of all activities under this Agreement, including but not limited to independent verification as per sub-paragraph 5(b). The Cooperating IAs will support the Lead IA by implementing the Plan under the overall co-ordination of the Lead IA. The roles of the Lead IA and Cooperating IAs are contained in Appendix 6-A and Appendix 6-B, respectively. The Executive Committee agrees, in principle, to provide the Lead IA and the Cooperating IAs with the fees set out in rows 2.2, 2.4, 2.6 and 2.8 of Appendix 2-A.</w:t>
      </w:r>
    </w:p>
    <w:p w:rsidR="00B14D07" w:rsidRPr="00A27A71" w:rsidRDefault="00B14D07" w:rsidP="00B14D07">
      <w:pPr>
        <w:keepNext/>
        <w:keepLines/>
        <w:rPr>
          <w:b/>
        </w:rPr>
      </w:pPr>
      <w:r w:rsidRPr="00A27A71">
        <w:rPr>
          <w:b/>
        </w:rPr>
        <w:lastRenderedPageBreak/>
        <w:t>Non-compliance with the Agreement</w:t>
      </w:r>
    </w:p>
    <w:p w:rsidR="00B14D07" w:rsidRPr="00A27A71" w:rsidRDefault="00B14D07" w:rsidP="00B14D07">
      <w:pPr>
        <w:keepNext/>
        <w:keepLines/>
      </w:pPr>
    </w:p>
    <w:p w:rsidR="00B14D07" w:rsidRPr="00A27A71" w:rsidRDefault="00B14D07" w:rsidP="00B14D07">
      <w:pPr>
        <w:pStyle w:val="Heading1"/>
        <w:keepNext/>
        <w:keepLines/>
      </w:pPr>
      <w:r w:rsidRPr="00A27A71">
        <w:t>Should the Country, for any reason, not meet the Targets for the elimination of the Substances set out in row 1.2 of Appendix 2-A or otherwise does not comply with this Agreement, then the Country agrees that it will not be entitled to the Funding in accordance with the Funding Approval Schedule. At the discretion of the Executive Committee, funding will be reinstated according to a revised Funding Approval Schedule determined by the Executive Committee after the Country has demonstrated that it has satisfied all of its obligations that were due to be met prior to receipt of the next tranche of funding under the Funding Approval Schedule. The Country acknowledges that the Executive Committee may reduce the amount of the Funding by the amount set out in Appendix 7-A (“Reductions in Funding for Failure to Comply”) in respect of each ODP kg of reductions in consumption not achieved in any one year. The Executive Committee will discuss each specific case in which the Country did not comply with this Agreement, and take related decisions. Once decisions are taken, the specific case of non-compliance with this Agreement will not be an impediment for the provision of funding for future tranches as per paragraph 5 above.</w:t>
      </w:r>
    </w:p>
    <w:p w:rsidR="00B14D07" w:rsidRPr="00A27A71" w:rsidRDefault="00B14D07" w:rsidP="00B14D07">
      <w:pPr>
        <w:pStyle w:val="Heading1"/>
      </w:pPr>
      <w:r w:rsidRPr="00A27A71">
        <w:t>The Funding of this Agreement will not be modified on the basis of any future Executive Committee decisions that may affect the funding of any other consumption sector projects or any other related activities in the Country.</w:t>
      </w:r>
    </w:p>
    <w:p w:rsidR="00B14D07" w:rsidRPr="00A27A71" w:rsidRDefault="00B14D07" w:rsidP="00B14D07">
      <w:pPr>
        <w:pStyle w:val="Heading1"/>
      </w:pPr>
      <w:r w:rsidRPr="00A27A71">
        <w:t>The Country will comply with any reasonable request of the Executive Committee, and the Lead IA and the Cooperating IAs to facilitate implementation of this Agreement. In particular, it will provide the Lead IA and the Cooperating IAs with access to the information necessary to verify compliance with this Agreement.</w:t>
      </w:r>
    </w:p>
    <w:p w:rsidR="00B14D07" w:rsidRPr="00A27A71" w:rsidRDefault="00B14D07" w:rsidP="00B14D07">
      <w:pPr>
        <w:rPr>
          <w:b/>
        </w:rPr>
      </w:pPr>
      <w:r w:rsidRPr="00A27A71">
        <w:rPr>
          <w:b/>
        </w:rPr>
        <w:t>Date of completion</w:t>
      </w:r>
    </w:p>
    <w:p w:rsidR="00B14D07" w:rsidRPr="00A27A71" w:rsidRDefault="00B14D07" w:rsidP="00B14D07"/>
    <w:p w:rsidR="00B14D07" w:rsidRPr="00A27A71" w:rsidRDefault="00B14D07" w:rsidP="00B14D07">
      <w:pPr>
        <w:pStyle w:val="Heading1"/>
      </w:pPr>
      <w:r w:rsidRPr="00A27A71">
        <w:t>The completion of the Plan and the associated Agreement will take place at the end of the year following the last year for which a maximum allowable total consumption level has been specified in Appendix 2-A. Should at that time there still be activities that are outstanding, and which were foreseen in the last Tranche Implementation Plan and its subsequent revisions as per sub-paragraph 5(d) and paragraph 7, the completion of the Plan will be delayed until the end of the year following the implementation of the remaining activities. The reporting requirements as per sub-paragraphs 1(a), 1(b), 1(d), and 1(e) of Appendix 4-A will continue until the time of the completion of the Plan unless otherwise specified by the Executive Committee.</w:t>
      </w:r>
    </w:p>
    <w:p w:rsidR="00B14D07" w:rsidRPr="00A27A71" w:rsidRDefault="00B14D07" w:rsidP="00B14D07">
      <w:pPr>
        <w:rPr>
          <w:b/>
        </w:rPr>
      </w:pPr>
      <w:r w:rsidRPr="00A27A71">
        <w:rPr>
          <w:b/>
        </w:rPr>
        <w:t>Validity</w:t>
      </w:r>
    </w:p>
    <w:p w:rsidR="00B14D07" w:rsidRPr="00A27A71" w:rsidRDefault="00B14D07" w:rsidP="00B14D07"/>
    <w:p w:rsidR="00B14D07" w:rsidRPr="00A27A71" w:rsidRDefault="00B14D07" w:rsidP="00B14D07">
      <w:pPr>
        <w:pStyle w:val="Heading1"/>
      </w:pPr>
      <w:r w:rsidRPr="00A27A71">
        <w:t>All of the conditions set out in this Agreement are undertaken solely within the context of the Montreal Protocol and as specified in this Agreement.  All terms used in this Agreement have the meaning ascribed to them in the Montreal Protocol unless otherwise defined herein.</w:t>
      </w:r>
    </w:p>
    <w:p w:rsidR="00B14D07" w:rsidRPr="00A27A71" w:rsidRDefault="00B14D07" w:rsidP="00B14D07">
      <w:pPr>
        <w:pStyle w:val="Heading1"/>
      </w:pPr>
      <w:r w:rsidRPr="00A27A71">
        <w:t>This Agreement may be modified or terminated only by mutual written agreement of the Country and the Executive Committee of the Multilateral Fund.</w:t>
      </w:r>
    </w:p>
    <w:p w:rsidR="00B14D07" w:rsidRPr="00A27A71" w:rsidRDefault="00B14D07" w:rsidP="00B14D07"/>
    <w:p w:rsidR="00B14D07" w:rsidRPr="00A27A71" w:rsidRDefault="00B14D07" w:rsidP="00B14D07">
      <w:pPr>
        <w:keepNext/>
        <w:keepLines/>
        <w:rPr>
          <w:b/>
        </w:rPr>
      </w:pPr>
      <w:r w:rsidRPr="00A27A71">
        <w:rPr>
          <w:b/>
        </w:rPr>
        <w:lastRenderedPageBreak/>
        <w:t xml:space="preserve">APPENDICES </w:t>
      </w:r>
    </w:p>
    <w:p w:rsidR="00B14D07" w:rsidRPr="00A27A71" w:rsidRDefault="00B14D07" w:rsidP="00B14D07">
      <w:pPr>
        <w:keepNext/>
        <w:keepLines/>
        <w:rPr>
          <w:b/>
        </w:rPr>
      </w:pPr>
    </w:p>
    <w:p w:rsidR="00B14D07" w:rsidRPr="00A27A71" w:rsidRDefault="00B14D07" w:rsidP="00B14D07">
      <w:pPr>
        <w:keepNext/>
        <w:keepLines/>
        <w:rPr>
          <w:b/>
        </w:rPr>
      </w:pPr>
      <w:r w:rsidRPr="00A27A71">
        <w:rPr>
          <w:b/>
        </w:rPr>
        <w:t>APPENDIX 1-A: THE SUBSTANCES</w:t>
      </w:r>
    </w:p>
    <w:p w:rsidR="00B14D07" w:rsidRPr="00A27A71" w:rsidRDefault="00B14D07" w:rsidP="00B14D07">
      <w:pPr>
        <w:keepNext/>
        <w:keepLines/>
      </w:pPr>
    </w:p>
    <w:tbl>
      <w:tblPr>
        <w:tblW w:w="5012" w:type="pct"/>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822"/>
        <w:gridCol w:w="829"/>
        <w:gridCol w:w="3592"/>
      </w:tblGrid>
      <w:tr w:rsidR="00B14D07" w:rsidRPr="00A27A71" w:rsidTr="00F76143">
        <w:trPr>
          <w:trHeight w:val="413"/>
          <w:jc w:val="center"/>
        </w:trPr>
        <w:tc>
          <w:tcPr>
            <w:tcW w:w="2269" w:type="pct"/>
            <w:shd w:val="clear" w:color="auto" w:fill="auto"/>
          </w:tcPr>
          <w:p w:rsidR="00B14D07" w:rsidRPr="00A27A71" w:rsidRDefault="00B14D07" w:rsidP="00F76143">
            <w:pPr>
              <w:keepNext/>
              <w:keepLines/>
              <w:jc w:val="center"/>
              <w:rPr>
                <w:sz w:val="20"/>
                <w:szCs w:val="20"/>
              </w:rPr>
            </w:pPr>
            <w:r w:rsidRPr="00A27A71">
              <w:rPr>
                <w:sz w:val="20"/>
                <w:szCs w:val="20"/>
              </w:rPr>
              <w:t>Substance</w:t>
            </w:r>
          </w:p>
        </w:tc>
        <w:tc>
          <w:tcPr>
            <w:tcW w:w="428" w:type="pct"/>
            <w:shd w:val="clear" w:color="auto" w:fill="auto"/>
          </w:tcPr>
          <w:p w:rsidR="00B14D07" w:rsidRPr="00A27A71" w:rsidRDefault="00B14D07" w:rsidP="00F76143">
            <w:pPr>
              <w:keepNext/>
              <w:keepLines/>
              <w:jc w:val="center"/>
              <w:rPr>
                <w:sz w:val="20"/>
                <w:szCs w:val="20"/>
              </w:rPr>
            </w:pPr>
            <w:r w:rsidRPr="00A27A71">
              <w:rPr>
                <w:sz w:val="20"/>
                <w:szCs w:val="20"/>
              </w:rPr>
              <w:t>Annex</w:t>
            </w:r>
          </w:p>
        </w:tc>
        <w:tc>
          <w:tcPr>
            <w:tcW w:w="432" w:type="pct"/>
            <w:shd w:val="clear" w:color="auto" w:fill="auto"/>
          </w:tcPr>
          <w:p w:rsidR="00B14D07" w:rsidRPr="00A27A71" w:rsidRDefault="00B14D07" w:rsidP="00F76143">
            <w:pPr>
              <w:keepNext/>
              <w:keepLines/>
              <w:jc w:val="center"/>
              <w:rPr>
                <w:sz w:val="20"/>
                <w:szCs w:val="20"/>
              </w:rPr>
            </w:pPr>
            <w:r w:rsidRPr="00A27A71">
              <w:rPr>
                <w:sz w:val="20"/>
                <w:szCs w:val="20"/>
              </w:rPr>
              <w:t>Group</w:t>
            </w:r>
          </w:p>
        </w:tc>
        <w:tc>
          <w:tcPr>
            <w:tcW w:w="1871" w:type="pct"/>
            <w:shd w:val="clear" w:color="auto" w:fill="auto"/>
          </w:tcPr>
          <w:p w:rsidR="00B14D07" w:rsidRPr="00A27A71" w:rsidRDefault="00B14D07" w:rsidP="00F76143">
            <w:pPr>
              <w:keepNext/>
              <w:keepLines/>
              <w:jc w:val="center"/>
              <w:rPr>
                <w:sz w:val="20"/>
                <w:szCs w:val="20"/>
              </w:rPr>
            </w:pPr>
            <w:r w:rsidRPr="00A27A71">
              <w:rPr>
                <w:sz w:val="20"/>
                <w:szCs w:val="20"/>
              </w:rPr>
              <w:t>Starting point for aggregate reductions in consumption (ODP tonnes)</w:t>
            </w:r>
          </w:p>
        </w:tc>
      </w:tr>
      <w:tr w:rsidR="00B14D07" w:rsidRPr="00A27A71" w:rsidTr="00F76143">
        <w:trPr>
          <w:jc w:val="center"/>
        </w:trPr>
        <w:tc>
          <w:tcPr>
            <w:tcW w:w="2269" w:type="pct"/>
            <w:shd w:val="clear" w:color="auto" w:fill="auto"/>
          </w:tcPr>
          <w:p w:rsidR="00B14D07" w:rsidRPr="00A27A71" w:rsidRDefault="00B14D07" w:rsidP="00F76143">
            <w:pPr>
              <w:keepNext/>
              <w:rPr>
                <w:sz w:val="20"/>
                <w:szCs w:val="20"/>
              </w:rPr>
            </w:pPr>
            <w:r w:rsidRPr="00A27A71">
              <w:rPr>
                <w:sz w:val="20"/>
                <w:szCs w:val="20"/>
              </w:rPr>
              <w:t>HCFC-22</w:t>
            </w:r>
          </w:p>
        </w:tc>
        <w:tc>
          <w:tcPr>
            <w:tcW w:w="428" w:type="pct"/>
            <w:shd w:val="clear" w:color="auto" w:fill="auto"/>
          </w:tcPr>
          <w:p w:rsidR="00B14D07" w:rsidRPr="00A27A71" w:rsidRDefault="00B14D07" w:rsidP="00F76143">
            <w:pPr>
              <w:keepNext/>
              <w:rPr>
                <w:sz w:val="20"/>
                <w:szCs w:val="20"/>
              </w:rPr>
            </w:pPr>
            <w:r w:rsidRPr="00A27A71">
              <w:rPr>
                <w:sz w:val="20"/>
                <w:szCs w:val="20"/>
              </w:rPr>
              <w:t>C</w:t>
            </w:r>
          </w:p>
        </w:tc>
        <w:tc>
          <w:tcPr>
            <w:tcW w:w="432" w:type="pct"/>
            <w:shd w:val="clear" w:color="auto" w:fill="auto"/>
          </w:tcPr>
          <w:p w:rsidR="00B14D07" w:rsidRPr="00A27A71" w:rsidRDefault="00B14D07" w:rsidP="00F76143">
            <w:pPr>
              <w:keepNext/>
              <w:rPr>
                <w:sz w:val="20"/>
                <w:szCs w:val="20"/>
              </w:rPr>
            </w:pPr>
            <w:r w:rsidRPr="00A27A71">
              <w:rPr>
                <w:sz w:val="20"/>
                <w:szCs w:val="20"/>
              </w:rPr>
              <w:t>I</w:t>
            </w:r>
          </w:p>
        </w:tc>
        <w:tc>
          <w:tcPr>
            <w:tcW w:w="1871" w:type="pct"/>
            <w:shd w:val="clear" w:color="auto" w:fill="auto"/>
          </w:tcPr>
          <w:p w:rsidR="00B14D07" w:rsidRPr="00A27A71" w:rsidRDefault="00B14D07" w:rsidP="00F76143">
            <w:pPr>
              <w:jc w:val="right"/>
              <w:rPr>
                <w:color w:val="000000"/>
                <w:sz w:val="20"/>
                <w:szCs w:val="20"/>
              </w:rPr>
            </w:pPr>
            <w:r w:rsidRPr="00A27A71">
              <w:rPr>
                <w:color w:val="000000"/>
                <w:sz w:val="20"/>
                <w:szCs w:val="20"/>
              </w:rPr>
              <w:t>240.19</w:t>
            </w:r>
          </w:p>
        </w:tc>
      </w:tr>
      <w:tr w:rsidR="00B14D07" w:rsidRPr="00A27A71" w:rsidTr="00F76143">
        <w:tblPrEx>
          <w:tblLook w:val="0000" w:firstRow="0" w:lastRow="0" w:firstColumn="0" w:lastColumn="0" w:noHBand="0" w:noVBand="0"/>
        </w:tblPrEx>
        <w:trPr>
          <w:jc w:val="center"/>
        </w:trPr>
        <w:tc>
          <w:tcPr>
            <w:tcW w:w="2269" w:type="pct"/>
            <w:shd w:val="clear" w:color="auto" w:fill="auto"/>
          </w:tcPr>
          <w:p w:rsidR="00B14D07" w:rsidRPr="00A27A71" w:rsidRDefault="00B14D07" w:rsidP="00F76143">
            <w:pPr>
              <w:keepNext/>
              <w:rPr>
                <w:sz w:val="20"/>
                <w:szCs w:val="20"/>
              </w:rPr>
            </w:pPr>
            <w:r w:rsidRPr="00A27A71">
              <w:rPr>
                <w:sz w:val="20"/>
                <w:szCs w:val="20"/>
              </w:rPr>
              <w:t>HCFC-123</w:t>
            </w:r>
          </w:p>
        </w:tc>
        <w:tc>
          <w:tcPr>
            <w:tcW w:w="428" w:type="pct"/>
            <w:shd w:val="clear" w:color="auto" w:fill="auto"/>
          </w:tcPr>
          <w:p w:rsidR="00B14D07" w:rsidRPr="00A27A71" w:rsidRDefault="00B14D07" w:rsidP="00F76143">
            <w:pPr>
              <w:keepNext/>
              <w:rPr>
                <w:sz w:val="20"/>
                <w:szCs w:val="20"/>
              </w:rPr>
            </w:pPr>
            <w:r w:rsidRPr="00A27A71">
              <w:rPr>
                <w:sz w:val="20"/>
                <w:szCs w:val="20"/>
              </w:rPr>
              <w:t>C</w:t>
            </w:r>
          </w:p>
        </w:tc>
        <w:tc>
          <w:tcPr>
            <w:tcW w:w="432" w:type="pct"/>
            <w:shd w:val="clear" w:color="auto" w:fill="auto"/>
          </w:tcPr>
          <w:p w:rsidR="00B14D07" w:rsidRPr="00A27A71" w:rsidRDefault="00B14D07" w:rsidP="00F76143">
            <w:pPr>
              <w:keepNext/>
              <w:rPr>
                <w:sz w:val="20"/>
                <w:szCs w:val="20"/>
              </w:rPr>
            </w:pPr>
            <w:r w:rsidRPr="00A27A71">
              <w:rPr>
                <w:sz w:val="20"/>
                <w:szCs w:val="20"/>
              </w:rPr>
              <w:t>I</w:t>
            </w:r>
          </w:p>
        </w:tc>
        <w:tc>
          <w:tcPr>
            <w:tcW w:w="1871" w:type="pct"/>
            <w:shd w:val="clear" w:color="auto" w:fill="auto"/>
          </w:tcPr>
          <w:p w:rsidR="00B14D07" w:rsidRPr="00A27A71" w:rsidRDefault="00B14D07" w:rsidP="00F76143">
            <w:pPr>
              <w:jc w:val="right"/>
              <w:rPr>
                <w:color w:val="000000"/>
                <w:sz w:val="20"/>
                <w:szCs w:val="20"/>
              </w:rPr>
            </w:pPr>
            <w:r w:rsidRPr="00A27A71">
              <w:rPr>
                <w:color w:val="000000"/>
                <w:sz w:val="20"/>
                <w:szCs w:val="20"/>
              </w:rPr>
              <w:t>0.11</w:t>
            </w:r>
          </w:p>
        </w:tc>
      </w:tr>
      <w:tr w:rsidR="00B14D07" w:rsidRPr="00A27A71" w:rsidTr="00F76143">
        <w:tblPrEx>
          <w:tblLook w:val="0000" w:firstRow="0" w:lastRow="0" w:firstColumn="0" w:lastColumn="0" w:noHBand="0" w:noVBand="0"/>
        </w:tblPrEx>
        <w:trPr>
          <w:jc w:val="center"/>
        </w:trPr>
        <w:tc>
          <w:tcPr>
            <w:tcW w:w="2269" w:type="pct"/>
            <w:shd w:val="clear" w:color="auto" w:fill="auto"/>
          </w:tcPr>
          <w:p w:rsidR="00B14D07" w:rsidRPr="00A27A71" w:rsidRDefault="00B14D07" w:rsidP="00F76143">
            <w:pPr>
              <w:keepNext/>
              <w:rPr>
                <w:sz w:val="20"/>
                <w:szCs w:val="20"/>
              </w:rPr>
            </w:pPr>
            <w:r w:rsidRPr="00A27A71">
              <w:rPr>
                <w:sz w:val="20"/>
                <w:szCs w:val="20"/>
              </w:rPr>
              <w:t>HCFC-141b</w:t>
            </w:r>
          </w:p>
        </w:tc>
        <w:tc>
          <w:tcPr>
            <w:tcW w:w="428" w:type="pct"/>
            <w:shd w:val="clear" w:color="auto" w:fill="auto"/>
          </w:tcPr>
          <w:p w:rsidR="00B14D07" w:rsidRPr="00A27A71" w:rsidRDefault="00B14D07" w:rsidP="00F76143">
            <w:pPr>
              <w:keepNext/>
              <w:rPr>
                <w:sz w:val="20"/>
                <w:szCs w:val="20"/>
              </w:rPr>
            </w:pPr>
            <w:r w:rsidRPr="00A27A71">
              <w:rPr>
                <w:sz w:val="20"/>
                <w:szCs w:val="20"/>
              </w:rPr>
              <w:t>C</w:t>
            </w:r>
          </w:p>
        </w:tc>
        <w:tc>
          <w:tcPr>
            <w:tcW w:w="432" w:type="pct"/>
            <w:shd w:val="clear" w:color="auto" w:fill="auto"/>
          </w:tcPr>
          <w:p w:rsidR="00B14D07" w:rsidRPr="00A27A71" w:rsidRDefault="00B14D07" w:rsidP="00F76143">
            <w:pPr>
              <w:keepNext/>
              <w:rPr>
                <w:sz w:val="20"/>
                <w:szCs w:val="20"/>
              </w:rPr>
            </w:pPr>
            <w:r w:rsidRPr="00A27A71">
              <w:rPr>
                <w:sz w:val="20"/>
                <w:szCs w:val="20"/>
              </w:rPr>
              <w:t>I</w:t>
            </w:r>
          </w:p>
        </w:tc>
        <w:tc>
          <w:tcPr>
            <w:tcW w:w="1871" w:type="pct"/>
            <w:shd w:val="clear" w:color="auto" w:fill="auto"/>
          </w:tcPr>
          <w:p w:rsidR="00B14D07" w:rsidRPr="00A27A71" w:rsidRDefault="00B14D07" w:rsidP="00F76143">
            <w:pPr>
              <w:jc w:val="right"/>
              <w:rPr>
                <w:color w:val="000000"/>
                <w:sz w:val="20"/>
                <w:szCs w:val="20"/>
              </w:rPr>
            </w:pPr>
            <w:r w:rsidRPr="00A27A71">
              <w:rPr>
                <w:color w:val="000000"/>
                <w:sz w:val="20"/>
                <w:szCs w:val="20"/>
              </w:rPr>
              <w:t>129.61</w:t>
            </w:r>
          </w:p>
        </w:tc>
      </w:tr>
      <w:tr w:rsidR="00B14D07" w:rsidRPr="00A27A71" w:rsidTr="00F76143">
        <w:tblPrEx>
          <w:tblLook w:val="0000" w:firstRow="0" w:lastRow="0" w:firstColumn="0" w:lastColumn="0" w:noHBand="0" w:noVBand="0"/>
        </w:tblPrEx>
        <w:trPr>
          <w:jc w:val="center"/>
        </w:trPr>
        <w:tc>
          <w:tcPr>
            <w:tcW w:w="2269" w:type="pct"/>
            <w:shd w:val="clear" w:color="auto" w:fill="auto"/>
          </w:tcPr>
          <w:p w:rsidR="00B14D07" w:rsidRPr="00A27A71" w:rsidRDefault="00B14D07" w:rsidP="00F76143">
            <w:pPr>
              <w:keepNext/>
              <w:rPr>
                <w:sz w:val="20"/>
                <w:szCs w:val="20"/>
              </w:rPr>
            </w:pPr>
            <w:r w:rsidRPr="00A27A71">
              <w:rPr>
                <w:sz w:val="20"/>
                <w:szCs w:val="20"/>
              </w:rPr>
              <w:t>HCFC-142b</w:t>
            </w:r>
          </w:p>
        </w:tc>
        <w:tc>
          <w:tcPr>
            <w:tcW w:w="428" w:type="pct"/>
            <w:shd w:val="clear" w:color="auto" w:fill="auto"/>
          </w:tcPr>
          <w:p w:rsidR="00B14D07" w:rsidRPr="00A27A71" w:rsidRDefault="00B14D07" w:rsidP="00F76143">
            <w:pPr>
              <w:keepNext/>
              <w:rPr>
                <w:sz w:val="20"/>
                <w:szCs w:val="20"/>
              </w:rPr>
            </w:pPr>
            <w:r w:rsidRPr="00A27A71">
              <w:rPr>
                <w:sz w:val="20"/>
                <w:szCs w:val="20"/>
              </w:rPr>
              <w:t>C</w:t>
            </w:r>
          </w:p>
        </w:tc>
        <w:tc>
          <w:tcPr>
            <w:tcW w:w="432" w:type="pct"/>
            <w:shd w:val="clear" w:color="auto" w:fill="auto"/>
          </w:tcPr>
          <w:p w:rsidR="00B14D07" w:rsidRPr="00A27A71" w:rsidRDefault="00B14D07" w:rsidP="00F76143">
            <w:pPr>
              <w:keepNext/>
              <w:rPr>
                <w:sz w:val="20"/>
                <w:szCs w:val="20"/>
              </w:rPr>
            </w:pPr>
            <w:r w:rsidRPr="00A27A71">
              <w:rPr>
                <w:sz w:val="20"/>
                <w:szCs w:val="20"/>
              </w:rPr>
              <w:t>I</w:t>
            </w:r>
          </w:p>
        </w:tc>
        <w:tc>
          <w:tcPr>
            <w:tcW w:w="1871" w:type="pct"/>
            <w:shd w:val="clear" w:color="auto" w:fill="auto"/>
          </w:tcPr>
          <w:p w:rsidR="00B14D07" w:rsidRPr="00A27A71" w:rsidRDefault="00B14D07" w:rsidP="00F76143">
            <w:pPr>
              <w:jc w:val="right"/>
              <w:rPr>
                <w:color w:val="000000"/>
                <w:sz w:val="20"/>
                <w:szCs w:val="20"/>
              </w:rPr>
            </w:pPr>
            <w:r w:rsidRPr="00A27A71">
              <w:rPr>
                <w:color w:val="000000"/>
                <w:sz w:val="20"/>
                <w:szCs w:val="20"/>
              </w:rPr>
              <w:t>16.36</w:t>
            </w:r>
          </w:p>
        </w:tc>
      </w:tr>
      <w:tr w:rsidR="00B14D07" w:rsidRPr="00A27A71" w:rsidTr="00F76143">
        <w:tblPrEx>
          <w:tblLook w:val="0000" w:firstRow="0" w:lastRow="0" w:firstColumn="0" w:lastColumn="0" w:noHBand="0" w:noVBand="0"/>
        </w:tblPrEx>
        <w:trPr>
          <w:jc w:val="center"/>
        </w:trPr>
        <w:tc>
          <w:tcPr>
            <w:tcW w:w="2269" w:type="pct"/>
            <w:shd w:val="clear" w:color="auto" w:fill="auto"/>
          </w:tcPr>
          <w:p w:rsidR="00B14D07" w:rsidRPr="00A27A71" w:rsidRDefault="00B14D07" w:rsidP="00F76143">
            <w:pPr>
              <w:keepNext/>
              <w:rPr>
                <w:sz w:val="20"/>
                <w:szCs w:val="20"/>
              </w:rPr>
            </w:pPr>
            <w:r w:rsidRPr="00A27A71">
              <w:rPr>
                <w:sz w:val="20"/>
                <w:szCs w:val="20"/>
              </w:rPr>
              <w:t>Sub-total</w:t>
            </w:r>
          </w:p>
        </w:tc>
        <w:tc>
          <w:tcPr>
            <w:tcW w:w="428" w:type="pct"/>
            <w:shd w:val="clear" w:color="auto" w:fill="auto"/>
          </w:tcPr>
          <w:p w:rsidR="00B14D07" w:rsidRPr="00A27A71" w:rsidRDefault="00B14D07" w:rsidP="00F76143">
            <w:pPr>
              <w:keepNext/>
              <w:rPr>
                <w:sz w:val="20"/>
                <w:szCs w:val="20"/>
              </w:rPr>
            </w:pPr>
          </w:p>
        </w:tc>
        <w:tc>
          <w:tcPr>
            <w:tcW w:w="432" w:type="pct"/>
            <w:shd w:val="clear" w:color="auto" w:fill="auto"/>
          </w:tcPr>
          <w:p w:rsidR="00B14D07" w:rsidRPr="00A27A71" w:rsidRDefault="00B14D07" w:rsidP="00F76143">
            <w:pPr>
              <w:keepNext/>
              <w:rPr>
                <w:sz w:val="20"/>
                <w:szCs w:val="20"/>
              </w:rPr>
            </w:pPr>
          </w:p>
        </w:tc>
        <w:tc>
          <w:tcPr>
            <w:tcW w:w="1871" w:type="pct"/>
            <w:shd w:val="clear" w:color="auto" w:fill="auto"/>
          </w:tcPr>
          <w:p w:rsidR="00B14D07" w:rsidRPr="00A27A71" w:rsidRDefault="00B14D07" w:rsidP="00F76143">
            <w:pPr>
              <w:jc w:val="right"/>
              <w:rPr>
                <w:color w:val="000000"/>
                <w:sz w:val="20"/>
                <w:szCs w:val="20"/>
              </w:rPr>
            </w:pPr>
            <w:r w:rsidRPr="00A27A71">
              <w:rPr>
                <w:color w:val="000000"/>
                <w:sz w:val="20"/>
                <w:szCs w:val="20"/>
              </w:rPr>
              <w:t>386.27</w:t>
            </w:r>
          </w:p>
        </w:tc>
      </w:tr>
      <w:tr w:rsidR="00B14D07" w:rsidRPr="00A27A71" w:rsidTr="00F76143">
        <w:tblPrEx>
          <w:tblLook w:val="0000" w:firstRow="0" w:lastRow="0" w:firstColumn="0" w:lastColumn="0" w:noHBand="0" w:noVBand="0"/>
        </w:tblPrEx>
        <w:trPr>
          <w:jc w:val="center"/>
        </w:trPr>
        <w:tc>
          <w:tcPr>
            <w:tcW w:w="2269" w:type="pct"/>
            <w:shd w:val="clear" w:color="auto" w:fill="auto"/>
          </w:tcPr>
          <w:p w:rsidR="00B14D07" w:rsidRPr="00A27A71" w:rsidRDefault="00B14D07" w:rsidP="00F76143">
            <w:pPr>
              <w:keepNext/>
              <w:rPr>
                <w:sz w:val="20"/>
                <w:szCs w:val="20"/>
              </w:rPr>
            </w:pPr>
            <w:r w:rsidRPr="00A27A71">
              <w:rPr>
                <w:sz w:val="20"/>
                <w:szCs w:val="20"/>
              </w:rPr>
              <w:t>HCFC-141b contained in imported pre-blended polyols</w:t>
            </w:r>
          </w:p>
        </w:tc>
        <w:tc>
          <w:tcPr>
            <w:tcW w:w="428" w:type="pct"/>
            <w:shd w:val="clear" w:color="auto" w:fill="auto"/>
          </w:tcPr>
          <w:p w:rsidR="00B14D07" w:rsidRPr="00A27A71" w:rsidRDefault="00B14D07" w:rsidP="00F76143">
            <w:pPr>
              <w:keepNext/>
              <w:rPr>
                <w:sz w:val="20"/>
                <w:szCs w:val="20"/>
              </w:rPr>
            </w:pPr>
            <w:r w:rsidRPr="00A27A71">
              <w:rPr>
                <w:sz w:val="20"/>
                <w:szCs w:val="20"/>
              </w:rPr>
              <w:t>C</w:t>
            </w:r>
          </w:p>
        </w:tc>
        <w:tc>
          <w:tcPr>
            <w:tcW w:w="432" w:type="pct"/>
            <w:shd w:val="clear" w:color="auto" w:fill="auto"/>
          </w:tcPr>
          <w:p w:rsidR="00B14D07" w:rsidRPr="00A27A71" w:rsidRDefault="00B14D07" w:rsidP="00F76143">
            <w:pPr>
              <w:keepNext/>
              <w:rPr>
                <w:sz w:val="20"/>
                <w:szCs w:val="20"/>
              </w:rPr>
            </w:pPr>
            <w:r w:rsidRPr="00A27A71">
              <w:rPr>
                <w:sz w:val="20"/>
                <w:szCs w:val="20"/>
              </w:rPr>
              <w:t>I</w:t>
            </w:r>
          </w:p>
        </w:tc>
        <w:tc>
          <w:tcPr>
            <w:tcW w:w="1871" w:type="pct"/>
            <w:shd w:val="clear" w:color="auto" w:fill="auto"/>
          </w:tcPr>
          <w:p w:rsidR="00B14D07" w:rsidRPr="00A27A71" w:rsidRDefault="00B14D07" w:rsidP="00F76143">
            <w:pPr>
              <w:jc w:val="right"/>
              <w:rPr>
                <w:color w:val="000000"/>
                <w:sz w:val="20"/>
                <w:szCs w:val="20"/>
              </w:rPr>
            </w:pPr>
            <w:r w:rsidRPr="00A27A71">
              <w:rPr>
                <w:color w:val="000000"/>
                <w:sz w:val="20"/>
                <w:szCs w:val="20"/>
              </w:rPr>
              <w:t>98.34</w:t>
            </w:r>
          </w:p>
        </w:tc>
      </w:tr>
      <w:tr w:rsidR="00B14D07" w:rsidRPr="00A27A71" w:rsidTr="00F76143">
        <w:trPr>
          <w:jc w:val="center"/>
        </w:trPr>
        <w:tc>
          <w:tcPr>
            <w:tcW w:w="2269" w:type="pct"/>
            <w:shd w:val="clear" w:color="auto" w:fill="auto"/>
          </w:tcPr>
          <w:p w:rsidR="00B14D07" w:rsidRPr="00A27A71" w:rsidRDefault="00B14D07" w:rsidP="00F76143">
            <w:pPr>
              <w:pStyle w:val="Default"/>
              <w:rPr>
                <w:sz w:val="20"/>
                <w:szCs w:val="20"/>
                <w:lang w:val="en-GB"/>
              </w:rPr>
            </w:pPr>
            <w:r w:rsidRPr="00A27A71">
              <w:rPr>
                <w:sz w:val="20"/>
                <w:szCs w:val="20"/>
                <w:lang w:val="en-GB"/>
              </w:rPr>
              <w:t>Total</w:t>
            </w:r>
          </w:p>
        </w:tc>
        <w:tc>
          <w:tcPr>
            <w:tcW w:w="428" w:type="pct"/>
            <w:shd w:val="clear" w:color="auto" w:fill="auto"/>
          </w:tcPr>
          <w:p w:rsidR="00B14D07" w:rsidRPr="00A27A71" w:rsidRDefault="00B14D07" w:rsidP="00F76143">
            <w:pPr>
              <w:pStyle w:val="Default"/>
              <w:rPr>
                <w:sz w:val="20"/>
                <w:szCs w:val="20"/>
                <w:lang w:val="en-GB"/>
              </w:rPr>
            </w:pPr>
            <w:r w:rsidRPr="00A27A71">
              <w:rPr>
                <w:sz w:val="20"/>
                <w:szCs w:val="20"/>
                <w:lang w:val="en-GB"/>
              </w:rPr>
              <w:t>C</w:t>
            </w:r>
          </w:p>
        </w:tc>
        <w:tc>
          <w:tcPr>
            <w:tcW w:w="432" w:type="pct"/>
            <w:shd w:val="clear" w:color="auto" w:fill="auto"/>
          </w:tcPr>
          <w:p w:rsidR="00B14D07" w:rsidRPr="00A27A71" w:rsidRDefault="00B14D07" w:rsidP="00F76143">
            <w:pPr>
              <w:pStyle w:val="Default"/>
              <w:rPr>
                <w:sz w:val="20"/>
                <w:szCs w:val="20"/>
                <w:lang w:val="en-GB"/>
              </w:rPr>
            </w:pPr>
            <w:r w:rsidRPr="00A27A71">
              <w:rPr>
                <w:sz w:val="20"/>
                <w:szCs w:val="20"/>
                <w:lang w:val="en-GB"/>
              </w:rPr>
              <w:t>I</w:t>
            </w:r>
          </w:p>
        </w:tc>
        <w:tc>
          <w:tcPr>
            <w:tcW w:w="1871" w:type="pct"/>
            <w:shd w:val="clear" w:color="auto" w:fill="auto"/>
          </w:tcPr>
          <w:p w:rsidR="00B14D07" w:rsidRPr="00A27A71" w:rsidRDefault="00B14D07" w:rsidP="00F76143">
            <w:pPr>
              <w:jc w:val="right"/>
              <w:rPr>
                <w:color w:val="000000"/>
                <w:sz w:val="20"/>
                <w:szCs w:val="20"/>
              </w:rPr>
            </w:pPr>
            <w:r w:rsidRPr="00A27A71">
              <w:rPr>
                <w:color w:val="000000"/>
                <w:sz w:val="20"/>
                <w:szCs w:val="20"/>
              </w:rPr>
              <w:t>484.61</w:t>
            </w:r>
          </w:p>
        </w:tc>
      </w:tr>
    </w:tbl>
    <w:p w:rsidR="00B14D07" w:rsidRPr="00A27A71" w:rsidRDefault="00B14D07" w:rsidP="00B14D07"/>
    <w:p w:rsidR="00B14D07" w:rsidRPr="00A27A71" w:rsidRDefault="00B14D07" w:rsidP="00B14D07"/>
    <w:p w:rsidR="00B14D07" w:rsidRPr="00A27A71" w:rsidRDefault="00B14D07" w:rsidP="00B14D07">
      <w:pPr>
        <w:rPr>
          <w:b/>
        </w:rPr>
      </w:pPr>
      <w:r w:rsidRPr="00A27A71">
        <w:rPr>
          <w:b/>
        </w:rPr>
        <w:t>APPENDIX 2-A: THE TARGETS, AND FUNDING</w:t>
      </w:r>
    </w:p>
    <w:p w:rsidR="00B14D07" w:rsidRPr="00A27A71" w:rsidRDefault="00B14D07" w:rsidP="00B14D07"/>
    <w:tbl>
      <w:tblPr>
        <w:tblW w:w="11069" w:type="dxa"/>
        <w:jc w:val="center"/>
        <w:tblInd w:w="-182" w:type="dxa"/>
        <w:tblLayout w:type="fixed"/>
        <w:tblLook w:val="04A0" w:firstRow="1" w:lastRow="0" w:firstColumn="1" w:lastColumn="0" w:noHBand="0" w:noVBand="1"/>
      </w:tblPr>
      <w:tblGrid>
        <w:gridCol w:w="629"/>
        <w:gridCol w:w="1800"/>
        <w:gridCol w:w="988"/>
        <w:gridCol w:w="720"/>
        <w:gridCol w:w="990"/>
        <w:gridCol w:w="720"/>
        <w:gridCol w:w="900"/>
        <w:gridCol w:w="720"/>
        <w:gridCol w:w="900"/>
        <w:gridCol w:w="720"/>
        <w:gridCol w:w="900"/>
        <w:gridCol w:w="1082"/>
      </w:tblGrid>
      <w:tr w:rsidR="00B14D07" w:rsidRPr="00A27A71" w:rsidTr="00F76143">
        <w:trPr>
          <w:trHeight w:val="255"/>
          <w:jc w:val="center"/>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B14D07" w:rsidRPr="00A27A71" w:rsidRDefault="00B14D07" w:rsidP="00F76143">
            <w:pPr>
              <w:jc w:val="center"/>
              <w:rPr>
                <w:b/>
                <w:bCs/>
                <w:color w:val="000000"/>
                <w:sz w:val="18"/>
                <w:szCs w:val="18"/>
              </w:rPr>
            </w:pPr>
            <w:r w:rsidRPr="00A27A71">
              <w:rPr>
                <w:b/>
                <w:bCs/>
                <w:color w:val="000000"/>
                <w:sz w:val="18"/>
                <w:szCs w:val="18"/>
              </w:rPr>
              <w:t>Row</w:t>
            </w:r>
          </w:p>
        </w:tc>
        <w:tc>
          <w:tcPr>
            <w:tcW w:w="1800" w:type="dxa"/>
            <w:tcBorders>
              <w:top w:val="single" w:sz="4" w:space="0" w:color="auto"/>
              <w:left w:val="nil"/>
              <w:bottom w:val="single" w:sz="4" w:space="0" w:color="auto"/>
              <w:right w:val="single" w:sz="4" w:space="0" w:color="auto"/>
            </w:tcBorders>
            <w:shd w:val="clear" w:color="auto" w:fill="auto"/>
            <w:hideMark/>
          </w:tcPr>
          <w:p w:rsidR="00B14D07" w:rsidRPr="00A27A71" w:rsidRDefault="00B14D07" w:rsidP="00F76143">
            <w:pPr>
              <w:jc w:val="center"/>
              <w:rPr>
                <w:b/>
                <w:bCs/>
                <w:color w:val="000000"/>
                <w:sz w:val="18"/>
                <w:szCs w:val="18"/>
              </w:rPr>
            </w:pPr>
            <w:r w:rsidRPr="00A27A71">
              <w:rPr>
                <w:b/>
                <w:bCs/>
                <w:color w:val="000000"/>
                <w:sz w:val="18"/>
                <w:szCs w:val="18"/>
              </w:rPr>
              <w:t>Particulars</w:t>
            </w:r>
          </w:p>
        </w:tc>
        <w:tc>
          <w:tcPr>
            <w:tcW w:w="988" w:type="dxa"/>
            <w:tcBorders>
              <w:top w:val="single" w:sz="4" w:space="0" w:color="auto"/>
              <w:left w:val="nil"/>
              <w:bottom w:val="single" w:sz="4" w:space="0" w:color="auto"/>
              <w:right w:val="single" w:sz="4" w:space="0" w:color="auto"/>
            </w:tcBorders>
            <w:shd w:val="clear" w:color="auto" w:fill="auto"/>
            <w:hideMark/>
          </w:tcPr>
          <w:p w:rsidR="00B14D07" w:rsidRPr="00A27A71" w:rsidRDefault="00B14D07" w:rsidP="00F76143">
            <w:pPr>
              <w:jc w:val="center"/>
              <w:rPr>
                <w:b/>
                <w:bCs/>
                <w:color w:val="000000"/>
                <w:sz w:val="18"/>
                <w:szCs w:val="18"/>
              </w:rPr>
            </w:pPr>
            <w:r w:rsidRPr="00A27A71">
              <w:rPr>
                <w:b/>
                <w:bCs/>
                <w:color w:val="000000"/>
                <w:sz w:val="18"/>
                <w:szCs w:val="18"/>
              </w:rPr>
              <w:t>2017</w:t>
            </w:r>
          </w:p>
        </w:tc>
        <w:tc>
          <w:tcPr>
            <w:tcW w:w="720" w:type="dxa"/>
            <w:tcBorders>
              <w:top w:val="single" w:sz="4" w:space="0" w:color="auto"/>
              <w:left w:val="nil"/>
              <w:bottom w:val="single" w:sz="4" w:space="0" w:color="auto"/>
              <w:right w:val="single" w:sz="4" w:space="0" w:color="auto"/>
            </w:tcBorders>
            <w:shd w:val="clear" w:color="auto" w:fill="auto"/>
            <w:hideMark/>
          </w:tcPr>
          <w:p w:rsidR="00B14D07" w:rsidRPr="00A27A71" w:rsidRDefault="00B14D07" w:rsidP="00F76143">
            <w:pPr>
              <w:jc w:val="center"/>
              <w:rPr>
                <w:b/>
                <w:bCs/>
                <w:color w:val="000000"/>
                <w:sz w:val="18"/>
                <w:szCs w:val="18"/>
              </w:rPr>
            </w:pPr>
            <w:r w:rsidRPr="00A27A71">
              <w:rPr>
                <w:b/>
                <w:bCs/>
                <w:color w:val="000000"/>
                <w:sz w:val="18"/>
                <w:szCs w:val="18"/>
              </w:rPr>
              <w:t>2018</w:t>
            </w:r>
          </w:p>
        </w:tc>
        <w:tc>
          <w:tcPr>
            <w:tcW w:w="990" w:type="dxa"/>
            <w:tcBorders>
              <w:top w:val="single" w:sz="4" w:space="0" w:color="auto"/>
              <w:left w:val="nil"/>
              <w:bottom w:val="single" w:sz="4" w:space="0" w:color="auto"/>
              <w:right w:val="single" w:sz="4" w:space="0" w:color="auto"/>
            </w:tcBorders>
            <w:shd w:val="clear" w:color="auto" w:fill="auto"/>
            <w:hideMark/>
          </w:tcPr>
          <w:p w:rsidR="00B14D07" w:rsidRPr="00A27A71" w:rsidRDefault="00B14D07" w:rsidP="00F76143">
            <w:pPr>
              <w:jc w:val="center"/>
              <w:rPr>
                <w:b/>
                <w:bCs/>
                <w:color w:val="000000"/>
                <w:sz w:val="18"/>
                <w:szCs w:val="18"/>
              </w:rPr>
            </w:pPr>
            <w:r w:rsidRPr="00A27A71">
              <w:rPr>
                <w:b/>
                <w:bCs/>
                <w:color w:val="000000"/>
                <w:sz w:val="18"/>
                <w:szCs w:val="18"/>
              </w:rPr>
              <w:t>2019</w:t>
            </w:r>
          </w:p>
        </w:tc>
        <w:tc>
          <w:tcPr>
            <w:tcW w:w="720" w:type="dxa"/>
            <w:tcBorders>
              <w:top w:val="single" w:sz="4" w:space="0" w:color="auto"/>
              <w:left w:val="nil"/>
              <w:bottom w:val="single" w:sz="4" w:space="0" w:color="auto"/>
              <w:right w:val="single" w:sz="4" w:space="0" w:color="auto"/>
            </w:tcBorders>
            <w:shd w:val="clear" w:color="auto" w:fill="auto"/>
            <w:hideMark/>
          </w:tcPr>
          <w:p w:rsidR="00B14D07" w:rsidRPr="00A27A71" w:rsidRDefault="00B14D07" w:rsidP="00F76143">
            <w:pPr>
              <w:jc w:val="center"/>
              <w:rPr>
                <w:b/>
                <w:bCs/>
                <w:color w:val="000000"/>
                <w:sz w:val="18"/>
                <w:szCs w:val="18"/>
              </w:rPr>
            </w:pPr>
            <w:r w:rsidRPr="00A27A71">
              <w:rPr>
                <w:b/>
                <w:bCs/>
                <w:color w:val="000000"/>
                <w:sz w:val="18"/>
                <w:szCs w:val="18"/>
              </w:rPr>
              <w:t>2020</w:t>
            </w:r>
          </w:p>
        </w:tc>
        <w:tc>
          <w:tcPr>
            <w:tcW w:w="900" w:type="dxa"/>
            <w:tcBorders>
              <w:top w:val="single" w:sz="4" w:space="0" w:color="auto"/>
              <w:left w:val="nil"/>
              <w:bottom w:val="single" w:sz="4" w:space="0" w:color="auto"/>
              <w:right w:val="single" w:sz="4" w:space="0" w:color="auto"/>
            </w:tcBorders>
            <w:shd w:val="clear" w:color="auto" w:fill="auto"/>
            <w:hideMark/>
          </w:tcPr>
          <w:p w:rsidR="00B14D07" w:rsidRPr="00A27A71" w:rsidRDefault="00B14D07" w:rsidP="00F76143">
            <w:pPr>
              <w:jc w:val="center"/>
              <w:rPr>
                <w:b/>
                <w:bCs/>
                <w:color w:val="000000"/>
                <w:sz w:val="18"/>
                <w:szCs w:val="18"/>
              </w:rPr>
            </w:pPr>
            <w:r w:rsidRPr="00A27A71">
              <w:rPr>
                <w:b/>
                <w:bCs/>
                <w:color w:val="000000"/>
                <w:sz w:val="18"/>
                <w:szCs w:val="18"/>
              </w:rPr>
              <w:t>2021</w:t>
            </w:r>
          </w:p>
        </w:tc>
        <w:tc>
          <w:tcPr>
            <w:tcW w:w="720" w:type="dxa"/>
            <w:tcBorders>
              <w:top w:val="single" w:sz="4" w:space="0" w:color="auto"/>
              <w:left w:val="nil"/>
              <w:bottom w:val="single" w:sz="4" w:space="0" w:color="auto"/>
              <w:right w:val="single" w:sz="4" w:space="0" w:color="auto"/>
            </w:tcBorders>
            <w:shd w:val="clear" w:color="auto" w:fill="auto"/>
            <w:hideMark/>
          </w:tcPr>
          <w:p w:rsidR="00B14D07" w:rsidRPr="00A27A71" w:rsidRDefault="00B14D07" w:rsidP="00F76143">
            <w:pPr>
              <w:jc w:val="center"/>
              <w:rPr>
                <w:b/>
                <w:bCs/>
                <w:color w:val="000000"/>
                <w:sz w:val="18"/>
                <w:szCs w:val="18"/>
              </w:rPr>
            </w:pPr>
            <w:r w:rsidRPr="00A27A71">
              <w:rPr>
                <w:b/>
                <w:bCs/>
                <w:color w:val="000000"/>
                <w:sz w:val="18"/>
                <w:szCs w:val="18"/>
              </w:rPr>
              <w:t>2022</w:t>
            </w:r>
          </w:p>
        </w:tc>
        <w:tc>
          <w:tcPr>
            <w:tcW w:w="900" w:type="dxa"/>
            <w:tcBorders>
              <w:top w:val="single" w:sz="4" w:space="0" w:color="auto"/>
              <w:left w:val="nil"/>
              <w:bottom w:val="single" w:sz="4" w:space="0" w:color="auto"/>
              <w:right w:val="single" w:sz="4" w:space="0" w:color="auto"/>
            </w:tcBorders>
            <w:shd w:val="clear" w:color="auto" w:fill="auto"/>
            <w:hideMark/>
          </w:tcPr>
          <w:p w:rsidR="00B14D07" w:rsidRPr="00A27A71" w:rsidRDefault="00B14D07" w:rsidP="00F76143">
            <w:pPr>
              <w:jc w:val="center"/>
              <w:rPr>
                <w:b/>
                <w:bCs/>
                <w:color w:val="000000"/>
                <w:sz w:val="18"/>
                <w:szCs w:val="18"/>
              </w:rPr>
            </w:pPr>
            <w:r w:rsidRPr="00A27A71">
              <w:rPr>
                <w:b/>
                <w:bCs/>
                <w:color w:val="000000"/>
                <w:sz w:val="18"/>
                <w:szCs w:val="18"/>
              </w:rPr>
              <w:t>2023</w:t>
            </w:r>
          </w:p>
        </w:tc>
        <w:tc>
          <w:tcPr>
            <w:tcW w:w="720" w:type="dxa"/>
            <w:tcBorders>
              <w:top w:val="single" w:sz="4" w:space="0" w:color="auto"/>
              <w:left w:val="nil"/>
              <w:bottom w:val="single" w:sz="4" w:space="0" w:color="auto"/>
              <w:right w:val="single" w:sz="4" w:space="0" w:color="auto"/>
            </w:tcBorders>
            <w:shd w:val="clear" w:color="auto" w:fill="auto"/>
            <w:hideMark/>
          </w:tcPr>
          <w:p w:rsidR="00B14D07" w:rsidRPr="00A27A71" w:rsidRDefault="00B14D07" w:rsidP="00F76143">
            <w:pPr>
              <w:jc w:val="center"/>
              <w:rPr>
                <w:b/>
                <w:bCs/>
                <w:color w:val="000000"/>
                <w:sz w:val="18"/>
                <w:szCs w:val="18"/>
              </w:rPr>
            </w:pPr>
            <w:r w:rsidRPr="00A27A71">
              <w:rPr>
                <w:b/>
                <w:bCs/>
                <w:color w:val="000000"/>
                <w:sz w:val="18"/>
                <w:szCs w:val="18"/>
              </w:rPr>
              <w:t>2024</w:t>
            </w:r>
          </w:p>
        </w:tc>
        <w:tc>
          <w:tcPr>
            <w:tcW w:w="900" w:type="dxa"/>
            <w:tcBorders>
              <w:top w:val="single" w:sz="4" w:space="0" w:color="auto"/>
              <w:left w:val="nil"/>
              <w:bottom w:val="single" w:sz="4" w:space="0" w:color="auto"/>
              <w:right w:val="single" w:sz="4" w:space="0" w:color="auto"/>
            </w:tcBorders>
            <w:shd w:val="clear" w:color="auto" w:fill="auto"/>
            <w:hideMark/>
          </w:tcPr>
          <w:p w:rsidR="00B14D07" w:rsidRPr="00A27A71" w:rsidRDefault="00B14D07" w:rsidP="00F76143">
            <w:pPr>
              <w:jc w:val="center"/>
              <w:rPr>
                <w:b/>
                <w:bCs/>
                <w:color w:val="000000"/>
                <w:sz w:val="18"/>
                <w:szCs w:val="18"/>
              </w:rPr>
            </w:pPr>
            <w:r w:rsidRPr="00A27A71">
              <w:rPr>
                <w:b/>
                <w:bCs/>
                <w:color w:val="000000"/>
                <w:sz w:val="18"/>
                <w:szCs w:val="18"/>
              </w:rPr>
              <w:t>2025</w:t>
            </w:r>
          </w:p>
        </w:tc>
        <w:tc>
          <w:tcPr>
            <w:tcW w:w="1082" w:type="dxa"/>
            <w:tcBorders>
              <w:top w:val="single" w:sz="4" w:space="0" w:color="auto"/>
              <w:left w:val="nil"/>
              <w:bottom w:val="single" w:sz="4" w:space="0" w:color="auto"/>
              <w:right w:val="single" w:sz="4" w:space="0" w:color="auto"/>
            </w:tcBorders>
            <w:shd w:val="clear" w:color="auto" w:fill="auto"/>
            <w:hideMark/>
          </w:tcPr>
          <w:p w:rsidR="00B14D07" w:rsidRPr="00A27A71" w:rsidRDefault="00B14D07" w:rsidP="00F76143">
            <w:pPr>
              <w:jc w:val="center"/>
              <w:rPr>
                <w:b/>
                <w:bCs/>
                <w:color w:val="000000"/>
                <w:sz w:val="18"/>
                <w:szCs w:val="18"/>
              </w:rPr>
            </w:pPr>
            <w:r w:rsidRPr="00A27A71">
              <w:rPr>
                <w:b/>
                <w:bCs/>
                <w:color w:val="000000"/>
                <w:sz w:val="18"/>
                <w:szCs w:val="18"/>
              </w:rPr>
              <w:t>Total</w:t>
            </w:r>
          </w:p>
        </w:tc>
      </w:tr>
      <w:tr w:rsidR="00B14D07" w:rsidRPr="00A27A71" w:rsidTr="00F76143">
        <w:trPr>
          <w:trHeight w:val="765"/>
          <w:jc w:val="center"/>
        </w:trPr>
        <w:tc>
          <w:tcPr>
            <w:tcW w:w="629" w:type="dxa"/>
            <w:tcBorders>
              <w:top w:val="nil"/>
              <w:left w:val="single" w:sz="4" w:space="0" w:color="auto"/>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1.1</w:t>
            </w:r>
          </w:p>
        </w:tc>
        <w:tc>
          <w:tcPr>
            <w:tcW w:w="18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Montreal Protocol reduction schedule of Annex C, Group I substances (ODP tonnes)</w:t>
            </w:r>
          </w:p>
        </w:tc>
        <w:tc>
          <w:tcPr>
            <w:tcW w:w="988"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347.64</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347.64</w:t>
            </w:r>
          </w:p>
        </w:tc>
        <w:tc>
          <w:tcPr>
            <w:tcW w:w="99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347.64</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251.08</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sz w:val="18"/>
                <w:szCs w:val="18"/>
              </w:rPr>
            </w:pPr>
            <w:r w:rsidRPr="00A27A71">
              <w:rPr>
                <w:color w:val="000000"/>
                <w:sz w:val="18"/>
                <w:szCs w:val="18"/>
              </w:rPr>
              <w:t>251.08</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sz w:val="18"/>
                <w:szCs w:val="18"/>
              </w:rPr>
            </w:pPr>
            <w:r w:rsidRPr="00A27A71">
              <w:rPr>
                <w:color w:val="000000"/>
                <w:sz w:val="18"/>
                <w:szCs w:val="18"/>
              </w:rPr>
              <w:t>251.08</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sz w:val="18"/>
                <w:szCs w:val="18"/>
              </w:rPr>
            </w:pPr>
            <w:r w:rsidRPr="00A27A71">
              <w:rPr>
                <w:color w:val="000000"/>
                <w:sz w:val="18"/>
                <w:szCs w:val="18"/>
              </w:rPr>
              <w:t>251.08</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sz w:val="18"/>
                <w:szCs w:val="18"/>
              </w:rPr>
            </w:pPr>
            <w:r w:rsidRPr="00A27A71">
              <w:rPr>
                <w:color w:val="000000"/>
                <w:sz w:val="18"/>
                <w:szCs w:val="18"/>
              </w:rPr>
              <w:t>251.08</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125.54</w:t>
            </w:r>
          </w:p>
        </w:tc>
        <w:tc>
          <w:tcPr>
            <w:tcW w:w="1082"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n/a</w:t>
            </w:r>
          </w:p>
        </w:tc>
      </w:tr>
      <w:tr w:rsidR="00B14D07" w:rsidRPr="00A27A71" w:rsidTr="00F76143">
        <w:trPr>
          <w:trHeight w:val="1020"/>
          <w:jc w:val="center"/>
        </w:trPr>
        <w:tc>
          <w:tcPr>
            <w:tcW w:w="629" w:type="dxa"/>
            <w:tcBorders>
              <w:top w:val="nil"/>
              <w:left w:val="single" w:sz="4" w:space="0" w:color="auto"/>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1.2</w:t>
            </w:r>
          </w:p>
        </w:tc>
        <w:tc>
          <w:tcPr>
            <w:tcW w:w="18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Maximum allowable total consumption of Annex C, Group I substances (ODP tonnes)</w:t>
            </w:r>
          </w:p>
        </w:tc>
        <w:tc>
          <w:tcPr>
            <w:tcW w:w="988"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347.64</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289.70</w:t>
            </w:r>
          </w:p>
        </w:tc>
        <w:tc>
          <w:tcPr>
            <w:tcW w:w="99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289.70</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sz w:val="18"/>
                <w:szCs w:val="18"/>
              </w:rPr>
            </w:pPr>
            <w:r w:rsidRPr="00A27A71">
              <w:rPr>
                <w:color w:val="000000"/>
                <w:sz w:val="18"/>
                <w:szCs w:val="18"/>
              </w:rPr>
              <w:t>251.08</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sz w:val="18"/>
                <w:szCs w:val="18"/>
              </w:rPr>
            </w:pPr>
            <w:r w:rsidRPr="00A27A71">
              <w:rPr>
                <w:color w:val="000000"/>
                <w:sz w:val="18"/>
                <w:szCs w:val="18"/>
              </w:rPr>
              <w:t>251.08</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sz w:val="18"/>
                <w:szCs w:val="18"/>
              </w:rPr>
            </w:pPr>
            <w:r w:rsidRPr="00A27A71">
              <w:rPr>
                <w:color w:val="000000"/>
                <w:sz w:val="18"/>
                <w:szCs w:val="18"/>
              </w:rPr>
              <w:t>251.08</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sz w:val="18"/>
                <w:szCs w:val="18"/>
              </w:rPr>
            </w:pPr>
            <w:r w:rsidRPr="00A27A71">
              <w:rPr>
                <w:color w:val="000000"/>
                <w:sz w:val="18"/>
                <w:szCs w:val="18"/>
              </w:rPr>
              <w:t>251.08</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sz w:val="18"/>
                <w:szCs w:val="18"/>
              </w:rPr>
            </w:pPr>
            <w:r w:rsidRPr="00A27A71">
              <w:rPr>
                <w:color w:val="000000"/>
                <w:sz w:val="18"/>
                <w:szCs w:val="18"/>
              </w:rPr>
              <w:t>251.08</w:t>
            </w:r>
          </w:p>
        </w:tc>
        <w:tc>
          <w:tcPr>
            <w:tcW w:w="900" w:type="dxa"/>
            <w:tcBorders>
              <w:top w:val="nil"/>
              <w:left w:val="nil"/>
              <w:bottom w:val="single" w:sz="4" w:space="0" w:color="auto"/>
              <w:right w:val="single" w:sz="4" w:space="0" w:color="auto"/>
            </w:tcBorders>
            <w:shd w:val="clear" w:color="auto" w:fill="auto"/>
            <w:noWrap/>
            <w:hideMark/>
          </w:tcPr>
          <w:p w:rsidR="00B14D07" w:rsidRPr="00A27A71" w:rsidRDefault="00B14D07" w:rsidP="00F76143">
            <w:pPr>
              <w:jc w:val="right"/>
              <w:rPr>
                <w:color w:val="000000"/>
                <w:sz w:val="18"/>
                <w:szCs w:val="18"/>
              </w:rPr>
            </w:pPr>
            <w:r w:rsidRPr="00A27A71">
              <w:rPr>
                <w:color w:val="000000"/>
                <w:sz w:val="18"/>
                <w:szCs w:val="18"/>
              </w:rPr>
              <w:t>125.54*</w:t>
            </w:r>
          </w:p>
        </w:tc>
        <w:tc>
          <w:tcPr>
            <w:tcW w:w="1082"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n/a</w:t>
            </w:r>
          </w:p>
        </w:tc>
      </w:tr>
      <w:tr w:rsidR="00B14D07" w:rsidRPr="00A27A71" w:rsidTr="00F76143">
        <w:trPr>
          <w:trHeight w:val="510"/>
          <w:jc w:val="center"/>
        </w:trPr>
        <w:tc>
          <w:tcPr>
            <w:tcW w:w="629" w:type="dxa"/>
            <w:tcBorders>
              <w:top w:val="nil"/>
              <w:left w:val="single" w:sz="4" w:space="0" w:color="auto"/>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2.1</w:t>
            </w:r>
          </w:p>
        </w:tc>
        <w:tc>
          <w:tcPr>
            <w:tcW w:w="18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Lead IA (UNIDO) agreed funding (US $)</w:t>
            </w:r>
          </w:p>
        </w:tc>
        <w:tc>
          <w:tcPr>
            <w:tcW w:w="988"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3,921,047</w:t>
            </w:r>
          </w:p>
        </w:tc>
        <w:tc>
          <w:tcPr>
            <w:tcW w:w="720" w:type="dxa"/>
            <w:tcBorders>
              <w:top w:val="nil"/>
              <w:left w:val="nil"/>
              <w:bottom w:val="nil"/>
              <w:right w:val="nil"/>
            </w:tcBorders>
            <w:shd w:val="clear" w:color="auto" w:fill="auto"/>
            <w:noWrap/>
            <w:hideMark/>
          </w:tcPr>
          <w:p w:rsidR="00B14D07" w:rsidRPr="00A27A71" w:rsidRDefault="00B14D07" w:rsidP="00F76143">
            <w:pPr>
              <w:jc w:val="right"/>
              <w:rPr>
                <w:color w:val="000000"/>
                <w:sz w:val="18"/>
                <w:szCs w:val="18"/>
              </w:rPr>
            </w:pPr>
            <w:r w:rsidRPr="00A27A71">
              <w:rPr>
                <w:color w:val="000000"/>
                <w:sz w:val="18"/>
                <w:szCs w:val="18"/>
              </w:rPr>
              <w:t>0</w:t>
            </w:r>
          </w:p>
        </w:tc>
        <w:tc>
          <w:tcPr>
            <w:tcW w:w="990" w:type="dxa"/>
            <w:tcBorders>
              <w:top w:val="nil"/>
              <w:left w:val="single" w:sz="4" w:space="0" w:color="auto"/>
              <w:bottom w:val="single" w:sz="4" w:space="0" w:color="auto"/>
              <w:right w:val="single" w:sz="4" w:space="0" w:color="auto"/>
            </w:tcBorders>
            <w:shd w:val="clear" w:color="auto" w:fill="auto"/>
            <w:noWrap/>
            <w:hideMark/>
          </w:tcPr>
          <w:p w:rsidR="00B14D07" w:rsidRPr="00A27A71" w:rsidRDefault="00B14D07" w:rsidP="00F76143">
            <w:pPr>
              <w:jc w:val="right"/>
              <w:rPr>
                <w:color w:val="000000"/>
                <w:sz w:val="18"/>
                <w:szCs w:val="18"/>
              </w:rPr>
            </w:pPr>
            <w:r w:rsidRPr="00A27A71">
              <w:rPr>
                <w:color w:val="000000"/>
                <w:sz w:val="18"/>
                <w:szCs w:val="18"/>
              </w:rPr>
              <w:t>1,073,714</w:t>
            </w:r>
          </w:p>
        </w:tc>
        <w:tc>
          <w:tcPr>
            <w:tcW w:w="720" w:type="dxa"/>
            <w:tcBorders>
              <w:top w:val="nil"/>
              <w:left w:val="nil"/>
              <w:bottom w:val="single" w:sz="4" w:space="0" w:color="auto"/>
              <w:right w:val="single" w:sz="4" w:space="0" w:color="auto"/>
            </w:tcBorders>
            <w:shd w:val="clear" w:color="auto" w:fill="auto"/>
            <w:noWrap/>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391,827</w:t>
            </w:r>
          </w:p>
        </w:tc>
        <w:tc>
          <w:tcPr>
            <w:tcW w:w="720" w:type="dxa"/>
            <w:tcBorders>
              <w:top w:val="nil"/>
              <w:left w:val="nil"/>
              <w:bottom w:val="single" w:sz="4" w:space="0" w:color="auto"/>
              <w:right w:val="single" w:sz="4" w:space="0" w:color="auto"/>
            </w:tcBorders>
            <w:shd w:val="clear" w:color="auto" w:fill="auto"/>
            <w:noWrap/>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391,827</w:t>
            </w:r>
          </w:p>
        </w:tc>
        <w:tc>
          <w:tcPr>
            <w:tcW w:w="720" w:type="dxa"/>
            <w:tcBorders>
              <w:top w:val="nil"/>
              <w:left w:val="nil"/>
              <w:bottom w:val="single" w:sz="4" w:space="0" w:color="auto"/>
              <w:right w:val="single" w:sz="4" w:space="0" w:color="auto"/>
            </w:tcBorders>
            <w:shd w:val="clear" w:color="auto" w:fill="auto"/>
            <w:noWrap/>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218,426</w:t>
            </w:r>
          </w:p>
        </w:tc>
        <w:tc>
          <w:tcPr>
            <w:tcW w:w="1082"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5,996,841</w:t>
            </w:r>
          </w:p>
        </w:tc>
      </w:tr>
      <w:tr w:rsidR="00B14D07" w:rsidRPr="00A27A71" w:rsidTr="00F76143">
        <w:trPr>
          <w:trHeight w:val="510"/>
          <w:jc w:val="center"/>
        </w:trPr>
        <w:tc>
          <w:tcPr>
            <w:tcW w:w="629" w:type="dxa"/>
            <w:tcBorders>
              <w:top w:val="nil"/>
              <w:left w:val="single" w:sz="4" w:space="0" w:color="auto"/>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2.2</w:t>
            </w:r>
          </w:p>
        </w:tc>
        <w:tc>
          <w:tcPr>
            <w:tcW w:w="18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Support costs for Lead IA (UNIDO) (US $)</w:t>
            </w:r>
          </w:p>
        </w:tc>
        <w:tc>
          <w:tcPr>
            <w:tcW w:w="988"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274,473</w:t>
            </w:r>
          </w:p>
        </w:tc>
        <w:tc>
          <w:tcPr>
            <w:tcW w:w="720" w:type="dxa"/>
            <w:tcBorders>
              <w:top w:val="single" w:sz="4" w:space="0" w:color="auto"/>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9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75,160</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27,428</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27,428</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15,290</w:t>
            </w:r>
          </w:p>
        </w:tc>
        <w:tc>
          <w:tcPr>
            <w:tcW w:w="1082"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419,779</w:t>
            </w:r>
          </w:p>
        </w:tc>
      </w:tr>
      <w:tr w:rsidR="00B14D07" w:rsidRPr="00A27A71" w:rsidTr="00F76143">
        <w:trPr>
          <w:trHeight w:val="510"/>
          <w:jc w:val="center"/>
        </w:trPr>
        <w:tc>
          <w:tcPr>
            <w:tcW w:w="629" w:type="dxa"/>
            <w:tcBorders>
              <w:top w:val="nil"/>
              <w:left w:val="single" w:sz="4" w:space="0" w:color="auto"/>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2.3</w:t>
            </w:r>
          </w:p>
        </w:tc>
        <w:tc>
          <w:tcPr>
            <w:tcW w:w="18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Cooperating IA (UNDP) agreed funding (US $)</w:t>
            </w:r>
          </w:p>
        </w:tc>
        <w:tc>
          <w:tcPr>
            <w:tcW w:w="988"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945,617</w:t>
            </w:r>
          </w:p>
        </w:tc>
        <w:tc>
          <w:tcPr>
            <w:tcW w:w="720" w:type="dxa"/>
            <w:tcBorders>
              <w:top w:val="nil"/>
              <w:left w:val="nil"/>
              <w:bottom w:val="single" w:sz="4" w:space="0" w:color="auto"/>
              <w:right w:val="single" w:sz="4" w:space="0" w:color="auto"/>
            </w:tcBorders>
            <w:shd w:val="clear" w:color="auto" w:fill="auto"/>
            <w:noWrap/>
            <w:hideMark/>
          </w:tcPr>
          <w:p w:rsidR="00B14D07" w:rsidRPr="00A27A71" w:rsidRDefault="00B14D07" w:rsidP="00F76143">
            <w:pPr>
              <w:jc w:val="right"/>
              <w:rPr>
                <w:color w:val="000000"/>
                <w:sz w:val="18"/>
                <w:szCs w:val="18"/>
              </w:rPr>
            </w:pPr>
            <w:r w:rsidRPr="00A27A71">
              <w:rPr>
                <w:color w:val="000000"/>
                <w:sz w:val="18"/>
                <w:szCs w:val="18"/>
              </w:rPr>
              <w:t>0</w:t>
            </w:r>
          </w:p>
        </w:tc>
        <w:tc>
          <w:tcPr>
            <w:tcW w:w="99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2,750,105</w:t>
            </w:r>
          </w:p>
        </w:tc>
        <w:tc>
          <w:tcPr>
            <w:tcW w:w="720" w:type="dxa"/>
            <w:tcBorders>
              <w:top w:val="nil"/>
              <w:left w:val="nil"/>
              <w:bottom w:val="single" w:sz="4" w:space="0" w:color="auto"/>
              <w:right w:val="single" w:sz="4" w:space="0" w:color="auto"/>
            </w:tcBorders>
            <w:shd w:val="clear" w:color="auto" w:fill="auto"/>
            <w:noWrap/>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1082"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3,695,722</w:t>
            </w:r>
          </w:p>
        </w:tc>
      </w:tr>
      <w:tr w:rsidR="00B14D07" w:rsidRPr="00A27A71" w:rsidTr="00F76143">
        <w:trPr>
          <w:trHeight w:val="510"/>
          <w:jc w:val="center"/>
        </w:trPr>
        <w:tc>
          <w:tcPr>
            <w:tcW w:w="629" w:type="dxa"/>
            <w:tcBorders>
              <w:top w:val="nil"/>
              <w:left w:val="single" w:sz="4" w:space="0" w:color="auto"/>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2.4</w:t>
            </w:r>
          </w:p>
        </w:tc>
        <w:tc>
          <w:tcPr>
            <w:tcW w:w="18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Support costs for Cooperating IA (UNDP) (US $)</w:t>
            </w:r>
          </w:p>
        </w:tc>
        <w:tc>
          <w:tcPr>
            <w:tcW w:w="988"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66,193</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9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192,507</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1082"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258,701</w:t>
            </w:r>
          </w:p>
        </w:tc>
      </w:tr>
      <w:tr w:rsidR="00B14D07" w:rsidRPr="00A27A71" w:rsidTr="00F76143">
        <w:trPr>
          <w:trHeight w:val="510"/>
          <w:jc w:val="center"/>
        </w:trPr>
        <w:tc>
          <w:tcPr>
            <w:tcW w:w="629" w:type="dxa"/>
            <w:tcBorders>
              <w:top w:val="nil"/>
              <w:left w:val="single" w:sz="4" w:space="0" w:color="auto"/>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2.5</w:t>
            </w:r>
          </w:p>
        </w:tc>
        <w:tc>
          <w:tcPr>
            <w:tcW w:w="18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Cooperating IA (UN Environment) agreed funding (US $)</w:t>
            </w:r>
          </w:p>
        </w:tc>
        <w:tc>
          <w:tcPr>
            <w:tcW w:w="988"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260,000</w:t>
            </w:r>
          </w:p>
        </w:tc>
        <w:tc>
          <w:tcPr>
            <w:tcW w:w="720" w:type="dxa"/>
            <w:tcBorders>
              <w:top w:val="nil"/>
              <w:left w:val="nil"/>
              <w:bottom w:val="single" w:sz="4" w:space="0" w:color="auto"/>
              <w:right w:val="single" w:sz="4" w:space="0" w:color="auto"/>
            </w:tcBorders>
            <w:shd w:val="clear" w:color="auto" w:fill="auto"/>
            <w:noWrap/>
            <w:hideMark/>
          </w:tcPr>
          <w:p w:rsidR="00B14D07" w:rsidRPr="00A27A71" w:rsidRDefault="00B14D07" w:rsidP="00F76143">
            <w:pPr>
              <w:jc w:val="right"/>
              <w:rPr>
                <w:color w:val="000000"/>
                <w:sz w:val="18"/>
                <w:szCs w:val="18"/>
              </w:rPr>
            </w:pPr>
            <w:r w:rsidRPr="00A27A71">
              <w:rPr>
                <w:color w:val="000000"/>
                <w:sz w:val="18"/>
                <w:szCs w:val="18"/>
              </w:rPr>
              <w:t>0</w:t>
            </w:r>
          </w:p>
        </w:tc>
        <w:tc>
          <w:tcPr>
            <w:tcW w:w="99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279,500</w:t>
            </w:r>
          </w:p>
        </w:tc>
        <w:tc>
          <w:tcPr>
            <w:tcW w:w="720" w:type="dxa"/>
            <w:tcBorders>
              <w:top w:val="nil"/>
              <w:left w:val="nil"/>
              <w:bottom w:val="single" w:sz="4" w:space="0" w:color="auto"/>
              <w:right w:val="single" w:sz="4" w:space="0" w:color="auto"/>
            </w:tcBorders>
            <w:shd w:val="clear" w:color="auto" w:fill="auto"/>
            <w:noWrap/>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260,000</w:t>
            </w:r>
          </w:p>
        </w:tc>
        <w:tc>
          <w:tcPr>
            <w:tcW w:w="720" w:type="dxa"/>
            <w:tcBorders>
              <w:top w:val="nil"/>
              <w:left w:val="nil"/>
              <w:bottom w:val="single" w:sz="4" w:space="0" w:color="auto"/>
              <w:right w:val="single" w:sz="4" w:space="0" w:color="auto"/>
            </w:tcBorders>
            <w:shd w:val="clear" w:color="auto" w:fill="auto"/>
            <w:noWrap/>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150,000</w:t>
            </w:r>
          </w:p>
        </w:tc>
        <w:tc>
          <w:tcPr>
            <w:tcW w:w="720" w:type="dxa"/>
            <w:tcBorders>
              <w:top w:val="nil"/>
              <w:left w:val="nil"/>
              <w:bottom w:val="single" w:sz="4" w:space="0" w:color="auto"/>
              <w:right w:val="single" w:sz="4" w:space="0" w:color="auto"/>
            </w:tcBorders>
            <w:shd w:val="clear" w:color="auto" w:fill="auto"/>
            <w:noWrap/>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105,500</w:t>
            </w:r>
          </w:p>
        </w:tc>
        <w:tc>
          <w:tcPr>
            <w:tcW w:w="1082"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1,055,000</w:t>
            </w:r>
          </w:p>
        </w:tc>
      </w:tr>
      <w:tr w:rsidR="00B14D07" w:rsidRPr="00A27A71" w:rsidTr="00F76143">
        <w:trPr>
          <w:trHeight w:val="510"/>
          <w:jc w:val="center"/>
        </w:trPr>
        <w:tc>
          <w:tcPr>
            <w:tcW w:w="629" w:type="dxa"/>
            <w:tcBorders>
              <w:top w:val="nil"/>
              <w:left w:val="single" w:sz="4" w:space="0" w:color="auto"/>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2.6</w:t>
            </w:r>
          </w:p>
        </w:tc>
        <w:tc>
          <w:tcPr>
            <w:tcW w:w="18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Support costs for Cooperating IA (UN Environment) (US $)</w:t>
            </w:r>
          </w:p>
        </w:tc>
        <w:tc>
          <w:tcPr>
            <w:tcW w:w="988"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31,064</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9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33,394</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31,064</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17,922</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12,605</w:t>
            </w:r>
          </w:p>
        </w:tc>
        <w:tc>
          <w:tcPr>
            <w:tcW w:w="1082"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126,050</w:t>
            </w:r>
          </w:p>
        </w:tc>
      </w:tr>
      <w:tr w:rsidR="00B14D07" w:rsidRPr="00A27A71" w:rsidTr="00F76143">
        <w:trPr>
          <w:trHeight w:val="510"/>
          <w:jc w:val="center"/>
        </w:trPr>
        <w:tc>
          <w:tcPr>
            <w:tcW w:w="629" w:type="dxa"/>
            <w:tcBorders>
              <w:top w:val="nil"/>
              <w:left w:val="single" w:sz="4" w:space="0" w:color="auto"/>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2.7</w:t>
            </w:r>
          </w:p>
        </w:tc>
        <w:tc>
          <w:tcPr>
            <w:tcW w:w="18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Cooperating IA (Germany) agreed funding (US $)</w:t>
            </w:r>
          </w:p>
        </w:tc>
        <w:tc>
          <w:tcPr>
            <w:tcW w:w="988"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720" w:type="dxa"/>
            <w:tcBorders>
              <w:top w:val="nil"/>
              <w:left w:val="nil"/>
              <w:bottom w:val="single" w:sz="4" w:space="0" w:color="auto"/>
              <w:right w:val="single" w:sz="4" w:space="0" w:color="auto"/>
            </w:tcBorders>
            <w:shd w:val="clear" w:color="auto" w:fill="auto"/>
            <w:noWrap/>
            <w:hideMark/>
          </w:tcPr>
          <w:p w:rsidR="00B14D07" w:rsidRPr="00A27A71" w:rsidRDefault="00B14D07" w:rsidP="00F76143">
            <w:pPr>
              <w:jc w:val="right"/>
              <w:rPr>
                <w:color w:val="000000"/>
                <w:sz w:val="18"/>
                <w:szCs w:val="18"/>
              </w:rPr>
            </w:pPr>
            <w:r w:rsidRPr="00A27A71">
              <w:rPr>
                <w:color w:val="000000"/>
                <w:sz w:val="18"/>
                <w:szCs w:val="18"/>
              </w:rPr>
              <w:t>0</w:t>
            </w:r>
          </w:p>
        </w:tc>
        <w:tc>
          <w:tcPr>
            <w:tcW w:w="99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207,300</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1082"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207,300</w:t>
            </w:r>
          </w:p>
        </w:tc>
      </w:tr>
      <w:tr w:rsidR="00B14D07" w:rsidRPr="00A27A71" w:rsidTr="00F76143">
        <w:trPr>
          <w:trHeight w:val="510"/>
          <w:jc w:val="center"/>
        </w:trPr>
        <w:tc>
          <w:tcPr>
            <w:tcW w:w="629" w:type="dxa"/>
            <w:tcBorders>
              <w:top w:val="nil"/>
              <w:left w:val="single" w:sz="4" w:space="0" w:color="auto"/>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2.8</w:t>
            </w:r>
          </w:p>
        </w:tc>
        <w:tc>
          <w:tcPr>
            <w:tcW w:w="18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Support costs for Cooperating IA (Germany) (US $)</w:t>
            </w:r>
          </w:p>
        </w:tc>
        <w:tc>
          <w:tcPr>
            <w:tcW w:w="988"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9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26,949</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1082"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26,949</w:t>
            </w:r>
          </w:p>
        </w:tc>
      </w:tr>
      <w:tr w:rsidR="00B14D07" w:rsidRPr="00A27A71" w:rsidTr="00F76143">
        <w:trPr>
          <w:trHeight w:val="255"/>
          <w:jc w:val="center"/>
        </w:trPr>
        <w:tc>
          <w:tcPr>
            <w:tcW w:w="629" w:type="dxa"/>
            <w:tcBorders>
              <w:top w:val="nil"/>
              <w:left w:val="single" w:sz="4" w:space="0" w:color="auto"/>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3.1</w:t>
            </w:r>
          </w:p>
        </w:tc>
        <w:tc>
          <w:tcPr>
            <w:tcW w:w="18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Total agreed funding (US $)</w:t>
            </w:r>
          </w:p>
        </w:tc>
        <w:tc>
          <w:tcPr>
            <w:tcW w:w="988"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5,126,664</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9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4,310,619</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651,827</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541,827</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323,926</w:t>
            </w:r>
          </w:p>
        </w:tc>
        <w:tc>
          <w:tcPr>
            <w:tcW w:w="1082"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10,954,863</w:t>
            </w:r>
          </w:p>
        </w:tc>
      </w:tr>
      <w:tr w:rsidR="00B14D07" w:rsidRPr="00A27A71" w:rsidTr="00F76143">
        <w:trPr>
          <w:trHeight w:val="255"/>
          <w:jc w:val="center"/>
        </w:trPr>
        <w:tc>
          <w:tcPr>
            <w:tcW w:w="629" w:type="dxa"/>
            <w:tcBorders>
              <w:top w:val="nil"/>
              <w:left w:val="single" w:sz="4" w:space="0" w:color="auto"/>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3.2</w:t>
            </w:r>
          </w:p>
        </w:tc>
        <w:tc>
          <w:tcPr>
            <w:tcW w:w="18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Total support costs (US $)</w:t>
            </w:r>
          </w:p>
        </w:tc>
        <w:tc>
          <w:tcPr>
            <w:tcW w:w="988"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371,730</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9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328,010</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58,492</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45,350</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27,895</w:t>
            </w:r>
          </w:p>
        </w:tc>
        <w:tc>
          <w:tcPr>
            <w:tcW w:w="1082"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831,478</w:t>
            </w:r>
          </w:p>
        </w:tc>
      </w:tr>
      <w:tr w:rsidR="00B14D07" w:rsidRPr="00A27A71" w:rsidTr="00F76143">
        <w:trPr>
          <w:trHeight w:val="255"/>
          <w:jc w:val="center"/>
        </w:trPr>
        <w:tc>
          <w:tcPr>
            <w:tcW w:w="629" w:type="dxa"/>
            <w:tcBorders>
              <w:top w:val="nil"/>
              <w:left w:val="single" w:sz="4" w:space="0" w:color="auto"/>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3.3</w:t>
            </w:r>
          </w:p>
        </w:tc>
        <w:tc>
          <w:tcPr>
            <w:tcW w:w="18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Total agreed costs (US $)</w:t>
            </w:r>
          </w:p>
        </w:tc>
        <w:tc>
          <w:tcPr>
            <w:tcW w:w="988"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5,498,394</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9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4,638,630</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710,319</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587,177</w:t>
            </w:r>
          </w:p>
        </w:tc>
        <w:tc>
          <w:tcPr>
            <w:tcW w:w="72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c>
          <w:tcPr>
            <w:tcW w:w="900"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351,821</w:t>
            </w:r>
          </w:p>
        </w:tc>
        <w:tc>
          <w:tcPr>
            <w:tcW w:w="1082"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11,786,341</w:t>
            </w:r>
          </w:p>
        </w:tc>
      </w:tr>
      <w:tr w:rsidR="00B14D07" w:rsidRPr="00A27A71" w:rsidTr="00F76143">
        <w:trPr>
          <w:trHeight w:val="134"/>
          <w:jc w:val="center"/>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B14D07" w:rsidRPr="00A27A71" w:rsidRDefault="00B14D07" w:rsidP="00F76143">
            <w:pPr>
              <w:keepNext/>
              <w:keepLines/>
              <w:jc w:val="left"/>
              <w:rPr>
                <w:color w:val="000000"/>
                <w:sz w:val="18"/>
                <w:szCs w:val="18"/>
              </w:rPr>
            </w:pPr>
            <w:r w:rsidRPr="00A27A71">
              <w:rPr>
                <w:color w:val="000000"/>
                <w:sz w:val="18"/>
                <w:szCs w:val="18"/>
              </w:rPr>
              <w:lastRenderedPageBreak/>
              <w:t>4.1.1</w:t>
            </w:r>
          </w:p>
        </w:tc>
        <w:tc>
          <w:tcPr>
            <w:tcW w:w="9358" w:type="dxa"/>
            <w:gridSpan w:val="10"/>
            <w:tcBorders>
              <w:top w:val="single" w:sz="4" w:space="0" w:color="auto"/>
              <w:left w:val="single" w:sz="4" w:space="0" w:color="auto"/>
              <w:bottom w:val="single" w:sz="4" w:space="0" w:color="auto"/>
              <w:right w:val="single" w:sz="4" w:space="0" w:color="auto"/>
            </w:tcBorders>
            <w:shd w:val="clear" w:color="auto" w:fill="auto"/>
            <w:hideMark/>
          </w:tcPr>
          <w:p w:rsidR="00B14D07" w:rsidRPr="00A27A71" w:rsidRDefault="00B14D07" w:rsidP="00F76143">
            <w:pPr>
              <w:keepNext/>
              <w:keepLines/>
              <w:jc w:val="left"/>
              <w:rPr>
                <w:color w:val="000000"/>
                <w:sz w:val="18"/>
                <w:szCs w:val="18"/>
              </w:rPr>
            </w:pPr>
            <w:r w:rsidRPr="00A27A71">
              <w:rPr>
                <w:color w:val="000000"/>
                <w:sz w:val="18"/>
                <w:szCs w:val="18"/>
              </w:rPr>
              <w:t>Total phase-out of HCFC-22 agreed to be achieved under this Agreement (ODP tonnes)</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B14D07" w:rsidRPr="00A27A71" w:rsidRDefault="00B14D07" w:rsidP="00F76143">
            <w:pPr>
              <w:keepNext/>
              <w:keepLines/>
              <w:jc w:val="right"/>
              <w:rPr>
                <w:color w:val="000000"/>
                <w:sz w:val="18"/>
                <w:szCs w:val="18"/>
              </w:rPr>
            </w:pPr>
            <w:r w:rsidRPr="00A27A71">
              <w:rPr>
                <w:color w:val="000000"/>
                <w:sz w:val="18"/>
                <w:szCs w:val="18"/>
              </w:rPr>
              <w:t xml:space="preserve">        70.53 </w:t>
            </w:r>
          </w:p>
        </w:tc>
      </w:tr>
      <w:tr w:rsidR="00B14D07" w:rsidRPr="00A27A71" w:rsidTr="00F76143">
        <w:trPr>
          <w:trHeight w:val="89"/>
          <w:jc w:val="center"/>
        </w:trPr>
        <w:tc>
          <w:tcPr>
            <w:tcW w:w="629" w:type="dxa"/>
            <w:tcBorders>
              <w:top w:val="nil"/>
              <w:left w:val="single" w:sz="4" w:space="0" w:color="auto"/>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4.1.2</w:t>
            </w:r>
          </w:p>
        </w:tc>
        <w:tc>
          <w:tcPr>
            <w:tcW w:w="9358" w:type="dxa"/>
            <w:gridSpan w:val="10"/>
            <w:tcBorders>
              <w:top w:val="single" w:sz="4" w:space="0" w:color="auto"/>
              <w:left w:val="nil"/>
              <w:bottom w:val="single" w:sz="4" w:space="0" w:color="auto"/>
              <w:right w:val="single" w:sz="4" w:space="0" w:color="000000"/>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Phase-out of HCFC-22 to be achieved in the previous stage (ODP tonnes)</w:t>
            </w:r>
          </w:p>
        </w:tc>
        <w:tc>
          <w:tcPr>
            <w:tcW w:w="1082"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6.13</w:t>
            </w:r>
          </w:p>
        </w:tc>
      </w:tr>
      <w:tr w:rsidR="00B14D07" w:rsidRPr="00A27A71" w:rsidTr="00F76143">
        <w:trPr>
          <w:trHeight w:val="152"/>
          <w:jc w:val="center"/>
        </w:trPr>
        <w:tc>
          <w:tcPr>
            <w:tcW w:w="629" w:type="dxa"/>
            <w:tcBorders>
              <w:top w:val="nil"/>
              <w:left w:val="single" w:sz="4" w:space="0" w:color="auto"/>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4.1.3</w:t>
            </w:r>
          </w:p>
        </w:tc>
        <w:tc>
          <w:tcPr>
            <w:tcW w:w="9358" w:type="dxa"/>
            <w:gridSpan w:val="10"/>
            <w:tcBorders>
              <w:top w:val="single" w:sz="4" w:space="0" w:color="auto"/>
              <w:left w:val="nil"/>
              <w:bottom w:val="single" w:sz="4" w:space="0" w:color="auto"/>
              <w:right w:val="single" w:sz="4" w:space="0" w:color="000000"/>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Remaining eligible consumption for HCFC-22 (ODP tonnes)</w:t>
            </w:r>
          </w:p>
        </w:tc>
        <w:tc>
          <w:tcPr>
            <w:tcW w:w="1082"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 xml:space="preserve">      163.53 </w:t>
            </w:r>
          </w:p>
        </w:tc>
      </w:tr>
      <w:tr w:rsidR="00B14D07" w:rsidRPr="00A27A71" w:rsidTr="00F76143">
        <w:trPr>
          <w:trHeight w:val="107"/>
          <w:jc w:val="center"/>
        </w:trPr>
        <w:tc>
          <w:tcPr>
            <w:tcW w:w="629" w:type="dxa"/>
            <w:tcBorders>
              <w:top w:val="nil"/>
              <w:left w:val="single" w:sz="4" w:space="0" w:color="auto"/>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4.2.1</w:t>
            </w:r>
          </w:p>
        </w:tc>
        <w:tc>
          <w:tcPr>
            <w:tcW w:w="9358" w:type="dxa"/>
            <w:gridSpan w:val="10"/>
            <w:tcBorders>
              <w:top w:val="single" w:sz="4" w:space="0" w:color="auto"/>
              <w:left w:val="nil"/>
              <w:bottom w:val="single" w:sz="4" w:space="0" w:color="auto"/>
              <w:right w:val="single" w:sz="4" w:space="0" w:color="000000"/>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Total phase-out of HCFC-123 agreed to be achieved under this Agreement (ODP tonnes)</w:t>
            </w:r>
          </w:p>
        </w:tc>
        <w:tc>
          <w:tcPr>
            <w:tcW w:w="1082" w:type="dxa"/>
            <w:tcBorders>
              <w:top w:val="nil"/>
              <w:left w:val="nil"/>
              <w:bottom w:val="single" w:sz="4" w:space="0" w:color="auto"/>
              <w:right w:val="single" w:sz="4" w:space="0" w:color="auto"/>
            </w:tcBorders>
            <w:shd w:val="clear" w:color="auto" w:fill="auto"/>
            <w:hideMark/>
          </w:tcPr>
          <w:p w:rsidR="00B14D07" w:rsidRPr="00A27A71" w:rsidRDefault="00B14D07" w:rsidP="00F76143">
            <w:pPr>
              <w:jc w:val="right"/>
              <w:rPr>
                <w:color w:val="000000"/>
                <w:sz w:val="18"/>
                <w:szCs w:val="18"/>
              </w:rPr>
            </w:pPr>
            <w:r w:rsidRPr="00A27A71">
              <w:rPr>
                <w:color w:val="000000"/>
                <w:sz w:val="18"/>
                <w:szCs w:val="18"/>
              </w:rPr>
              <w:t>0</w:t>
            </w:r>
          </w:p>
        </w:tc>
      </w:tr>
      <w:tr w:rsidR="00B14D07" w:rsidRPr="00A27A71" w:rsidTr="00F76143">
        <w:trPr>
          <w:trHeight w:val="71"/>
          <w:jc w:val="center"/>
        </w:trPr>
        <w:tc>
          <w:tcPr>
            <w:tcW w:w="629" w:type="dxa"/>
            <w:tcBorders>
              <w:top w:val="nil"/>
              <w:left w:val="single" w:sz="4" w:space="0" w:color="auto"/>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4.2.2</w:t>
            </w:r>
          </w:p>
        </w:tc>
        <w:tc>
          <w:tcPr>
            <w:tcW w:w="9358" w:type="dxa"/>
            <w:gridSpan w:val="10"/>
            <w:tcBorders>
              <w:top w:val="single" w:sz="4" w:space="0" w:color="auto"/>
              <w:left w:val="nil"/>
              <w:bottom w:val="single" w:sz="4" w:space="0" w:color="auto"/>
              <w:right w:val="single" w:sz="4" w:space="0" w:color="000000"/>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Phase-out of HCFC-123 to be achieved in the previous stage (ODP tonnes)</w:t>
            </w:r>
          </w:p>
        </w:tc>
        <w:tc>
          <w:tcPr>
            <w:tcW w:w="1082" w:type="dxa"/>
            <w:tcBorders>
              <w:top w:val="nil"/>
              <w:left w:val="nil"/>
              <w:bottom w:val="single" w:sz="4" w:space="0" w:color="auto"/>
              <w:right w:val="single" w:sz="4" w:space="0" w:color="auto"/>
            </w:tcBorders>
            <w:shd w:val="clear" w:color="000000" w:fill="FFFFFF"/>
            <w:hideMark/>
          </w:tcPr>
          <w:p w:rsidR="00B14D07" w:rsidRPr="00A27A71" w:rsidRDefault="00B14D07" w:rsidP="00F76143">
            <w:pPr>
              <w:jc w:val="right"/>
              <w:rPr>
                <w:color w:val="000000"/>
                <w:sz w:val="18"/>
                <w:szCs w:val="18"/>
              </w:rPr>
            </w:pPr>
            <w:r w:rsidRPr="00A27A71">
              <w:rPr>
                <w:color w:val="000000"/>
                <w:sz w:val="18"/>
                <w:szCs w:val="18"/>
              </w:rPr>
              <w:t>0</w:t>
            </w:r>
          </w:p>
        </w:tc>
      </w:tr>
      <w:tr w:rsidR="00B14D07" w:rsidRPr="00A27A71" w:rsidTr="00F76143">
        <w:trPr>
          <w:trHeight w:val="50"/>
          <w:jc w:val="center"/>
        </w:trPr>
        <w:tc>
          <w:tcPr>
            <w:tcW w:w="629" w:type="dxa"/>
            <w:tcBorders>
              <w:top w:val="nil"/>
              <w:left w:val="single" w:sz="4" w:space="0" w:color="auto"/>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4.2.3</w:t>
            </w:r>
          </w:p>
        </w:tc>
        <w:tc>
          <w:tcPr>
            <w:tcW w:w="9358" w:type="dxa"/>
            <w:gridSpan w:val="10"/>
            <w:tcBorders>
              <w:top w:val="single" w:sz="4" w:space="0" w:color="auto"/>
              <w:left w:val="nil"/>
              <w:bottom w:val="single" w:sz="4" w:space="0" w:color="auto"/>
              <w:right w:val="single" w:sz="4" w:space="0" w:color="000000"/>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Remaining eligible consumption for HCFC-123 (ODP tonnes)</w:t>
            </w:r>
          </w:p>
        </w:tc>
        <w:tc>
          <w:tcPr>
            <w:tcW w:w="1082" w:type="dxa"/>
            <w:tcBorders>
              <w:top w:val="nil"/>
              <w:left w:val="nil"/>
              <w:bottom w:val="single" w:sz="4" w:space="0" w:color="auto"/>
              <w:right w:val="single" w:sz="4" w:space="0" w:color="auto"/>
            </w:tcBorders>
            <w:shd w:val="clear" w:color="000000" w:fill="FFFFFF"/>
            <w:hideMark/>
          </w:tcPr>
          <w:p w:rsidR="00B14D07" w:rsidRPr="00A27A71" w:rsidRDefault="00B14D07" w:rsidP="00F76143">
            <w:pPr>
              <w:jc w:val="right"/>
              <w:rPr>
                <w:color w:val="000000"/>
                <w:sz w:val="18"/>
                <w:szCs w:val="18"/>
              </w:rPr>
            </w:pPr>
            <w:r w:rsidRPr="00A27A71">
              <w:rPr>
                <w:color w:val="000000"/>
                <w:sz w:val="18"/>
                <w:szCs w:val="18"/>
              </w:rPr>
              <w:t>0.11</w:t>
            </w:r>
          </w:p>
        </w:tc>
      </w:tr>
      <w:tr w:rsidR="00B14D07" w:rsidRPr="00A27A71" w:rsidTr="00F76143">
        <w:trPr>
          <w:trHeight w:val="179"/>
          <w:jc w:val="center"/>
        </w:trPr>
        <w:tc>
          <w:tcPr>
            <w:tcW w:w="629" w:type="dxa"/>
            <w:tcBorders>
              <w:top w:val="nil"/>
              <w:left w:val="single" w:sz="4" w:space="0" w:color="auto"/>
              <w:bottom w:val="single" w:sz="4" w:space="0" w:color="auto"/>
              <w:right w:val="single" w:sz="4" w:space="0" w:color="auto"/>
            </w:tcBorders>
            <w:shd w:val="clear" w:color="auto" w:fill="auto"/>
            <w:noWrap/>
            <w:hideMark/>
          </w:tcPr>
          <w:p w:rsidR="00B14D07" w:rsidRPr="00A27A71" w:rsidRDefault="00B14D07" w:rsidP="00F76143">
            <w:pPr>
              <w:jc w:val="left"/>
              <w:rPr>
                <w:color w:val="000000"/>
                <w:sz w:val="18"/>
                <w:szCs w:val="18"/>
              </w:rPr>
            </w:pPr>
            <w:r w:rsidRPr="00A27A71">
              <w:rPr>
                <w:color w:val="000000"/>
                <w:sz w:val="18"/>
                <w:szCs w:val="18"/>
              </w:rPr>
              <w:t>4.3.1</w:t>
            </w:r>
          </w:p>
        </w:tc>
        <w:tc>
          <w:tcPr>
            <w:tcW w:w="9358" w:type="dxa"/>
            <w:gridSpan w:val="10"/>
            <w:tcBorders>
              <w:top w:val="single" w:sz="4" w:space="0" w:color="auto"/>
              <w:left w:val="nil"/>
              <w:bottom w:val="single" w:sz="4" w:space="0" w:color="auto"/>
              <w:right w:val="single" w:sz="4" w:space="0" w:color="000000"/>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Total phase-out of HCFC-141b agreed to be achieved under this Agreement (ODP tonnes)</w:t>
            </w:r>
          </w:p>
        </w:tc>
        <w:tc>
          <w:tcPr>
            <w:tcW w:w="1082" w:type="dxa"/>
            <w:tcBorders>
              <w:top w:val="nil"/>
              <w:left w:val="nil"/>
              <w:bottom w:val="single" w:sz="4" w:space="0" w:color="auto"/>
              <w:right w:val="single" w:sz="4" w:space="0" w:color="auto"/>
            </w:tcBorders>
            <w:shd w:val="clear" w:color="000000" w:fill="FFFFFF"/>
            <w:hideMark/>
          </w:tcPr>
          <w:p w:rsidR="00B14D07" w:rsidRPr="00A27A71" w:rsidRDefault="00B14D07" w:rsidP="00F76143">
            <w:pPr>
              <w:jc w:val="right"/>
              <w:rPr>
                <w:color w:val="000000"/>
                <w:sz w:val="18"/>
                <w:szCs w:val="18"/>
              </w:rPr>
            </w:pPr>
            <w:r w:rsidRPr="00A27A71">
              <w:rPr>
                <w:color w:val="000000"/>
                <w:sz w:val="18"/>
                <w:szCs w:val="18"/>
              </w:rPr>
              <w:t>33.92**</w:t>
            </w:r>
          </w:p>
        </w:tc>
      </w:tr>
      <w:tr w:rsidR="00B14D07" w:rsidRPr="00A27A71" w:rsidTr="00F76143">
        <w:trPr>
          <w:trHeight w:val="143"/>
          <w:jc w:val="center"/>
        </w:trPr>
        <w:tc>
          <w:tcPr>
            <w:tcW w:w="629" w:type="dxa"/>
            <w:tcBorders>
              <w:top w:val="nil"/>
              <w:left w:val="single" w:sz="4" w:space="0" w:color="auto"/>
              <w:bottom w:val="single" w:sz="4" w:space="0" w:color="auto"/>
              <w:right w:val="single" w:sz="4" w:space="0" w:color="auto"/>
            </w:tcBorders>
            <w:shd w:val="clear" w:color="auto" w:fill="auto"/>
            <w:noWrap/>
            <w:hideMark/>
          </w:tcPr>
          <w:p w:rsidR="00B14D07" w:rsidRPr="00A27A71" w:rsidRDefault="00B14D07" w:rsidP="00F76143">
            <w:pPr>
              <w:jc w:val="left"/>
              <w:rPr>
                <w:color w:val="000000"/>
                <w:sz w:val="18"/>
                <w:szCs w:val="18"/>
              </w:rPr>
            </w:pPr>
            <w:r w:rsidRPr="00A27A71">
              <w:rPr>
                <w:color w:val="000000"/>
                <w:sz w:val="18"/>
                <w:szCs w:val="18"/>
              </w:rPr>
              <w:t>4.3.2</w:t>
            </w:r>
          </w:p>
        </w:tc>
        <w:tc>
          <w:tcPr>
            <w:tcW w:w="9358" w:type="dxa"/>
            <w:gridSpan w:val="10"/>
            <w:tcBorders>
              <w:top w:val="single" w:sz="4" w:space="0" w:color="auto"/>
              <w:left w:val="nil"/>
              <w:bottom w:val="single" w:sz="4" w:space="0" w:color="auto"/>
              <w:right w:val="single" w:sz="4" w:space="0" w:color="000000"/>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Phase-out of HCFC-141b to be achieved in the previous stage (ODP tonnes)</w:t>
            </w:r>
          </w:p>
        </w:tc>
        <w:tc>
          <w:tcPr>
            <w:tcW w:w="1082" w:type="dxa"/>
            <w:tcBorders>
              <w:top w:val="nil"/>
              <w:left w:val="nil"/>
              <w:bottom w:val="single" w:sz="4" w:space="0" w:color="auto"/>
              <w:right w:val="single" w:sz="4" w:space="0" w:color="auto"/>
            </w:tcBorders>
            <w:shd w:val="clear" w:color="000000" w:fill="FFFFFF"/>
            <w:hideMark/>
          </w:tcPr>
          <w:p w:rsidR="00B14D07" w:rsidRPr="00A27A71" w:rsidRDefault="00B14D07" w:rsidP="00F76143">
            <w:pPr>
              <w:jc w:val="right"/>
              <w:rPr>
                <w:color w:val="000000"/>
                <w:sz w:val="18"/>
                <w:szCs w:val="18"/>
              </w:rPr>
            </w:pPr>
            <w:r w:rsidRPr="00A27A71">
              <w:rPr>
                <w:color w:val="000000"/>
                <w:sz w:val="18"/>
                <w:szCs w:val="18"/>
              </w:rPr>
              <w:t>95.69</w:t>
            </w:r>
          </w:p>
        </w:tc>
      </w:tr>
      <w:tr w:rsidR="00B14D07" w:rsidRPr="00A27A71" w:rsidTr="00F76143">
        <w:trPr>
          <w:trHeight w:val="107"/>
          <w:jc w:val="center"/>
        </w:trPr>
        <w:tc>
          <w:tcPr>
            <w:tcW w:w="629" w:type="dxa"/>
            <w:tcBorders>
              <w:top w:val="nil"/>
              <w:left w:val="single" w:sz="4" w:space="0" w:color="auto"/>
              <w:bottom w:val="single" w:sz="4" w:space="0" w:color="auto"/>
              <w:right w:val="single" w:sz="4" w:space="0" w:color="auto"/>
            </w:tcBorders>
            <w:shd w:val="clear" w:color="auto" w:fill="auto"/>
            <w:noWrap/>
            <w:hideMark/>
          </w:tcPr>
          <w:p w:rsidR="00B14D07" w:rsidRPr="00A27A71" w:rsidRDefault="00B14D07" w:rsidP="00F76143">
            <w:pPr>
              <w:jc w:val="left"/>
              <w:rPr>
                <w:color w:val="000000"/>
                <w:sz w:val="18"/>
                <w:szCs w:val="18"/>
              </w:rPr>
            </w:pPr>
            <w:r w:rsidRPr="00A27A71">
              <w:rPr>
                <w:color w:val="000000"/>
                <w:sz w:val="18"/>
                <w:szCs w:val="18"/>
              </w:rPr>
              <w:t>4.3.3</w:t>
            </w:r>
          </w:p>
        </w:tc>
        <w:tc>
          <w:tcPr>
            <w:tcW w:w="9358" w:type="dxa"/>
            <w:gridSpan w:val="10"/>
            <w:tcBorders>
              <w:top w:val="single" w:sz="4" w:space="0" w:color="auto"/>
              <w:left w:val="nil"/>
              <w:bottom w:val="single" w:sz="4" w:space="0" w:color="auto"/>
              <w:right w:val="single" w:sz="4" w:space="0" w:color="000000"/>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Remaining eligible consumption for HCFC-141b (ODP tonnes)</w:t>
            </w:r>
          </w:p>
        </w:tc>
        <w:tc>
          <w:tcPr>
            <w:tcW w:w="1082" w:type="dxa"/>
            <w:tcBorders>
              <w:top w:val="nil"/>
              <w:left w:val="nil"/>
              <w:bottom w:val="single" w:sz="4" w:space="0" w:color="auto"/>
              <w:right w:val="single" w:sz="4" w:space="0" w:color="auto"/>
            </w:tcBorders>
            <w:shd w:val="clear" w:color="000000" w:fill="FFFFFF"/>
            <w:hideMark/>
          </w:tcPr>
          <w:p w:rsidR="00B14D07" w:rsidRPr="00A27A71" w:rsidRDefault="00B14D07" w:rsidP="00F76143">
            <w:pPr>
              <w:jc w:val="right"/>
              <w:rPr>
                <w:color w:val="000000"/>
                <w:sz w:val="18"/>
                <w:szCs w:val="18"/>
              </w:rPr>
            </w:pPr>
            <w:r w:rsidRPr="00A27A71">
              <w:rPr>
                <w:color w:val="000000"/>
                <w:sz w:val="18"/>
                <w:szCs w:val="18"/>
              </w:rPr>
              <w:t>0</w:t>
            </w:r>
          </w:p>
        </w:tc>
      </w:tr>
      <w:tr w:rsidR="00B14D07" w:rsidRPr="00A27A71" w:rsidTr="00F76143">
        <w:trPr>
          <w:trHeight w:val="71"/>
          <w:jc w:val="center"/>
        </w:trPr>
        <w:tc>
          <w:tcPr>
            <w:tcW w:w="629" w:type="dxa"/>
            <w:tcBorders>
              <w:top w:val="nil"/>
              <w:left w:val="single" w:sz="4" w:space="0" w:color="auto"/>
              <w:bottom w:val="single" w:sz="4" w:space="0" w:color="auto"/>
              <w:right w:val="single" w:sz="4" w:space="0" w:color="auto"/>
            </w:tcBorders>
            <w:shd w:val="clear" w:color="auto" w:fill="auto"/>
            <w:noWrap/>
            <w:hideMark/>
          </w:tcPr>
          <w:p w:rsidR="00B14D07" w:rsidRPr="00A27A71" w:rsidRDefault="00B14D07" w:rsidP="00F76143">
            <w:pPr>
              <w:jc w:val="left"/>
              <w:rPr>
                <w:color w:val="000000"/>
                <w:sz w:val="18"/>
                <w:szCs w:val="18"/>
              </w:rPr>
            </w:pPr>
            <w:r w:rsidRPr="00A27A71">
              <w:rPr>
                <w:color w:val="000000"/>
                <w:sz w:val="18"/>
                <w:szCs w:val="18"/>
              </w:rPr>
              <w:t>4.4.1</w:t>
            </w:r>
          </w:p>
        </w:tc>
        <w:tc>
          <w:tcPr>
            <w:tcW w:w="9358" w:type="dxa"/>
            <w:gridSpan w:val="10"/>
            <w:tcBorders>
              <w:top w:val="single" w:sz="4" w:space="0" w:color="auto"/>
              <w:left w:val="nil"/>
              <w:bottom w:val="single" w:sz="4" w:space="0" w:color="auto"/>
              <w:right w:val="single" w:sz="4" w:space="0" w:color="000000"/>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Total phase-out of HCFC-142b agreed to be achieved under this Agreement (ODP tonnes)</w:t>
            </w:r>
          </w:p>
        </w:tc>
        <w:tc>
          <w:tcPr>
            <w:tcW w:w="1082" w:type="dxa"/>
            <w:tcBorders>
              <w:top w:val="nil"/>
              <w:left w:val="nil"/>
              <w:bottom w:val="single" w:sz="4" w:space="0" w:color="auto"/>
              <w:right w:val="single" w:sz="4" w:space="0" w:color="auto"/>
            </w:tcBorders>
            <w:shd w:val="clear" w:color="000000" w:fill="FFFFFF"/>
            <w:hideMark/>
          </w:tcPr>
          <w:p w:rsidR="00B14D07" w:rsidRPr="00A27A71" w:rsidRDefault="00B14D07" w:rsidP="00F76143">
            <w:pPr>
              <w:jc w:val="right"/>
              <w:rPr>
                <w:color w:val="000000"/>
                <w:sz w:val="18"/>
                <w:szCs w:val="18"/>
              </w:rPr>
            </w:pPr>
            <w:r w:rsidRPr="00A27A71">
              <w:rPr>
                <w:color w:val="000000"/>
                <w:sz w:val="18"/>
                <w:szCs w:val="18"/>
              </w:rPr>
              <w:t>16.36</w:t>
            </w:r>
          </w:p>
        </w:tc>
      </w:tr>
      <w:tr w:rsidR="00B14D07" w:rsidRPr="00A27A71" w:rsidTr="00F76143">
        <w:trPr>
          <w:trHeight w:val="116"/>
          <w:jc w:val="center"/>
        </w:trPr>
        <w:tc>
          <w:tcPr>
            <w:tcW w:w="629" w:type="dxa"/>
            <w:tcBorders>
              <w:top w:val="nil"/>
              <w:left w:val="single" w:sz="4" w:space="0" w:color="auto"/>
              <w:bottom w:val="single" w:sz="4" w:space="0" w:color="auto"/>
              <w:right w:val="single" w:sz="4" w:space="0" w:color="auto"/>
            </w:tcBorders>
            <w:shd w:val="clear" w:color="auto" w:fill="auto"/>
            <w:noWrap/>
            <w:hideMark/>
          </w:tcPr>
          <w:p w:rsidR="00B14D07" w:rsidRPr="00A27A71" w:rsidRDefault="00B14D07" w:rsidP="00F76143">
            <w:pPr>
              <w:jc w:val="left"/>
              <w:rPr>
                <w:color w:val="000000"/>
                <w:sz w:val="18"/>
                <w:szCs w:val="18"/>
              </w:rPr>
            </w:pPr>
            <w:r w:rsidRPr="00A27A71">
              <w:rPr>
                <w:color w:val="000000"/>
                <w:sz w:val="18"/>
                <w:szCs w:val="18"/>
              </w:rPr>
              <w:t>4.4.2</w:t>
            </w:r>
          </w:p>
        </w:tc>
        <w:tc>
          <w:tcPr>
            <w:tcW w:w="9358" w:type="dxa"/>
            <w:gridSpan w:val="10"/>
            <w:tcBorders>
              <w:top w:val="single" w:sz="4" w:space="0" w:color="auto"/>
              <w:left w:val="nil"/>
              <w:bottom w:val="single" w:sz="4" w:space="0" w:color="auto"/>
              <w:right w:val="single" w:sz="4" w:space="0" w:color="000000"/>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Phase-out of HCFC-142b to be achieved in the previous stage (ODP tonnes)</w:t>
            </w:r>
          </w:p>
        </w:tc>
        <w:tc>
          <w:tcPr>
            <w:tcW w:w="1082" w:type="dxa"/>
            <w:tcBorders>
              <w:top w:val="nil"/>
              <w:left w:val="nil"/>
              <w:bottom w:val="single" w:sz="4" w:space="0" w:color="auto"/>
              <w:right w:val="single" w:sz="4" w:space="0" w:color="auto"/>
            </w:tcBorders>
            <w:shd w:val="clear" w:color="000000" w:fill="FFFFFF"/>
            <w:hideMark/>
          </w:tcPr>
          <w:p w:rsidR="00B14D07" w:rsidRPr="00A27A71" w:rsidRDefault="00B14D07" w:rsidP="00F76143">
            <w:pPr>
              <w:jc w:val="right"/>
              <w:rPr>
                <w:color w:val="000000"/>
                <w:sz w:val="18"/>
                <w:szCs w:val="18"/>
              </w:rPr>
            </w:pPr>
            <w:r w:rsidRPr="00A27A71">
              <w:rPr>
                <w:color w:val="000000"/>
                <w:sz w:val="18"/>
                <w:szCs w:val="18"/>
              </w:rPr>
              <w:t>0</w:t>
            </w:r>
          </w:p>
        </w:tc>
      </w:tr>
      <w:tr w:rsidR="00B14D07" w:rsidRPr="00A27A71" w:rsidTr="00F76143">
        <w:trPr>
          <w:trHeight w:val="170"/>
          <w:jc w:val="center"/>
        </w:trPr>
        <w:tc>
          <w:tcPr>
            <w:tcW w:w="629" w:type="dxa"/>
            <w:tcBorders>
              <w:top w:val="nil"/>
              <w:left w:val="single" w:sz="4" w:space="0" w:color="auto"/>
              <w:bottom w:val="single" w:sz="4" w:space="0" w:color="auto"/>
              <w:right w:val="single" w:sz="4" w:space="0" w:color="auto"/>
            </w:tcBorders>
            <w:shd w:val="clear" w:color="auto" w:fill="auto"/>
            <w:noWrap/>
            <w:hideMark/>
          </w:tcPr>
          <w:p w:rsidR="00B14D07" w:rsidRPr="00A27A71" w:rsidRDefault="00B14D07" w:rsidP="00F76143">
            <w:pPr>
              <w:jc w:val="left"/>
              <w:rPr>
                <w:color w:val="000000"/>
                <w:sz w:val="18"/>
                <w:szCs w:val="18"/>
              </w:rPr>
            </w:pPr>
            <w:r w:rsidRPr="00A27A71">
              <w:rPr>
                <w:color w:val="000000"/>
                <w:sz w:val="18"/>
                <w:szCs w:val="18"/>
              </w:rPr>
              <w:t>4.4.3</w:t>
            </w:r>
          </w:p>
        </w:tc>
        <w:tc>
          <w:tcPr>
            <w:tcW w:w="9358" w:type="dxa"/>
            <w:gridSpan w:val="10"/>
            <w:tcBorders>
              <w:top w:val="single" w:sz="4" w:space="0" w:color="auto"/>
              <w:left w:val="nil"/>
              <w:bottom w:val="single" w:sz="4" w:space="0" w:color="auto"/>
              <w:right w:val="single" w:sz="4" w:space="0" w:color="000000"/>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Remaining eligible consumption for HCFC-142b (ODP tonnes)</w:t>
            </w:r>
          </w:p>
        </w:tc>
        <w:tc>
          <w:tcPr>
            <w:tcW w:w="1082" w:type="dxa"/>
            <w:tcBorders>
              <w:top w:val="nil"/>
              <w:left w:val="nil"/>
              <w:bottom w:val="single" w:sz="4" w:space="0" w:color="auto"/>
              <w:right w:val="single" w:sz="4" w:space="0" w:color="auto"/>
            </w:tcBorders>
            <w:shd w:val="clear" w:color="000000" w:fill="FFFFFF"/>
            <w:hideMark/>
          </w:tcPr>
          <w:p w:rsidR="00B14D07" w:rsidRPr="00A27A71" w:rsidRDefault="00B14D07" w:rsidP="00F76143">
            <w:pPr>
              <w:jc w:val="right"/>
              <w:rPr>
                <w:color w:val="000000"/>
                <w:sz w:val="18"/>
                <w:szCs w:val="18"/>
              </w:rPr>
            </w:pPr>
            <w:r w:rsidRPr="00A27A71">
              <w:rPr>
                <w:color w:val="000000"/>
                <w:sz w:val="18"/>
                <w:szCs w:val="18"/>
              </w:rPr>
              <w:t>0</w:t>
            </w:r>
          </w:p>
        </w:tc>
      </w:tr>
      <w:tr w:rsidR="00B14D07" w:rsidRPr="00A27A71" w:rsidTr="00F76143">
        <w:trPr>
          <w:trHeight w:val="53"/>
          <w:jc w:val="center"/>
        </w:trPr>
        <w:tc>
          <w:tcPr>
            <w:tcW w:w="629" w:type="dxa"/>
            <w:tcBorders>
              <w:top w:val="nil"/>
              <w:left w:val="single" w:sz="4" w:space="0" w:color="auto"/>
              <w:bottom w:val="single" w:sz="4" w:space="0" w:color="auto"/>
              <w:right w:val="single" w:sz="4" w:space="0" w:color="auto"/>
            </w:tcBorders>
            <w:shd w:val="clear" w:color="auto" w:fill="auto"/>
            <w:noWrap/>
            <w:hideMark/>
          </w:tcPr>
          <w:p w:rsidR="00B14D07" w:rsidRPr="00A27A71" w:rsidRDefault="00B14D07" w:rsidP="00F76143">
            <w:pPr>
              <w:jc w:val="left"/>
              <w:rPr>
                <w:color w:val="000000"/>
                <w:sz w:val="18"/>
                <w:szCs w:val="18"/>
              </w:rPr>
            </w:pPr>
            <w:r w:rsidRPr="00A27A71">
              <w:rPr>
                <w:color w:val="000000"/>
                <w:sz w:val="18"/>
                <w:szCs w:val="18"/>
              </w:rPr>
              <w:t>4.5.1</w:t>
            </w:r>
          </w:p>
        </w:tc>
        <w:tc>
          <w:tcPr>
            <w:tcW w:w="9358" w:type="dxa"/>
            <w:gridSpan w:val="10"/>
            <w:tcBorders>
              <w:top w:val="single" w:sz="4" w:space="0" w:color="auto"/>
              <w:left w:val="nil"/>
              <w:bottom w:val="single" w:sz="4" w:space="0" w:color="auto"/>
              <w:right w:val="single" w:sz="4" w:space="0" w:color="000000"/>
            </w:tcBorders>
            <w:shd w:val="clear" w:color="auto" w:fill="auto"/>
            <w:noWrap/>
            <w:hideMark/>
          </w:tcPr>
          <w:p w:rsidR="00B14D07" w:rsidRPr="00A27A71" w:rsidRDefault="00B14D07" w:rsidP="00F76143">
            <w:pPr>
              <w:jc w:val="left"/>
              <w:rPr>
                <w:color w:val="000000"/>
                <w:sz w:val="18"/>
                <w:szCs w:val="18"/>
              </w:rPr>
            </w:pPr>
            <w:r w:rsidRPr="00A27A71">
              <w:rPr>
                <w:color w:val="000000"/>
                <w:sz w:val="18"/>
                <w:szCs w:val="18"/>
              </w:rPr>
              <w:t>Total phase-out of HCFC-141b in imported pre-blended polyols agreed to be achieved under this Agreement (ODP tonnes)</w:t>
            </w:r>
          </w:p>
        </w:tc>
        <w:tc>
          <w:tcPr>
            <w:tcW w:w="1082" w:type="dxa"/>
            <w:tcBorders>
              <w:top w:val="nil"/>
              <w:left w:val="nil"/>
              <w:bottom w:val="single" w:sz="4" w:space="0" w:color="auto"/>
              <w:right w:val="single" w:sz="4" w:space="0" w:color="auto"/>
            </w:tcBorders>
            <w:shd w:val="clear" w:color="000000" w:fill="FFFFFF"/>
            <w:hideMark/>
          </w:tcPr>
          <w:p w:rsidR="00B14D07" w:rsidRPr="00A27A71" w:rsidRDefault="00B14D07" w:rsidP="00F76143">
            <w:pPr>
              <w:jc w:val="right"/>
              <w:rPr>
                <w:color w:val="000000"/>
                <w:sz w:val="18"/>
                <w:szCs w:val="18"/>
              </w:rPr>
            </w:pPr>
            <w:r w:rsidRPr="00A27A71">
              <w:rPr>
                <w:color w:val="000000"/>
                <w:sz w:val="18"/>
                <w:szCs w:val="18"/>
              </w:rPr>
              <w:t>26.16</w:t>
            </w:r>
          </w:p>
        </w:tc>
      </w:tr>
      <w:tr w:rsidR="00B14D07" w:rsidRPr="00A27A71" w:rsidTr="00F76143">
        <w:trPr>
          <w:trHeight w:val="98"/>
          <w:jc w:val="center"/>
        </w:trPr>
        <w:tc>
          <w:tcPr>
            <w:tcW w:w="629" w:type="dxa"/>
            <w:tcBorders>
              <w:top w:val="nil"/>
              <w:left w:val="single" w:sz="4" w:space="0" w:color="auto"/>
              <w:bottom w:val="single" w:sz="4" w:space="0" w:color="auto"/>
              <w:right w:val="single" w:sz="4" w:space="0" w:color="auto"/>
            </w:tcBorders>
            <w:shd w:val="clear" w:color="auto" w:fill="auto"/>
            <w:noWrap/>
            <w:hideMark/>
          </w:tcPr>
          <w:p w:rsidR="00B14D07" w:rsidRPr="00A27A71" w:rsidRDefault="00B14D07" w:rsidP="00F76143">
            <w:pPr>
              <w:jc w:val="left"/>
              <w:rPr>
                <w:color w:val="000000"/>
                <w:sz w:val="18"/>
                <w:szCs w:val="18"/>
              </w:rPr>
            </w:pPr>
            <w:r w:rsidRPr="00A27A71">
              <w:rPr>
                <w:color w:val="000000"/>
                <w:sz w:val="18"/>
                <w:szCs w:val="18"/>
              </w:rPr>
              <w:t>4.5.2</w:t>
            </w:r>
          </w:p>
        </w:tc>
        <w:tc>
          <w:tcPr>
            <w:tcW w:w="9358" w:type="dxa"/>
            <w:gridSpan w:val="10"/>
            <w:tcBorders>
              <w:top w:val="single" w:sz="4" w:space="0" w:color="auto"/>
              <w:left w:val="nil"/>
              <w:bottom w:val="single" w:sz="4" w:space="0" w:color="auto"/>
              <w:right w:val="single" w:sz="4" w:space="0" w:color="000000"/>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Phase-out of HCFC-141b in imported pre-blended polyols to be achieved in the previous stage (ODP tonnes)</w:t>
            </w:r>
          </w:p>
        </w:tc>
        <w:tc>
          <w:tcPr>
            <w:tcW w:w="1082" w:type="dxa"/>
            <w:tcBorders>
              <w:top w:val="nil"/>
              <w:left w:val="nil"/>
              <w:bottom w:val="single" w:sz="4" w:space="0" w:color="auto"/>
              <w:right w:val="single" w:sz="4" w:space="0" w:color="auto"/>
            </w:tcBorders>
            <w:shd w:val="clear" w:color="000000" w:fill="FFFFFF"/>
            <w:hideMark/>
          </w:tcPr>
          <w:p w:rsidR="00B14D07" w:rsidRPr="00A27A71" w:rsidRDefault="00B14D07" w:rsidP="00F76143">
            <w:pPr>
              <w:jc w:val="right"/>
              <w:rPr>
                <w:color w:val="000000"/>
                <w:sz w:val="18"/>
                <w:szCs w:val="18"/>
              </w:rPr>
            </w:pPr>
            <w:r w:rsidRPr="00A27A71">
              <w:rPr>
                <w:color w:val="000000"/>
                <w:sz w:val="18"/>
                <w:szCs w:val="18"/>
              </w:rPr>
              <w:t>72.18</w:t>
            </w:r>
          </w:p>
        </w:tc>
      </w:tr>
      <w:tr w:rsidR="00B14D07" w:rsidRPr="00A27A71" w:rsidTr="00F76143">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B14D07" w:rsidRPr="00A27A71" w:rsidRDefault="00B14D07" w:rsidP="00F76143">
            <w:pPr>
              <w:jc w:val="left"/>
              <w:rPr>
                <w:color w:val="000000"/>
                <w:sz w:val="18"/>
                <w:szCs w:val="18"/>
              </w:rPr>
            </w:pPr>
            <w:r w:rsidRPr="00A27A71">
              <w:rPr>
                <w:color w:val="000000"/>
                <w:sz w:val="18"/>
                <w:szCs w:val="18"/>
              </w:rPr>
              <w:t>4.5.3</w:t>
            </w:r>
          </w:p>
        </w:tc>
        <w:tc>
          <w:tcPr>
            <w:tcW w:w="9358" w:type="dxa"/>
            <w:gridSpan w:val="10"/>
            <w:tcBorders>
              <w:top w:val="single" w:sz="4" w:space="0" w:color="auto"/>
              <w:left w:val="single" w:sz="4" w:space="0" w:color="auto"/>
              <w:bottom w:val="single" w:sz="4" w:space="0" w:color="auto"/>
              <w:right w:val="single" w:sz="4" w:space="0" w:color="auto"/>
            </w:tcBorders>
            <w:shd w:val="clear" w:color="auto" w:fill="auto"/>
            <w:hideMark/>
          </w:tcPr>
          <w:p w:rsidR="00B14D07" w:rsidRPr="00A27A71" w:rsidRDefault="00B14D07" w:rsidP="00F76143">
            <w:pPr>
              <w:jc w:val="left"/>
              <w:rPr>
                <w:color w:val="000000"/>
                <w:sz w:val="18"/>
                <w:szCs w:val="18"/>
              </w:rPr>
            </w:pPr>
            <w:r w:rsidRPr="00A27A71">
              <w:rPr>
                <w:color w:val="000000"/>
                <w:sz w:val="18"/>
                <w:szCs w:val="18"/>
              </w:rPr>
              <w:t>Remaining eligible consumption for HCFC-141b in imported pre-blended polyols(ODP tonnes)</w:t>
            </w:r>
          </w:p>
        </w:tc>
        <w:tc>
          <w:tcPr>
            <w:tcW w:w="1082" w:type="dxa"/>
            <w:tcBorders>
              <w:top w:val="single" w:sz="4" w:space="0" w:color="auto"/>
              <w:left w:val="single" w:sz="4" w:space="0" w:color="auto"/>
              <w:bottom w:val="single" w:sz="4" w:space="0" w:color="auto"/>
              <w:right w:val="single" w:sz="4" w:space="0" w:color="auto"/>
            </w:tcBorders>
            <w:shd w:val="clear" w:color="000000" w:fill="FFFFFF"/>
            <w:hideMark/>
          </w:tcPr>
          <w:p w:rsidR="00B14D07" w:rsidRPr="00A27A71" w:rsidRDefault="00B14D07" w:rsidP="00F76143">
            <w:pPr>
              <w:jc w:val="right"/>
              <w:rPr>
                <w:color w:val="000000"/>
                <w:sz w:val="18"/>
                <w:szCs w:val="18"/>
              </w:rPr>
            </w:pPr>
            <w:r w:rsidRPr="00A27A71">
              <w:rPr>
                <w:color w:val="000000"/>
                <w:sz w:val="18"/>
                <w:szCs w:val="18"/>
              </w:rPr>
              <w:t>0</w:t>
            </w:r>
          </w:p>
        </w:tc>
      </w:tr>
      <w:tr w:rsidR="00B14D07" w:rsidRPr="00A27A71" w:rsidTr="00F76143">
        <w:trPr>
          <w:trHeight w:val="255"/>
          <w:jc w:val="center"/>
        </w:trPr>
        <w:tc>
          <w:tcPr>
            <w:tcW w:w="629" w:type="dxa"/>
            <w:tcBorders>
              <w:top w:val="single" w:sz="4" w:space="0" w:color="auto"/>
            </w:tcBorders>
            <w:shd w:val="clear" w:color="auto" w:fill="auto"/>
            <w:noWrap/>
          </w:tcPr>
          <w:p w:rsidR="00B14D07" w:rsidRPr="00A27A71" w:rsidRDefault="00B14D07" w:rsidP="00F76143">
            <w:pPr>
              <w:jc w:val="left"/>
              <w:rPr>
                <w:color w:val="000000"/>
                <w:sz w:val="16"/>
                <w:szCs w:val="16"/>
              </w:rPr>
            </w:pPr>
            <w:r w:rsidRPr="00A27A71">
              <w:rPr>
                <w:color w:val="000000"/>
                <w:sz w:val="16"/>
                <w:szCs w:val="16"/>
              </w:rPr>
              <w:t>*</w:t>
            </w:r>
          </w:p>
          <w:p w:rsidR="00B14D07" w:rsidRPr="00A27A71" w:rsidRDefault="00B14D07" w:rsidP="00F76143">
            <w:pPr>
              <w:jc w:val="left"/>
              <w:rPr>
                <w:color w:val="000000"/>
                <w:sz w:val="16"/>
                <w:szCs w:val="16"/>
              </w:rPr>
            </w:pPr>
          </w:p>
          <w:p w:rsidR="00B14D07" w:rsidRPr="00A27A71" w:rsidRDefault="00B14D07" w:rsidP="00F76143">
            <w:pPr>
              <w:jc w:val="left"/>
              <w:rPr>
                <w:color w:val="000000"/>
                <w:sz w:val="16"/>
                <w:szCs w:val="16"/>
              </w:rPr>
            </w:pPr>
            <w:r w:rsidRPr="00A27A71">
              <w:rPr>
                <w:color w:val="000000"/>
                <w:sz w:val="16"/>
                <w:szCs w:val="16"/>
              </w:rPr>
              <w:t>**</w:t>
            </w:r>
          </w:p>
          <w:p w:rsidR="00B14D07" w:rsidRPr="00A27A71" w:rsidRDefault="00B14D07" w:rsidP="00F76143">
            <w:pPr>
              <w:jc w:val="left"/>
              <w:rPr>
                <w:color w:val="000000"/>
                <w:sz w:val="16"/>
                <w:szCs w:val="16"/>
              </w:rPr>
            </w:pPr>
            <w:r w:rsidRPr="00A27A71">
              <w:rPr>
                <w:color w:val="000000"/>
                <w:sz w:val="16"/>
                <w:szCs w:val="16"/>
              </w:rPr>
              <w:t>Note:</w:t>
            </w:r>
          </w:p>
        </w:tc>
        <w:tc>
          <w:tcPr>
            <w:tcW w:w="9358" w:type="dxa"/>
            <w:gridSpan w:val="10"/>
            <w:tcBorders>
              <w:top w:val="single" w:sz="4" w:space="0" w:color="auto"/>
            </w:tcBorders>
            <w:shd w:val="clear" w:color="auto" w:fill="auto"/>
          </w:tcPr>
          <w:p w:rsidR="00B14D07" w:rsidRPr="00A27A71" w:rsidRDefault="00B14D07" w:rsidP="00F76143">
            <w:pPr>
              <w:rPr>
                <w:sz w:val="16"/>
                <w:szCs w:val="16"/>
              </w:rPr>
            </w:pPr>
            <w:r w:rsidRPr="00A27A71">
              <w:rPr>
                <w:sz w:val="16"/>
                <w:szCs w:val="16"/>
              </w:rPr>
              <w:t>Maximum allowable total consumption of Annex C, Group I substances would be further reduced by no more than 10 ODP tonnes upon approval of a domestic air-conditioning sector plan as part of stage II</w:t>
            </w:r>
          </w:p>
          <w:p w:rsidR="00B14D07" w:rsidRPr="00A27A71" w:rsidRDefault="00B14D07" w:rsidP="00F76143">
            <w:pPr>
              <w:rPr>
                <w:sz w:val="16"/>
                <w:szCs w:val="16"/>
              </w:rPr>
            </w:pPr>
            <w:r w:rsidRPr="00A27A71">
              <w:rPr>
                <w:sz w:val="16"/>
                <w:szCs w:val="16"/>
              </w:rPr>
              <w:t>Including the phase-out of 4.4 ODP tonnes approved at the 76</w:t>
            </w:r>
            <w:r w:rsidRPr="00A27A71">
              <w:rPr>
                <w:sz w:val="16"/>
                <w:szCs w:val="16"/>
                <w:vertAlign w:val="superscript"/>
              </w:rPr>
              <w:t>th</w:t>
            </w:r>
            <w:r w:rsidRPr="00A27A71">
              <w:rPr>
                <w:sz w:val="16"/>
                <w:szCs w:val="16"/>
              </w:rPr>
              <w:t xml:space="preserve"> meeting and herewith subsumed into this Agreement.</w:t>
            </w:r>
          </w:p>
          <w:p w:rsidR="00B14D07" w:rsidRPr="00A27A71" w:rsidRDefault="00B14D07" w:rsidP="00F76143">
            <w:pPr>
              <w:jc w:val="left"/>
              <w:rPr>
                <w:color w:val="000000"/>
                <w:sz w:val="16"/>
                <w:szCs w:val="16"/>
              </w:rPr>
            </w:pPr>
            <w:r w:rsidRPr="00A27A71">
              <w:rPr>
                <w:color w:val="000000"/>
                <w:sz w:val="16"/>
                <w:szCs w:val="16"/>
              </w:rPr>
              <w:t>Date of completion of stage I as per stage I Agreement: 31 December 2019.</w:t>
            </w:r>
          </w:p>
        </w:tc>
        <w:tc>
          <w:tcPr>
            <w:tcW w:w="1082" w:type="dxa"/>
            <w:tcBorders>
              <w:top w:val="single" w:sz="4" w:space="0" w:color="auto"/>
            </w:tcBorders>
            <w:shd w:val="clear" w:color="000000" w:fill="FFFFFF"/>
          </w:tcPr>
          <w:p w:rsidR="00B14D07" w:rsidRPr="00A27A71" w:rsidRDefault="00B14D07" w:rsidP="00F76143">
            <w:pPr>
              <w:jc w:val="right"/>
              <w:rPr>
                <w:color w:val="000000"/>
                <w:sz w:val="18"/>
                <w:szCs w:val="18"/>
              </w:rPr>
            </w:pPr>
          </w:p>
        </w:tc>
      </w:tr>
      <w:tr w:rsidR="00B14D07" w:rsidRPr="00A27A71" w:rsidTr="00F76143">
        <w:trPr>
          <w:trHeight w:val="255"/>
          <w:jc w:val="center"/>
        </w:trPr>
        <w:tc>
          <w:tcPr>
            <w:tcW w:w="629" w:type="dxa"/>
            <w:shd w:val="clear" w:color="auto" w:fill="auto"/>
            <w:noWrap/>
          </w:tcPr>
          <w:p w:rsidR="00B14D07" w:rsidRPr="00A27A71" w:rsidRDefault="00B14D07" w:rsidP="00F76143">
            <w:pPr>
              <w:jc w:val="left"/>
              <w:rPr>
                <w:color w:val="000000"/>
                <w:sz w:val="18"/>
                <w:szCs w:val="18"/>
              </w:rPr>
            </w:pPr>
          </w:p>
        </w:tc>
        <w:tc>
          <w:tcPr>
            <w:tcW w:w="9358" w:type="dxa"/>
            <w:gridSpan w:val="10"/>
            <w:shd w:val="clear" w:color="auto" w:fill="auto"/>
          </w:tcPr>
          <w:p w:rsidR="00B14D07" w:rsidRPr="00A27A71" w:rsidRDefault="00B14D07" w:rsidP="00F76143">
            <w:pPr>
              <w:rPr>
                <w:sz w:val="16"/>
                <w:szCs w:val="16"/>
              </w:rPr>
            </w:pPr>
          </w:p>
        </w:tc>
        <w:tc>
          <w:tcPr>
            <w:tcW w:w="1082" w:type="dxa"/>
            <w:shd w:val="clear" w:color="000000" w:fill="FFFFFF"/>
          </w:tcPr>
          <w:p w:rsidR="00B14D07" w:rsidRPr="00A27A71" w:rsidRDefault="00B14D07" w:rsidP="00F76143">
            <w:pPr>
              <w:jc w:val="right"/>
              <w:rPr>
                <w:color w:val="000000"/>
                <w:sz w:val="18"/>
                <w:szCs w:val="18"/>
              </w:rPr>
            </w:pPr>
          </w:p>
        </w:tc>
      </w:tr>
    </w:tbl>
    <w:p w:rsidR="00B14D07" w:rsidRPr="00A27A71" w:rsidRDefault="00B14D07" w:rsidP="00B14D07"/>
    <w:p w:rsidR="00B14D07" w:rsidRPr="00A27A71" w:rsidRDefault="00B14D07" w:rsidP="00B14D07"/>
    <w:p w:rsidR="00B14D07" w:rsidRPr="00A27A71" w:rsidRDefault="00B14D07" w:rsidP="00B14D07">
      <w:pPr>
        <w:jc w:val="left"/>
        <w:rPr>
          <w:b/>
        </w:rPr>
      </w:pPr>
      <w:r w:rsidRPr="00A27A71">
        <w:rPr>
          <w:b/>
        </w:rPr>
        <w:t>APPENDIX 3-A: FUNDING APPROVAL SCHEDULE</w:t>
      </w:r>
    </w:p>
    <w:p w:rsidR="00B14D07" w:rsidRPr="00A27A71" w:rsidRDefault="00B14D07" w:rsidP="00B14D07">
      <w:pPr>
        <w:jc w:val="left"/>
      </w:pPr>
    </w:p>
    <w:p w:rsidR="00B14D07" w:rsidRPr="00A27A71" w:rsidRDefault="00B14D07" w:rsidP="00B14D07">
      <w:pPr>
        <w:pStyle w:val="Heading1"/>
        <w:numPr>
          <w:ilvl w:val="0"/>
          <w:numId w:val="35"/>
        </w:numPr>
      </w:pPr>
      <w:r w:rsidRPr="00A27A71">
        <w:t>Funding for the future tranches will be considered for approval at the First meeting of the year specified in Appendix 2-A.</w:t>
      </w:r>
    </w:p>
    <w:p w:rsidR="00B14D07" w:rsidRPr="00A27A71" w:rsidRDefault="00B14D07" w:rsidP="00B14D07">
      <w:pPr>
        <w:jc w:val="left"/>
      </w:pPr>
    </w:p>
    <w:p w:rsidR="00B14D07" w:rsidRPr="00A27A71" w:rsidRDefault="00B14D07" w:rsidP="00B14D07">
      <w:pPr>
        <w:jc w:val="left"/>
        <w:rPr>
          <w:b/>
        </w:rPr>
      </w:pPr>
      <w:r w:rsidRPr="00A27A71">
        <w:rPr>
          <w:b/>
        </w:rPr>
        <w:t>APPENDIX 4-A: FORMAT OF TRANCHE IMPLEMENTATION REPORTS AND PLANS</w:t>
      </w:r>
    </w:p>
    <w:p w:rsidR="00B14D07" w:rsidRPr="00A27A71" w:rsidRDefault="00B14D07" w:rsidP="00B14D07">
      <w:pPr>
        <w:jc w:val="left"/>
      </w:pPr>
    </w:p>
    <w:p w:rsidR="00B14D07" w:rsidRPr="00A27A71" w:rsidRDefault="00B14D07" w:rsidP="00B14D07">
      <w:pPr>
        <w:pStyle w:val="Heading1"/>
        <w:numPr>
          <w:ilvl w:val="0"/>
          <w:numId w:val="36"/>
        </w:numPr>
      </w:pPr>
      <w:r w:rsidRPr="00A27A71">
        <w:t>The submission of the Tranche Implementation Report and Plans for each tranche request will consist of five parts:</w:t>
      </w:r>
    </w:p>
    <w:p w:rsidR="00B14D07" w:rsidRPr="00A27A71" w:rsidRDefault="00B14D07" w:rsidP="00B14D07">
      <w:pPr>
        <w:pStyle w:val="Heading2"/>
        <w:numPr>
          <w:ilvl w:val="1"/>
          <w:numId w:val="1"/>
        </w:numPr>
      </w:pPr>
      <w:r w:rsidRPr="00A27A71">
        <w:t xml:space="preserve">A narrative report, with data provided by tranche, describing the progress achieved since the previous report, reflecting the situation of the Country in regard to phase out of the Substances, how the different activities contribute to it, and how they relate to each other. The report should include the amount of ODS phased out as a direct result from the implementation of activities, by substance, and the alternative technology used and the related phase-in of alternatives, to allow the Secretariat to provide to the Executive Committee information about the resulting change in climate relevant emissions. The report should further highlight successes, experiences, and challenges related to the different activities included in the Plan, reflecting any changes in the circumstances in the Country, and providing other relevant information. The report should also include information on and justification for any changes vis-à-vis the previously submitted Tranche Implementation Plan(s), such as delays, uses of the flexibility for reallocation of funds during implementation of a tranche, as provided for in paragraph 7 of this Agreement, or other changes; </w:t>
      </w:r>
    </w:p>
    <w:p w:rsidR="00B14D07" w:rsidRPr="00A27A71" w:rsidRDefault="00B14D07" w:rsidP="00B14D07">
      <w:pPr>
        <w:pStyle w:val="Heading2"/>
        <w:numPr>
          <w:ilvl w:val="1"/>
          <w:numId w:val="1"/>
        </w:numPr>
      </w:pPr>
      <w:r w:rsidRPr="00A27A71">
        <w:t>An independent verification report of the Plan results and the consumption of the Substances, as per sub-paragraph 5(b) of the Agreement. If not decided otherwise by the Executive Committee, such a verification has to be provided together with each tranche request and will have to provide verification of the consumption for all relevant years as specified in sub-paragraph 5(a) of the Agreement for which a verification report has not yet been acknowledged by the Committee;</w:t>
      </w:r>
    </w:p>
    <w:p w:rsidR="00B14D07" w:rsidRPr="00A27A71" w:rsidRDefault="00B14D07" w:rsidP="00B14D07">
      <w:pPr>
        <w:pStyle w:val="Heading2"/>
        <w:numPr>
          <w:ilvl w:val="1"/>
          <w:numId w:val="1"/>
        </w:numPr>
      </w:pPr>
      <w:r w:rsidRPr="00A27A71">
        <w:lastRenderedPageBreak/>
        <w:t>A written description of the activities to be undertaken during the period covered by the requested tranche, highlighting implementation milestones, the time of completion and the interdependence of the activities, and taking into account experiences made and progress achieved in the implementation of earlier tranches; the data in the plan will be provided by calendar year. The description should also include a reference to the overall Plan and progress achieved, as well as any possible changes to the overall Plan that are foreseen. The description should also specify and explain in detail such changes to the overall plan. This description of future activities can be submitted as a part of the same document as the narrative report under sub-paragraph (b) above;</w:t>
      </w:r>
    </w:p>
    <w:p w:rsidR="00B14D07" w:rsidRPr="00A27A71" w:rsidRDefault="00B14D07" w:rsidP="00B14D07">
      <w:pPr>
        <w:pStyle w:val="Heading2"/>
        <w:numPr>
          <w:ilvl w:val="1"/>
          <w:numId w:val="1"/>
        </w:numPr>
      </w:pPr>
      <w:r w:rsidRPr="00A27A71">
        <w:t>A set of quantitative information for all Tranche Implementation Reports and Plans, submitted through an online database; and</w:t>
      </w:r>
    </w:p>
    <w:p w:rsidR="00B14D07" w:rsidRPr="00A27A71" w:rsidRDefault="00B14D07" w:rsidP="00B14D07">
      <w:pPr>
        <w:pStyle w:val="Heading2"/>
        <w:numPr>
          <w:ilvl w:val="1"/>
          <w:numId w:val="1"/>
        </w:numPr>
      </w:pPr>
      <w:r w:rsidRPr="00A27A71">
        <w:t>An Executive Summary of about five paragraphs, summarizing the information of the above sub-paragraphs 1(a) to 1(d).</w:t>
      </w:r>
    </w:p>
    <w:p w:rsidR="00B14D07" w:rsidRPr="00A27A71" w:rsidRDefault="00B14D07" w:rsidP="00B14D07">
      <w:pPr>
        <w:pStyle w:val="Heading1"/>
      </w:pPr>
      <w:r w:rsidRPr="00A27A71">
        <w:t>In the event that in a particular year two stages of the HPMP are being implemented in parallel, the following considerations should be taken in preparing the Tranche Implementation Reports and Plans:</w:t>
      </w:r>
    </w:p>
    <w:p w:rsidR="00B14D07" w:rsidRPr="00A27A71" w:rsidRDefault="00B14D07" w:rsidP="00B14D07">
      <w:pPr>
        <w:pStyle w:val="Heading2"/>
        <w:numPr>
          <w:ilvl w:val="1"/>
          <w:numId w:val="1"/>
        </w:numPr>
      </w:pPr>
      <w:r w:rsidRPr="00A27A71">
        <w:t>The Tranche Implementation Reports and Plans referred to as part of this Agreement, will exclusively refer to activities and funds covered by this Agreement; and</w:t>
      </w:r>
    </w:p>
    <w:p w:rsidR="00B14D07" w:rsidRPr="00A27A71" w:rsidRDefault="00B14D07" w:rsidP="00B14D07">
      <w:pPr>
        <w:pStyle w:val="Heading2"/>
        <w:numPr>
          <w:ilvl w:val="1"/>
          <w:numId w:val="1"/>
        </w:numPr>
      </w:pPr>
      <w:r w:rsidRPr="00A27A71">
        <w:t>If the stages under implementation have different HCFC consumption targets under Appendix 2-A of each Agreement in a particular year, the lower HCFC consumption target will be used as reference for compliance with these Agreements and will be the basis for the independent verification.</w:t>
      </w:r>
    </w:p>
    <w:p w:rsidR="00B14D07" w:rsidRPr="00A27A71" w:rsidRDefault="00B14D07" w:rsidP="00B14D07">
      <w:pPr>
        <w:jc w:val="left"/>
      </w:pPr>
    </w:p>
    <w:p w:rsidR="00B14D07" w:rsidRPr="00A27A71" w:rsidRDefault="00B14D07" w:rsidP="00B14D07">
      <w:pPr>
        <w:jc w:val="left"/>
        <w:rPr>
          <w:b/>
        </w:rPr>
      </w:pPr>
      <w:r w:rsidRPr="00A27A71">
        <w:rPr>
          <w:b/>
        </w:rPr>
        <w:t xml:space="preserve">APPENDIX 5-A: MONITORING INSTITUTIONS AND ROLES </w:t>
      </w:r>
    </w:p>
    <w:p w:rsidR="00B14D07" w:rsidRPr="00A27A71" w:rsidRDefault="00B14D07" w:rsidP="00B14D07">
      <w:pPr>
        <w:jc w:val="left"/>
        <w:rPr>
          <w:b/>
        </w:rPr>
      </w:pPr>
    </w:p>
    <w:p w:rsidR="00B14D07" w:rsidRPr="00A27A71" w:rsidRDefault="00B14D07" w:rsidP="00B14D07">
      <w:pPr>
        <w:pStyle w:val="Heading1"/>
        <w:numPr>
          <w:ilvl w:val="0"/>
          <w:numId w:val="31"/>
        </w:numPr>
      </w:pPr>
      <w:r w:rsidRPr="00A27A71">
        <w:t>The National Ozone Unit (NOU) is an integral part of the Ministry of State for Environmental Affairs under the direct responsibility of the Egyptian Environmental Affairs Agency (EEAA). The NOU will continue to have general responsibility for the implementation of the ODS programmes, including the HPMP.  Under the direct supervision of the NOU, a Project Management Unit will be established within the NOU.</w:t>
      </w:r>
    </w:p>
    <w:p w:rsidR="00B14D07" w:rsidRPr="00A27A71" w:rsidRDefault="00B14D07" w:rsidP="00B14D07">
      <w:pPr>
        <w:pStyle w:val="Heading1"/>
      </w:pPr>
      <w:r w:rsidRPr="00A27A71">
        <w:t xml:space="preserve">The monitoring process will be managed by the NOU in close cooperation with relevant authorities with the assistance of the Lead IA and the Cooperating IAs. </w:t>
      </w:r>
    </w:p>
    <w:p w:rsidR="00B14D07" w:rsidRPr="00A27A71" w:rsidRDefault="00B14D07" w:rsidP="00B14D07">
      <w:pPr>
        <w:pStyle w:val="Heading1"/>
      </w:pPr>
      <w:r w:rsidRPr="00A27A71">
        <w:t>The consumption will be monitored and determined based on official import and export data for the Substances recorded by relevant Government departments. The NOU shall compile and report on an annual basis on or before the relevant due dates on consumption of the Substances to be submitted to the Ozone Secretariat and on progress of implementation of HPMP to be submitted to the Executive Committee.</w:t>
      </w:r>
    </w:p>
    <w:p w:rsidR="00B14D07" w:rsidRPr="00A27A71" w:rsidRDefault="00B14D07" w:rsidP="00B14D07">
      <w:pPr>
        <w:pStyle w:val="Heading1"/>
      </w:pPr>
      <w:r w:rsidRPr="00A27A71">
        <w:t>The NOU and the Lead IA will engage an independent and qualified entity to carry out a qualitative and quantitative performance evaluation of the HPMP implementation.</w:t>
      </w:r>
    </w:p>
    <w:p w:rsidR="00B14D07" w:rsidRPr="00A27A71" w:rsidRDefault="00B14D07" w:rsidP="00B14D07">
      <w:pPr>
        <w:pStyle w:val="Heading1"/>
      </w:pPr>
      <w:r w:rsidRPr="00A27A71">
        <w:t xml:space="preserve">The evaluating entity shall have full access to relevant technical and financial information related to implementation of the HPMP; it shall prepare and submit to the NOU and the Lead IA, a consolidated draft report at the end of each Tranche Implementation Plan, comprising of the findings of the evaluation and recommendations for improvements or adjustments, if any. The draft report shall include the status of </w:t>
      </w:r>
      <w:r w:rsidRPr="00A27A71">
        <w:lastRenderedPageBreak/>
        <w:t>the Country’s compliance with the provisions of this Agreement upon incorporating the comments and explanations as may be applicable, from NOU, Lead IA and the Cooperating IAs, the evaluating entity shall finalize the report and submit to the NOU and Lead IA.</w:t>
      </w:r>
    </w:p>
    <w:p w:rsidR="00B14D07" w:rsidRPr="00A27A71" w:rsidRDefault="00B14D07" w:rsidP="00B14D07">
      <w:pPr>
        <w:pStyle w:val="Heading1"/>
      </w:pPr>
      <w:r w:rsidRPr="00A27A71">
        <w:t>The NOU shall endorse the final report and the Lead IA shall submit the same to the relevant meeting of the Executive Committee along with the Tranche Implementation plan and reports.</w:t>
      </w:r>
    </w:p>
    <w:p w:rsidR="00B14D07" w:rsidRPr="00A27A71" w:rsidRDefault="00B14D07" w:rsidP="00B14D07">
      <w:pPr>
        <w:jc w:val="left"/>
      </w:pPr>
    </w:p>
    <w:p w:rsidR="00B14D07" w:rsidRPr="00A27A71" w:rsidRDefault="00B14D07" w:rsidP="00B14D07">
      <w:pPr>
        <w:jc w:val="left"/>
        <w:rPr>
          <w:b/>
        </w:rPr>
      </w:pPr>
      <w:r w:rsidRPr="00A27A71">
        <w:rPr>
          <w:b/>
        </w:rPr>
        <w:t xml:space="preserve">APPENDIX 6-A: ROLE OF THE LEAD IMPLEMENTING AGENCY </w:t>
      </w:r>
    </w:p>
    <w:p w:rsidR="00B14D07" w:rsidRPr="00A27A71" w:rsidRDefault="00B14D07" w:rsidP="00B14D07">
      <w:pPr>
        <w:jc w:val="left"/>
      </w:pPr>
    </w:p>
    <w:p w:rsidR="00B14D07" w:rsidRPr="00A27A71" w:rsidRDefault="00B14D07" w:rsidP="00B14D07">
      <w:pPr>
        <w:pStyle w:val="Heading1"/>
        <w:numPr>
          <w:ilvl w:val="0"/>
          <w:numId w:val="32"/>
        </w:numPr>
      </w:pPr>
      <w:r w:rsidRPr="00A27A71">
        <w:t>The Lead IA will be responsible for a range of activities, including at least the following:</w:t>
      </w:r>
    </w:p>
    <w:p w:rsidR="00B14D07" w:rsidRPr="00A27A71" w:rsidRDefault="00B14D07" w:rsidP="00B14D07">
      <w:pPr>
        <w:pStyle w:val="Heading2"/>
        <w:numPr>
          <w:ilvl w:val="1"/>
          <w:numId w:val="1"/>
        </w:numPr>
      </w:pPr>
      <w:r w:rsidRPr="00A27A71">
        <w:t>Ensuring performance and financial verification in accordance with this Agreement and with its specific internal procedures and requirements as set out in the Country’s HPMP;</w:t>
      </w:r>
    </w:p>
    <w:p w:rsidR="00B14D07" w:rsidRPr="00A27A71" w:rsidRDefault="00B14D07" w:rsidP="00B14D07">
      <w:pPr>
        <w:pStyle w:val="Heading2"/>
        <w:numPr>
          <w:ilvl w:val="1"/>
          <w:numId w:val="1"/>
        </w:numPr>
      </w:pPr>
      <w:r w:rsidRPr="00A27A71">
        <w:t>Assisting the Country in preparation of the Tranche Implementation Reports and Plans as per Appendix 4-A;</w:t>
      </w:r>
    </w:p>
    <w:p w:rsidR="00B14D07" w:rsidRPr="00A27A71" w:rsidRDefault="00B14D07" w:rsidP="00B14D07">
      <w:pPr>
        <w:pStyle w:val="Heading2"/>
        <w:numPr>
          <w:ilvl w:val="1"/>
          <w:numId w:val="1"/>
        </w:numPr>
      </w:pPr>
      <w:r w:rsidRPr="00A27A71">
        <w:t>Providing independent verification to the Executive Committee that the Targets have been met and associated tranche activities have been completed as indicated in the Tranche Implementation Plan consistent with Appendix 4-A;</w:t>
      </w:r>
    </w:p>
    <w:p w:rsidR="00B14D07" w:rsidRPr="00A27A71" w:rsidRDefault="00B14D07" w:rsidP="00B14D07">
      <w:pPr>
        <w:pStyle w:val="Heading2"/>
        <w:numPr>
          <w:ilvl w:val="1"/>
          <w:numId w:val="1"/>
        </w:numPr>
      </w:pPr>
      <w:r w:rsidRPr="00A27A71">
        <w:t>Ensuring that the experiences and progress is reflected in updates of the overall plan and in future Tranche Implementation Plans consistent with sub-paragraphs 1(c) and 1(d) of Appendix 4-A;</w:t>
      </w:r>
    </w:p>
    <w:p w:rsidR="00B14D07" w:rsidRPr="00A27A71" w:rsidRDefault="00B14D07" w:rsidP="00B14D07">
      <w:pPr>
        <w:pStyle w:val="Heading2"/>
        <w:numPr>
          <w:ilvl w:val="1"/>
          <w:numId w:val="1"/>
        </w:numPr>
      </w:pPr>
      <w:r w:rsidRPr="00A27A71">
        <w:t>Fulfilling the reporting requirements for the Tranche Implementation Reports and Plans and the overall plan as specified in Appendix 4-A for submission to the Executive Committee, and should include the activities implemented by the Cooperating IAs;</w:t>
      </w:r>
    </w:p>
    <w:p w:rsidR="00B14D07" w:rsidRPr="00A27A71" w:rsidRDefault="00B14D07" w:rsidP="00B14D07">
      <w:pPr>
        <w:pStyle w:val="Heading2"/>
        <w:numPr>
          <w:ilvl w:val="1"/>
          <w:numId w:val="1"/>
        </w:numPr>
      </w:pPr>
      <w:r w:rsidRPr="00A27A71">
        <w:t>In the event that the last funding tranche is requested one or more years prior to the last year for which a consumption target had been established, annual tranche implementation reports and, where applicable, verification reports on the current stage of the Plan should be submitted until all activities foreseen had been completed and HCFC consumption targets had been met;</w:t>
      </w:r>
    </w:p>
    <w:p w:rsidR="00B14D07" w:rsidRPr="00A27A71" w:rsidRDefault="00B14D07" w:rsidP="00B14D07">
      <w:pPr>
        <w:pStyle w:val="Heading2"/>
        <w:numPr>
          <w:ilvl w:val="1"/>
          <w:numId w:val="1"/>
        </w:numPr>
      </w:pPr>
      <w:r w:rsidRPr="00A27A71">
        <w:t>Ensuring that appropriate independent technical experts carry out the technical reviews;</w:t>
      </w:r>
    </w:p>
    <w:p w:rsidR="00B14D07" w:rsidRPr="00A27A71" w:rsidRDefault="00B14D07" w:rsidP="00B14D07">
      <w:pPr>
        <w:pStyle w:val="Heading2"/>
        <w:numPr>
          <w:ilvl w:val="1"/>
          <w:numId w:val="1"/>
        </w:numPr>
      </w:pPr>
      <w:r w:rsidRPr="00A27A71">
        <w:t>Carrying out required supervision missions;</w:t>
      </w:r>
    </w:p>
    <w:p w:rsidR="00B14D07" w:rsidRPr="00A27A71" w:rsidRDefault="00B14D07" w:rsidP="00B14D07">
      <w:pPr>
        <w:pStyle w:val="Heading2"/>
        <w:numPr>
          <w:ilvl w:val="1"/>
          <w:numId w:val="1"/>
        </w:numPr>
      </w:pPr>
      <w:r w:rsidRPr="00A27A71">
        <w:t>Ensuring the presence of an operating mechanism to allow effective, transparent implementation of the Tranche Implementation Plan and accurate data reporting;</w:t>
      </w:r>
    </w:p>
    <w:p w:rsidR="00B14D07" w:rsidRPr="00A27A71" w:rsidRDefault="00B14D07" w:rsidP="00B14D07">
      <w:pPr>
        <w:pStyle w:val="Heading2"/>
        <w:numPr>
          <w:ilvl w:val="1"/>
          <w:numId w:val="1"/>
        </w:numPr>
      </w:pPr>
      <w:r w:rsidRPr="00A27A71">
        <w:t>Co-ordinating the activities of the Cooperating IAs, and ensuring appropriate sequence of activities;</w:t>
      </w:r>
    </w:p>
    <w:p w:rsidR="00B14D07" w:rsidRPr="00A27A71" w:rsidRDefault="00B14D07" w:rsidP="00B14D07">
      <w:pPr>
        <w:pStyle w:val="Heading2"/>
        <w:numPr>
          <w:ilvl w:val="1"/>
          <w:numId w:val="1"/>
        </w:numPr>
      </w:pPr>
      <w:r w:rsidRPr="00A27A71">
        <w:t xml:space="preserve">In case of reductions in funding for failure to comply in accordance with paragraph 11 of the Agreement, to determine, in consultation with the Country and the Cooperating IAs, the allocation of the reductions to the different budget items and to the funding of the Lead IA and each Cooperating IA; </w:t>
      </w:r>
    </w:p>
    <w:p w:rsidR="00B14D07" w:rsidRPr="00A27A71" w:rsidRDefault="00B14D07" w:rsidP="00B14D07">
      <w:pPr>
        <w:pStyle w:val="Heading2"/>
        <w:numPr>
          <w:ilvl w:val="1"/>
          <w:numId w:val="1"/>
        </w:numPr>
      </w:pPr>
      <w:r w:rsidRPr="00A27A71">
        <w:t xml:space="preserve">Ensuring that disbursements made to the Country are based on the use of the indicators; </w:t>
      </w:r>
    </w:p>
    <w:p w:rsidR="00B14D07" w:rsidRPr="00A27A71" w:rsidRDefault="00B14D07" w:rsidP="00B14D07">
      <w:pPr>
        <w:pStyle w:val="Heading2"/>
        <w:numPr>
          <w:ilvl w:val="1"/>
          <w:numId w:val="1"/>
        </w:numPr>
      </w:pPr>
      <w:r w:rsidRPr="00A27A71">
        <w:lastRenderedPageBreak/>
        <w:t xml:space="preserve">Providing assistance with policy, management and technical support when required; </w:t>
      </w:r>
    </w:p>
    <w:p w:rsidR="00B14D07" w:rsidRPr="00A27A71" w:rsidRDefault="00B14D07" w:rsidP="00B14D07">
      <w:pPr>
        <w:pStyle w:val="Heading2"/>
        <w:numPr>
          <w:ilvl w:val="1"/>
          <w:numId w:val="1"/>
        </w:numPr>
      </w:pPr>
      <w:r w:rsidRPr="00A27A71">
        <w:t>Reaching consensus with the Cooperating IAs on any planning, co-ordination and reporting arrangements required to facilitate the implementation of the Plan; and</w:t>
      </w:r>
    </w:p>
    <w:p w:rsidR="00B14D07" w:rsidRPr="00A27A71" w:rsidRDefault="00B14D07" w:rsidP="00B14D07">
      <w:pPr>
        <w:pStyle w:val="Heading2"/>
        <w:numPr>
          <w:ilvl w:val="1"/>
          <w:numId w:val="1"/>
        </w:numPr>
      </w:pPr>
      <w:r w:rsidRPr="00A27A71">
        <w:t>Timely releasing funds to the Country/participating enterprises for completing the activities related to the project.</w:t>
      </w:r>
    </w:p>
    <w:p w:rsidR="00B14D07" w:rsidRPr="00A27A71" w:rsidRDefault="00B14D07" w:rsidP="00B14D07">
      <w:pPr>
        <w:pStyle w:val="Heading1"/>
      </w:pPr>
      <w:r w:rsidRPr="00A27A71">
        <w:t>After consultation with the Country and taking into account any views expressed, the Lead IA will select and mandate an independent entity to carry out the verification of the HPMP results and the consumption of the Substances mentioned in Appendix 1-A, as per sub-paragraph 5(b) of the Agreement and sub-paragraph 1(b) of Appendix 4-A.</w:t>
      </w:r>
    </w:p>
    <w:p w:rsidR="00B14D07" w:rsidRPr="00A27A71" w:rsidRDefault="00B14D07" w:rsidP="00B14D07"/>
    <w:p w:rsidR="00B14D07" w:rsidRPr="00A27A71" w:rsidRDefault="00B14D07" w:rsidP="00B14D07">
      <w:pPr>
        <w:jc w:val="left"/>
        <w:rPr>
          <w:b/>
        </w:rPr>
      </w:pPr>
      <w:r w:rsidRPr="00A27A71">
        <w:rPr>
          <w:b/>
        </w:rPr>
        <w:t>APPENDIX 6-B: ROLE OF THE COOPERATING IMPLEMENTING AGENCIES</w:t>
      </w:r>
    </w:p>
    <w:p w:rsidR="00B14D07" w:rsidRPr="00A27A71" w:rsidRDefault="00B14D07" w:rsidP="00B14D07">
      <w:pPr>
        <w:jc w:val="left"/>
      </w:pPr>
    </w:p>
    <w:p w:rsidR="00B14D07" w:rsidRPr="00A27A71" w:rsidRDefault="00B14D07" w:rsidP="00B14D07">
      <w:pPr>
        <w:pStyle w:val="Heading1"/>
        <w:numPr>
          <w:ilvl w:val="0"/>
          <w:numId w:val="33"/>
        </w:numPr>
      </w:pPr>
      <w:r w:rsidRPr="00A27A71">
        <w:t xml:space="preserve">The Cooperating IAs will be responsible for a range of activities. These activities are specified in the Plan, including at least the following: </w:t>
      </w:r>
    </w:p>
    <w:p w:rsidR="00B14D07" w:rsidRPr="00A27A71" w:rsidRDefault="00B14D07" w:rsidP="00B14D07">
      <w:pPr>
        <w:pStyle w:val="Heading2"/>
        <w:numPr>
          <w:ilvl w:val="1"/>
          <w:numId w:val="1"/>
        </w:numPr>
      </w:pPr>
      <w:r w:rsidRPr="00A27A71">
        <w:t xml:space="preserve">Providing assistance for policy development when required; </w:t>
      </w:r>
    </w:p>
    <w:p w:rsidR="00B14D07" w:rsidRPr="00A27A71" w:rsidRDefault="00B14D07" w:rsidP="00B14D07">
      <w:pPr>
        <w:pStyle w:val="Heading2"/>
        <w:numPr>
          <w:ilvl w:val="1"/>
          <w:numId w:val="1"/>
        </w:numPr>
      </w:pPr>
      <w:r w:rsidRPr="00A27A71">
        <w:t xml:space="preserve">Assisting the Country in the implementation and assessment of the activities funded by the Cooperating IAs, and refer to the Lead IA to ensure a co-ordinated sequence in the activities; </w:t>
      </w:r>
    </w:p>
    <w:p w:rsidR="00B14D07" w:rsidRPr="00A27A71" w:rsidRDefault="00B14D07" w:rsidP="00B14D07">
      <w:pPr>
        <w:pStyle w:val="Heading2"/>
        <w:numPr>
          <w:ilvl w:val="1"/>
          <w:numId w:val="1"/>
        </w:numPr>
      </w:pPr>
      <w:r w:rsidRPr="00A27A71">
        <w:t>Providing reports to the Lead IA on these activities, for inclusion in the consolidated reports as per Appendix 4-A; and</w:t>
      </w:r>
    </w:p>
    <w:p w:rsidR="00B14D07" w:rsidRPr="00A27A71" w:rsidRDefault="00B14D07" w:rsidP="00B14D07">
      <w:pPr>
        <w:pStyle w:val="Heading2"/>
        <w:numPr>
          <w:ilvl w:val="1"/>
          <w:numId w:val="1"/>
        </w:numPr>
      </w:pPr>
      <w:r w:rsidRPr="00A27A71">
        <w:t>Reaching consensus with the Lead IA on any planning, co-ordination and reporting arrangements required to facilitate the implementation of the Plan.</w:t>
      </w:r>
    </w:p>
    <w:p w:rsidR="00B14D07" w:rsidRPr="00A27A71" w:rsidRDefault="00B14D07" w:rsidP="00B14D07">
      <w:pPr>
        <w:jc w:val="left"/>
      </w:pPr>
    </w:p>
    <w:p w:rsidR="00B14D07" w:rsidRPr="00A27A71" w:rsidRDefault="00B14D07" w:rsidP="00B14D07">
      <w:pPr>
        <w:jc w:val="left"/>
        <w:rPr>
          <w:b/>
        </w:rPr>
      </w:pPr>
      <w:r w:rsidRPr="00A27A71">
        <w:rPr>
          <w:b/>
        </w:rPr>
        <w:t>APPENDIX 7-A: REDUCTIONS IN FUNDING FOR FAILURE TO COMPLY</w:t>
      </w:r>
    </w:p>
    <w:p w:rsidR="00B14D07" w:rsidRPr="00A27A71" w:rsidRDefault="00B14D07" w:rsidP="00B14D07">
      <w:pPr>
        <w:jc w:val="left"/>
      </w:pPr>
    </w:p>
    <w:p w:rsidR="00B14D07" w:rsidRPr="00A27A71" w:rsidRDefault="00B14D07" w:rsidP="00B14D07">
      <w:pPr>
        <w:pStyle w:val="Heading1"/>
        <w:numPr>
          <w:ilvl w:val="0"/>
          <w:numId w:val="34"/>
        </w:numPr>
      </w:pPr>
      <w:r w:rsidRPr="00A27A71">
        <w:t>In accordance with paragraph 11 of the Agreement, the amount of funding provided may be reduced by US $144 per ODP kg of consumption beyond the level defined in row 1.2 of Appendix 2-A for each year in which the target specified in row 1.2 of Appendix 2-A has not been met, on the understanding that the maximum funding reduction would not exceed the funding level of the tranche being requested. Additional measures might be considered in cases where non-compliance extends for two consecutive years.</w:t>
      </w:r>
    </w:p>
    <w:p w:rsidR="00B14D07" w:rsidRPr="00A27A71" w:rsidRDefault="00B14D07" w:rsidP="00B14D07">
      <w:pPr>
        <w:pStyle w:val="Heading1"/>
      </w:pPr>
      <w:r w:rsidRPr="00A27A71">
        <w:t>In the event that the penalty needs to be applied for a year in which there are two Agreements in force (two stages of the HPMP being implemented in parallel) with different penalty levels, the application of the penalty will be determined on a case-by-case basis taking into consideration the specific sectors that lead to the non-compliance. If it is not possible to determine a sector, or both stages are addressing the same sector, the penalty level to be applied would be the largest.</w:t>
      </w:r>
    </w:p>
    <w:p w:rsidR="00B14D07" w:rsidRPr="00A27A71" w:rsidRDefault="00B14D07" w:rsidP="00B14D07">
      <w:pPr>
        <w:jc w:val="left"/>
      </w:pPr>
    </w:p>
    <w:p w:rsidR="00B14D07" w:rsidRPr="00A27A71" w:rsidRDefault="00B14D07" w:rsidP="00B14D07">
      <w:pPr>
        <w:jc w:val="left"/>
      </w:pPr>
    </w:p>
    <w:p w:rsidR="00B14D07" w:rsidRPr="00A27A71" w:rsidRDefault="00B14D07" w:rsidP="00B14D07">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B14D07" w:rsidRPr="00A27A71" w:rsidTr="00F76143">
        <w:tc>
          <w:tcPr>
            <w:tcW w:w="1915" w:type="dxa"/>
          </w:tcPr>
          <w:p w:rsidR="00B14D07" w:rsidRPr="00A27A71" w:rsidRDefault="00B14D07" w:rsidP="00F76143"/>
        </w:tc>
        <w:tc>
          <w:tcPr>
            <w:tcW w:w="1915" w:type="dxa"/>
          </w:tcPr>
          <w:p w:rsidR="00B14D07" w:rsidRPr="00A27A71" w:rsidRDefault="00B14D07" w:rsidP="00F76143"/>
        </w:tc>
        <w:tc>
          <w:tcPr>
            <w:tcW w:w="1915" w:type="dxa"/>
            <w:tcBorders>
              <w:bottom w:val="single" w:sz="4" w:space="0" w:color="auto"/>
            </w:tcBorders>
          </w:tcPr>
          <w:p w:rsidR="00B14D07" w:rsidRPr="00A27A71" w:rsidRDefault="00B14D07" w:rsidP="00F76143"/>
        </w:tc>
        <w:tc>
          <w:tcPr>
            <w:tcW w:w="1915" w:type="dxa"/>
          </w:tcPr>
          <w:p w:rsidR="00B14D07" w:rsidRPr="00A27A71" w:rsidRDefault="00B14D07" w:rsidP="00F76143"/>
        </w:tc>
        <w:tc>
          <w:tcPr>
            <w:tcW w:w="1916" w:type="dxa"/>
          </w:tcPr>
          <w:p w:rsidR="00B14D07" w:rsidRPr="00A27A71" w:rsidRDefault="00B14D07" w:rsidP="00F76143"/>
        </w:tc>
      </w:tr>
    </w:tbl>
    <w:p w:rsidR="00B14D07" w:rsidRPr="00A27A71" w:rsidRDefault="00B14D07" w:rsidP="00B14D07"/>
    <w:sectPr w:rsidR="00B14D07" w:rsidRPr="00A27A71" w:rsidSect="00E61A05">
      <w:headerReference w:type="even" r:id="rId16"/>
      <w:headerReference w:type="default" r:id="rId17"/>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143" w:rsidRDefault="00F76143" w:rsidP="004A504B">
      <w:r>
        <w:separator/>
      </w:r>
    </w:p>
  </w:endnote>
  <w:endnote w:type="continuationSeparator" w:id="0">
    <w:p w:rsidR="00F76143" w:rsidRDefault="00F7614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43" w:rsidRPr="0033525D" w:rsidRDefault="00F76143">
    <w:pPr>
      <w:jc w:val="center"/>
    </w:pPr>
    <w:r>
      <w:fldChar w:fldCharType="begin"/>
    </w:r>
    <w:r>
      <w:instrText xml:space="preserve"> PAGE </w:instrText>
    </w:r>
    <w:r>
      <w:fldChar w:fldCharType="separate"/>
    </w:r>
    <w:r w:rsidR="00CA348F">
      <w:rPr>
        <w:noProof/>
      </w:rPr>
      <w:t>22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43" w:rsidRPr="0033525D" w:rsidRDefault="00F76143">
    <w:pPr>
      <w:jc w:val="center"/>
    </w:pPr>
    <w:r>
      <w:fldChar w:fldCharType="begin"/>
    </w:r>
    <w:r>
      <w:instrText xml:space="preserve"> PAGE </w:instrText>
    </w:r>
    <w:r>
      <w:fldChar w:fldCharType="separate"/>
    </w:r>
    <w:r w:rsidR="00CA348F">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43" w:rsidRDefault="00F76143"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F76143" w:rsidRDefault="00F76143"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143" w:rsidRDefault="00F76143" w:rsidP="004A504B">
      <w:r>
        <w:separator/>
      </w:r>
    </w:p>
  </w:footnote>
  <w:footnote w:type="continuationSeparator" w:id="0">
    <w:p w:rsidR="00F76143" w:rsidRDefault="00F76143" w:rsidP="004A504B">
      <w:r>
        <w:continuationSeparator/>
      </w:r>
    </w:p>
  </w:footnote>
  <w:footnote w:id="1">
    <w:p w:rsidR="00F76143" w:rsidRPr="00925913" w:rsidRDefault="00F76143">
      <w:pPr>
        <w:pStyle w:val="FootnoteText"/>
        <w:rPr>
          <w:lang w:val="en-US"/>
        </w:rPr>
      </w:pPr>
      <w:r>
        <w:rPr>
          <w:rStyle w:val="FootnoteReference"/>
        </w:rPr>
        <w:footnoteRef/>
      </w:r>
      <w:r>
        <w:t xml:space="preserve"> A seventh enterprise (Delta Electric) was also approved for conversion at the 62</w:t>
      </w:r>
      <w:r w:rsidRPr="00925913">
        <w:rPr>
          <w:vertAlign w:val="superscript"/>
        </w:rPr>
        <w:t>nd</w:t>
      </w:r>
      <w:r>
        <w:rPr>
          <w:vertAlign w:val="superscript"/>
        </w:rPr>
        <w:t> </w:t>
      </w:r>
      <w:r w:rsidRPr="002F4769">
        <w:t>meeting; due to change of ownership the project was</w:t>
      </w:r>
      <w:r>
        <w:t xml:space="preserve"> cancelled and the associated funding returned in accordance with decision 65/38(a). </w:t>
      </w:r>
    </w:p>
  </w:footnote>
  <w:footnote w:id="2">
    <w:p w:rsidR="00F76143" w:rsidRPr="0038461A" w:rsidRDefault="00F76143">
      <w:pPr>
        <w:pStyle w:val="FootnoteText"/>
        <w:rPr>
          <w:lang w:val="en-US"/>
        </w:rPr>
      </w:pPr>
      <w:r>
        <w:rPr>
          <w:rStyle w:val="FootnoteReference"/>
        </w:rPr>
        <w:footnoteRef/>
      </w:r>
      <w:r>
        <w:t xml:space="preserve"> </w:t>
      </w:r>
      <w:r>
        <w:rPr>
          <w:lang w:val="en-US"/>
        </w:rPr>
        <w:t>The survey used to prepare the stage II submission was conducted in 2015, as stage II of the HPMP was initially submitted to the 76</w:t>
      </w:r>
      <w:r w:rsidRPr="0038461A">
        <w:rPr>
          <w:vertAlign w:val="superscript"/>
          <w:lang w:val="en-US"/>
        </w:rPr>
        <w:t>th</w:t>
      </w:r>
      <w:r>
        <w:rPr>
          <w:lang w:val="en-US"/>
        </w:rPr>
        <w:t xml:space="preserve"> meeting and subsequently withdrawn. Therefore, 2015 consumption was used as the basis for the submission.</w:t>
      </w:r>
    </w:p>
  </w:footnote>
  <w:footnote w:id="3">
    <w:p w:rsidR="00F76143" w:rsidRPr="00CD7A3F" w:rsidRDefault="00F76143">
      <w:pPr>
        <w:pStyle w:val="FootnoteText"/>
        <w:rPr>
          <w:lang w:val="en-US"/>
        </w:rPr>
      </w:pPr>
      <w:r>
        <w:rPr>
          <w:rStyle w:val="FootnoteReference"/>
        </w:rPr>
        <w:footnoteRef/>
      </w:r>
      <w:r>
        <w:t xml:space="preserve"> </w:t>
      </w:r>
      <w:r>
        <w:rPr>
          <w:lang w:val="en-US"/>
        </w:rPr>
        <w:t>Based on 2015 consumption as t</w:t>
      </w:r>
      <w:r w:rsidRPr="00CD7A3F">
        <w:rPr>
          <w:lang w:val="en-US"/>
        </w:rPr>
        <w:t xml:space="preserve">he survey used </w:t>
      </w:r>
      <w:r>
        <w:rPr>
          <w:lang w:val="en-US"/>
        </w:rPr>
        <w:t>for the preparation of</w:t>
      </w:r>
      <w:r w:rsidRPr="00CD7A3F">
        <w:rPr>
          <w:lang w:val="en-US"/>
        </w:rPr>
        <w:t xml:space="preserve"> stage II was conducted in 2015</w:t>
      </w:r>
      <w:r>
        <w:rPr>
          <w:lang w:val="en-US"/>
        </w:rPr>
        <w:t>.</w:t>
      </w:r>
    </w:p>
  </w:footnote>
  <w:footnote w:id="4">
    <w:p w:rsidR="00F76143" w:rsidRPr="00D950A3" w:rsidRDefault="00F76143">
      <w:pPr>
        <w:pStyle w:val="FootnoteText"/>
        <w:rPr>
          <w:lang w:val="en-US"/>
        </w:rPr>
      </w:pPr>
      <w:r>
        <w:rPr>
          <w:rStyle w:val="FootnoteReference"/>
        </w:rPr>
        <w:footnoteRef/>
      </w:r>
      <w:r>
        <w:t xml:space="preserve"> </w:t>
      </w:r>
      <w:r>
        <w:rPr>
          <w:lang w:val="en-US"/>
        </w:rPr>
        <w:t xml:space="preserve">Further details on the third mixing head stream can be found in </w:t>
      </w:r>
      <w:r w:rsidRPr="00D950A3">
        <w:rPr>
          <w:lang w:val="en-US"/>
        </w:rPr>
        <w:t>UNEP/OzL.Pro/ExCom/75/20</w:t>
      </w:r>
      <w:r>
        <w:rPr>
          <w:lang w:val="en-US"/>
        </w:rPr>
        <w:t>.</w:t>
      </w:r>
    </w:p>
  </w:footnote>
  <w:footnote w:id="5">
    <w:p w:rsidR="00F76143" w:rsidRPr="00CD7A3F" w:rsidRDefault="00F76143">
      <w:pPr>
        <w:pStyle w:val="FootnoteText"/>
        <w:rPr>
          <w:lang w:val="en-US"/>
        </w:rPr>
      </w:pPr>
      <w:r>
        <w:rPr>
          <w:rStyle w:val="FootnoteReference"/>
        </w:rPr>
        <w:footnoteRef/>
      </w:r>
      <w:r>
        <w:t xml:space="preserve"> </w:t>
      </w:r>
      <w:r>
        <w:rPr>
          <w:lang w:val="en-US"/>
        </w:rPr>
        <w:t>Based on 2015 consumption as t</w:t>
      </w:r>
      <w:r w:rsidRPr="00CD7A3F">
        <w:rPr>
          <w:lang w:val="en-US"/>
        </w:rPr>
        <w:t xml:space="preserve">he survey used </w:t>
      </w:r>
      <w:r>
        <w:rPr>
          <w:lang w:val="en-US"/>
        </w:rPr>
        <w:t>for the preparation of</w:t>
      </w:r>
      <w:r w:rsidRPr="00CD7A3F">
        <w:rPr>
          <w:lang w:val="en-US"/>
        </w:rPr>
        <w:t xml:space="preserve"> stage II was conducted in 2015</w:t>
      </w:r>
      <w:r>
        <w:rPr>
          <w:lang w:val="en-US"/>
        </w:rPr>
        <w:t>.</w:t>
      </w:r>
    </w:p>
  </w:footnote>
  <w:footnote w:id="6">
    <w:p w:rsidR="00F76143" w:rsidRPr="00CD7A3F" w:rsidRDefault="00F76143" w:rsidP="000841C5">
      <w:pPr>
        <w:pStyle w:val="FootnoteText"/>
        <w:rPr>
          <w:lang w:val="en-US"/>
        </w:rPr>
      </w:pPr>
      <w:r>
        <w:rPr>
          <w:rStyle w:val="FootnoteReference"/>
        </w:rPr>
        <w:footnoteRef/>
      </w:r>
      <w:r>
        <w:t xml:space="preserve"> </w:t>
      </w:r>
      <w:r>
        <w:rPr>
          <w:lang w:val="en-US"/>
        </w:rPr>
        <w:t>Based on 2015 consumption as t</w:t>
      </w:r>
      <w:r w:rsidRPr="00CD7A3F">
        <w:rPr>
          <w:lang w:val="en-US"/>
        </w:rPr>
        <w:t xml:space="preserve">he survey used </w:t>
      </w:r>
      <w:r>
        <w:rPr>
          <w:lang w:val="en-US"/>
        </w:rPr>
        <w:t>for the preparation of</w:t>
      </w:r>
      <w:r w:rsidRPr="00CD7A3F">
        <w:rPr>
          <w:lang w:val="en-US"/>
        </w:rPr>
        <w:t xml:space="preserve"> stage II was conducted in 2015</w:t>
      </w:r>
      <w:r>
        <w:rPr>
          <w:lang w:val="en-US"/>
        </w:rPr>
        <w:t>.</w:t>
      </w:r>
    </w:p>
  </w:footnote>
  <w:footnote w:id="7">
    <w:p w:rsidR="00F76143" w:rsidRPr="00CD7A3F" w:rsidRDefault="00F76143">
      <w:pPr>
        <w:pStyle w:val="FootnoteText"/>
        <w:rPr>
          <w:lang w:val="en-US"/>
        </w:rPr>
      </w:pPr>
      <w:r>
        <w:rPr>
          <w:rStyle w:val="FootnoteReference"/>
        </w:rPr>
        <w:footnoteRef/>
      </w:r>
      <w:r>
        <w:t xml:space="preserve"> </w:t>
      </w:r>
      <w:r>
        <w:rPr>
          <w:lang w:val="en-US"/>
        </w:rPr>
        <w:t>Based on 2015 consumption as t</w:t>
      </w:r>
      <w:r w:rsidRPr="00CD7A3F">
        <w:rPr>
          <w:lang w:val="en-US"/>
        </w:rPr>
        <w:t xml:space="preserve">he survey used </w:t>
      </w:r>
      <w:r>
        <w:rPr>
          <w:lang w:val="en-US"/>
        </w:rPr>
        <w:t>for the preparation of</w:t>
      </w:r>
      <w:r w:rsidRPr="00CD7A3F">
        <w:rPr>
          <w:lang w:val="en-US"/>
        </w:rPr>
        <w:t xml:space="preserve"> stage II was conducted in 2015</w:t>
      </w:r>
      <w:r>
        <w:rPr>
          <w:lang w:val="en-US"/>
        </w:rPr>
        <w:t>.</w:t>
      </w:r>
    </w:p>
  </w:footnote>
  <w:footnote w:id="8">
    <w:p w:rsidR="00F76143" w:rsidRPr="00026847" w:rsidRDefault="00F76143">
      <w:pPr>
        <w:pStyle w:val="FootnoteText"/>
        <w:rPr>
          <w:lang w:val="en-US"/>
        </w:rPr>
      </w:pPr>
      <w:r>
        <w:rPr>
          <w:rStyle w:val="FootnoteReference"/>
        </w:rPr>
        <w:footnoteRef/>
      </w:r>
      <w:r>
        <w:t xml:space="preserve"> </w:t>
      </w:r>
      <w:r w:rsidRPr="00026847">
        <w:t>UNEP/OzL.Pro/ExCom/62/43</w:t>
      </w:r>
    </w:p>
  </w:footnote>
  <w:footnote w:id="9">
    <w:p w:rsidR="00F76143" w:rsidRPr="00EF33F3" w:rsidRDefault="00F76143">
      <w:pPr>
        <w:pStyle w:val="FootnoteText"/>
        <w:rPr>
          <w:lang w:val="en-US"/>
        </w:rPr>
      </w:pPr>
      <w:r>
        <w:rPr>
          <w:rStyle w:val="FootnoteReference"/>
        </w:rPr>
        <w:footnoteRef/>
      </w:r>
      <w:r>
        <w:t xml:space="preserve"> Including both bulk </w:t>
      </w:r>
      <w:r>
        <w:rPr>
          <w:lang w:val="en-US"/>
        </w:rPr>
        <w:t>HCFC-141b and contained in imported pre</w:t>
      </w:r>
      <w:r>
        <w:rPr>
          <w:lang w:val="en-US"/>
        </w:rPr>
        <w:noBreakHyphen/>
        <w:t xml:space="preserve">blended polyols, after accounting for the 2016 imports of HCFC-141b contained in imported pre-blended polyols.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43" w:rsidRPr="0033525D" w:rsidRDefault="0014049E">
    <w:fldSimple w:instr=" DOCPROPERTY &quot;Document number&quot;  \* MERGEFORMAT ">
      <w:r w:rsidR="00CA348F">
        <w:t>UNEP/OzL.Pro/ExCom/79/32</w:t>
      </w:r>
    </w:fldSimple>
  </w:p>
  <w:p w:rsidR="00F76143" w:rsidRPr="0033525D" w:rsidRDefault="00F76143"/>
  <w:p w:rsidR="00F76143" w:rsidRPr="0033525D" w:rsidRDefault="00F761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43" w:rsidRPr="0033525D" w:rsidRDefault="0014049E">
    <w:pPr>
      <w:jc w:val="right"/>
    </w:pPr>
    <w:fldSimple w:instr=" DOCPROPERTY &quot;Document number&quot;  \* MERGEFORMAT ">
      <w:r w:rsidR="00CA348F">
        <w:t>UNEP/OzL.Pro/ExCom/79/32</w:t>
      </w:r>
    </w:fldSimple>
  </w:p>
  <w:p w:rsidR="00F76143" w:rsidRPr="0033525D" w:rsidRDefault="00F76143"/>
  <w:p w:rsidR="00F76143" w:rsidRPr="0033525D" w:rsidRDefault="00F761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43" w:rsidRPr="0033525D" w:rsidRDefault="0014049E" w:rsidP="00B14D07">
    <w:pPr>
      <w:jc w:val="left"/>
    </w:pPr>
    <w:fldSimple w:instr=" DOCPROPERTY &quot;Document number&quot;  \* MERGEFORMAT ">
      <w:r w:rsidR="00CA348F">
        <w:t>UNEP/OzL.Pro/ExCom/79/32</w:t>
      </w:r>
    </w:fldSimple>
  </w:p>
  <w:p w:rsidR="00F76143" w:rsidRDefault="00F76143" w:rsidP="00B14D07">
    <w:pPr>
      <w:jc w:val="left"/>
    </w:pPr>
    <w:r>
      <w:t>Annex I</w:t>
    </w:r>
  </w:p>
  <w:p w:rsidR="00F76143" w:rsidRPr="0033525D" w:rsidRDefault="00F76143" w:rsidP="00B14D07">
    <w:pPr>
      <w:jc w:val="left"/>
    </w:pPr>
  </w:p>
  <w:p w:rsidR="00F76143" w:rsidRPr="0033525D" w:rsidRDefault="00F76143" w:rsidP="00B14D07">
    <w:pP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43" w:rsidRDefault="0014049E">
    <w:pPr>
      <w:jc w:val="right"/>
    </w:pPr>
    <w:fldSimple w:instr=" DOCPROPERTY &quot;Document number&quot;  \* MERGEFORMAT ">
      <w:r w:rsidR="00CA348F">
        <w:t>UNEP/OzL.Pro/ExCom/79/32</w:t>
      </w:r>
    </w:fldSimple>
  </w:p>
  <w:p w:rsidR="00F76143" w:rsidRDefault="00F76143">
    <w:pPr>
      <w:jc w:val="right"/>
    </w:pPr>
    <w:r>
      <w:t>Annex I</w:t>
    </w:r>
  </w:p>
  <w:p w:rsidR="00F76143" w:rsidRDefault="00F76143">
    <w:pPr>
      <w:jc w:val="right"/>
    </w:pPr>
  </w:p>
  <w:p w:rsidR="00F76143" w:rsidRDefault="00F76143">
    <w:pPr>
      <w:jc w:val="right"/>
    </w:pPr>
  </w:p>
  <w:p w:rsidR="00F76143" w:rsidRPr="0033525D" w:rsidRDefault="00F76143">
    <w:pPr>
      <w:jc w:val="right"/>
    </w:pPr>
    <w:r w:rsidRPr="00E61A05">
      <w:object w:dxaOrig="7345"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8pt;height:475.8pt" o:ole="">
          <v:imagedata r:id="rId1" o:title=""/>
        </v:shape>
        <o:OLEObject Type="Embed" ProgID="AcroExch.Document.7" ShapeID="_x0000_i1025" DrawAspect="Content" ObjectID="_1559137339" r:id="rId2"/>
      </w:object>
    </w:r>
  </w:p>
  <w:p w:rsidR="00F76143" w:rsidRPr="0033525D" w:rsidRDefault="00F76143">
    <w:r w:rsidRPr="00E61A05">
      <w:object w:dxaOrig="7345" w:dyaOrig="9505">
        <v:shape id="_x0000_i1026" type="#_x0000_t75" style="width:367.8pt;height:475.8pt" o:ole="">
          <v:imagedata r:id="rId1" o:title=""/>
        </v:shape>
        <o:OLEObject Type="Embed" ProgID="AcroExch.Document.7" ShapeID="_x0000_i1026" DrawAspect="Content" ObjectID="_1559137340" r:id="rId3"/>
      </w:object>
    </w:r>
  </w:p>
  <w:p w:rsidR="00F76143" w:rsidRPr="0033525D" w:rsidRDefault="00F76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4058D386"/>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nsid w:val="0D7861F2"/>
    <w:multiLevelType w:val="multilevel"/>
    <w:tmpl w:val="1E24B704"/>
    <w:lvl w:ilvl="0">
      <w:start w:val="1"/>
      <w:numFmt w:val="decimal"/>
      <w:pStyle w:val="Style1"/>
      <w:lvlText w:val="%1."/>
      <w:lvlJc w:val="left"/>
      <w:pPr>
        <w:tabs>
          <w:tab w:val="num" w:pos="0"/>
        </w:tabs>
        <w:ind w:left="0" w:firstLine="0"/>
      </w:pPr>
      <w:rPr>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2">
    <w:nsid w:val="0F5D1431"/>
    <w:multiLevelType w:val="hybridMultilevel"/>
    <w:tmpl w:val="9E6073B6"/>
    <w:lvl w:ilvl="0" w:tplc="42C4DD70">
      <w:start w:val="1"/>
      <w:numFmt w:val="decimal"/>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FB42AF0"/>
    <w:multiLevelType w:val="hybridMultilevel"/>
    <w:tmpl w:val="AF8620BA"/>
    <w:lvl w:ilvl="0" w:tplc="0EC61A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03B6C0E"/>
    <w:multiLevelType w:val="hybridMultilevel"/>
    <w:tmpl w:val="56964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D6F3A7C"/>
    <w:multiLevelType w:val="hybridMultilevel"/>
    <w:tmpl w:val="4C0A7518"/>
    <w:lvl w:ilvl="0" w:tplc="64E29490">
      <w:start w:val="1"/>
      <w:numFmt w:val="decimal"/>
      <w:lvlText w:val="%1."/>
      <w:lvlJc w:val="left"/>
      <w:pPr>
        <w:ind w:left="1080" w:hanging="720"/>
      </w:pPr>
    </w:lvl>
    <w:lvl w:ilvl="1" w:tplc="04090019">
      <w:start w:val="1"/>
      <w:numFmt w:val="lowerLetter"/>
      <w:lvlText w:val="%2."/>
      <w:lvlJc w:val="left"/>
      <w:pPr>
        <w:ind w:left="1440" w:hanging="360"/>
      </w:pPr>
    </w:lvl>
    <w:lvl w:ilvl="2" w:tplc="B256FCC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A232ED3"/>
    <w:multiLevelType w:val="hybridMultilevel"/>
    <w:tmpl w:val="28C8DF5A"/>
    <w:lvl w:ilvl="0" w:tplc="B256FCC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9"/>
  </w:num>
  <w:num w:numId="19">
    <w:abstractNumId w:val="21"/>
  </w:num>
  <w:num w:numId="20">
    <w:abstractNumId w:val="17"/>
  </w:num>
  <w:num w:numId="21">
    <w:abstractNumId w:val="14"/>
  </w:num>
  <w:num w:numId="22">
    <w:abstractNumId w:val="11"/>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20"/>
  </w:num>
  <w:num w:numId="29">
    <w:abstractNumId w:val="1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revisionView w:markup="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D9"/>
    <w:rsid w:val="00000FED"/>
    <w:rsid w:val="000031E7"/>
    <w:rsid w:val="00003AA3"/>
    <w:rsid w:val="0000434E"/>
    <w:rsid w:val="000067EA"/>
    <w:rsid w:val="000164A9"/>
    <w:rsid w:val="0001661A"/>
    <w:rsid w:val="000211A9"/>
    <w:rsid w:val="00024146"/>
    <w:rsid w:val="000264DF"/>
    <w:rsid w:val="00026847"/>
    <w:rsid w:val="00030F34"/>
    <w:rsid w:val="00031260"/>
    <w:rsid w:val="0003681A"/>
    <w:rsid w:val="000370D2"/>
    <w:rsid w:val="00042D91"/>
    <w:rsid w:val="00052F27"/>
    <w:rsid w:val="00055FFE"/>
    <w:rsid w:val="00061EC2"/>
    <w:rsid w:val="000626CE"/>
    <w:rsid w:val="00064056"/>
    <w:rsid w:val="0007647D"/>
    <w:rsid w:val="00080ED0"/>
    <w:rsid w:val="0008367B"/>
    <w:rsid w:val="00083824"/>
    <w:rsid w:val="000841C5"/>
    <w:rsid w:val="00085B8F"/>
    <w:rsid w:val="00090481"/>
    <w:rsid w:val="000937F4"/>
    <w:rsid w:val="00093FD6"/>
    <w:rsid w:val="00095148"/>
    <w:rsid w:val="00095D90"/>
    <w:rsid w:val="000A6C26"/>
    <w:rsid w:val="000B61AA"/>
    <w:rsid w:val="000C17A3"/>
    <w:rsid w:val="000C5F00"/>
    <w:rsid w:val="000C65AC"/>
    <w:rsid w:val="000C7747"/>
    <w:rsid w:val="000D08C6"/>
    <w:rsid w:val="000D0D81"/>
    <w:rsid w:val="000E07BC"/>
    <w:rsid w:val="000E3FB0"/>
    <w:rsid w:val="000E6896"/>
    <w:rsid w:val="000E78FE"/>
    <w:rsid w:val="000F0199"/>
    <w:rsid w:val="000F1CD4"/>
    <w:rsid w:val="000F3199"/>
    <w:rsid w:val="000F4103"/>
    <w:rsid w:val="000F70A7"/>
    <w:rsid w:val="001041CB"/>
    <w:rsid w:val="00105445"/>
    <w:rsid w:val="00105DEF"/>
    <w:rsid w:val="001112FD"/>
    <w:rsid w:val="00117F2D"/>
    <w:rsid w:val="00120CC7"/>
    <w:rsid w:val="00120DD6"/>
    <w:rsid w:val="00121039"/>
    <w:rsid w:val="00130AF0"/>
    <w:rsid w:val="00135980"/>
    <w:rsid w:val="0013662C"/>
    <w:rsid w:val="0014049E"/>
    <w:rsid w:val="001507C8"/>
    <w:rsid w:val="00164719"/>
    <w:rsid w:val="00166FC4"/>
    <w:rsid w:val="001677AC"/>
    <w:rsid w:val="001746AE"/>
    <w:rsid w:val="001804EA"/>
    <w:rsid w:val="00190A61"/>
    <w:rsid w:val="0019323B"/>
    <w:rsid w:val="001939D2"/>
    <w:rsid w:val="001968ED"/>
    <w:rsid w:val="001A3342"/>
    <w:rsid w:val="001A3E3D"/>
    <w:rsid w:val="001A68FE"/>
    <w:rsid w:val="001A7049"/>
    <w:rsid w:val="001B1045"/>
    <w:rsid w:val="001B1E40"/>
    <w:rsid w:val="001B2262"/>
    <w:rsid w:val="001B69BD"/>
    <w:rsid w:val="001C73AD"/>
    <w:rsid w:val="001C764E"/>
    <w:rsid w:val="001D0D3D"/>
    <w:rsid w:val="001D68FC"/>
    <w:rsid w:val="001E1052"/>
    <w:rsid w:val="001E21B1"/>
    <w:rsid w:val="001E21C6"/>
    <w:rsid w:val="001E2F93"/>
    <w:rsid w:val="001E3009"/>
    <w:rsid w:val="001E61E5"/>
    <w:rsid w:val="001F2159"/>
    <w:rsid w:val="001F36C1"/>
    <w:rsid w:val="001F5942"/>
    <w:rsid w:val="001F67DC"/>
    <w:rsid w:val="001F70A0"/>
    <w:rsid w:val="00200135"/>
    <w:rsid w:val="002015EF"/>
    <w:rsid w:val="00207E97"/>
    <w:rsid w:val="002105BB"/>
    <w:rsid w:val="00214863"/>
    <w:rsid w:val="002156B4"/>
    <w:rsid w:val="002161F7"/>
    <w:rsid w:val="002212C9"/>
    <w:rsid w:val="002222E8"/>
    <w:rsid w:val="00222CD5"/>
    <w:rsid w:val="00223D78"/>
    <w:rsid w:val="00224174"/>
    <w:rsid w:val="00236189"/>
    <w:rsid w:val="00237F54"/>
    <w:rsid w:val="00243DF2"/>
    <w:rsid w:val="002472AB"/>
    <w:rsid w:val="00253222"/>
    <w:rsid w:val="00262847"/>
    <w:rsid w:val="00264522"/>
    <w:rsid w:val="00267ECD"/>
    <w:rsid w:val="0027144D"/>
    <w:rsid w:val="00274EA5"/>
    <w:rsid w:val="00281BB2"/>
    <w:rsid w:val="00283BFC"/>
    <w:rsid w:val="00291652"/>
    <w:rsid w:val="002A156E"/>
    <w:rsid w:val="002A4C05"/>
    <w:rsid w:val="002B4243"/>
    <w:rsid w:val="002B72E9"/>
    <w:rsid w:val="002C7998"/>
    <w:rsid w:val="002E3A80"/>
    <w:rsid w:val="002E79B2"/>
    <w:rsid w:val="002E7D14"/>
    <w:rsid w:val="002F1E53"/>
    <w:rsid w:val="002F2CAA"/>
    <w:rsid w:val="002F4769"/>
    <w:rsid w:val="002F5AAC"/>
    <w:rsid w:val="003048EC"/>
    <w:rsid w:val="00314525"/>
    <w:rsid w:val="00317C9F"/>
    <w:rsid w:val="0032368B"/>
    <w:rsid w:val="00327BC1"/>
    <w:rsid w:val="003306E1"/>
    <w:rsid w:val="003320E4"/>
    <w:rsid w:val="0033525D"/>
    <w:rsid w:val="003412AA"/>
    <w:rsid w:val="003414F3"/>
    <w:rsid w:val="00352AB9"/>
    <w:rsid w:val="00354917"/>
    <w:rsid w:val="00354FE6"/>
    <w:rsid w:val="003556F4"/>
    <w:rsid w:val="0035613E"/>
    <w:rsid w:val="00361EB0"/>
    <w:rsid w:val="00363EE9"/>
    <w:rsid w:val="00375749"/>
    <w:rsid w:val="00376128"/>
    <w:rsid w:val="0037742E"/>
    <w:rsid w:val="00381671"/>
    <w:rsid w:val="0038245A"/>
    <w:rsid w:val="0038461A"/>
    <w:rsid w:val="00385EDF"/>
    <w:rsid w:val="003908C1"/>
    <w:rsid w:val="00391DE5"/>
    <w:rsid w:val="0039337A"/>
    <w:rsid w:val="00393A1F"/>
    <w:rsid w:val="003949A2"/>
    <w:rsid w:val="003A3189"/>
    <w:rsid w:val="003A7D7F"/>
    <w:rsid w:val="003B569D"/>
    <w:rsid w:val="003B6FA1"/>
    <w:rsid w:val="003C0A86"/>
    <w:rsid w:val="003C3C0E"/>
    <w:rsid w:val="003C5CB6"/>
    <w:rsid w:val="003D4FAC"/>
    <w:rsid w:val="003E2428"/>
    <w:rsid w:val="003E7906"/>
    <w:rsid w:val="003F1276"/>
    <w:rsid w:val="003F3C50"/>
    <w:rsid w:val="00402A98"/>
    <w:rsid w:val="00403196"/>
    <w:rsid w:val="0040411A"/>
    <w:rsid w:val="00406A6A"/>
    <w:rsid w:val="00406B22"/>
    <w:rsid w:val="0041011D"/>
    <w:rsid w:val="00415312"/>
    <w:rsid w:val="00421C41"/>
    <w:rsid w:val="00422A21"/>
    <w:rsid w:val="004328A7"/>
    <w:rsid w:val="00432B4D"/>
    <w:rsid w:val="00434C74"/>
    <w:rsid w:val="004420B1"/>
    <w:rsid w:val="00446158"/>
    <w:rsid w:val="00446961"/>
    <w:rsid w:val="00450B2F"/>
    <w:rsid w:val="00456EB4"/>
    <w:rsid w:val="00461B4A"/>
    <w:rsid w:val="004718F3"/>
    <w:rsid w:val="00473A4D"/>
    <w:rsid w:val="00475040"/>
    <w:rsid w:val="00486CD5"/>
    <w:rsid w:val="00487013"/>
    <w:rsid w:val="004913CB"/>
    <w:rsid w:val="00493D40"/>
    <w:rsid w:val="004967B6"/>
    <w:rsid w:val="004A504B"/>
    <w:rsid w:val="004A6911"/>
    <w:rsid w:val="004B54E0"/>
    <w:rsid w:val="004B7384"/>
    <w:rsid w:val="004C4269"/>
    <w:rsid w:val="004D6236"/>
    <w:rsid w:val="004E4DBB"/>
    <w:rsid w:val="004E4E41"/>
    <w:rsid w:val="004E5BA0"/>
    <w:rsid w:val="004E652A"/>
    <w:rsid w:val="004E7F9C"/>
    <w:rsid w:val="004F2280"/>
    <w:rsid w:val="004F3493"/>
    <w:rsid w:val="004F5143"/>
    <w:rsid w:val="004F6983"/>
    <w:rsid w:val="005007BF"/>
    <w:rsid w:val="00500B49"/>
    <w:rsid w:val="00500C82"/>
    <w:rsid w:val="00501F30"/>
    <w:rsid w:val="005054D8"/>
    <w:rsid w:val="005107AD"/>
    <w:rsid w:val="00512079"/>
    <w:rsid w:val="00512B09"/>
    <w:rsid w:val="00514E2A"/>
    <w:rsid w:val="00515AB1"/>
    <w:rsid w:val="00515F64"/>
    <w:rsid w:val="00521372"/>
    <w:rsid w:val="00530C25"/>
    <w:rsid w:val="00535DEF"/>
    <w:rsid w:val="0054746D"/>
    <w:rsid w:val="00550D45"/>
    <w:rsid w:val="00555D75"/>
    <w:rsid w:val="00560DF0"/>
    <w:rsid w:val="005670B4"/>
    <w:rsid w:val="0056759C"/>
    <w:rsid w:val="00570DFB"/>
    <w:rsid w:val="00574973"/>
    <w:rsid w:val="0058479B"/>
    <w:rsid w:val="00584F5F"/>
    <w:rsid w:val="00585D4E"/>
    <w:rsid w:val="0059513E"/>
    <w:rsid w:val="005B2656"/>
    <w:rsid w:val="005B29A0"/>
    <w:rsid w:val="005B48FF"/>
    <w:rsid w:val="005B4B34"/>
    <w:rsid w:val="005B532F"/>
    <w:rsid w:val="005C2194"/>
    <w:rsid w:val="005C2E79"/>
    <w:rsid w:val="005C2F50"/>
    <w:rsid w:val="005D1FF4"/>
    <w:rsid w:val="005D2F6D"/>
    <w:rsid w:val="005E4A12"/>
    <w:rsid w:val="005F1660"/>
    <w:rsid w:val="005F484B"/>
    <w:rsid w:val="005F635E"/>
    <w:rsid w:val="0060103E"/>
    <w:rsid w:val="00604C15"/>
    <w:rsid w:val="006158D5"/>
    <w:rsid w:val="006170A2"/>
    <w:rsid w:val="00625D83"/>
    <w:rsid w:val="0063081D"/>
    <w:rsid w:val="006425F6"/>
    <w:rsid w:val="00643731"/>
    <w:rsid w:val="006623E7"/>
    <w:rsid w:val="00662834"/>
    <w:rsid w:val="00662B80"/>
    <w:rsid w:val="00671689"/>
    <w:rsid w:val="00676086"/>
    <w:rsid w:val="006852C7"/>
    <w:rsid w:val="0068606F"/>
    <w:rsid w:val="0069138E"/>
    <w:rsid w:val="006946CA"/>
    <w:rsid w:val="006A38D1"/>
    <w:rsid w:val="006A6E60"/>
    <w:rsid w:val="006A7F88"/>
    <w:rsid w:val="006C1727"/>
    <w:rsid w:val="006C32FD"/>
    <w:rsid w:val="006C39CE"/>
    <w:rsid w:val="006C4663"/>
    <w:rsid w:val="006D0FCC"/>
    <w:rsid w:val="006D29B2"/>
    <w:rsid w:val="006D7E3C"/>
    <w:rsid w:val="006E055E"/>
    <w:rsid w:val="006E0A5B"/>
    <w:rsid w:val="006E1FC3"/>
    <w:rsid w:val="006E2D24"/>
    <w:rsid w:val="006F4CFF"/>
    <w:rsid w:val="006F578A"/>
    <w:rsid w:val="0070588F"/>
    <w:rsid w:val="0070616B"/>
    <w:rsid w:val="00706825"/>
    <w:rsid w:val="00706FDA"/>
    <w:rsid w:val="007076F6"/>
    <w:rsid w:val="00711F9A"/>
    <w:rsid w:val="007131C2"/>
    <w:rsid w:val="00713810"/>
    <w:rsid w:val="00720568"/>
    <w:rsid w:val="00723402"/>
    <w:rsid w:val="007303A5"/>
    <w:rsid w:val="00730B3E"/>
    <w:rsid w:val="00730FBC"/>
    <w:rsid w:val="0073420B"/>
    <w:rsid w:val="00737427"/>
    <w:rsid w:val="007376C1"/>
    <w:rsid w:val="007377D7"/>
    <w:rsid w:val="007439AD"/>
    <w:rsid w:val="00744A5F"/>
    <w:rsid w:val="0074760E"/>
    <w:rsid w:val="00752420"/>
    <w:rsid w:val="00754ABA"/>
    <w:rsid w:val="00756394"/>
    <w:rsid w:val="007724A2"/>
    <w:rsid w:val="00773050"/>
    <w:rsid w:val="00775DBC"/>
    <w:rsid w:val="0078090D"/>
    <w:rsid w:val="00795B59"/>
    <w:rsid w:val="007A1546"/>
    <w:rsid w:val="007A228C"/>
    <w:rsid w:val="007A368E"/>
    <w:rsid w:val="007A4A2C"/>
    <w:rsid w:val="007A5868"/>
    <w:rsid w:val="007B04CE"/>
    <w:rsid w:val="007B6871"/>
    <w:rsid w:val="007B7A2F"/>
    <w:rsid w:val="007C3D33"/>
    <w:rsid w:val="007C5016"/>
    <w:rsid w:val="007C543B"/>
    <w:rsid w:val="007C7D63"/>
    <w:rsid w:val="007D294A"/>
    <w:rsid w:val="007D47D2"/>
    <w:rsid w:val="007D4F92"/>
    <w:rsid w:val="007D571B"/>
    <w:rsid w:val="007D6EC0"/>
    <w:rsid w:val="007D7E1D"/>
    <w:rsid w:val="007E31D4"/>
    <w:rsid w:val="007F2DEC"/>
    <w:rsid w:val="007F53A9"/>
    <w:rsid w:val="008118D0"/>
    <w:rsid w:val="00813CBB"/>
    <w:rsid w:val="00817C7F"/>
    <w:rsid w:val="00831979"/>
    <w:rsid w:val="00833394"/>
    <w:rsid w:val="00837D96"/>
    <w:rsid w:val="00840306"/>
    <w:rsid w:val="00851352"/>
    <w:rsid w:val="00861ECD"/>
    <w:rsid w:val="00863230"/>
    <w:rsid w:val="008702C5"/>
    <w:rsid w:val="008717D8"/>
    <w:rsid w:val="0087215C"/>
    <w:rsid w:val="00882706"/>
    <w:rsid w:val="0088591E"/>
    <w:rsid w:val="008875FE"/>
    <w:rsid w:val="00887F8E"/>
    <w:rsid w:val="00894E83"/>
    <w:rsid w:val="00896234"/>
    <w:rsid w:val="00897E43"/>
    <w:rsid w:val="008C5738"/>
    <w:rsid w:val="008C7EAD"/>
    <w:rsid w:val="008D0CFE"/>
    <w:rsid w:val="008D6152"/>
    <w:rsid w:val="008E0439"/>
    <w:rsid w:val="008E3F8C"/>
    <w:rsid w:val="008F0F81"/>
    <w:rsid w:val="008F27BF"/>
    <w:rsid w:val="008F6570"/>
    <w:rsid w:val="00902658"/>
    <w:rsid w:val="00910254"/>
    <w:rsid w:val="00910674"/>
    <w:rsid w:val="00912B84"/>
    <w:rsid w:val="009171BE"/>
    <w:rsid w:val="00923540"/>
    <w:rsid w:val="00925913"/>
    <w:rsid w:val="00926767"/>
    <w:rsid w:val="00930BB3"/>
    <w:rsid w:val="009331D9"/>
    <w:rsid w:val="009361D5"/>
    <w:rsid w:val="009428A4"/>
    <w:rsid w:val="0094466C"/>
    <w:rsid w:val="009659F4"/>
    <w:rsid w:val="00970D60"/>
    <w:rsid w:val="00974B36"/>
    <w:rsid w:val="0097612D"/>
    <w:rsid w:val="009809BF"/>
    <w:rsid w:val="00982962"/>
    <w:rsid w:val="0099494C"/>
    <w:rsid w:val="009960E5"/>
    <w:rsid w:val="0099621D"/>
    <w:rsid w:val="0099634C"/>
    <w:rsid w:val="009A19E2"/>
    <w:rsid w:val="009A7ADC"/>
    <w:rsid w:val="009C1842"/>
    <w:rsid w:val="009C19B7"/>
    <w:rsid w:val="009C67E8"/>
    <w:rsid w:val="009D2248"/>
    <w:rsid w:val="009D34F4"/>
    <w:rsid w:val="009D7C51"/>
    <w:rsid w:val="009E2FD0"/>
    <w:rsid w:val="009E546B"/>
    <w:rsid w:val="009F36BF"/>
    <w:rsid w:val="009F403B"/>
    <w:rsid w:val="00A02D3C"/>
    <w:rsid w:val="00A0647D"/>
    <w:rsid w:val="00A111B6"/>
    <w:rsid w:val="00A22EEC"/>
    <w:rsid w:val="00A2314C"/>
    <w:rsid w:val="00A26D27"/>
    <w:rsid w:val="00A27A71"/>
    <w:rsid w:val="00A376EE"/>
    <w:rsid w:val="00A37DFF"/>
    <w:rsid w:val="00A41F5A"/>
    <w:rsid w:val="00A42A99"/>
    <w:rsid w:val="00A44625"/>
    <w:rsid w:val="00A5151A"/>
    <w:rsid w:val="00A53764"/>
    <w:rsid w:val="00A56853"/>
    <w:rsid w:val="00A57E0A"/>
    <w:rsid w:val="00A646F2"/>
    <w:rsid w:val="00A66FD2"/>
    <w:rsid w:val="00A720C2"/>
    <w:rsid w:val="00A823F6"/>
    <w:rsid w:val="00A830B8"/>
    <w:rsid w:val="00A86F1B"/>
    <w:rsid w:val="00A9502C"/>
    <w:rsid w:val="00AA0A89"/>
    <w:rsid w:val="00AA6429"/>
    <w:rsid w:val="00AC01AA"/>
    <w:rsid w:val="00AC09FF"/>
    <w:rsid w:val="00AC175A"/>
    <w:rsid w:val="00AC4F72"/>
    <w:rsid w:val="00AE013C"/>
    <w:rsid w:val="00AE0390"/>
    <w:rsid w:val="00AF240B"/>
    <w:rsid w:val="00AF741A"/>
    <w:rsid w:val="00B01ADB"/>
    <w:rsid w:val="00B0239D"/>
    <w:rsid w:val="00B04161"/>
    <w:rsid w:val="00B05061"/>
    <w:rsid w:val="00B056F9"/>
    <w:rsid w:val="00B11E3D"/>
    <w:rsid w:val="00B149DE"/>
    <w:rsid w:val="00B14D07"/>
    <w:rsid w:val="00B170C2"/>
    <w:rsid w:val="00B17E82"/>
    <w:rsid w:val="00B30366"/>
    <w:rsid w:val="00B355C0"/>
    <w:rsid w:val="00B407F4"/>
    <w:rsid w:val="00B41960"/>
    <w:rsid w:val="00B4575A"/>
    <w:rsid w:val="00B53ED9"/>
    <w:rsid w:val="00B572D1"/>
    <w:rsid w:val="00B575BA"/>
    <w:rsid w:val="00B60D18"/>
    <w:rsid w:val="00B632EA"/>
    <w:rsid w:val="00B76429"/>
    <w:rsid w:val="00B77D27"/>
    <w:rsid w:val="00B83868"/>
    <w:rsid w:val="00B85CA9"/>
    <w:rsid w:val="00B906A2"/>
    <w:rsid w:val="00B91799"/>
    <w:rsid w:val="00B91ADE"/>
    <w:rsid w:val="00B956D4"/>
    <w:rsid w:val="00B97446"/>
    <w:rsid w:val="00BA7432"/>
    <w:rsid w:val="00BB2B72"/>
    <w:rsid w:val="00BB39E4"/>
    <w:rsid w:val="00BB5BF6"/>
    <w:rsid w:val="00BC1AA0"/>
    <w:rsid w:val="00BC2495"/>
    <w:rsid w:val="00BC6508"/>
    <w:rsid w:val="00BC6589"/>
    <w:rsid w:val="00BC7EB9"/>
    <w:rsid w:val="00BD1144"/>
    <w:rsid w:val="00BD2643"/>
    <w:rsid w:val="00BD56B1"/>
    <w:rsid w:val="00BD650A"/>
    <w:rsid w:val="00BD6558"/>
    <w:rsid w:val="00BE29B2"/>
    <w:rsid w:val="00BF3022"/>
    <w:rsid w:val="00BF3214"/>
    <w:rsid w:val="00BF505B"/>
    <w:rsid w:val="00BF70D2"/>
    <w:rsid w:val="00C1374C"/>
    <w:rsid w:val="00C15867"/>
    <w:rsid w:val="00C2296D"/>
    <w:rsid w:val="00C23155"/>
    <w:rsid w:val="00C24B96"/>
    <w:rsid w:val="00C35648"/>
    <w:rsid w:val="00C40C41"/>
    <w:rsid w:val="00C40F10"/>
    <w:rsid w:val="00C445CB"/>
    <w:rsid w:val="00C45885"/>
    <w:rsid w:val="00C50F22"/>
    <w:rsid w:val="00C57971"/>
    <w:rsid w:val="00C61BE6"/>
    <w:rsid w:val="00C63786"/>
    <w:rsid w:val="00C72A45"/>
    <w:rsid w:val="00C73A0D"/>
    <w:rsid w:val="00C76BA4"/>
    <w:rsid w:val="00C82069"/>
    <w:rsid w:val="00C83A48"/>
    <w:rsid w:val="00C85865"/>
    <w:rsid w:val="00C85E85"/>
    <w:rsid w:val="00C86E06"/>
    <w:rsid w:val="00C870E3"/>
    <w:rsid w:val="00C905D9"/>
    <w:rsid w:val="00C90C30"/>
    <w:rsid w:val="00C923B2"/>
    <w:rsid w:val="00CA2EAE"/>
    <w:rsid w:val="00CA348F"/>
    <w:rsid w:val="00CA4AC1"/>
    <w:rsid w:val="00CB0316"/>
    <w:rsid w:val="00CB0373"/>
    <w:rsid w:val="00CB0B11"/>
    <w:rsid w:val="00CB5354"/>
    <w:rsid w:val="00CC1FF8"/>
    <w:rsid w:val="00CC2593"/>
    <w:rsid w:val="00CC6A14"/>
    <w:rsid w:val="00CC70A3"/>
    <w:rsid w:val="00CD080C"/>
    <w:rsid w:val="00CD4442"/>
    <w:rsid w:val="00CD53C3"/>
    <w:rsid w:val="00CD574E"/>
    <w:rsid w:val="00CD7A3F"/>
    <w:rsid w:val="00CE4C22"/>
    <w:rsid w:val="00CF41EC"/>
    <w:rsid w:val="00CF5D04"/>
    <w:rsid w:val="00D04DE4"/>
    <w:rsid w:val="00D05189"/>
    <w:rsid w:val="00D063F1"/>
    <w:rsid w:val="00D107D9"/>
    <w:rsid w:val="00D12873"/>
    <w:rsid w:val="00D14E53"/>
    <w:rsid w:val="00D14F22"/>
    <w:rsid w:val="00D17315"/>
    <w:rsid w:val="00D228AD"/>
    <w:rsid w:val="00D25469"/>
    <w:rsid w:val="00D309D7"/>
    <w:rsid w:val="00D34018"/>
    <w:rsid w:val="00D3593B"/>
    <w:rsid w:val="00D468ED"/>
    <w:rsid w:val="00D50A85"/>
    <w:rsid w:val="00D53FE4"/>
    <w:rsid w:val="00D57918"/>
    <w:rsid w:val="00D64BBE"/>
    <w:rsid w:val="00D73DC6"/>
    <w:rsid w:val="00D74C1A"/>
    <w:rsid w:val="00D754C1"/>
    <w:rsid w:val="00D77A35"/>
    <w:rsid w:val="00D81B3E"/>
    <w:rsid w:val="00D849BC"/>
    <w:rsid w:val="00D86018"/>
    <w:rsid w:val="00D86F93"/>
    <w:rsid w:val="00D90C70"/>
    <w:rsid w:val="00D90E49"/>
    <w:rsid w:val="00D91AF2"/>
    <w:rsid w:val="00D9228A"/>
    <w:rsid w:val="00D930AB"/>
    <w:rsid w:val="00D950A3"/>
    <w:rsid w:val="00DB065D"/>
    <w:rsid w:val="00DB696B"/>
    <w:rsid w:val="00DC676D"/>
    <w:rsid w:val="00DC6A10"/>
    <w:rsid w:val="00DD04AF"/>
    <w:rsid w:val="00DE3114"/>
    <w:rsid w:val="00DE3DD5"/>
    <w:rsid w:val="00DE4630"/>
    <w:rsid w:val="00DE50BB"/>
    <w:rsid w:val="00DE657E"/>
    <w:rsid w:val="00DF1C3B"/>
    <w:rsid w:val="00DF4704"/>
    <w:rsid w:val="00E024AA"/>
    <w:rsid w:val="00E0480C"/>
    <w:rsid w:val="00E250F1"/>
    <w:rsid w:val="00E26B33"/>
    <w:rsid w:val="00E30956"/>
    <w:rsid w:val="00E34CB5"/>
    <w:rsid w:val="00E3550D"/>
    <w:rsid w:val="00E35DE7"/>
    <w:rsid w:val="00E36C65"/>
    <w:rsid w:val="00E5057F"/>
    <w:rsid w:val="00E51355"/>
    <w:rsid w:val="00E51475"/>
    <w:rsid w:val="00E563A7"/>
    <w:rsid w:val="00E60F75"/>
    <w:rsid w:val="00E614E0"/>
    <w:rsid w:val="00E6165B"/>
    <w:rsid w:val="00E61A05"/>
    <w:rsid w:val="00E67AD5"/>
    <w:rsid w:val="00E67EDF"/>
    <w:rsid w:val="00E73F7F"/>
    <w:rsid w:val="00E82A81"/>
    <w:rsid w:val="00E85409"/>
    <w:rsid w:val="00E939D8"/>
    <w:rsid w:val="00EA327B"/>
    <w:rsid w:val="00EA429F"/>
    <w:rsid w:val="00EA4F9E"/>
    <w:rsid w:val="00EA63CA"/>
    <w:rsid w:val="00EA6D3B"/>
    <w:rsid w:val="00EA75C0"/>
    <w:rsid w:val="00EB00AD"/>
    <w:rsid w:val="00EB136C"/>
    <w:rsid w:val="00EB480E"/>
    <w:rsid w:val="00EB5EC6"/>
    <w:rsid w:val="00EB769C"/>
    <w:rsid w:val="00EB7FC9"/>
    <w:rsid w:val="00EC5057"/>
    <w:rsid w:val="00EC606A"/>
    <w:rsid w:val="00ED27E8"/>
    <w:rsid w:val="00ED36AE"/>
    <w:rsid w:val="00ED6480"/>
    <w:rsid w:val="00ED7137"/>
    <w:rsid w:val="00ED7A64"/>
    <w:rsid w:val="00EE181A"/>
    <w:rsid w:val="00EE2D8D"/>
    <w:rsid w:val="00EF08CA"/>
    <w:rsid w:val="00EF33F3"/>
    <w:rsid w:val="00EF3740"/>
    <w:rsid w:val="00F0020B"/>
    <w:rsid w:val="00F146FE"/>
    <w:rsid w:val="00F21088"/>
    <w:rsid w:val="00F2689A"/>
    <w:rsid w:val="00F327E7"/>
    <w:rsid w:val="00F347CB"/>
    <w:rsid w:val="00F35746"/>
    <w:rsid w:val="00F4446A"/>
    <w:rsid w:val="00F447C7"/>
    <w:rsid w:val="00F451DD"/>
    <w:rsid w:val="00F46820"/>
    <w:rsid w:val="00F4795B"/>
    <w:rsid w:val="00F5227C"/>
    <w:rsid w:val="00F554A9"/>
    <w:rsid w:val="00F716FD"/>
    <w:rsid w:val="00F759DF"/>
    <w:rsid w:val="00F75F42"/>
    <w:rsid w:val="00F76143"/>
    <w:rsid w:val="00F80355"/>
    <w:rsid w:val="00F84E4E"/>
    <w:rsid w:val="00F875AD"/>
    <w:rsid w:val="00F94F72"/>
    <w:rsid w:val="00FA0FCC"/>
    <w:rsid w:val="00FA7EC4"/>
    <w:rsid w:val="00FB0C81"/>
    <w:rsid w:val="00FB3F9A"/>
    <w:rsid w:val="00FB6BC8"/>
    <w:rsid w:val="00FC2200"/>
    <w:rsid w:val="00FC2540"/>
    <w:rsid w:val="00FC30C1"/>
    <w:rsid w:val="00FC34B0"/>
    <w:rsid w:val="00FD26A0"/>
    <w:rsid w:val="00FD29D9"/>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FB"/>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23"/>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3"/>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2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23"/>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23"/>
      </w:numPr>
      <w:spacing w:before="240" w:after="60"/>
      <w:outlineLvl w:val="5"/>
    </w:pPr>
    <w:rPr>
      <w:rFonts w:ascii="Arial" w:hAnsi="Arial"/>
      <w:i/>
    </w:rPr>
  </w:style>
  <w:style w:type="paragraph" w:styleId="Heading7">
    <w:name w:val="heading 7"/>
    <w:basedOn w:val="Normal"/>
    <w:next w:val="Normal"/>
    <w:qFormat/>
    <w:rsid w:val="00A5151A"/>
    <w:pPr>
      <w:numPr>
        <w:ilvl w:val="6"/>
        <w:numId w:val="23"/>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2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
    <w:basedOn w:val="Normal"/>
    <w:link w:val="ListParagraphChar"/>
    <w:uiPriority w:val="34"/>
    <w:qFormat/>
    <w:rsid w:val="00C905D9"/>
    <w:pPr>
      <w:ind w:left="720"/>
      <w:contextualSpacing/>
    </w:p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C905D9"/>
    <w:rPr>
      <w:sz w:val="22"/>
      <w:szCs w:val="22"/>
      <w:lang w:val="en-GB"/>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C905D9"/>
    <w:rPr>
      <w:sz w:val="22"/>
      <w:szCs w:val="22"/>
      <w:lang w:val="en-GB"/>
    </w:rPr>
  </w:style>
  <w:style w:type="paragraph" w:customStyle="1" w:styleId="Style1">
    <w:name w:val="Style1"/>
    <w:basedOn w:val="ListParagraph"/>
    <w:link w:val="Style1Char"/>
    <w:qFormat/>
    <w:rsid w:val="00C905D9"/>
    <w:pPr>
      <w:numPr>
        <w:numId w:val="22"/>
      </w:numPr>
      <w:spacing w:line="360" w:lineRule="auto"/>
    </w:pPr>
  </w:style>
  <w:style w:type="character" w:customStyle="1" w:styleId="Style1Char">
    <w:name w:val="Style1 Char"/>
    <w:basedOn w:val="ListParagraphChar"/>
    <w:link w:val="Style1"/>
    <w:rsid w:val="00C905D9"/>
    <w:rPr>
      <w:sz w:val="22"/>
      <w:szCs w:val="22"/>
      <w:lang w:val="en-GB"/>
    </w:rPr>
  </w:style>
  <w:style w:type="paragraph" w:styleId="FootnoteText">
    <w:name w:val="footnote text"/>
    <w:aliases w:val="Char1,Char1 Char Char"/>
    <w:basedOn w:val="Normal"/>
    <w:link w:val="FootnoteTextChar"/>
    <w:uiPriority w:val="99"/>
    <w:unhideWhenUsed/>
    <w:qFormat/>
    <w:rsid w:val="00C905D9"/>
    <w:rPr>
      <w:sz w:val="20"/>
      <w:szCs w:val="20"/>
    </w:rPr>
  </w:style>
  <w:style w:type="character" w:customStyle="1" w:styleId="FootnoteTextChar">
    <w:name w:val="Footnote Text Char"/>
    <w:aliases w:val="Char1 Char,Char1 Char Char Char"/>
    <w:basedOn w:val="DefaultParagraphFont"/>
    <w:link w:val="FootnoteText"/>
    <w:uiPriority w:val="99"/>
    <w:rsid w:val="00C905D9"/>
    <w:rPr>
      <w:lang w:val="en-GB"/>
    </w:rPr>
  </w:style>
  <w:style w:type="character" w:styleId="FootnoteReference">
    <w:name w:val="footnote reference"/>
    <w:basedOn w:val="DefaultParagraphFont"/>
    <w:unhideWhenUsed/>
    <w:rsid w:val="00C905D9"/>
    <w:rPr>
      <w:vertAlign w:val="superscript"/>
    </w:rPr>
  </w:style>
  <w:style w:type="paragraph" w:styleId="Revision">
    <w:name w:val="Revision"/>
    <w:hidden/>
    <w:uiPriority w:val="99"/>
    <w:semiHidden/>
    <w:rsid w:val="00C905D9"/>
    <w:rPr>
      <w:sz w:val="22"/>
      <w:szCs w:val="22"/>
      <w:lang w:val="en-GB"/>
    </w:rPr>
  </w:style>
  <w:style w:type="paragraph" w:customStyle="1" w:styleId="Default">
    <w:name w:val="Default"/>
    <w:rsid w:val="00B14D07"/>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FB"/>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23"/>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3"/>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2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23"/>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23"/>
      </w:numPr>
      <w:spacing w:before="240" w:after="60"/>
      <w:outlineLvl w:val="5"/>
    </w:pPr>
    <w:rPr>
      <w:rFonts w:ascii="Arial" w:hAnsi="Arial"/>
      <w:i/>
    </w:rPr>
  </w:style>
  <w:style w:type="paragraph" w:styleId="Heading7">
    <w:name w:val="heading 7"/>
    <w:basedOn w:val="Normal"/>
    <w:next w:val="Normal"/>
    <w:qFormat/>
    <w:rsid w:val="00A5151A"/>
    <w:pPr>
      <w:numPr>
        <w:ilvl w:val="6"/>
        <w:numId w:val="23"/>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2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
    <w:basedOn w:val="Normal"/>
    <w:link w:val="ListParagraphChar"/>
    <w:uiPriority w:val="34"/>
    <w:qFormat/>
    <w:rsid w:val="00C905D9"/>
    <w:pPr>
      <w:ind w:left="720"/>
      <w:contextualSpacing/>
    </w:p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C905D9"/>
    <w:rPr>
      <w:sz w:val="22"/>
      <w:szCs w:val="22"/>
      <w:lang w:val="en-GB"/>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C905D9"/>
    <w:rPr>
      <w:sz w:val="22"/>
      <w:szCs w:val="22"/>
      <w:lang w:val="en-GB"/>
    </w:rPr>
  </w:style>
  <w:style w:type="paragraph" w:customStyle="1" w:styleId="Style1">
    <w:name w:val="Style1"/>
    <w:basedOn w:val="ListParagraph"/>
    <w:link w:val="Style1Char"/>
    <w:qFormat/>
    <w:rsid w:val="00C905D9"/>
    <w:pPr>
      <w:numPr>
        <w:numId w:val="22"/>
      </w:numPr>
      <w:spacing w:line="360" w:lineRule="auto"/>
    </w:pPr>
  </w:style>
  <w:style w:type="character" w:customStyle="1" w:styleId="Style1Char">
    <w:name w:val="Style1 Char"/>
    <w:basedOn w:val="ListParagraphChar"/>
    <w:link w:val="Style1"/>
    <w:rsid w:val="00C905D9"/>
    <w:rPr>
      <w:sz w:val="22"/>
      <w:szCs w:val="22"/>
      <w:lang w:val="en-GB"/>
    </w:rPr>
  </w:style>
  <w:style w:type="paragraph" w:styleId="FootnoteText">
    <w:name w:val="footnote text"/>
    <w:aliases w:val="Char1,Char1 Char Char"/>
    <w:basedOn w:val="Normal"/>
    <w:link w:val="FootnoteTextChar"/>
    <w:uiPriority w:val="99"/>
    <w:unhideWhenUsed/>
    <w:qFormat/>
    <w:rsid w:val="00C905D9"/>
    <w:rPr>
      <w:sz w:val="20"/>
      <w:szCs w:val="20"/>
    </w:rPr>
  </w:style>
  <w:style w:type="character" w:customStyle="1" w:styleId="FootnoteTextChar">
    <w:name w:val="Footnote Text Char"/>
    <w:aliases w:val="Char1 Char,Char1 Char Char Char"/>
    <w:basedOn w:val="DefaultParagraphFont"/>
    <w:link w:val="FootnoteText"/>
    <w:uiPriority w:val="99"/>
    <w:rsid w:val="00C905D9"/>
    <w:rPr>
      <w:lang w:val="en-GB"/>
    </w:rPr>
  </w:style>
  <w:style w:type="character" w:styleId="FootnoteReference">
    <w:name w:val="footnote reference"/>
    <w:basedOn w:val="DefaultParagraphFont"/>
    <w:unhideWhenUsed/>
    <w:rsid w:val="00C905D9"/>
    <w:rPr>
      <w:vertAlign w:val="superscript"/>
    </w:rPr>
  </w:style>
  <w:style w:type="paragraph" w:styleId="Revision">
    <w:name w:val="Revision"/>
    <w:hidden/>
    <w:uiPriority w:val="99"/>
    <w:semiHidden/>
    <w:rsid w:val="00C905D9"/>
    <w:rPr>
      <w:sz w:val="22"/>
      <w:szCs w:val="22"/>
      <w:lang w:val="en-GB"/>
    </w:rPr>
  </w:style>
  <w:style w:type="paragraph" w:customStyle="1" w:styleId="Default">
    <w:name w:val="Default"/>
    <w:rsid w:val="00B14D07"/>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8507">
      <w:bodyDiv w:val="1"/>
      <w:marLeft w:val="0"/>
      <w:marRight w:val="0"/>
      <w:marTop w:val="0"/>
      <w:marBottom w:val="0"/>
      <w:divBdr>
        <w:top w:val="none" w:sz="0" w:space="0" w:color="auto"/>
        <w:left w:val="none" w:sz="0" w:space="0" w:color="auto"/>
        <w:bottom w:val="none" w:sz="0" w:space="0" w:color="auto"/>
        <w:right w:val="none" w:sz="0" w:space="0" w:color="auto"/>
      </w:divBdr>
    </w:div>
    <w:div w:id="320350269">
      <w:bodyDiv w:val="1"/>
      <w:marLeft w:val="0"/>
      <w:marRight w:val="0"/>
      <w:marTop w:val="0"/>
      <w:marBottom w:val="0"/>
      <w:divBdr>
        <w:top w:val="none" w:sz="0" w:space="0" w:color="auto"/>
        <w:left w:val="none" w:sz="0" w:space="0" w:color="auto"/>
        <w:bottom w:val="none" w:sz="0" w:space="0" w:color="auto"/>
        <w:right w:val="none" w:sz="0" w:space="0" w:color="auto"/>
      </w:divBdr>
    </w:div>
    <w:div w:id="486015222">
      <w:bodyDiv w:val="1"/>
      <w:marLeft w:val="0"/>
      <w:marRight w:val="0"/>
      <w:marTop w:val="0"/>
      <w:marBottom w:val="0"/>
      <w:divBdr>
        <w:top w:val="none" w:sz="0" w:space="0" w:color="auto"/>
        <w:left w:val="none" w:sz="0" w:space="0" w:color="auto"/>
        <w:bottom w:val="none" w:sz="0" w:space="0" w:color="auto"/>
        <w:right w:val="none" w:sz="0" w:space="0" w:color="auto"/>
      </w:divBdr>
    </w:div>
    <w:div w:id="734663682">
      <w:bodyDiv w:val="1"/>
      <w:marLeft w:val="0"/>
      <w:marRight w:val="0"/>
      <w:marTop w:val="0"/>
      <w:marBottom w:val="0"/>
      <w:divBdr>
        <w:top w:val="none" w:sz="0" w:space="0" w:color="auto"/>
        <w:left w:val="none" w:sz="0" w:space="0" w:color="auto"/>
        <w:bottom w:val="none" w:sz="0" w:space="0" w:color="auto"/>
        <w:right w:val="none" w:sz="0" w:space="0" w:color="auto"/>
      </w:divBdr>
    </w:div>
    <w:div w:id="1094861093">
      <w:bodyDiv w:val="1"/>
      <w:marLeft w:val="0"/>
      <w:marRight w:val="0"/>
      <w:marTop w:val="0"/>
      <w:marBottom w:val="0"/>
      <w:divBdr>
        <w:top w:val="none" w:sz="0" w:space="0" w:color="auto"/>
        <w:left w:val="none" w:sz="0" w:space="0" w:color="auto"/>
        <w:bottom w:val="none" w:sz="0" w:space="0" w:color="auto"/>
        <w:right w:val="none" w:sz="0" w:space="0" w:color="auto"/>
      </w:divBdr>
    </w:div>
    <w:div w:id="1116750845">
      <w:bodyDiv w:val="1"/>
      <w:marLeft w:val="0"/>
      <w:marRight w:val="0"/>
      <w:marTop w:val="0"/>
      <w:marBottom w:val="0"/>
      <w:divBdr>
        <w:top w:val="none" w:sz="0" w:space="0" w:color="auto"/>
        <w:left w:val="none" w:sz="0" w:space="0" w:color="auto"/>
        <w:bottom w:val="none" w:sz="0" w:space="0" w:color="auto"/>
        <w:right w:val="none" w:sz="0" w:space="0" w:color="auto"/>
      </w:divBdr>
    </w:div>
    <w:div w:id="1166743837">
      <w:bodyDiv w:val="1"/>
      <w:marLeft w:val="0"/>
      <w:marRight w:val="0"/>
      <w:marTop w:val="0"/>
      <w:marBottom w:val="0"/>
      <w:divBdr>
        <w:top w:val="none" w:sz="0" w:space="0" w:color="auto"/>
        <w:left w:val="none" w:sz="0" w:space="0" w:color="auto"/>
        <w:bottom w:val="none" w:sz="0" w:space="0" w:color="auto"/>
        <w:right w:val="none" w:sz="0" w:space="0" w:color="auto"/>
      </w:divBdr>
    </w:div>
    <w:div w:id="1248810352">
      <w:bodyDiv w:val="1"/>
      <w:marLeft w:val="0"/>
      <w:marRight w:val="0"/>
      <w:marTop w:val="0"/>
      <w:marBottom w:val="0"/>
      <w:divBdr>
        <w:top w:val="none" w:sz="0" w:space="0" w:color="auto"/>
        <w:left w:val="none" w:sz="0" w:space="0" w:color="auto"/>
        <w:bottom w:val="none" w:sz="0" w:space="0" w:color="auto"/>
        <w:right w:val="none" w:sz="0" w:space="0" w:color="auto"/>
      </w:divBdr>
    </w:div>
    <w:div w:id="1443954790">
      <w:bodyDiv w:val="1"/>
      <w:marLeft w:val="0"/>
      <w:marRight w:val="0"/>
      <w:marTop w:val="0"/>
      <w:marBottom w:val="0"/>
      <w:divBdr>
        <w:top w:val="none" w:sz="0" w:space="0" w:color="auto"/>
        <w:left w:val="none" w:sz="0" w:space="0" w:color="auto"/>
        <w:bottom w:val="none" w:sz="0" w:space="0" w:color="auto"/>
        <w:right w:val="none" w:sz="0" w:space="0" w:color="auto"/>
      </w:divBdr>
    </w:div>
    <w:div w:id="170821426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88375338">
      <w:bodyDiv w:val="1"/>
      <w:marLeft w:val="0"/>
      <w:marRight w:val="0"/>
      <w:marTop w:val="0"/>
      <w:marBottom w:val="0"/>
      <w:divBdr>
        <w:top w:val="none" w:sz="0" w:space="0" w:color="auto"/>
        <w:left w:val="none" w:sz="0" w:space="0" w:color="auto"/>
        <w:bottom w:val="none" w:sz="0" w:space="0" w:color="auto"/>
        <w:right w:val="none" w:sz="0" w:space="0" w:color="auto"/>
      </w:divBdr>
    </w:div>
    <w:div w:id="19178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4.xml"/></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J:\79th\Templates\Eec79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6732A9FE91B4FBB477FDF99EB5849" ma:contentTypeVersion="5" ma:contentTypeDescription="Create a new document." ma:contentTypeScope="" ma:versionID="4050d9da62418162955d98ae8af37d8f">
  <xsd:schema xmlns:xsd="http://www.w3.org/2001/XMLSchema" xmlns:p="http://schemas.microsoft.com/office/2006/metadata/properties" xmlns:ns2="6b03d5a6-c642-4a08-93b6-965b66bfac2e" xmlns:ns3="64e33b30-101d-41de-b951-961aab25ea29" xmlns:ns4="bbb7cb92-9812-4460-89bc-37533c3647fb" targetNamespace="http://schemas.microsoft.com/office/2006/metadata/properties" ma:root="true" ma:fieldsID="3fac2771af7d3d64cb6f2d6ae1eb1b04" ns2:_="" ns3:_="" ns4:_="">
    <xsd:import namespace="6b03d5a6-c642-4a08-93b6-965b66bfac2e"/>
    <xsd:import namespace="64e33b30-101d-41de-b951-961aab25ea29"/>
    <xsd:import namespace="bbb7cb92-9812-4460-89bc-37533c3647fb"/>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9/"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bbb7cb92-9812-4460-89bc-37533c3647fb"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UNEP/OzL.Pro/ExCom/79/32</Document_x0020_Number>
    <DocumentType xmlns="64e33b30-101d-41de-b951-961aab25ea29">Pre-session</DocumentType>
    <Format xmlns="bbb7cb92-9812-4460-89bc-37533c3647fb">Word</Format>
  </documentManagement>
</p:properties>
</file>

<file path=customXml/itemProps1.xml><?xml version="1.0" encoding="utf-8"?>
<ds:datastoreItem xmlns:ds="http://schemas.openxmlformats.org/officeDocument/2006/customXml" ds:itemID="{4826BCEA-E42F-419A-9A27-E954367EE1B2}"/>
</file>

<file path=customXml/itemProps2.xml><?xml version="1.0" encoding="utf-8"?>
<ds:datastoreItem xmlns:ds="http://schemas.openxmlformats.org/officeDocument/2006/customXml" ds:itemID="{0263D8E7-127E-4A45-A789-D2306EAD7204}"/>
</file>

<file path=customXml/itemProps3.xml><?xml version="1.0" encoding="utf-8"?>
<ds:datastoreItem xmlns:ds="http://schemas.openxmlformats.org/officeDocument/2006/customXml" ds:itemID="{F6AB97FD-60E7-481D-AA1F-A3255F941AD7}"/>
</file>

<file path=customXml/itemProps4.xml><?xml version="1.0" encoding="utf-8"?>
<ds:datastoreItem xmlns:ds="http://schemas.openxmlformats.org/officeDocument/2006/customXml" ds:itemID="{FBC936B1-5240-4A02-A761-965F2BB9C091}"/>
</file>

<file path=docProps/app.xml><?xml version="1.0" encoding="utf-8"?>
<Properties xmlns="http://schemas.openxmlformats.org/officeDocument/2006/extended-properties" xmlns:vt="http://schemas.openxmlformats.org/officeDocument/2006/docPropsVTypes">
  <Template>Eec79G</Template>
  <TotalTime>150</TotalTime>
  <Pages>31</Pages>
  <Words>13252</Words>
  <Characters>74572</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Project proposal:  Egypt</vt:lpstr>
    </vt:vector>
  </TitlesOfParts>
  <Company>UNMFS</Company>
  <LinksUpToDate>false</LinksUpToDate>
  <CharactersWithSpaces>87649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Egypt</dc:title>
  <dc:subject>79th</dc:subject>
  <dc:creator>Patricia Chau</dc:creator>
  <dc:description>FSM</dc:description>
  <cp:lastModifiedBy>Patricia Chau</cp:lastModifiedBy>
  <cp:revision>25</cp:revision>
  <cp:lastPrinted>2017-06-16T20:55:00Z</cp:lastPrinted>
  <dcterms:created xsi:type="dcterms:W3CDTF">2017-06-15T18:54:00Z</dcterms:created>
  <dcterms:modified xsi:type="dcterms:W3CDTF">2017-06-16T20:56:00Z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UNEP/OzL.Pro/ExCom/79/32</vt:lpwstr>
  </property>
  <property fmtid="{D5CDD505-2E9C-101B-9397-08002B2CF9AE}" pid="3" name="Revision date">
    <vt:lpwstr>16/6/2017</vt:lpwstr>
  </property>
  <property fmtid="{D5CDD505-2E9C-101B-9397-08002B2CF9AE}" pid="4" name="ContentTypeId">
    <vt:lpwstr>0x01010004C6732A9FE91B4FBB477FDF99EB5849</vt:lpwstr>
  </property>
</Properties>
</file>