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D13040" w:rsidTr="00193754">
        <w:trPr>
          <w:trHeight w:val="720"/>
        </w:trPr>
        <w:tc>
          <w:tcPr>
            <w:tcW w:w="5490" w:type="dxa"/>
            <w:gridSpan w:val="2"/>
            <w:tcBorders>
              <w:bottom w:val="single" w:sz="18" w:space="0" w:color="auto"/>
            </w:tcBorders>
          </w:tcPr>
          <w:p w:rsidR="00C15867" w:rsidRPr="00D13040" w:rsidRDefault="00C15867" w:rsidP="004E541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D13040">
              <w:rPr>
                <w:rFonts w:ascii="Univers" w:hAnsi="Univers"/>
                <w:b/>
                <w:sz w:val="28"/>
                <w:szCs w:val="28"/>
              </w:rPr>
              <w:t>UNITED</w:t>
            </w:r>
            <w:r w:rsidRPr="00D13040">
              <w:rPr>
                <w:rFonts w:ascii="Univers" w:hAnsi="Univers"/>
                <w:b/>
                <w:sz w:val="28"/>
                <w:szCs w:val="28"/>
              </w:rPr>
              <w:br/>
              <w:t>NATIONS</w:t>
            </w:r>
          </w:p>
        </w:tc>
        <w:tc>
          <w:tcPr>
            <w:tcW w:w="4590" w:type="dxa"/>
            <w:tcBorders>
              <w:bottom w:val="single" w:sz="18" w:space="0" w:color="auto"/>
            </w:tcBorders>
          </w:tcPr>
          <w:p w:rsidR="00C15867" w:rsidRPr="00D13040" w:rsidRDefault="00C15867" w:rsidP="004E5419">
            <w:pPr>
              <w:jc w:val="right"/>
              <w:rPr>
                <w:sz w:val="52"/>
                <w:szCs w:val="52"/>
              </w:rPr>
            </w:pPr>
            <w:r w:rsidRPr="00D13040">
              <w:rPr>
                <w:rFonts w:ascii="Univers Bold" w:hAnsi="Univers Bold"/>
                <w:b/>
                <w:sz w:val="72"/>
              </w:rPr>
              <w:t>EP</w:t>
            </w:r>
          </w:p>
        </w:tc>
      </w:tr>
      <w:tr w:rsidR="00C15867" w:rsidRPr="00D13040" w:rsidTr="00193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D13040" w:rsidRDefault="00C15867" w:rsidP="004E5419">
            <w:pPr>
              <w:spacing w:before="120"/>
            </w:pPr>
            <w:r w:rsidRPr="00D13040">
              <w:rPr>
                <w:noProof/>
                <w:lang w:val="en-CA" w:eastAsia="en-CA"/>
              </w:rPr>
              <w:drawing>
                <wp:anchor distT="0" distB="0" distL="114300" distR="114300" simplePos="0" relativeHeight="251660288" behindDoc="0" locked="0" layoutInCell="1" allowOverlap="1" wp14:anchorId="54D249B8" wp14:editId="2262FEA6">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D13040">
              <w:rPr>
                <w:noProof/>
                <w:lang w:val="en-CA" w:eastAsia="en-CA"/>
              </w:rPr>
              <w:drawing>
                <wp:anchor distT="0" distB="0" distL="114300" distR="114300" simplePos="0" relativeHeight="251661312" behindDoc="1" locked="0" layoutInCell="0" allowOverlap="1" wp14:anchorId="4ACFE1DF" wp14:editId="2419115D">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D13040" w:rsidRDefault="00C15867" w:rsidP="004E541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D13040">
              <w:rPr>
                <w:rFonts w:ascii="Univers" w:hAnsi="Univers"/>
                <w:b/>
                <w:sz w:val="32"/>
              </w:rPr>
              <w:t>United Nations</w:t>
            </w:r>
          </w:p>
          <w:p w:rsidR="00C15867" w:rsidRPr="00D13040" w:rsidRDefault="00C15867" w:rsidP="004E541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D13040">
              <w:rPr>
                <w:rFonts w:ascii="Univers" w:hAnsi="Univers"/>
                <w:b/>
                <w:sz w:val="32"/>
              </w:rPr>
              <w:t>Environment</w:t>
            </w:r>
          </w:p>
          <w:p w:rsidR="00C15867" w:rsidRPr="00D13040" w:rsidRDefault="00C15867" w:rsidP="004E541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D13040">
              <w:rPr>
                <w:rFonts w:ascii="Univers" w:hAnsi="Univers"/>
                <w:b/>
                <w:sz w:val="32"/>
              </w:rPr>
              <w:t>Programme</w:t>
            </w:r>
          </w:p>
          <w:p w:rsidR="00C15867" w:rsidRPr="00D13040" w:rsidRDefault="00C15867" w:rsidP="004E5419">
            <w:pPr>
              <w:spacing w:before="720"/>
              <w:ind w:left="158"/>
            </w:pPr>
          </w:p>
        </w:tc>
        <w:tc>
          <w:tcPr>
            <w:tcW w:w="4590" w:type="dxa"/>
            <w:tcBorders>
              <w:top w:val="nil"/>
              <w:left w:val="nil"/>
              <w:bottom w:val="single" w:sz="36" w:space="0" w:color="auto"/>
              <w:right w:val="nil"/>
            </w:tcBorders>
          </w:tcPr>
          <w:p w:rsidR="00C15867" w:rsidRPr="00D13040" w:rsidRDefault="00C15867" w:rsidP="004E5419">
            <w:r w:rsidRPr="00D13040">
              <w:t>Distr.</w:t>
            </w:r>
          </w:p>
          <w:p w:rsidR="00923540" w:rsidRPr="00D13040" w:rsidRDefault="00923540" w:rsidP="004E5419">
            <w:r w:rsidRPr="00D13040">
              <w:t>GENERAL</w:t>
            </w:r>
          </w:p>
          <w:p w:rsidR="00C15867" w:rsidRPr="00D13040" w:rsidRDefault="00C15867" w:rsidP="004E5419"/>
          <w:p w:rsidR="00C15867" w:rsidRPr="00D13040" w:rsidRDefault="00C15867" w:rsidP="004E5419"/>
          <w:p w:rsidR="00C15867" w:rsidRPr="00D13040" w:rsidRDefault="001804EA" w:rsidP="004E5419">
            <w:r w:rsidRPr="00D13040">
              <w:fldChar w:fldCharType="begin"/>
            </w:r>
            <w:r w:rsidRPr="00D13040">
              <w:instrText xml:space="preserve"> DOCPROPERTY "Document number"  \* MERGEFORMAT </w:instrText>
            </w:r>
            <w:r w:rsidRPr="00D13040">
              <w:fldChar w:fldCharType="separate"/>
            </w:r>
            <w:r w:rsidR="007E0ABA" w:rsidRPr="00D13040">
              <w:t>UNEP/</w:t>
            </w:r>
            <w:proofErr w:type="spellStart"/>
            <w:r w:rsidR="007E0ABA" w:rsidRPr="00D13040">
              <w:t>OzL.Pro</w:t>
            </w:r>
            <w:proofErr w:type="spellEnd"/>
            <w:r w:rsidR="007E0ABA" w:rsidRPr="00D13040">
              <w:t>/ExCom/79/28</w:t>
            </w:r>
            <w:r w:rsidRPr="00D13040">
              <w:fldChar w:fldCharType="end"/>
            </w:r>
          </w:p>
          <w:p w:rsidR="00C15867" w:rsidRPr="00D13040" w:rsidRDefault="00BC2495" w:rsidP="004E5419">
            <w:r w:rsidRPr="00D13040">
              <w:fldChar w:fldCharType="begin"/>
            </w:r>
            <w:r w:rsidR="00851352" w:rsidRPr="00D13040">
              <w:instrText xml:space="preserve"> DOCPROPERTY "Revision date" \@ "d MMMM YYYY"  \* MERGEFORMAT </w:instrText>
            </w:r>
            <w:r w:rsidRPr="00D13040">
              <w:fldChar w:fldCharType="separate"/>
            </w:r>
            <w:r w:rsidR="004E5419">
              <w:t>16 June 2017</w:t>
            </w:r>
            <w:r w:rsidRPr="00D13040">
              <w:fldChar w:fldCharType="end"/>
            </w:r>
          </w:p>
          <w:p w:rsidR="00C15867" w:rsidRPr="00D13040" w:rsidRDefault="00C15867" w:rsidP="004E5419">
            <w:pPr>
              <w:rPr>
                <w:caps/>
              </w:rPr>
            </w:pPr>
          </w:p>
          <w:p w:rsidR="00C15867" w:rsidRPr="00D13040" w:rsidRDefault="00C15867" w:rsidP="004E5419">
            <w:r w:rsidRPr="00D13040">
              <w:t>ORIGINAL: ENGLISH</w:t>
            </w:r>
          </w:p>
        </w:tc>
      </w:tr>
    </w:tbl>
    <w:p w:rsidR="00BF3022" w:rsidRPr="00D13040" w:rsidRDefault="00C15867" w:rsidP="004E5419">
      <w:pPr>
        <w:jc w:val="left"/>
      </w:pPr>
      <w:r w:rsidRPr="00D13040">
        <w:t>EXECUTIVE COMMITTEE OF</w:t>
      </w:r>
      <w:r w:rsidRPr="00D13040">
        <w:br/>
        <w:t xml:space="preserve">  THE MULTILATERAL FUND FOR THE</w:t>
      </w:r>
      <w:r w:rsidRPr="00D13040">
        <w:br/>
        <w:t xml:space="preserve">  IMPLEMENTATION OF THE MONTREAL PROTOCOL</w:t>
      </w:r>
      <w:r w:rsidRPr="00D13040">
        <w:br/>
      </w:r>
      <w:r w:rsidR="00BF3022" w:rsidRPr="00D13040">
        <w:rPr>
          <w:lang w:val="en-CA"/>
        </w:rPr>
        <w:t>Seventy-</w:t>
      </w:r>
      <w:r w:rsidR="00214863" w:rsidRPr="00D13040">
        <w:rPr>
          <w:lang w:val="en-CA"/>
        </w:rPr>
        <w:t>nin</w:t>
      </w:r>
      <w:r w:rsidR="00831979" w:rsidRPr="00D13040">
        <w:rPr>
          <w:lang w:val="en-CA"/>
        </w:rPr>
        <w:t xml:space="preserve">th </w:t>
      </w:r>
      <w:r w:rsidR="00BF3022" w:rsidRPr="00D13040">
        <w:t>Meeting</w:t>
      </w:r>
    </w:p>
    <w:p w:rsidR="009960E5" w:rsidRPr="00D13040" w:rsidRDefault="00214863" w:rsidP="004E5419">
      <w:pPr>
        <w:jc w:val="left"/>
        <w:rPr>
          <w:lang w:val="en-CA"/>
        </w:rPr>
      </w:pPr>
      <w:r w:rsidRPr="00D13040">
        <w:rPr>
          <w:lang w:val="en-CA"/>
        </w:rPr>
        <w:t>Bangkok</w:t>
      </w:r>
      <w:r w:rsidR="00BF3022" w:rsidRPr="00D13040">
        <w:rPr>
          <w:lang w:val="en-CA"/>
        </w:rPr>
        <w:t xml:space="preserve">, </w:t>
      </w:r>
      <w:r w:rsidRPr="00D13040">
        <w:rPr>
          <w:lang w:val="en-CA"/>
        </w:rPr>
        <w:t>3</w:t>
      </w:r>
      <w:r w:rsidR="00BF3022" w:rsidRPr="00D13040">
        <w:rPr>
          <w:lang w:val="en-CA"/>
        </w:rPr>
        <w:t xml:space="preserve">-7 </w:t>
      </w:r>
      <w:r w:rsidRPr="00D13040">
        <w:rPr>
          <w:lang w:val="en-CA"/>
        </w:rPr>
        <w:t>July</w:t>
      </w:r>
      <w:r w:rsidR="00BF3022" w:rsidRPr="00D13040">
        <w:rPr>
          <w:lang w:val="en-CA"/>
        </w:rPr>
        <w:t xml:space="preserve"> 2017 </w:t>
      </w:r>
    </w:p>
    <w:p w:rsidR="00C15867" w:rsidRPr="00D13040" w:rsidRDefault="00C15867" w:rsidP="004E5419">
      <w:pPr>
        <w:jc w:val="left"/>
        <w:rPr>
          <w:lang w:val="en-US"/>
        </w:rPr>
      </w:pPr>
    </w:p>
    <w:p w:rsidR="00C15867" w:rsidRPr="00D13040" w:rsidRDefault="00C15867" w:rsidP="004E5419">
      <w:pPr>
        <w:pStyle w:val="Heading3"/>
        <w:numPr>
          <w:ilvl w:val="0"/>
          <w:numId w:val="0"/>
        </w:numPr>
        <w:spacing w:after="0"/>
        <w:rPr>
          <w:lang w:val="en-US"/>
        </w:rPr>
      </w:pPr>
    </w:p>
    <w:p w:rsidR="007E0ABA" w:rsidRPr="00D13040" w:rsidRDefault="007E0ABA" w:rsidP="004E5419">
      <w:pPr>
        <w:pStyle w:val="Title1"/>
      </w:pPr>
      <w:r w:rsidRPr="00D13040">
        <w:t>PROJECT PROPOSAL:  BANGLADESH</w:t>
      </w:r>
    </w:p>
    <w:p w:rsidR="007E0ABA" w:rsidRPr="00D13040" w:rsidRDefault="007E0ABA" w:rsidP="004E5419">
      <w:pPr>
        <w:pStyle w:val="Title1"/>
      </w:pPr>
    </w:p>
    <w:p w:rsidR="007E0ABA" w:rsidRPr="00D13040" w:rsidRDefault="007E0ABA" w:rsidP="004E5419">
      <w:pPr>
        <w:pStyle w:val="Title1"/>
      </w:pPr>
    </w:p>
    <w:p w:rsidR="004E7F9C" w:rsidRPr="00D13040" w:rsidRDefault="007E0ABA" w:rsidP="004E5419">
      <w:pPr>
        <w:pStyle w:val="Title1"/>
        <w:ind w:firstLine="720"/>
        <w:jc w:val="both"/>
        <w:rPr>
          <w:b w:val="0"/>
        </w:rPr>
      </w:pPr>
      <w:r w:rsidRPr="00D13040">
        <w:rPr>
          <w:b w:val="0"/>
          <w:caps w:val="0"/>
        </w:rPr>
        <w:t xml:space="preserve">This document consists of the comments and recommendation of the </w:t>
      </w:r>
      <w:r w:rsidR="008C22BD" w:rsidRPr="00D13040">
        <w:rPr>
          <w:b w:val="0"/>
          <w:caps w:val="0"/>
        </w:rPr>
        <w:t>S</w:t>
      </w:r>
      <w:r w:rsidRPr="00D13040">
        <w:rPr>
          <w:b w:val="0"/>
          <w:caps w:val="0"/>
        </w:rPr>
        <w:t>ecretariat on the following project proposal:</w:t>
      </w:r>
    </w:p>
    <w:p w:rsidR="004E7F9C" w:rsidRPr="00D13040" w:rsidRDefault="004E7F9C" w:rsidP="004E5419">
      <w:pPr>
        <w:pStyle w:val="Title1"/>
        <w:jc w:val="both"/>
      </w:pPr>
    </w:p>
    <w:p w:rsidR="007E0ABA" w:rsidRPr="00D13040" w:rsidRDefault="00285FF7" w:rsidP="004E5419">
      <w:pPr>
        <w:rPr>
          <w:u w:val="single"/>
          <w:lang w:val="en-CA"/>
        </w:rPr>
      </w:pPr>
      <w:r w:rsidRPr="00D13040">
        <w:rPr>
          <w:u w:val="single"/>
          <w:lang w:val="en-CA"/>
        </w:rPr>
        <w:t>Refrigeration</w:t>
      </w:r>
    </w:p>
    <w:p w:rsidR="007E0ABA" w:rsidRPr="00D13040" w:rsidRDefault="007E0ABA" w:rsidP="004E5419">
      <w:pPr>
        <w:rPr>
          <w:lang w:val="en-CA"/>
        </w:rPr>
      </w:pPr>
    </w:p>
    <w:tbl>
      <w:tblPr>
        <w:tblW w:w="9468" w:type="dxa"/>
        <w:tblLook w:val="0000" w:firstRow="0" w:lastRow="0" w:firstColumn="0" w:lastColumn="0" w:noHBand="0" w:noVBand="0"/>
      </w:tblPr>
      <w:tblGrid>
        <w:gridCol w:w="468"/>
        <w:gridCol w:w="7020"/>
        <w:gridCol w:w="1980"/>
      </w:tblGrid>
      <w:tr w:rsidR="00285FF7" w:rsidRPr="00D13040" w:rsidTr="00285FF7">
        <w:trPr>
          <w:cantSplit/>
        </w:trPr>
        <w:tc>
          <w:tcPr>
            <w:tcW w:w="468" w:type="dxa"/>
          </w:tcPr>
          <w:p w:rsidR="00285FF7" w:rsidRPr="00D13040" w:rsidRDefault="00285FF7" w:rsidP="004E5419">
            <w:pPr>
              <w:numPr>
                <w:ilvl w:val="0"/>
                <w:numId w:val="21"/>
              </w:numPr>
              <w:jc w:val="left"/>
            </w:pPr>
          </w:p>
        </w:tc>
        <w:tc>
          <w:tcPr>
            <w:tcW w:w="7020" w:type="dxa"/>
            <w:vAlign w:val="bottom"/>
          </w:tcPr>
          <w:p w:rsidR="00285FF7" w:rsidRPr="00D13040" w:rsidRDefault="00285FF7" w:rsidP="004E5419">
            <w:pPr>
              <w:ind w:right="-18"/>
              <w:rPr>
                <w:szCs w:val="24"/>
              </w:rPr>
            </w:pPr>
            <w:r w:rsidRPr="00D13040">
              <w:rPr>
                <w:szCs w:val="24"/>
              </w:rPr>
              <w:t>Demonstration for the conversion of domestic refrigerator manufacturing facility from HFC-134a to isobutane as a refrigerant and conversion of compressor manufacturing facility from HFC-134a-based compressors to isobutane-based compressors at Walton Hitech Industries Limited (“Walton”)</w:t>
            </w:r>
          </w:p>
        </w:tc>
        <w:tc>
          <w:tcPr>
            <w:tcW w:w="1980" w:type="dxa"/>
          </w:tcPr>
          <w:p w:rsidR="00285FF7" w:rsidRPr="00D13040" w:rsidRDefault="00285FF7" w:rsidP="004E5419">
            <w:pPr>
              <w:ind w:left="-558"/>
              <w:jc w:val="right"/>
              <w:rPr>
                <w:snapToGrid w:val="0"/>
              </w:rPr>
            </w:pPr>
            <w:r w:rsidRPr="00D13040">
              <w:rPr>
                <w:snapToGrid w:val="0"/>
              </w:rPr>
              <w:t>UNDP</w:t>
            </w:r>
          </w:p>
        </w:tc>
      </w:tr>
    </w:tbl>
    <w:p w:rsidR="00285FF7" w:rsidRPr="00D13040" w:rsidRDefault="00285FF7" w:rsidP="004E5419">
      <w:pPr>
        <w:rPr>
          <w:lang w:val="en-CA"/>
        </w:rPr>
      </w:pPr>
    </w:p>
    <w:p w:rsidR="00285FF7" w:rsidRPr="00D13040" w:rsidRDefault="00285FF7" w:rsidP="004E5419">
      <w:pPr>
        <w:rPr>
          <w:lang w:val="en-CA"/>
        </w:rPr>
      </w:pPr>
    </w:p>
    <w:p w:rsidR="007E0ABA" w:rsidRPr="00D13040" w:rsidRDefault="007E0ABA" w:rsidP="004E5419">
      <w:pPr>
        <w:pStyle w:val="Title1"/>
        <w:jc w:val="both"/>
      </w:pPr>
    </w:p>
    <w:p w:rsidR="007E0ABA" w:rsidRPr="00D13040" w:rsidRDefault="007E0ABA" w:rsidP="004E5419">
      <w:pPr>
        <w:pStyle w:val="Title1"/>
        <w:jc w:val="both"/>
      </w:pPr>
    </w:p>
    <w:p w:rsidR="004E7F9C" w:rsidRPr="00D13040" w:rsidRDefault="004E7F9C" w:rsidP="004E5419">
      <w:pPr>
        <w:pStyle w:val="Heading1"/>
        <w:numPr>
          <w:ilvl w:val="0"/>
          <w:numId w:val="0"/>
        </w:numPr>
      </w:pPr>
    </w:p>
    <w:p w:rsidR="008C5738" w:rsidRPr="00D13040" w:rsidRDefault="008C5738" w:rsidP="004E5419">
      <w:pPr>
        <w:pStyle w:val="StyleHeader4Para4Left0Firstline0"/>
        <w:numPr>
          <w:ilvl w:val="0"/>
          <w:numId w:val="0"/>
        </w:numPr>
      </w:pPr>
    </w:p>
    <w:p w:rsidR="008C5738" w:rsidRPr="00D13040" w:rsidRDefault="004E7F9C" w:rsidP="004E5419">
      <w:pPr>
        <w:pStyle w:val="StyleHeader4Para4Left0Firstline0"/>
        <w:numPr>
          <w:ilvl w:val="0"/>
          <w:numId w:val="0"/>
        </w:numPr>
      </w:pPr>
      <w:r w:rsidRPr="00D13040">
        <w:br w:type="page"/>
      </w:r>
    </w:p>
    <w:p w:rsidR="008F5491" w:rsidRPr="00D13040" w:rsidRDefault="008F5491" w:rsidP="004E5419">
      <w:pPr>
        <w:jc w:val="center"/>
        <w:rPr>
          <w:b/>
          <w:szCs w:val="24"/>
        </w:rPr>
      </w:pPr>
      <w:r w:rsidRPr="00D13040">
        <w:rPr>
          <w:b/>
          <w:szCs w:val="24"/>
        </w:rPr>
        <w:lastRenderedPageBreak/>
        <w:t>BANGLADESH</w:t>
      </w:r>
    </w:p>
    <w:p w:rsidR="00C570D7" w:rsidRPr="00D13040" w:rsidRDefault="00C570D7" w:rsidP="004E5419">
      <w:pPr>
        <w:jc w:val="center"/>
        <w:rPr>
          <w:szCs w:val="24"/>
        </w:rPr>
      </w:pPr>
    </w:p>
    <w:p w:rsidR="00C570D7" w:rsidRPr="00D13040" w:rsidRDefault="00C570D7" w:rsidP="004E5419">
      <w:pPr>
        <w:tabs>
          <w:tab w:val="left" w:pos="5580"/>
        </w:tabs>
        <w:ind w:right="-540"/>
        <w:rPr>
          <w:b/>
          <w:sz w:val="20"/>
        </w:rPr>
      </w:pPr>
      <w:r w:rsidRPr="00D13040">
        <w:rPr>
          <w:b/>
          <w:caps/>
          <w:sz w:val="20"/>
        </w:rPr>
        <w:t>Project title(S)</w:t>
      </w:r>
      <w:r w:rsidRPr="00D13040">
        <w:rPr>
          <w:b/>
          <w:sz w:val="20"/>
        </w:rPr>
        <w:tab/>
      </w:r>
      <w:r w:rsidRPr="00D13040">
        <w:rPr>
          <w:b/>
          <w:caps/>
          <w:sz w:val="20"/>
        </w:rPr>
        <w:t>Bilateral/implementing agency</w:t>
      </w:r>
    </w:p>
    <w:tbl>
      <w:tblPr>
        <w:tblStyle w:val="TableGrid"/>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8"/>
        <w:gridCol w:w="6750"/>
        <w:gridCol w:w="2358"/>
      </w:tblGrid>
      <w:tr w:rsidR="00C570D7" w:rsidRPr="00D13040" w:rsidTr="00C570D7">
        <w:trPr>
          <w:trHeight w:val="251"/>
        </w:trPr>
        <w:tc>
          <w:tcPr>
            <w:tcW w:w="468" w:type="dxa"/>
            <w:tcBorders>
              <w:top w:val="single" w:sz="4" w:space="0" w:color="auto"/>
              <w:left w:val="single" w:sz="4" w:space="0" w:color="auto"/>
              <w:bottom w:val="single" w:sz="4" w:space="0" w:color="auto"/>
              <w:right w:val="nil"/>
            </w:tcBorders>
            <w:hideMark/>
          </w:tcPr>
          <w:p w:rsidR="00C570D7" w:rsidRPr="00D13040" w:rsidRDefault="00C570D7" w:rsidP="004E5419">
            <w:pPr>
              <w:tabs>
                <w:tab w:val="left" w:pos="383"/>
              </w:tabs>
              <w:rPr>
                <w:sz w:val="20"/>
              </w:rPr>
            </w:pPr>
            <w:r w:rsidRPr="00D13040">
              <w:rPr>
                <w:sz w:val="20"/>
              </w:rPr>
              <w:t>(a)</w:t>
            </w:r>
          </w:p>
        </w:tc>
        <w:tc>
          <w:tcPr>
            <w:tcW w:w="6750" w:type="dxa"/>
            <w:tcBorders>
              <w:top w:val="single" w:sz="4" w:space="0" w:color="auto"/>
              <w:left w:val="nil"/>
              <w:bottom w:val="single" w:sz="4" w:space="0" w:color="auto"/>
              <w:right w:val="single" w:sz="4" w:space="0" w:color="auto"/>
            </w:tcBorders>
            <w:hideMark/>
          </w:tcPr>
          <w:p w:rsidR="00C570D7" w:rsidRPr="00D13040" w:rsidRDefault="00C570D7" w:rsidP="004E5419">
            <w:pPr>
              <w:tabs>
                <w:tab w:val="left" w:pos="383"/>
              </w:tabs>
              <w:rPr>
                <w:sz w:val="20"/>
              </w:rPr>
            </w:pPr>
            <w:r w:rsidRPr="00D13040">
              <w:rPr>
                <w:sz w:val="20"/>
              </w:rPr>
              <w:t>Demonstration for the conversion of domestic refrigerator manufacturing facility from HFC-134a to isobutane as a refrigerant at Walton Hitech Industries Limited (“Walton”)</w:t>
            </w:r>
          </w:p>
        </w:tc>
        <w:tc>
          <w:tcPr>
            <w:tcW w:w="2358" w:type="dxa"/>
            <w:tcBorders>
              <w:top w:val="single" w:sz="4" w:space="0" w:color="auto"/>
              <w:left w:val="single" w:sz="4" w:space="0" w:color="auto"/>
              <w:bottom w:val="single" w:sz="4" w:space="0" w:color="auto"/>
              <w:right w:val="single" w:sz="4" w:space="0" w:color="auto"/>
            </w:tcBorders>
            <w:hideMark/>
          </w:tcPr>
          <w:p w:rsidR="00C570D7" w:rsidRPr="00D13040" w:rsidRDefault="00C570D7" w:rsidP="004E5419">
            <w:pPr>
              <w:jc w:val="right"/>
              <w:rPr>
                <w:sz w:val="20"/>
              </w:rPr>
            </w:pPr>
            <w:r w:rsidRPr="00D13040">
              <w:rPr>
                <w:sz w:val="20"/>
              </w:rPr>
              <w:t>UNDP</w:t>
            </w:r>
          </w:p>
        </w:tc>
      </w:tr>
      <w:tr w:rsidR="00F72C91" w:rsidRPr="00D13040" w:rsidTr="00C570D7">
        <w:trPr>
          <w:trHeight w:val="251"/>
        </w:trPr>
        <w:tc>
          <w:tcPr>
            <w:tcW w:w="468" w:type="dxa"/>
            <w:tcBorders>
              <w:top w:val="single" w:sz="4" w:space="0" w:color="auto"/>
              <w:left w:val="single" w:sz="4" w:space="0" w:color="auto"/>
              <w:bottom w:val="single" w:sz="4" w:space="0" w:color="auto"/>
              <w:right w:val="nil"/>
            </w:tcBorders>
          </w:tcPr>
          <w:p w:rsidR="00F72C91" w:rsidRPr="00D13040" w:rsidRDefault="00F72C91" w:rsidP="004E5419">
            <w:pPr>
              <w:tabs>
                <w:tab w:val="left" w:pos="383"/>
              </w:tabs>
              <w:rPr>
                <w:sz w:val="20"/>
              </w:rPr>
            </w:pPr>
            <w:r w:rsidRPr="00D13040">
              <w:rPr>
                <w:sz w:val="20"/>
              </w:rPr>
              <w:t>(b)</w:t>
            </w:r>
          </w:p>
        </w:tc>
        <w:tc>
          <w:tcPr>
            <w:tcW w:w="6750" w:type="dxa"/>
            <w:tcBorders>
              <w:top w:val="single" w:sz="4" w:space="0" w:color="auto"/>
              <w:left w:val="nil"/>
              <w:bottom w:val="single" w:sz="4" w:space="0" w:color="auto"/>
              <w:right w:val="single" w:sz="4" w:space="0" w:color="auto"/>
            </w:tcBorders>
          </w:tcPr>
          <w:p w:rsidR="00F72C91" w:rsidRPr="00D13040" w:rsidRDefault="00F72C91" w:rsidP="004E5419">
            <w:pPr>
              <w:tabs>
                <w:tab w:val="left" w:pos="383"/>
              </w:tabs>
              <w:rPr>
                <w:sz w:val="20"/>
              </w:rPr>
            </w:pPr>
            <w:r w:rsidRPr="00D13040">
              <w:rPr>
                <w:sz w:val="20"/>
              </w:rPr>
              <w:t>Demonstration for the conversion of compressor manufacturing facility from HFC-134a-based compressors to isobutane-based compressors at Walton Hitech Industries Limited (“Walton”)</w:t>
            </w:r>
          </w:p>
        </w:tc>
        <w:tc>
          <w:tcPr>
            <w:tcW w:w="2358" w:type="dxa"/>
            <w:tcBorders>
              <w:top w:val="single" w:sz="4" w:space="0" w:color="auto"/>
              <w:left w:val="single" w:sz="4" w:space="0" w:color="auto"/>
              <w:bottom w:val="single" w:sz="4" w:space="0" w:color="auto"/>
              <w:right w:val="single" w:sz="4" w:space="0" w:color="auto"/>
            </w:tcBorders>
          </w:tcPr>
          <w:p w:rsidR="00F72C91" w:rsidRPr="00D13040" w:rsidRDefault="00F72C91" w:rsidP="004E5419">
            <w:pPr>
              <w:jc w:val="right"/>
              <w:rPr>
                <w:sz w:val="20"/>
              </w:rPr>
            </w:pPr>
            <w:r w:rsidRPr="00D13040">
              <w:rPr>
                <w:sz w:val="20"/>
              </w:rPr>
              <w:t>UNDP</w:t>
            </w:r>
          </w:p>
        </w:tc>
      </w:tr>
    </w:tbl>
    <w:p w:rsidR="00C570D7" w:rsidRPr="00D13040" w:rsidRDefault="00C570D7" w:rsidP="004E5419">
      <w:pPr>
        <w:rPr>
          <w:sz w:val="20"/>
        </w:rPr>
      </w:pPr>
    </w:p>
    <w:tbl>
      <w:tblPr>
        <w:tblStyle w:val="TableGrid"/>
        <w:tblW w:w="5000" w:type="pct"/>
        <w:jc w:val="center"/>
        <w:tblLook w:val="01E0" w:firstRow="1" w:lastRow="1" w:firstColumn="1" w:lastColumn="1" w:noHBand="0" w:noVBand="0"/>
      </w:tblPr>
      <w:tblGrid>
        <w:gridCol w:w="5734"/>
        <w:gridCol w:w="3842"/>
      </w:tblGrid>
      <w:tr w:rsidR="00C570D7" w:rsidRPr="00D13040" w:rsidTr="00C570D7">
        <w:trPr>
          <w:jc w:val="center"/>
        </w:trPr>
        <w:tc>
          <w:tcPr>
            <w:tcW w:w="2994" w:type="pct"/>
            <w:tcBorders>
              <w:top w:val="single" w:sz="4" w:space="0" w:color="auto"/>
              <w:left w:val="single" w:sz="4" w:space="0" w:color="auto"/>
              <w:bottom w:val="single" w:sz="4" w:space="0" w:color="auto"/>
              <w:right w:val="single" w:sz="4" w:space="0" w:color="auto"/>
            </w:tcBorders>
            <w:hideMark/>
          </w:tcPr>
          <w:p w:rsidR="00C570D7" w:rsidRPr="00D13040" w:rsidRDefault="00C570D7" w:rsidP="004E5419">
            <w:pPr>
              <w:rPr>
                <w:sz w:val="20"/>
              </w:rPr>
            </w:pPr>
            <w:r w:rsidRPr="00D13040">
              <w:rPr>
                <w:b/>
                <w:caps/>
                <w:sz w:val="20"/>
              </w:rPr>
              <w:t>National co</w:t>
            </w:r>
            <w:r w:rsidRPr="00D13040">
              <w:rPr>
                <w:b/>
                <w:caps/>
                <w:sz w:val="20"/>
              </w:rPr>
              <w:noBreakHyphen/>
              <w:t>ordinating agency</w:t>
            </w:r>
          </w:p>
        </w:tc>
        <w:tc>
          <w:tcPr>
            <w:tcW w:w="2006" w:type="pct"/>
            <w:tcBorders>
              <w:top w:val="single" w:sz="4" w:space="0" w:color="auto"/>
              <w:left w:val="single" w:sz="4" w:space="0" w:color="auto"/>
              <w:bottom w:val="single" w:sz="4" w:space="0" w:color="auto"/>
              <w:right w:val="single" w:sz="4" w:space="0" w:color="auto"/>
            </w:tcBorders>
            <w:hideMark/>
          </w:tcPr>
          <w:p w:rsidR="00C570D7" w:rsidRPr="00D13040" w:rsidRDefault="00A2013C" w:rsidP="004E5419">
            <w:pPr>
              <w:jc w:val="right"/>
              <w:rPr>
                <w:sz w:val="20"/>
              </w:rPr>
            </w:pPr>
            <w:r w:rsidRPr="00D13040">
              <w:rPr>
                <w:sz w:val="20"/>
              </w:rPr>
              <w:t>N/A</w:t>
            </w:r>
          </w:p>
        </w:tc>
      </w:tr>
    </w:tbl>
    <w:p w:rsidR="00C570D7" w:rsidRPr="00D13040" w:rsidRDefault="00C570D7" w:rsidP="004E5419">
      <w:pPr>
        <w:rPr>
          <w:caps/>
          <w:sz w:val="20"/>
        </w:rPr>
      </w:pPr>
    </w:p>
    <w:p w:rsidR="00C570D7" w:rsidRPr="00D13040" w:rsidRDefault="00C570D7" w:rsidP="004E5419">
      <w:pPr>
        <w:rPr>
          <w:b/>
          <w:caps/>
          <w:sz w:val="20"/>
        </w:rPr>
      </w:pPr>
      <w:r w:rsidRPr="00D13040">
        <w:rPr>
          <w:b/>
          <w:caps/>
          <w:sz w:val="20"/>
        </w:rPr>
        <w:t xml:space="preserve">LateSt reported consumption data for HFC addressed in project </w:t>
      </w:r>
    </w:p>
    <w:p w:rsidR="00C570D7" w:rsidRPr="00D13040" w:rsidRDefault="00C570D7" w:rsidP="004E5419">
      <w:pPr>
        <w:spacing w:before="60"/>
        <w:rPr>
          <w:b/>
          <w:caps/>
          <w:sz w:val="20"/>
        </w:rPr>
      </w:pPr>
      <w:r w:rsidRPr="00D13040">
        <w:rPr>
          <w:b/>
          <w:caps/>
          <w:sz w:val="20"/>
        </w:rPr>
        <w:t>A: Article</w:t>
      </w:r>
      <w:r w:rsidRPr="00D13040">
        <w:rPr>
          <w:b/>
          <w:caps/>
          <w:sz w:val="20"/>
        </w:rPr>
        <w:noBreakHyphen/>
        <w:t>7 data (</w:t>
      </w:r>
      <w:r w:rsidR="00285FF7" w:rsidRPr="00D13040">
        <w:rPr>
          <w:b/>
          <w:caps/>
          <w:sz w:val="20"/>
        </w:rPr>
        <w:t>METRIC</w:t>
      </w:r>
      <w:r w:rsidRPr="00D13040">
        <w:rPr>
          <w:b/>
          <w:caps/>
          <w:sz w:val="20"/>
        </w:rPr>
        <w:t xml:space="preserve"> tonnes, 2016, as of June 2017)</w:t>
      </w:r>
    </w:p>
    <w:tbl>
      <w:tblPr>
        <w:tblStyle w:val="TableGrid"/>
        <w:tblpPr w:leftFromText="180" w:rightFromText="180" w:vertAnchor="text" w:horzAnchor="margin" w:tblpXSpec="center" w:tblpY="90"/>
        <w:tblW w:w="5000" w:type="pct"/>
        <w:tblLook w:val="01E0" w:firstRow="1" w:lastRow="1" w:firstColumn="1" w:lastColumn="1" w:noHBand="0" w:noVBand="0"/>
      </w:tblPr>
      <w:tblGrid>
        <w:gridCol w:w="5255"/>
        <w:gridCol w:w="4321"/>
      </w:tblGrid>
      <w:tr w:rsidR="00C570D7" w:rsidRPr="00D13040" w:rsidTr="00285FF7">
        <w:tc>
          <w:tcPr>
            <w:tcW w:w="2744" w:type="pct"/>
            <w:tcBorders>
              <w:top w:val="single" w:sz="4" w:space="0" w:color="auto"/>
              <w:left w:val="single" w:sz="4" w:space="0" w:color="auto"/>
              <w:bottom w:val="single" w:sz="4" w:space="0" w:color="auto"/>
              <w:right w:val="single" w:sz="4" w:space="0" w:color="auto"/>
            </w:tcBorders>
            <w:hideMark/>
          </w:tcPr>
          <w:p w:rsidR="00C570D7" w:rsidRPr="00D13040" w:rsidRDefault="00F72C91" w:rsidP="004E5419">
            <w:pPr>
              <w:jc w:val="left"/>
              <w:rPr>
                <w:sz w:val="20"/>
              </w:rPr>
            </w:pPr>
            <w:r w:rsidRPr="00D13040">
              <w:rPr>
                <w:sz w:val="20"/>
              </w:rPr>
              <w:t>Annex F, Group I</w:t>
            </w:r>
          </w:p>
        </w:tc>
        <w:tc>
          <w:tcPr>
            <w:tcW w:w="2256" w:type="pct"/>
            <w:tcBorders>
              <w:top w:val="single" w:sz="4" w:space="0" w:color="auto"/>
              <w:left w:val="single" w:sz="4" w:space="0" w:color="auto"/>
              <w:bottom w:val="single" w:sz="4" w:space="0" w:color="auto"/>
              <w:right w:val="single" w:sz="4" w:space="0" w:color="auto"/>
            </w:tcBorders>
            <w:hideMark/>
          </w:tcPr>
          <w:p w:rsidR="00C570D7" w:rsidRPr="00D13040" w:rsidRDefault="00A2013C" w:rsidP="004E5419">
            <w:pPr>
              <w:jc w:val="right"/>
              <w:rPr>
                <w:sz w:val="20"/>
              </w:rPr>
            </w:pPr>
            <w:r w:rsidRPr="00D13040">
              <w:rPr>
                <w:sz w:val="20"/>
              </w:rPr>
              <w:t>N/A</w:t>
            </w:r>
          </w:p>
        </w:tc>
      </w:tr>
    </w:tbl>
    <w:p w:rsidR="00C570D7" w:rsidRPr="00D13040" w:rsidRDefault="00C570D7" w:rsidP="004E5419">
      <w:pPr>
        <w:spacing w:before="120" w:after="60"/>
        <w:rPr>
          <w:b/>
          <w:sz w:val="20"/>
        </w:rPr>
      </w:pPr>
      <w:r w:rsidRPr="00D13040">
        <w:rPr>
          <w:b/>
          <w:sz w:val="20"/>
        </w:rPr>
        <w:t xml:space="preserve">B: COUNTRY PROGRAMME SECTORAL DATA </w:t>
      </w:r>
      <w:r w:rsidRPr="00D13040">
        <w:rPr>
          <w:b/>
          <w:caps/>
          <w:sz w:val="20"/>
        </w:rPr>
        <w:t>(</w:t>
      </w:r>
      <w:r w:rsidR="00285FF7" w:rsidRPr="00D13040">
        <w:rPr>
          <w:b/>
          <w:caps/>
          <w:sz w:val="20"/>
        </w:rPr>
        <w:t>METRIC</w:t>
      </w:r>
      <w:r w:rsidRPr="00D13040">
        <w:rPr>
          <w:b/>
          <w:caps/>
          <w:sz w:val="20"/>
        </w:rPr>
        <w:t xml:space="preserve"> TONNES</w:t>
      </w:r>
      <w:r w:rsidR="00285FF7" w:rsidRPr="00D13040">
        <w:rPr>
          <w:b/>
          <w:caps/>
          <w:sz w:val="20"/>
        </w:rPr>
        <w:t xml:space="preserve"> (MT)</w:t>
      </w:r>
      <w:r w:rsidRPr="00D13040">
        <w:rPr>
          <w:b/>
          <w:caps/>
          <w:sz w:val="20"/>
        </w:rPr>
        <w:t>, 2016, AS OF JUNE 2017)</w:t>
      </w:r>
    </w:p>
    <w:tbl>
      <w:tblPr>
        <w:tblStyle w:val="TableGrid"/>
        <w:tblW w:w="5000" w:type="pct"/>
        <w:jc w:val="center"/>
        <w:tblLook w:val="01E0" w:firstRow="1" w:lastRow="1" w:firstColumn="1" w:lastColumn="1" w:noHBand="0" w:noVBand="0"/>
      </w:tblPr>
      <w:tblGrid>
        <w:gridCol w:w="5211"/>
        <w:gridCol w:w="4365"/>
      </w:tblGrid>
      <w:tr w:rsidR="00C570D7" w:rsidRPr="00D13040" w:rsidTr="00285FF7">
        <w:trPr>
          <w:jc w:val="center"/>
        </w:trPr>
        <w:tc>
          <w:tcPr>
            <w:tcW w:w="2721" w:type="pct"/>
            <w:tcBorders>
              <w:top w:val="single" w:sz="4" w:space="0" w:color="auto"/>
              <w:left w:val="single" w:sz="4" w:space="0" w:color="auto"/>
              <w:bottom w:val="single" w:sz="4" w:space="0" w:color="auto"/>
              <w:right w:val="single" w:sz="4" w:space="0" w:color="auto"/>
            </w:tcBorders>
            <w:hideMark/>
          </w:tcPr>
          <w:p w:rsidR="00C570D7" w:rsidRPr="00D13040" w:rsidRDefault="00C570D7" w:rsidP="004E5419">
            <w:pPr>
              <w:rPr>
                <w:sz w:val="20"/>
              </w:rPr>
            </w:pPr>
            <w:r w:rsidRPr="00D13040">
              <w:rPr>
                <w:sz w:val="20"/>
              </w:rPr>
              <w:t>HFC-134a</w:t>
            </w:r>
          </w:p>
        </w:tc>
        <w:tc>
          <w:tcPr>
            <w:tcW w:w="2279" w:type="pct"/>
            <w:tcBorders>
              <w:top w:val="single" w:sz="4" w:space="0" w:color="auto"/>
              <w:left w:val="single" w:sz="4" w:space="0" w:color="auto"/>
              <w:bottom w:val="single" w:sz="4" w:space="0" w:color="auto"/>
              <w:right w:val="single" w:sz="4" w:space="0" w:color="auto"/>
            </w:tcBorders>
            <w:hideMark/>
          </w:tcPr>
          <w:p w:rsidR="00C570D7" w:rsidRPr="00D13040" w:rsidRDefault="00A2013C" w:rsidP="004E5419">
            <w:pPr>
              <w:jc w:val="right"/>
              <w:rPr>
                <w:sz w:val="20"/>
              </w:rPr>
            </w:pPr>
            <w:r w:rsidRPr="00D13040">
              <w:rPr>
                <w:sz w:val="20"/>
              </w:rPr>
              <w:t>N/A</w:t>
            </w:r>
          </w:p>
        </w:tc>
      </w:tr>
    </w:tbl>
    <w:p w:rsidR="00C570D7" w:rsidRPr="00D13040" w:rsidRDefault="00C570D7" w:rsidP="004E5419">
      <w:pPr>
        <w:rPr>
          <w:sz w:val="20"/>
        </w:rPr>
      </w:pPr>
    </w:p>
    <w:tbl>
      <w:tblPr>
        <w:tblStyle w:val="TableGrid"/>
        <w:tblW w:w="5000" w:type="pct"/>
        <w:jc w:val="center"/>
        <w:tblLook w:val="01E0" w:firstRow="1" w:lastRow="1" w:firstColumn="1" w:lastColumn="1" w:noHBand="0" w:noVBand="0"/>
      </w:tblPr>
      <w:tblGrid>
        <w:gridCol w:w="7573"/>
        <w:gridCol w:w="2003"/>
      </w:tblGrid>
      <w:tr w:rsidR="00C570D7" w:rsidRPr="00D13040" w:rsidTr="00C570D7">
        <w:trPr>
          <w:jc w:val="center"/>
        </w:trPr>
        <w:tc>
          <w:tcPr>
            <w:tcW w:w="3954" w:type="pct"/>
            <w:tcBorders>
              <w:top w:val="single" w:sz="4" w:space="0" w:color="auto"/>
              <w:left w:val="single" w:sz="4" w:space="0" w:color="auto"/>
              <w:bottom w:val="single" w:sz="4" w:space="0" w:color="auto"/>
              <w:right w:val="single" w:sz="4" w:space="0" w:color="auto"/>
            </w:tcBorders>
            <w:hideMark/>
          </w:tcPr>
          <w:p w:rsidR="00C570D7" w:rsidRPr="00D13040" w:rsidRDefault="00C570D7" w:rsidP="004E5419">
            <w:pPr>
              <w:rPr>
                <w:b/>
                <w:sz w:val="20"/>
              </w:rPr>
            </w:pPr>
            <w:r w:rsidRPr="00D13040">
              <w:rPr>
                <w:b/>
                <w:sz w:val="20"/>
              </w:rPr>
              <w:t>HFC consumption remaining eligible for funding (</w:t>
            </w:r>
            <w:r w:rsidR="00F72C91" w:rsidRPr="00D13040">
              <w:rPr>
                <w:b/>
                <w:sz w:val="20"/>
              </w:rPr>
              <w:t>CO</w:t>
            </w:r>
            <w:r w:rsidR="00F72C91" w:rsidRPr="00D13040">
              <w:rPr>
                <w:b/>
                <w:sz w:val="20"/>
                <w:vertAlign w:val="subscript"/>
              </w:rPr>
              <w:t>2</w:t>
            </w:r>
            <w:r w:rsidR="00A90E08" w:rsidRPr="00D13040">
              <w:rPr>
                <w:b/>
                <w:sz w:val="20"/>
              </w:rPr>
              <w:t xml:space="preserve">-equivalent </w:t>
            </w:r>
            <w:r w:rsidRPr="00D13040">
              <w:rPr>
                <w:b/>
                <w:sz w:val="20"/>
              </w:rPr>
              <w:t>tonnes)</w:t>
            </w:r>
          </w:p>
        </w:tc>
        <w:tc>
          <w:tcPr>
            <w:tcW w:w="1046" w:type="pct"/>
            <w:tcBorders>
              <w:top w:val="single" w:sz="4" w:space="0" w:color="auto"/>
              <w:left w:val="single" w:sz="4" w:space="0" w:color="auto"/>
              <w:bottom w:val="single" w:sz="4" w:space="0" w:color="auto"/>
              <w:right w:val="single" w:sz="4" w:space="0" w:color="auto"/>
            </w:tcBorders>
            <w:hideMark/>
          </w:tcPr>
          <w:p w:rsidR="00C570D7" w:rsidRPr="00D13040" w:rsidRDefault="00A2013C" w:rsidP="004E5419">
            <w:pPr>
              <w:jc w:val="right"/>
              <w:rPr>
                <w:sz w:val="20"/>
              </w:rPr>
            </w:pPr>
            <w:r w:rsidRPr="00D13040">
              <w:rPr>
                <w:sz w:val="20"/>
              </w:rPr>
              <w:t>N/A</w:t>
            </w:r>
          </w:p>
        </w:tc>
      </w:tr>
    </w:tbl>
    <w:p w:rsidR="00C570D7" w:rsidRPr="00D13040" w:rsidRDefault="00C570D7" w:rsidP="004E5419">
      <w:pPr>
        <w:rPr>
          <w:sz w:val="20"/>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248"/>
        <w:gridCol w:w="450"/>
        <w:gridCol w:w="2610"/>
        <w:gridCol w:w="2160"/>
      </w:tblGrid>
      <w:tr w:rsidR="00C570D7" w:rsidRPr="00D13040" w:rsidTr="00C570D7">
        <w:trPr>
          <w:trHeight w:val="248"/>
        </w:trPr>
        <w:tc>
          <w:tcPr>
            <w:tcW w:w="4248" w:type="dxa"/>
            <w:vMerge w:val="restart"/>
            <w:tcBorders>
              <w:top w:val="single" w:sz="4" w:space="0" w:color="auto"/>
              <w:left w:val="single" w:sz="4" w:space="0" w:color="auto"/>
              <w:bottom w:val="single" w:sz="4" w:space="0" w:color="auto"/>
              <w:right w:val="single" w:sz="4" w:space="0" w:color="auto"/>
            </w:tcBorders>
            <w:hideMark/>
          </w:tcPr>
          <w:p w:rsidR="00C570D7" w:rsidRPr="00D13040" w:rsidRDefault="00C570D7" w:rsidP="004E5419">
            <w:pPr>
              <w:jc w:val="left"/>
              <w:rPr>
                <w:i/>
                <w:sz w:val="20"/>
              </w:rPr>
            </w:pPr>
            <w:r w:rsidRPr="00D13040">
              <w:rPr>
                <w:b/>
                <w:caps/>
                <w:sz w:val="20"/>
              </w:rPr>
              <w:t>Current year Business Plan ALLOCATIONS</w:t>
            </w:r>
          </w:p>
        </w:tc>
        <w:tc>
          <w:tcPr>
            <w:tcW w:w="450" w:type="dxa"/>
            <w:tcBorders>
              <w:top w:val="single" w:sz="4" w:space="0" w:color="auto"/>
              <w:left w:val="single" w:sz="4" w:space="0" w:color="auto"/>
              <w:bottom w:val="single" w:sz="4" w:space="0" w:color="auto"/>
              <w:right w:val="single" w:sz="4" w:space="0" w:color="auto"/>
            </w:tcBorders>
          </w:tcPr>
          <w:p w:rsidR="00C570D7" w:rsidRPr="00D13040" w:rsidRDefault="00C570D7" w:rsidP="004E5419">
            <w:pPr>
              <w:rPr>
                <w:i/>
                <w:sz w:val="20"/>
              </w:rPr>
            </w:pPr>
          </w:p>
        </w:tc>
        <w:tc>
          <w:tcPr>
            <w:tcW w:w="2610" w:type="dxa"/>
            <w:tcBorders>
              <w:top w:val="single" w:sz="4" w:space="0" w:color="auto"/>
              <w:left w:val="single" w:sz="4" w:space="0" w:color="auto"/>
              <w:bottom w:val="single" w:sz="4" w:space="0" w:color="auto"/>
              <w:right w:val="single" w:sz="4" w:space="0" w:color="auto"/>
            </w:tcBorders>
            <w:hideMark/>
          </w:tcPr>
          <w:p w:rsidR="00C570D7" w:rsidRPr="00D13040" w:rsidRDefault="00C570D7" w:rsidP="004E5419">
            <w:pPr>
              <w:jc w:val="center"/>
              <w:rPr>
                <w:i/>
                <w:sz w:val="20"/>
              </w:rPr>
            </w:pPr>
            <w:r w:rsidRPr="00D13040">
              <w:rPr>
                <w:sz w:val="20"/>
              </w:rPr>
              <w:t>Funding US $ million</w:t>
            </w:r>
          </w:p>
        </w:tc>
        <w:tc>
          <w:tcPr>
            <w:tcW w:w="2160" w:type="dxa"/>
            <w:tcBorders>
              <w:top w:val="single" w:sz="4" w:space="0" w:color="auto"/>
              <w:left w:val="single" w:sz="4" w:space="0" w:color="auto"/>
              <w:bottom w:val="single" w:sz="4" w:space="0" w:color="auto"/>
              <w:right w:val="single" w:sz="4" w:space="0" w:color="auto"/>
            </w:tcBorders>
            <w:hideMark/>
          </w:tcPr>
          <w:p w:rsidR="00C570D7" w:rsidRPr="00D13040" w:rsidRDefault="00C570D7" w:rsidP="004E5419">
            <w:pPr>
              <w:jc w:val="center"/>
              <w:rPr>
                <w:i/>
                <w:sz w:val="20"/>
              </w:rPr>
            </w:pPr>
            <w:r w:rsidRPr="00D13040">
              <w:rPr>
                <w:sz w:val="20"/>
              </w:rPr>
              <w:t>Phase</w:t>
            </w:r>
            <w:r w:rsidRPr="00D13040">
              <w:rPr>
                <w:sz w:val="20"/>
              </w:rPr>
              <w:noBreakHyphen/>
              <w:t xml:space="preserve">out </w:t>
            </w:r>
            <w:r w:rsidR="00285FF7" w:rsidRPr="00D13040">
              <w:rPr>
                <w:sz w:val="20"/>
              </w:rPr>
              <w:t>(mt)</w:t>
            </w:r>
          </w:p>
        </w:tc>
      </w:tr>
      <w:tr w:rsidR="00C570D7" w:rsidRPr="00D13040" w:rsidTr="00C570D7">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0D7" w:rsidRPr="00D13040" w:rsidRDefault="00C570D7" w:rsidP="004E5419">
            <w:pPr>
              <w:jc w:val="left"/>
              <w:rPr>
                <w:i/>
                <w:sz w:val="20"/>
              </w:rPr>
            </w:pPr>
          </w:p>
        </w:tc>
        <w:tc>
          <w:tcPr>
            <w:tcW w:w="450" w:type="dxa"/>
            <w:tcBorders>
              <w:top w:val="single" w:sz="4" w:space="0" w:color="auto"/>
              <w:left w:val="single" w:sz="4" w:space="0" w:color="auto"/>
              <w:bottom w:val="single" w:sz="4" w:space="0" w:color="auto"/>
              <w:right w:val="single" w:sz="4" w:space="0" w:color="auto"/>
            </w:tcBorders>
            <w:hideMark/>
          </w:tcPr>
          <w:p w:rsidR="00C570D7" w:rsidRPr="00D13040" w:rsidRDefault="00C570D7" w:rsidP="004E5419">
            <w:pPr>
              <w:rPr>
                <w:sz w:val="20"/>
              </w:rPr>
            </w:pPr>
            <w:r w:rsidRPr="00D13040">
              <w:rPr>
                <w:sz w:val="20"/>
              </w:rPr>
              <w:t>(a)</w:t>
            </w:r>
          </w:p>
        </w:tc>
        <w:tc>
          <w:tcPr>
            <w:tcW w:w="2610" w:type="dxa"/>
            <w:tcBorders>
              <w:top w:val="single" w:sz="4" w:space="0" w:color="auto"/>
              <w:left w:val="single" w:sz="4" w:space="0" w:color="auto"/>
              <w:bottom w:val="single" w:sz="4" w:space="0" w:color="auto"/>
              <w:right w:val="single" w:sz="4" w:space="0" w:color="auto"/>
            </w:tcBorders>
            <w:hideMark/>
          </w:tcPr>
          <w:p w:rsidR="00C570D7" w:rsidRPr="00D13040" w:rsidRDefault="00A2013C" w:rsidP="004E5419">
            <w:pPr>
              <w:jc w:val="right"/>
              <w:rPr>
                <w:sz w:val="20"/>
              </w:rPr>
            </w:pPr>
            <w:r w:rsidRPr="00D13040">
              <w:rPr>
                <w:sz w:val="20"/>
              </w:rPr>
              <w:t>N/A</w:t>
            </w:r>
          </w:p>
        </w:tc>
        <w:tc>
          <w:tcPr>
            <w:tcW w:w="2160" w:type="dxa"/>
            <w:tcBorders>
              <w:top w:val="single" w:sz="4" w:space="0" w:color="auto"/>
              <w:left w:val="single" w:sz="4" w:space="0" w:color="auto"/>
              <w:bottom w:val="single" w:sz="4" w:space="0" w:color="auto"/>
              <w:right w:val="single" w:sz="4" w:space="0" w:color="auto"/>
            </w:tcBorders>
            <w:hideMark/>
          </w:tcPr>
          <w:p w:rsidR="00C570D7" w:rsidRPr="00D13040" w:rsidRDefault="00A2013C" w:rsidP="004E5419">
            <w:pPr>
              <w:jc w:val="right"/>
              <w:rPr>
                <w:sz w:val="20"/>
              </w:rPr>
            </w:pPr>
            <w:r w:rsidRPr="00D13040">
              <w:rPr>
                <w:sz w:val="20"/>
              </w:rPr>
              <w:t>N/A</w:t>
            </w:r>
          </w:p>
        </w:tc>
      </w:tr>
    </w:tbl>
    <w:p w:rsidR="00C570D7" w:rsidRPr="00D13040" w:rsidRDefault="00C570D7" w:rsidP="004E5419">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141"/>
        <w:gridCol w:w="2038"/>
        <w:gridCol w:w="1768"/>
        <w:gridCol w:w="2827"/>
      </w:tblGrid>
      <w:tr w:rsidR="004E5419" w:rsidRPr="00D13040" w:rsidTr="004E5419">
        <w:trPr>
          <w:trHeight w:val="250"/>
          <w:jc w:val="center"/>
        </w:trPr>
        <w:tc>
          <w:tcPr>
            <w:tcW w:w="2601" w:type="pct"/>
            <w:gridSpan w:val="3"/>
            <w:tcBorders>
              <w:top w:val="single" w:sz="4" w:space="0" w:color="auto"/>
              <w:left w:val="single" w:sz="4" w:space="0" w:color="auto"/>
              <w:bottom w:val="single" w:sz="4" w:space="0" w:color="auto"/>
              <w:right w:val="single" w:sz="4" w:space="0" w:color="auto"/>
            </w:tcBorders>
          </w:tcPr>
          <w:p w:rsidR="004E5419" w:rsidRPr="00D13040" w:rsidRDefault="004E5419"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b/>
                <w:sz w:val="20"/>
                <w:szCs w:val="20"/>
              </w:rPr>
            </w:pPr>
            <w:r w:rsidRPr="00D13040">
              <w:rPr>
                <w:b/>
                <w:sz w:val="20"/>
                <w:szCs w:val="20"/>
              </w:rPr>
              <w:t>PROJECT TITLE:</w:t>
            </w:r>
          </w:p>
        </w:tc>
        <w:tc>
          <w:tcPr>
            <w:tcW w:w="2399" w:type="pct"/>
            <w:gridSpan w:val="2"/>
            <w:tcBorders>
              <w:top w:val="single" w:sz="4" w:space="0" w:color="auto"/>
              <w:left w:val="single" w:sz="4" w:space="0" w:color="auto"/>
              <w:bottom w:val="single" w:sz="4" w:space="0" w:color="auto"/>
              <w:right w:val="single" w:sz="4" w:space="0" w:color="auto"/>
            </w:tcBorders>
          </w:tcPr>
          <w:p w:rsidR="004E5419" w:rsidRPr="004E5419" w:rsidRDefault="004E5419"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b/>
                <w:sz w:val="20"/>
                <w:szCs w:val="20"/>
              </w:rPr>
            </w:pPr>
            <w:r w:rsidRPr="004E5419">
              <w:rPr>
                <w:b/>
                <w:sz w:val="20"/>
                <w:szCs w:val="20"/>
              </w:rPr>
              <w:t>Walton</w:t>
            </w:r>
          </w:p>
        </w:tc>
      </w:tr>
      <w:tr w:rsidR="000E72B6" w:rsidRPr="00D13040" w:rsidTr="000E72B6">
        <w:trPr>
          <w:trHeight w:val="250"/>
          <w:jc w:val="center"/>
        </w:trPr>
        <w:tc>
          <w:tcPr>
            <w:tcW w:w="2601" w:type="pct"/>
            <w:gridSpan w:val="3"/>
            <w:tcBorders>
              <w:top w:val="single" w:sz="4" w:space="0" w:color="auto"/>
              <w:left w:val="single" w:sz="4" w:space="0" w:color="auto"/>
              <w:bottom w:val="single" w:sz="4" w:space="0" w:color="auto"/>
              <w:right w:val="single" w:sz="4" w:space="0" w:color="auto"/>
            </w:tcBorders>
          </w:tcPr>
          <w:p w:rsidR="000E72B6" w:rsidRPr="00D13040" w:rsidRDefault="000E72B6" w:rsidP="004E5419">
            <w:pPr>
              <w:rPr>
                <w:sz w:val="20"/>
                <w:szCs w:val="20"/>
              </w:rPr>
            </w:pPr>
            <w:r w:rsidRPr="00D13040">
              <w:rPr>
                <w:sz w:val="20"/>
                <w:szCs w:val="20"/>
              </w:rPr>
              <w:t>Project component</w:t>
            </w:r>
          </w:p>
        </w:tc>
        <w:tc>
          <w:tcPr>
            <w:tcW w:w="923" w:type="pct"/>
            <w:tcBorders>
              <w:top w:val="single" w:sz="4" w:space="0" w:color="auto"/>
              <w:left w:val="single" w:sz="4" w:space="0" w:color="auto"/>
              <w:bottom w:val="single" w:sz="4" w:space="0" w:color="auto"/>
              <w:right w:val="single" w:sz="4" w:space="0" w:color="auto"/>
            </w:tcBorders>
          </w:tcPr>
          <w:p w:rsidR="000E72B6" w:rsidRPr="00D13040" w:rsidRDefault="000E72B6" w:rsidP="004E5419">
            <w:pPr>
              <w:jc w:val="center"/>
              <w:rPr>
                <w:sz w:val="20"/>
                <w:szCs w:val="20"/>
              </w:rPr>
            </w:pPr>
            <w:r w:rsidRPr="00D13040">
              <w:rPr>
                <w:sz w:val="20"/>
                <w:szCs w:val="20"/>
              </w:rPr>
              <w:t>Refrigerator manufacturing conversion</w:t>
            </w:r>
          </w:p>
        </w:tc>
        <w:tc>
          <w:tcPr>
            <w:tcW w:w="1476" w:type="pct"/>
            <w:tcBorders>
              <w:top w:val="single" w:sz="4" w:space="0" w:color="auto"/>
              <w:left w:val="single" w:sz="4" w:space="0" w:color="auto"/>
              <w:bottom w:val="single" w:sz="4" w:space="0" w:color="auto"/>
              <w:right w:val="single" w:sz="4" w:space="0" w:color="auto"/>
            </w:tcBorders>
          </w:tcPr>
          <w:p w:rsidR="000E72B6" w:rsidRPr="00D13040" w:rsidRDefault="000E72B6"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sz w:val="20"/>
                <w:szCs w:val="20"/>
              </w:rPr>
            </w:pPr>
            <w:r w:rsidRPr="00D13040">
              <w:rPr>
                <w:sz w:val="20"/>
                <w:szCs w:val="20"/>
              </w:rPr>
              <w:t>Compressor manufacturing conversion</w:t>
            </w:r>
          </w:p>
        </w:tc>
      </w:tr>
      <w:tr w:rsidR="000E72B6" w:rsidRPr="00D13040" w:rsidTr="000E72B6">
        <w:trPr>
          <w:trHeight w:val="239"/>
          <w:jc w:val="center"/>
        </w:trPr>
        <w:tc>
          <w:tcPr>
            <w:tcW w:w="2601" w:type="pct"/>
            <w:gridSpan w:val="3"/>
            <w:tcBorders>
              <w:top w:val="single" w:sz="4" w:space="0" w:color="auto"/>
              <w:left w:val="single" w:sz="4" w:space="0" w:color="auto"/>
              <w:bottom w:val="single" w:sz="4" w:space="0" w:color="auto"/>
              <w:right w:val="single" w:sz="4" w:space="0" w:color="auto"/>
            </w:tcBorders>
          </w:tcPr>
          <w:p w:rsidR="000E72B6" w:rsidRPr="00D13040" w:rsidRDefault="000E72B6"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szCs w:val="20"/>
              </w:rPr>
            </w:pPr>
            <w:r w:rsidRPr="00D13040">
              <w:rPr>
                <w:sz w:val="20"/>
                <w:szCs w:val="20"/>
              </w:rPr>
              <w:t xml:space="preserve">HFC used by the enterprise: </w:t>
            </w:r>
          </w:p>
        </w:tc>
        <w:tc>
          <w:tcPr>
            <w:tcW w:w="923" w:type="pct"/>
            <w:tcBorders>
              <w:top w:val="single" w:sz="4" w:space="0" w:color="auto"/>
              <w:left w:val="single" w:sz="4" w:space="0" w:color="auto"/>
              <w:bottom w:val="single" w:sz="4" w:space="0" w:color="auto"/>
              <w:right w:val="single" w:sz="4" w:space="0" w:color="auto"/>
            </w:tcBorders>
          </w:tcPr>
          <w:p w:rsidR="000E72B6" w:rsidRPr="00D13040" w:rsidRDefault="000E72B6"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HFC-134a</w:t>
            </w:r>
          </w:p>
        </w:tc>
        <w:tc>
          <w:tcPr>
            <w:tcW w:w="1476" w:type="pct"/>
            <w:tcBorders>
              <w:top w:val="single" w:sz="4" w:space="0" w:color="auto"/>
              <w:left w:val="single" w:sz="4" w:space="0" w:color="auto"/>
              <w:bottom w:val="single" w:sz="4" w:space="0" w:color="auto"/>
              <w:right w:val="single" w:sz="4" w:space="0" w:color="auto"/>
            </w:tcBorders>
          </w:tcPr>
          <w:p w:rsidR="000E72B6" w:rsidRPr="00D13040" w:rsidRDefault="000E72B6"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HFC-134a (indirect)</w:t>
            </w:r>
          </w:p>
        </w:tc>
      </w:tr>
      <w:tr w:rsidR="000E72B6" w:rsidRPr="00D13040" w:rsidTr="000E72B6">
        <w:trPr>
          <w:trHeight w:val="250"/>
          <w:jc w:val="center"/>
        </w:trPr>
        <w:tc>
          <w:tcPr>
            <w:tcW w:w="2601" w:type="pct"/>
            <w:gridSpan w:val="3"/>
            <w:tcBorders>
              <w:top w:val="single" w:sz="4" w:space="0" w:color="auto"/>
              <w:left w:val="single" w:sz="4" w:space="0" w:color="auto"/>
              <w:bottom w:val="single" w:sz="4" w:space="0" w:color="auto"/>
              <w:right w:val="single" w:sz="4" w:space="0" w:color="auto"/>
            </w:tcBorders>
          </w:tcPr>
          <w:p w:rsidR="000E72B6" w:rsidRPr="00D13040" w:rsidRDefault="000E72B6"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szCs w:val="20"/>
              </w:rPr>
            </w:pPr>
            <w:r w:rsidRPr="00D13040">
              <w:rPr>
                <w:sz w:val="20"/>
                <w:szCs w:val="20"/>
              </w:rPr>
              <w:t>HFC to be phased-out (mt):</w:t>
            </w:r>
          </w:p>
        </w:tc>
        <w:tc>
          <w:tcPr>
            <w:tcW w:w="923" w:type="pct"/>
            <w:tcBorders>
              <w:top w:val="single" w:sz="4" w:space="0" w:color="auto"/>
              <w:left w:val="single" w:sz="4" w:space="0" w:color="auto"/>
              <w:bottom w:val="single" w:sz="4" w:space="0" w:color="auto"/>
              <w:right w:val="single" w:sz="4" w:space="0" w:color="auto"/>
            </w:tcBorders>
          </w:tcPr>
          <w:p w:rsidR="000E72B6"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197.3</w:t>
            </w:r>
          </w:p>
        </w:tc>
        <w:tc>
          <w:tcPr>
            <w:tcW w:w="1476" w:type="pct"/>
            <w:tcBorders>
              <w:top w:val="single" w:sz="4" w:space="0" w:color="auto"/>
              <w:left w:val="single" w:sz="4" w:space="0" w:color="auto"/>
              <w:bottom w:val="single" w:sz="4" w:space="0" w:color="auto"/>
              <w:right w:val="single" w:sz="4" w:space="0" w:color="auto"/>
            </w:tcBorders>
          </w:tcPr>
          <w:p w:rsidR="000E72B6"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197.3</w:t>
            </w:r>
          </w:p>
        </w:tc>
      </w:tr>
      <w:tr w:rsidR="004907E8" w:rsidRPr="00D13040" w:rsidTr="000E72B6">
        <w:trPr>
          <w:trHeight w:val="262"/>
          <w:jc w:val="center"/>
        </w:trPr>
        <w:tc>
          <w:tcPr>
            <w:tcW w:w="2601" w:type="pct"/>
            <w:gridSpan w:val="3"/>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szCs w:val="20"/>
              </w:rPr>
            </w:pPr>
            <w:r w:rsidRPr="00D13040">
              <w:rPr>
                <w:sz w:val="20"/>
                <w:szCs w:val="20"/>
              </w:rPr>
              <w:t>Project duration (months):</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24</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24</w:t>
            </w:r>
          </w:p>
        </w:tc>
      </w:tr>
      <w:tr w:rsidR="004907E8" w:rsidRPr="00D13040" w:rsidTr="000E72B6">
        <w:trPr>
          <w:trHeight w:val="239"/>
          <w:jc w:val="center"/>
        </w:trPr>
        <w:tc>
          <w:tcPr>
            <w:tcW w:w="2601" w:type="pct"/>
            <w:gridSpan w:val="3"/>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szCs w:val="20"/>
              </w:rPr>
            </w:pPr>
            <w:r w:rsidRPr="00D13040">
              <w:rPr>
                <w:sz w:val="20"/>
                <w:szCs w:val="20"/>
              </w:rPr>
              <w:t>Initial amount requested (US $):</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2,362,058</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2,574,450</w:t>
            </w:r>
          </w:p>
        </w:tc>
      </w:tr>
      <w:tr w:rsidR="000E72B6" w:rsidRPr="00D13040" w:rsidTr="000E72B6">
        <w:trPr>
          <w:trHeight w:val="250"/>
          <w:jc w:val="center"/>
        </w:trPr>
        <w:tc>
          <w:tcPr>
            <w:tcW w:w="2601" w:type="pct"/>
            <w:gridSpan w:val="3"/>
            <w:tcBorders>
              <w:top w:val="single" w:sz="4" w:space="0" w:color="auto"/>
              <w:left w:val="single" w:sz="4" w:space="0" w:color="auto"/>
              <w:bottom w:val="single" w:sz="4" w:space="0" w:color="auto"/>
              <w:right w:val="single" w:sz="4" w:space="0" w:color="auto"/>
            </w:tcBorders>
          </w:tcPr>
          <w:p w:rsidR="000E72B6" w:rsidRPr="00D13040" w:rsidRDefault="000E72B6"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szCs w:val="20"/>
              </w:rPr>
            </w:pPr>
            <w:r w:rsidRPr="00D13040">
              <w:rPr>
                <w:sz w:val="20"/>
                <w:szCs w:val="20"/>
              </w:rPr>
              <w:t>Final project costs (US $):</w:t>
            </w:r>
          </w:p>
        </w:tc>
        <w:tc>
          <w:tcPr>
            <w:tcW w:w="923" w:type="pct"/>
            <w:tcBorders>
              <w:top w:val="single" w:sz="4" w:space="0" w:color="auto"/>
              <w:left w:val="single" w:sz="4" w:space="0" w:color="auto"/>
              <w:bottom w:val="single" w:sz="4" w:space="0" w:color="auto"/>
              <w:right w:val="single" w:sz="4" w:space="0" w:color="auto"/>
            </w:tcBorders>
          </w:tcPr>
          <w:p w:rsidR="000E72B6" w:rsidRPr="00D13040" w:rsidRDefault="000E72B6"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p>
        </w:tc>
        <w:tc>
          <w:tcPr>
            <w:tcW w:w="1476" w:type="pct"/>
            <w:tcBorders>
              <w:top w:val="single" w:sz="4" w:space="0" w:color="auto"/>
              <w:left w:val="single" w:sz="4" w:space="0" w:color="auto"/>
              <w:bottom w:val="single" w:sz="4" w:space="0" w:color="auto"/>
              <w:right w:val="single" w:sz="4" w:space="0" w:color="auto"/>
            </w:tcBorders>
          </w:tcPr>
          <w:p w:rsidR="000E72B6" w:rsidRPr="00D13040" w:rsidRDefault="000E72B6"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p>
        </w:tc>
      </w:tr>
      <w:tr w:rsidR="004907E8" w:rsidRPr="00D13040" w:rsidTr="000E72B6">
        <w:trPr>
          <w:trHeight w:val="239"/>
          <w:jc w:val="center"/>
        </w:trPr>
        <w:tc>
          <w:tcPr>
            <w:tcW w:w="419" w:type="pct"/>
            <w:tcBorders>
              <w:top w:val="single" w:sz="4" w:space="0" w:color="auto"/>
              <w:left w:val="single" w:sz="4" w:space="0" w:color="auto"/>
              <w:bottom w:val="single" w:sz="4" w:space="0" w:color="auto"/>
              <w:right w:val="nil"/>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p>
        </w:tc>
        <w:tc>
          <w:tcPr>
            <w:tcW w:w="2182" w:type="pct"/>
            <w:gridSpan w:val="2"/>
            <w:tcBorders>
              <w:top w:val="single" w:sz="4" w:space="0" w:color="auto"/>
              <w:left w:val="nil"/>
              <w:bottom w:val="single" w:sz="4" w:space="0" w:color="auto"/>
              <w:right w:val="single" w:sz="4" w:space="0" w:color="auto"/>
            </w:tcBorders>
          </w:tcPr>
          <w:p w:rsidR="004907E8" w:rsidRPr="00D13040" w:rsidRDefault="004907E8" w:rsidP="004E5419">
            <w:pPr>
              <w:tabs>
                <w:tab w:val="left" w:pos="-717"/>
                <w:tab w:val="left" w:pos="5042"/>
                <w:tab w:val="left" w:pos="5762"/>
                <w:tab w:val="left" w:pos="6482"/>
                <w:tab w:val="left" w:pos="7202"/>
                <w:tab w:val="left" w:pos="7922"/>
              </w:tabs>
              <w:ind w:right="-108"/>
              <w:jc w:val="left"/>
              <w:rPr>
                <w:sz w:val="20"/>
                <w:szCs w:val="20"/>
              </w:rPr>
            </w:pPr>
            <w:r w:rsidRPr="00D13040">
              <w:rPr>
                <w:sz w:val="20"/>
                <w:szCs w:val="20"/>
              </w:rPr>
              <w:t>Incremental capital cost:</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1,382,618</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2,078,120</w:t>
            </w:r>
          </w:p>
        </w:tc>
      </w:tr>
      <w:tr w:rsidR="004907E8" w:rsidRPr="00D13040" w:rsidTr="000E72B6">
        <w:trPr>
          <w:trHeight w:val="250"/>
          <w:jc w:val="center"/>
        </w:trPr>
        <w:tc>
          <w:tcPr>
            <w:tcW w:w="419" w:type="pct"/>
            <w:tcBorders>
              <w:top w:val="single" w:sz="4" w:space="0" w:color="auto"/>
              <w:left w:val="single" w:sz="4" w:space="0" w:color="auto"/>
              <w:bottom w:val="single" w:sz="4" w:space="0" w:color="auto"/>
              <w:right w:val="nil"/>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p>
        </w:tc>
        <w:tc>
          <w:tcPr>
            <w:tcW w:w="2182" w:type="pct"/>
            <w:gridSpan w:val="2"/>
            <w:tcBorders>
              <w:top w:val="single" w:sz="4" w:space="0" w:color="auto"/>
              <w:left w:val="nil"/>
              <w:bottom w:val="single" w:sz="4" w:space="0" w:color="auto"/>
              <w:right w:val="single" w:sz="4" w:space="0" w:color="auto"/>
            </w:tcBorders>
          </w:tcPr>
          <w:p w:rsidR="004907E8" w:rsidRPr="00D13040" w:rsidRDefault="004907E8" w:rsidP="004E5419">
            <w:pPr>
              <w:tabs>
                <w:tab w:val="left" w:pos="-717"/>
                <w:tab w:val="left" w:pos="5042"/>
                <w:tab w:val="left" w:pos="5762"/>
                <w:tab w:val="left" w:pos="6482"/>
                <w:tab w:val="left" w:pos="7202"/>
                <w:tab w:val="left" w:pos="7922"/>
              </w:tabs>
              <w:ind w:right="2052"/>
              <w:jc w:val="left"/>
              <w:rPr>
                <w:sz w:val="20"/>
                <w:szCs w:val="20"/>
              </w:rPr>
            </w:pPr>
            <w:r w:rsidRPr="00D13040">
              <w:rPr>
                <w:sz w:val="20"/>
                <w:szCs w:val="20"/>
              </w:rPr>
              <w:t>Contingency (10 %):</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138,262</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207,812</w:t>
            </w:r>
          </w:p>
        </w:tc>
      </w:tr>
      <w:tr w:rsidR="004907E8" w:rsidRPr="00D13040" w:rsidTr="000E72B6">
        <w:trPr>
          <w:trHeight w:val="239"/>
          <w:jc w:val="center"/>
        </w:trPr>
        <w:tc>
          <w:tcPr>
            <w:tcW w:w="419" w:type="pct"/>
            <w:tcBorders>
              <w:top w:val="single" w:sz="4" w:space="0" w:color="auto"/>
              <w:left w:val="single" w:sz="4" w:space="0" w:color="auto"/>
              <w:bottom w:val="single" w:sz="4" w:space="0" w:color="auto"/>
              <w:right w:val="nil"/>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p>
        </w:tc>
        <w:tc>
          <w:tcPr>
            <w:tcW w:w="2182" w:type="pct"/>
            <w:gridSpan w:val="2"/>
            <w:tcBorders>
              <w:top w:val="single" w:sz="4" w:space="0" w:color="auto"/>
              <w:left w:val="nil"/>
              <w:bottom w:val="single" w:sz="4" w:space="0" w:color="auto"/>
              <w:right w:val="single" w:sz="4" w:space="0" w:color="auto"/>
            </w:tcBorders>
          </w:tcPr>
          <w:p w:rsidR="004907E8" w:rsidRPr="00D13040" w:rsidRDefault="004907E8" w:rsidP="004E5419">
            <w:pPr>
              <w:tabs>
                <w:tab w:val="left" w:pos="-717"/>
                <w:tab w:val="left" w:pos="5042"/>
                <w:tab w:val="left" w:pos="5762"/>
                <w:tab w:val="left" w:pos="6482"/>
                <w:tab w:val="left" w:pos="7202"/>
                <w:tab w:val="left" w:pos="7922"/>
              </w:tabs>
              <w:ind w:right="1422"/>
              <w:jc w:val="left"/>
              <w:rPr>
                <w:sz w:val="20"/>
                <w:szCs w:val="20"/>
              </w:rPr>
            </w:pPr>
            <w:r w:rsidRPr="00D13040">
              <w:rPr>
                <w:sz w:val="20"/>
                <w:szCs w:val="20"/>
              </w:rPr>
              <w:t>Incremental operating cost:</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1,160,678</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N/A</w:t>
            </w:r>
          </w:p>
        </w:tc>
      </w:tr>
      <w:tr w:rsidR="002852A8" w:rsidRPr="00D13040" w:rsidTr="000E72B6">
        <w:trPr>
          <w:trHeight w:val="250"/>
          <w:jc w:val="center"/>
        </w:trPr>
        <w:tc>
          <w:tcPr>
            <w:tcW w:w="419" w:type="pct"/>
            <w:tcBorders>
              <w:top w:val="single" w:sz="4" w:space="0" w:color="auto"/>
              <w:left w:val="single" w:sz="4" w:space="0" w:color="auto"/>
              <w:bottom w:val="single" w:sz="4" w:space="0" w:color="auto"/>
              <w:right w:val="nil"/>
            </w:tcBorders>
          </w:tcPr>
          <w:p w:rsidR="002852A8" w:rsidRPr="00D13040" w:rsidRDefault="002852A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p>
        </w:tc>
        <w:tc>
          <w:tcPr>
            <w:tcW w:w="2182" w:type="pct"/>
            <w:gridSpan w:val="2"/>
            <w:tcBorders>
              <w:top w:val="single" w:sz="4" w:space="0" w:color="auto"/>
              <w:left w:val="nil"/>
              <w:bottom w:val="single" w:sz="4" w:space="0" w:color="auto"/>
              <w:right w:val="single" w:sz="4" w:space="0" w:color="auto"/>
            </w:tcBorders>
          </w:tcPr>
          <w:p w:rsidR="002852A8" w:rsidRPr="00D13040" w:rsidRDefault="002852A8" w:rsidP="004E5419">
            <w:pPr>
              <w:tabs>
                <w:tab w:val="left" w:pos="-717"/>
                <w:tab w:val="left" w:pos="5042"/>
                <w:tab w:val="left" w:pos="5762"/>
                <w:tab w:val="left" w:pos="6482"/>
                <w:tab w:val="left" w:pos="7202"/>
                <w:tab w:val="left" w:pos="7922"/>
              </w:tabs>
              <w:ind w:right="2052"/>
              <w:jc w:val="left"/>
              <w:rPr>
                <w:sz w:val="20"/>
                <w:szCs w:val="20"/>
              </w:rPr>
            </w:pPr>
            <w:r w:rsidRPr="00D13040">
              <w:rPr>
                <w:sz w:val="20"/>
                <w:szCs w:val="20"/>
              </w:rPr>
              <w:t>Servicing sector</w:t>
            </w:r>
          </w:p>
        </w:tc>
        <w:tc>
          <w:tcPr>
            <w:tcW w:w="923" w:type="pct"/>
            <w:tcBorders>
              <w:top w:val="single" w:sz="4" w:space="0" w:color="auto"/>
              <w:left w:val="single" w:sz="4" w:space="0" w:color="auto"/>
              <w:bottom w:val="single" w:sz="4" w:space="0" w:color="auto"/>
              <w:right w:val="single" w:sz="4" w:space="0" w:color="auto"/>
            </w:tcBorders>
          </w:tcPr>
          <w:p w:rsidR="002852A8" w:rsidRPr="00D13040" w:rsidRDefault="002852A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160,000</w:t>
            </w:r>
          </w:p>
        </w:tc>
        <w:tc>
          <w:tcPr>
            <w:tcW w:w="1476" w:type="pct"/>
            <w:tcBorders>
              <w:top w:val="single" w:sz="4" w:space="0" w:color="auto"/>
              <w:left w:val="single" w:sz="4" w:space="0" w:color="auto"/>
              <w:bottom w:val="single" w:sz="4" w:space="0" w:color="auto"/>
              <w:right w:val="single" w:sz="4" w:space="0" w:color="auto"/>
            </w:tcBorders>
          </w:tcPr>
          <w:p w:rsidR="002852A8" w:rsidRPr="00D13040" w:rsidRDefault="002852A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N/A</w:t>
            </w:r>
          </w:p>
        </w:tc>
      </w:tr>
      <w:tr w:rsidR="004907E8" w:rsidRPr="00D13040" w:rsidTr="000E72B6">
        <w:trPr>
          <w:trHeight w:val="250"/>
          <w:jc w:val="center"/>
        </w:trPr>
        <w:tc>
          <w:tcPr>
            <w:tcW w:w="419" w:type="pct"/>
            <w:tcBorders>
              <w:top w:val="single" w:sz="4" w:space="0" w:color="auto"/>
              <w:left w:val="single" w:sz="4" w:space="0" w:color="auto"/>
              <w:bottom w:val="single" w:sz="4" w:space="0" w:color="auto"/>
              <w:right w:val="nil"/>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p>
        </w:tc>
        <w:tc>
          <w:tcPr>
            <w:tcW w:w="2182" w:type="pct"/>
            <w:gridSpan w:val="2"/>
            <w:tcBorders>
              <w:top w:val="single" w:sz="4" w:space="0" w:color="auto"/>
              <w:left w:val="nil"/>
              <w:bottom w:val="single" w:sz="4" w:space="0" w:color="auto"/>
              <w:right w:val="single" w:sz="4" w:space="0" w:color="auto"/>
            </w:tcBorders>
          </w:tcPr>
          <w:p w:rsidR="004907E8" w:rsidRPr="00D13040" w:rsidRDefault="004907E8" w:rsidP="004E5419">
            <w:pPr>
              <w:tabs>
                <w:tab w:val="left" w:pos="-717"/>
                <w:tab w:val="left" w:pos="5042"/>
                <w:tab w:val="left" w:pos="5762"/>
                <w:tab w:val="left" w:pos="6482"/>
                <w:tab w:val="left" w:pos="7202"/>
                <w:tab w:val="left" w:pos="7922"/>
              </w:tabs>
              <w:ind w:right="2052"/>
              <w:jc w:val="left"/>
              <w:rPr>
                <w:sz w:val="20"/>
                <w:szCs w:val="20"/>
              </w:rPr>
            </w:pPr>
            <w:r w:rsidRPr="00D13040">
              <w:rPr>
                <w:sz w:val="20"/>
                <w:szCs w:val="20"/>
              </w:rPr>
              <w:t xml:space="preserve">Total project cost: </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2852A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1,320,678</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2,285,932</w:t>
            </w:r>
          </w:p>
        </w:tc>
      </w:tr>
      <w:tr w:rsidR="004907E8" w:rsidRPr="00D13040" w:rsidTr="000E72B6">
        <w:trPr>
          <w:trHeight w:val="262"/>
          <w:jc w:val="center"/>
        </w:trPr>
        <w:tc>
          <w:tcPr>
            <w:tcW w:w="2601" w:type="pct"/>
            <w:gridSpan w:val="3"/>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r w:rsidRPr="00D13040">
              <w:rPr>
                <w:sz w:val="20"/>
                <w:szCs w:val="20"/>
              </w:rPr>
              <w:t>Local ownership (%):</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100</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100</w:t>
            </w:r>
          </w:p>
        </w:tc>
      </w:tr>
      <w:tr w:rsidR="004907E8" w:rsidRPr="00D13040" w:rsidTr="000E72B6">
        <w:trPr>
          <w:trHeight w:val="239"/>
          <w:jc w:val="center"/>
        </w:trPr>
        <w:tc>
          <w:tcPr>
            <w:tcW w:w="2601" w:type="pct"/>
            <w:gridSpan w:val="3"/>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r w:rsidRPr="00D13040">
              <w:rPr>
                <w:sz w:val="20"/>
                <w:szCs w:val="20"/>
              </w:rPr>
              <w:t>Export component (%):</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0</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szCs w:val="20"/>
              </w:rPr>
            </w:pPr>
            <w:r w:rsidRPr="00D13040">
              <w:rPr>
                <w:sz w:val="20"/>
                <w:szCs w:val="20"/>
              </w:rPr>
              <w:t>0</w:t>
            </w:r>
          </w:p>
        </w:tc>
      </w:tr>
      <w:tr w:rsidR="004907E8" w:rsidRPr="00D13040" w:rsidTr="000E72B6">
        <w:trPr>
          <w:trHeight w:val="250"/>
          <w:jc w:val="center"/>
        </w:trPr>
        <w:tc>
          <w:tcPr>
            <w:tcW w:w="2601" w:type="pct"/>
            <w:gridSpan w:val="3"/>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r w:rsidRPr="00D13040">
              <w:rPr>
                <w:sz w:val="20"/>
                <w:szCs w:val="20"/>
              </w:rPr>
              <w:t>Requested grant (US $):</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1,320,678</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1,810,932</w:t>
            </w:r>
          </w:p>
        </w:tc>
      </w:tr>
      <w:tr w:rsidR="002852A8" w:rsidRPr="00D13040" w:rsidTr="002852A8">
        <w:trPr>
          <w:trHeight w:val="182"/>
          <w:jc w:val="center"/>
        </w:trPr>
        <w:tc>
          <w:tcPr>
            <w:tcW w:w="1537" w:type="pct"/>
            <w:gridSpan w:val="2"/>
            <w:vMerge w:val="restart"/>
            <w:tcBorders>
              <w:top w:val="single" w:sz="4" w:space="0" w:color="auto"/>
              <w:left w:val="single" w:sz="4" w:space="0" w:color="auto"/>
              <w:right w:val="single" w:sz="4" w:space="0" w:color="auto"/>
            </w:tcBorders>
          </w:tcPr>
          <w:p w:rsidR="002852A8" w:rsidRPr="00D13040" w:rsidRDefault="002852A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r w:rsidRPr="00D13040">
              <w:rPr>
                <w:sz w:val="20"/>
                <w:szCs w:val="20"/>
              </w:rPr>
              <w:t>Cost-effectiveness (US $/kg):</w:t>
            </w:r>
          </w:p>
        </w:tc>
        <w:tc>
          <w:tcPr>
            <w:tcW w:w="1064" w:type="pct"/>
            <w:tcBorders>
              <w:top w:val="single" w:sz="4" w:space="0" w:color="auto"/>
              <w:left w:val="single" w:sz="4" w:space="0" w:color="auto"/>
              <w:bottom w:val="single" w:sz="4" w:space="0" w:color="auto"/>
              <w:right w:val="single" w:sz="4" w:space="0" w:color="auto"/>
            </w:tcBorders>
          </w:tcPr>
          <w:p w:rsidR="002852A8" w:rsidRPr="00D13040" w:rsidRDefault="002852A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r w:rsidRPr="00D13040">
              <w:rPr>
                <w:sz w:val="20"/>
                <w:szCs w:val="20"/>
              </w:rPr>
              <w:t>Manufacturing</w:t>
            </w:r>
          </w:p>
        </w:tc>
        <w:tc>
          <w:tcPr>
            <w:tcW w:w="923" w:type="pct"/>
            <w:tcBorders>
              <w:top w:val="single" w:sz="4" w:space="0" w:color="auto"/>
              <w:left w:val="single" w:sz="4" w:space="0" w:color="auto"/>
              <w:right w:val="single" w:sz="4" w:space="0" w:color="auto"/>
            </w:tcBorders>
          </w:tcPr>
          <w:p w:rsidR="002852A8" w:rsidRPr="00D13040" w:rsidRDefault="002852A8" w:rsidP="004E5419">
            <w:pPr>
              <w:jc w:val="right"/>
              <w:rPr>
                <w:sz w:val="20"/>
                <w:szCs w:val="20"/>
              </w:rPr>
            </w:pPr>
            <w:r w:rsidRPr="00D13040">
              <w:rPr>
                <w:sz w:val="20"/>
                <w:szCs w:val="20"/>
              </w:rPr>
              <w:t>5.88</w:t>
            </w:r>
          </w:p>
        </w:tc>
        <w:tc>
          <w:tcPr>
            <w:tcW w:w="1476" w:type="pct"/>
            <w:vMerge w:val="restart"/>
            <w:tcBorders>
              <w:top w:val="single" w:sz="4" w:space="0" w:color="auto"/>
              <w:left w:val="single" w:sz="4" w:space="0" w:color="auto"/>
              <w:right w:val="single" w:sz="4" w:space="0" w:color="auto"/>
            </w:tcBorders>
          </w:tcPr>
          <w:p w:rsidR="002852A8" w:rsidRPr="00D13040" w:rsidRDefault="002852A8" w:rsidP="004E5419">
            <w:pPr>
              <w:jc w:val="right"/>
              <w:rPr>
                <w:sz w:val="20"/>
                <w:szCs w:val="20"/>
              </w:rPr>
            </w:pPr>
            <w:r w:rsidRPr="00D13040">
              <w:rPr>
                <w:sz w:val="20"/>
                <w:szCs w:val="20"/>
              </w:rPr>
              <w:t>4.80</w:t>
            </w:r>
          </w:p>
        </w:tc>
      </w:tr>
      <w:tr w:rsidR="002852A8" w:rsidRPr="00D13040" w:rsidTr="002852A8">
        <w:trPr>
          <w:trHeight w:val="181"/>
          <w:jc w:val="center"/>
        </w:trPr>
        <w:tc>
          <w:tcPr>
            <w:tcW w:w="1537" w:type="pct"/>
            <w:gridSpan w:val="2"/>
            <w:vMerge/>
            <w:tcBorders>
              <w:left w:val="single" w:sz="4" w:space="0" w:color="auto"/>
              <w:bottom w:val="single" w:sz="4" w:space="0" w:color="auto"/>
              <w:right w:val="single" w:sz="4" w:space="0" w:color="auto"/>
            </w:tcBorders>
          </w:tcPr>
          <w:p w:rsidR="002852A8" w:rsidRPr="00D13040" w:rsidRDefault="002852A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p>
        </w:tc>
        <w:tc>
          <w:tcPr>
            <w:tcW w:w="1064" w:type="pct"/>
            <w:tcBorders>
              <w:top w:val="single" w:sz="4" w:space="0" w:color="auto"/>
              <w:left w:val="single" w:sz="4" w:space="0" w:color="auto"/>
              <w:bottom w:val="single" w:sz="4" w:space="0" w:color="auto"/>
              <w:right w:val="single" w:sz="4" w:space="0" w:color="auto"/>
            </w:tcBorders>
          </w:tcPr>
          <w:p w:rsidR="002852A8" w:rsidRPr="00D13040" w:rsidRDefault="002852A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r w:rsidRPr="00D13040">
              <w:rPr>
                <w:sz w:val="20"/>
                <w:szCs w:val="20"/>
              </w:rPr>
              <w:t>Servicing</w:t>
            </w:r>
          </w:p>
        </w:tc>
        <w:tc>
          <w:tcPr>
            <w:tcW w:w="923" w:type="pct"/>
            <w:tcBorders>
              <w:left w:val="single" w:sz="4" w:space="0" w:color="auto"/>
              <w:bottom w:val="single" w:sz="4" w:space="0" w:color="auto"/>
              <w:right w:val="single" w:sz="4" w:space="0" w:color="auto"/>
            </w:tcBorders>
          </w:tcPr>
          <w:p w:rsidR="002852A8" w:rsidRPr="00D13040" w:rsidRDefault="002852A8" w:rsidP="004E5419">
            <w:pPr>
              <w:jc w:val="right"/>
              <w:rPr>
                <w:sz w:val="20"/>
                <w:szCs w:val="20"/>
              </w:rPr>
            </w:pPr>
            <w:r w:rsidRPr="00D13040">
              <w:rPr>
                <w:sz w:val="20"/>
                <w:szCs w:val="20"/>
              </w:rPr>
              <w:t>4.8</w:t>
            </w:r>
          </w:p>
        </w:tc>
        <w:tc>
          <w:tcPr>
            <w:tcW w:w="1476" w:type="pct"/>
            <w:vMerge/>
            <w:tcBorders>
              <w:left w:val="single" w:sz="4" w:space="0" w:color="auto"/>
              <w:bottom w:val="single" w:sz="4" w:space="0" w:color="auto"/>
              <w:right w:val="single" w:sz="4" w:space="0" w:color="auto"/>
            </w:tcBorders>
          </w:tcPr>
          <w:p w:rsidR="002852A8" w:rsidRPr="00D13040" w:rsidRDefault="002852A8" w:rsidP="004E5419">
            <w:pPr>
              <w:jc w:val="right"/>
              <w:rPr>
                <w:sz w:val="20"/>
                <w:szCs w:val="20"/>
              </w:rPr>
            </w:pPr>
          </w:p>
        </w:tc>
      </w:tr>
      <w:tr w:rsidR="004907E8" w:rsidRPr="00D13040" w:rsidTr="000E72B6">
        <w:trPr>
          <w:trHeight w:val="239"/>
          <w:jc w:val="center"/>
        </w:trPr>
        <w:tc>
          <w:tcPr>
            <w:tcW w:w="2601" w:type="pct"/>
            <w:gridSpan w:val="3"/>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r w:rsidRPr="00D13040">
              <w:rPr>
                <w:sz w:val="20"/>
                <w:szCs w:val="20"/>
              </w:rPr>
              <w:t>Implementing agency support cost (US $):</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92,447</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126,765</w:t>
            </w:r>
          </w:p>
        </w:tc>
      </w:tr>
      <w:tr w:rsidR="004907E8" w:rsidRPr="00D13040" w:rsidTr="000E72B6">
        <w:trPr>
          <w:trHeight w:val="250"/>
          <w:jc w:val="center"/>
        </w:trPr>
        <w:tc>
          <w:tcPr>
            <w:tcW w:w="2601" w:type="pct"/>
            <w:gridSpan w:val="3"/>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r w:rsidRPr="00D13040">
              <w:rPr>
                <w:sz w:val="20"/>
                <w:szCs w:val="20"/>
              </w:rPr>
              <w:t>Total cost of project to Multilateral Fund (US $):</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1,413,125</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1,937,697</w:t>
            </w:r>
          </w:p>
        </w:tc>
      </w:tr>
      <w:tr w:rsidR="004907E8" w:rsidRPr="00D13040" w:rsidTr="000E72B6">
        <w:trPr>
          <w:trHeight w:val="239"/>
          <w:jc w:val="center"/>
        </w:trPr>
        <w:tc>
          <w:tcPr>
            <w:tcW w:w="2601" w:type="pct"/>
            <w:gridSpan w:val="3"/>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r w:rsidRPr="00D13040">
              <w:rPr>
                <w:sz w:val="20"/>
                <w:szCs w:val="20"/>
              </w:rPr>
              <w:t>Status of counterpart funding (Y/N):</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N/A</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Confirmed by UNDP</w:t>
            </w:r>
          </w:p>
        </w:tc>
      </w:tr>
      <w:tr w:rsidR="004907E8" w:rsidRPr="00D13040" w:rsidTr="000E72B6">
        <w:trPr>
          <w:trHeight w:val="250"/>
          <w:jc w:val="center"/>
        </w:trPr>
        <w:tc>
          <w:tcPr>
            <w:tcW w:w="2601" w:type="pct"/>
            <w:gridSpan w:val="3"/>
            <w:tcBorders>
              <w:top w:val="single" w:sz="4" w:space="0" w:color="auto"/>
              <w:left w:val="single" w:sz="4" w:space="0" w:color="auto"/>
              <w:bottom w:val="single" w:sz="4" w:space="0" w:color="auto"/>
              <w:right w:val="single" w:sz="4" w:space="0" w:color="auto"/>
            </w:tcBorders>
          </w:tcPr>
          <w:p w:rsidR="004907E8" w:rsidRPr="00D13040" w:rsidRDefault="004907E8"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szCs w:val="20"/>
              </w:rPr>
            </w:pPr>
            <w:r w:rsidRPr="00D13040">
              <w:rPr>
                <w:sz w:val="20"/>
                <w:szCs w:val="20"/>
              </w:rPr>
              <w:t>Project monitoring milestones included (Y/N):</w:t>
            </w:r>
          </w:p>
        </w:tc>
        <w:tc>
          <w:tcPr>
            <w:tcW w:w="923"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Y</w:t>
            </w:r>
          </w:p>
        </w:tc>
        <w:tc>
          <w:tcPr>
            <w:tcW w:w="1476" w:type="pct"/>
            <w:tcBorders>
              <w:top w:val="single" w:sz="4" w:space="0" w:color="auto"/>
              <w:left w:val="single" w:sz="4" w:space="0" w:color="auto"/>
              <w:bottom w:val="single" w:sz="4" w:space="0" w:color="auto"/>
              <w:right w:val="single" w:sz="4" w:space="0" w:color="auto"/>
            </w:tcBorders>
          </w:tcPr>
          <w:p w:rsidR="004907E8" w:rsidRPr="00D13040" w:rsidRDefault="004907E8" w:rsidP="004E5419">
            <w:pPr>
              <w:jc w:val="right"/>
              <w:rPr>
                <w:sz w:val="20"/>
                <w:szCs w:val="20"/>
              </w:rPr>
            </w:pPr>
            <w:r w:rsidRPr="00D13040">
              <w:rPr>
                <w:sz w:val="20"/>
                <w:szCs w:val="20"/>
              </w:rPr>
              <w:t>Y</w:t>
            </w:r>
          </w:p>
        </w:tc>
      </w:tr>
    </w:tbl>
    <w:p w:rsidR="00C570D7" w:rsidRPr="00D13040" w:rsidRDefault="00C570D7" w:rsidP="004E5419">
      <w:pPr>
        <w:rPr>
          <w:sz w:val="20"/>
        </w:rPr>
      </w:pPr>
    </w:p>
    <w:tbl>
      <w:tblPr>
        <w:tblW w:w="9551"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1"/>
        <w:gridCol w:w="4820"/>
      </w:tblGrid>
      <w:tr w:rsidR="00C570D7" w:rsidRPr="00D13040" w:rsidTr="004907E8">
        <w:trPr>
          <w:trHeight w:val="296"/>
          <w:jc w:val="center"/>
        </w:trPr>
        <w:tc>
          <w:tcPr>
            <w:tcW w:w="4731" w:type="dxa"/>
            <w:tcBorders>
              <w:top w:val="single" w:sz="4" w:space="0" w:color="auto"/>
              <w:left w:val="single" w:sz="4" w:space="0" w:color="auto"/>
              <w:bottom w:val="single" w:sz="4" w:space="0" w:color="auto"/>
              <w:right w:val="single" w:sz="4" w:space="0" w:color="auto"/>
            </w:tcBorders>
            <w:hideMark/>
          </w:tcPr>
          <w:p w:rsidR="00C570D7" w:rsidRPr="00D13040" w:rsidRDefault="00C570D7"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b/>
                <w:sz w:val="20"/>
              </w:rPr>
            </w:pPr>
            <w:r w:rsidRPr="00D13040">
              <w:rPr>
                <w:b/>
                <w:sz w:val="20"/>
              </w:rPr>
              <w:t>SECRETARIAT’S RECOMMENDATION</w:t>
            </w:r>
          </w:p>
        </w:tc>
        <w:tc>
          <w:tcPr>
            <w:tcW w:w="4820" w:type="dxa"/>
            <w:tcBorders>
              <w:top w:val="single" w:sz="4" w:space="0" w:color="auto"/>
              <w:left w:val="single" w:sz="4" w:space="0" w:color="auto"/>
              <w:bottom w:val="single" w:sz="4" w:space="0" w:color="auto"/>
              <w:right w:val="single" w:sz="4" w:space="0" w:color="auto"/>
            </w:tcBorders>
            <w:hideMark/>
          </w:tcPr>
          <w:p w:rsidR="00C570D7" w:rsidRPr="00D13040" w:rsidRDefault="00C570D7" w:rsidP="004E541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sz w:val="20"/>
              </w:rPr>
            </w:pPr>
            <w:r w:rsidRPr="00D13040">
              <w:rPr>
                <w:sz w:val="20"/>
              </w:rPr>
              <w:t>For individual consideration</w:t>
            </w:r>
          </w:p>
        </w:tc>
      </w:tr>
    </w:tbl>
    <w:p w:rsidR="008F5491" w:rsidRPr="00D13040" w:rsidRDefault="008F5491" w:rsidP="004E5419">
      <w:pPr>
        <w:rPr>
          <w:sz w:val="20"/>
        </w:rPr>
      </w:pPr>
    </w:p>
    <w:p w:rsidR="00862A02" w:rsidRPr="00D13040" w:rsidRDefault="00862A02" w:rsidP="004E5419">
      <w:pPr>
        <w:rPr>
          <w:sz w:val="20"/>
        </w:rPr>
      </w:pPr>
    </w:p>
    <w:p w:rsidR="004907E8" w:rsidRPr="00D13040" w:rsidRDefault="004907E8" w:rsidP="004E5419">
      <w:pPr>
        <w:pStyle w:val="StyleHeader4Para4Left0Firstline0"/>
        <w:keepNext/>
        <w:widowControl/>
        <w:numPr>
          <w:ilvl w:val="0"/>
          <w:numId w:val="0"/>
        </w:numPr>
        <w:jc w:val="center"/>
        <w:rPr>
          <w:b/>
          <w:sz w:val="22"/>
        </w:rPr>
      </w:pPr>
      <w:r w:rsidRPr="00D13040">
        <w:rPr>
          <w:b/>
          <w:sz w:val="22"/>
        </w:rPr>
        <w:br w:type="page"/>
      </w:r>
    </w:p>
    <w:p w:rsidR="008C5738" w:rsidRPr="00D13040" w:rsidRDefault="007E0ABA" w:rsidP="004E5419">
      <w:pPr>
        <w:pStyle w:val="StyleHeader4Para4Left0Firstline0"/>
        <w:keepNext/>
        <w:widowControl/>
        <w:numPr>
          <w:ilvl w:val="0"/>
          <w:numId w:val="0"/>
        </w:numPr>
        <w:jc w:val="center"/>
        <w:rPr>
          <w:b/>
          <w:sz w:val="22"/>
        </w:rPr>
      </w:pPr>
      <w:r w:rsidRPr="00D13040">
        <w:rPr>
          <w:b/>
          <w:sz w:val="22"/>
        </w:rPr>
        <w:lastRenderedPageBreak/>
        <w:t>PROJECT DESCRIPTION</w:t>
      </w:r>
    </w:p>
    <w:p w:rsidR="00B97F7B" w:rsidRPr="00D13040" w:rsidRDefault="007E0ABA" w:rsidP="004E5419">
      <w:pPr>
        <w:pStyle w:val="Heading1"/>
        <w:keepNext/>
      </w:pPr>
      <w:r w:rsidRPr="00D13040">
        <w:t>On behalf of the Government of Bangladesh, UNDP has submitted to the 79</w:t>
      </w:r>
      <w:r w:rsidRPr="00D13040">
        <w:rPr>
          <w:vertAlign w:val="superscript"/>
        </w:rPr>
        <w:t>th</w:t>
      </w:r>
      <w:r w:rsidR="00052A7E" w:rsidRPr="00D13040">
        <w:t xml:space="preserve"> </w:t>
      </w:r>
      <w:r w:rsidRPr="00D13040">
        <w:t xml:space="preserve">meeting a request for funding </w:t>
      </w:r>
      <w:r w:rsidR="003A3939" w:rsidRPr="00D13040">
        <w:t>the</w:t>
      </w:r>
      <w:r w:rsidRPr="00D13040">
        <w:t xml:space="preserve"> conversion of three domestic refrigerator manufacturing lines from HFC-134a to isobutane as a refrigerant</w:t>
      </w:r>
      <w:r w:rsidR="003A3939" w:rsidRPr="00D13040">
        <w:t>,</w:t>
      </w:r>
      <w:r w:rsidRPr="00D13040">
        <w:t xml:space="preserve"> </w:t>
      </w:r>
      <w:r w:rsidR="00285FF7" w:rsidRPr="00D13040">
        <w:t>at a total cost of US $</w:t>
      </w:r>
      <w:r w:rsidR="005D7C5D" w:rsidRPr="00D13040">
        <w:t>2,362,058</w:t>
      </w:r>
      <w:r w:rsidR="00285FF7" w:rsidRPr="00D13040">
        <w:t>, plus agency support costs of US $</w:t>
      </w:r>
      <w:r w:rsidR="005D7C5D" w:rsidRPr="00D13040">
        <w:t>165,344</w:t>
      </w:r>
      <w:r w:rsidR="00285FF7" w:rsidRPr="00D13040">
        <w:t xml:space="preserve">, </w:t>
      </w:r>
      <w:r w:rsidRPr="00D13040">
        <w:t xml:space="preserve">and </w:t>
      </w:r>
      <w:r w:rsidR="005D7C5D" w:rsidRPr="00D13040">
        <w:t xml:space="preserve">the conversion of a </w:t>
      </w:r>
      <w:r w:rsidRPr="00D13040">
        <w:t>compressor</w:t>
      </w:r>
      <w:r w:rsidR="005D7C5D" w:rsidRPr="00D13040">
        <w:t xml:space="preserve"> manufacturing facility from HFC-134a-based compressors to isobutane-based compressors </w:t>
      </w:r>
      <w:r w:rsidRPr="00D13040">
        <w:t>at Walton Hi-tec</w:t>
      </w:r>
      <w:r w:rsidR="00C639F3" w:rsidRPr="00D13040">
        <w:t>h Industries Limited (“Walton”)</w:t>
      </w:r>
      <w:r w:rsidRPr="00D13040">
        <w:t>, at a total cost of US</w:t>
      </w:r>
      <w:r w:rsidR="00F72C91" w:rsidRPr="00D13040">
        <w:t> </w:t>
      </w:r>
      <w:r w:rsidRPr="00D13040">
        <w:t>$</w:t>
      </w:r>
      <w:r w:rsidR="00B97F7B" w:rsidRPr="00D13040">
        <w:t>2,574,450</w:t>
      </w:r>
      <w:r w:rsidR="00C639F3" w:rsidRPr="00D13040">
        <w:t>,</w:t>
      </w:r>
      <w:r w:rsidR="00B97F7B" w:rsidRPr="00D13040">
        <w:t xml:space="preserve"> </w:t>
      </w:r>
      <w:r w:rsidR="007A0B4A" w:rsidRPr="00D13040">
        <w:t>plus agency support costs of US $</w:t>
      </w:r>
      <w:r w:rsidR="00B97F7B" w:rsidRPr="00D13040">
        <w:t>180</w:t>
      </w:r>
      <w:r w:rsidR="007A0B4A" w:rsidRPr="00D13040">
        <w:t>,</w:t>
      </w:r>
      <w:r w:rsidR="00B97F7B" w:rsidRPr="00D13040">
        <w:t>212</w:t>
      </w:r>
      <w:r w:rsidR="007A0B4A" w:rsidRPr="00D13040">
        <w:t>.</w:t>
      </w:r>
      <w:r w:rsidR="00E8215F" w:rsidRPr="00D13040">
        <w:t xml:space="preserve"> </w:t>
      </w:r>
    </w:p>
    <w:p w:rsidR="00E8215F" w:rsidRPr="00D13040" w:rsidRDefault="001E1E76" w:rsidP="004E5419">
      <w:pPr>
        <w:pStyle w:val="Heading1"/>
      </w:pPr>
      <w:r w:rsidRPr="00D13040">
        <w:t xml:space="preserve">The submission was accompanied by a letter </w:t>
      </w:r>
      <w:r w:rsidR="00FE142B" w:rsidRPr="00D13040">
        <w:t xml:space="preserve">dated 14 May 2017 </w:t>
      </w:r>
      <w:r w:rsidR="00B97F7B" w:rsidRPr="00D13040">
        <w:t>from the Government of Bangladesh committing</w:t>
      </w:r>
      <w:r w:rsidRPr="00D13040">
        <w:t xml:space="preserve"> </w:t>
      </w:r>
      <w:r w:rsidR="00B97F7B" w:rsidRPr="00D13040">
        <w:t xml:space="preserve">to </w:t>
      </w:r>
      <w:r w:rsidR="00D06D4B" w:rsidRPr="00D13040">
        <w:t>the ratification of</w:t>
      </w:r>
      <w:r w:rsidR="00B97F7B" w:rsidRPr="00D13040">
        <w:t xml:space="preserve"> the Kigali Amendment and </w:t>
      </w:r>
      <w:r w:rsidR="00D06D4B" w:rsidRPr="00D13040">
        <w:t xml:space="preserve">agreeing </w:t>
      </w:r>
      <w:r w:rsidR="00B97F7B" w:rsidRPr="00D13040">
        <w:t xml:space="preserve">that no further funding would be available </w:t>
      </w:r>
      <w:r w:rsidR="00FE142B" w:rsidRPr="00D13040">
        <w:t xml:space="preserve">from the Fund </w:t>
      </w:r>
      <w:r w:rsidR="00B97F7B" w:rsidRPr="00D13040">
        <w:t>until the instrument of ratification had been received by the depositary at the Headquarters of the United Nations in New York; and that any amount of HFC reduced as a result of the project would be deducted from the starting point</w:t>
      </w:r>
      <w:r w:rsidR="00FE142B" w:rsidRPr="00D13040">
        <w:t>,</w:t>
      </w:r>
      <w:r w:rsidR="00B97F7B" w:rsidRPr="00D13040">
        <w:t xml:space="preserve"> in line with decision 78/3(g).</w:t>
      </w:r>
      <w:r w:rsidR="00E8215F" w:rsidRPr="00D13040">
        <w:t xml:space="preserve"> </w:t>
      </w:r>
      <w:r w:rsidR="00D06D4B" w:rsidRPr="00D13040">
        <w:t xml:space="preserve"> </w:t>
      </w:r>
      <w:r w:rsidR="004E5419">
        <w:t>The Secretariat also notes with appreciation that this proposal was submitted without preparation funding.</w:t>
      </w:r>
    </w:p>
    <w:p w:rsidR="007E0ABA" w:rsidRPr="00D13040" w:rsidRDefault="00F72C91" w:rsidP="004E5419">
      <w:pPr>
        <w:pStyle w:val="Heading1"/>
        <w:numPr>
          <w:ilvl w:val="0"/>
          <w:numId w:val="0"/>
        </w:numPr>
        <w:rPr>
          <w:u w:val="single"/>
        </w:rPr>
      </w:pPr>
      <w:r w:rsidRPr="00D13040">
        <w:rPr>
          <w:u w:val="single"/>
        </w:rPr>
        <w:t>HFC c</w:t>
      </w:r>
      <w:r w:rsidR="007E0ABA" w:rsidRPr="00D13040">
        <w:rPr>
          <w:u w:val="single"/>
        </w:rPr>
        <w:t>onsumption</w:t>
      </w:r>
      <w:r w:rsidR="00E37F63" w:rsidRPr="00D13040">
        <w:rPr>
          <w:u w:val="single"/>
        </w:rPr>
        <w:t xml:space="preserve"> in Bangladesh</w:t>
      </w:r>
    </w:p>
    <w:p w:rsidR="008C5738" w:rsidRPr="00D13040" w:rsidRDefault="00D06D4B" w:rsidP="004E5419">
      <w:pPr>
        <w:pStyle w:val="Heading1"/>
      </w:pPr>
      <w:r w:rsidRPr="00D13040">
        <w:t>Table 1</w:t>
      </w:r>
      <w:r w:rsidR="007E0ABA" w:rsidRPr="00D13040">
        <w:t xml:space="preserve"> presents a summary of HFC consumption </w:t>
      </w:r>
      <w:r w:rsidR="00E37F63" w:rsidRPr="00D13040">
        <w:t>in Bangladesh as pr</w:t>
      </w:r>
      <w:r w:rsidR="006828D0" w:rsidRPr="00D13040">
        <w:t xml:space="preserve">ovided in the project proposal. The country also received funds to </w:t>
      </w:r>
      <w:r w:rsidR="00FE142B" w:rsidRPr="00D13040">
        <w:t>conduct</w:t>
      </w:r>
      <w:r w:rsidR="006828D0" w:rsidRPr="00D13040">
        <w:t xml:space="preserve"> a survey on ODS alternatives, the report of which </w:t>
      </w:r>
      <w:r w:rsidR="00FE142B" w:rsidRPr="00D13040">
        <w:t>has been</w:t>
      </w:r>
      <w:r w:rsidR="006828D0" w:rsidRPr="00D13040">
        <w:t xml:space="preserve"> submitted </w:t>
      </w:r>
      <w:r w:rsidR="00FE142B" w:rsidRPr="00D13040">
        <w:t>to</w:t>
      </w:r>
      <w:r w:rsidR="006828D0" w:rsidRPr="00D13040">
        <w:t xml:space="preserve"> the 79</w:t>
      </w:r>
      <w:r w:rsidR="006828D0" w:rsidRPr="00D13040">
        <w:rPr>
          <w:vertAlign w:val="superscript"/>
        </w:rPr>
        <w:t>th</w:t>
      </w:r>
      <w:r w:rsidR="006828D0" w:rsidRPr="00D13040">
        <w:t xml:space="preserve"> meeting. </w:t>
      </w:r>
    </w:p>
    <w:p w:rsidR="007E0ABA" w:rsidRPr="00D13040" w:rsidRDefault="007E0ABA" w:rsidP="004E5419">
      <w:pPr>
        <w:pStyle w:val="StyleHeader4Para4Left0Firstline0"/>
        <w:numPr>
          <w:ilvl w:val="0"/>
          <w:numId w:val="0"/>
        </w:numPr>
        <w:spacing w:after="0"/>
        <w:rPr>
          <w:b/>
          <w:sz w:val="22"/>
        </w:rPr>
      </w:pPr>
      <w:proofErr w:type="gramStart"/>
      <w:r w:rsidRPr="00D13040">
        <w:rPr>
          <w:b/>
          <w:sz w:val="22"/>
        </w:rPr>
        <w:t>Table 1.</w:t>
      </w:r>
      <w:proofErr w:type="gramEnd"/>
      <w:r w:rsidRPr="00D13040">
        <w:rPr>
          <w:b/>
          <w:sz w:val="22"/>
        </w:rPr>
        <w:t xml:space="preserve"> HFC consumption in Bangladesh </w:t>
      </w:r>
      <w:r w:rsidR="0010138F" w:rsidRPr="00D13040">
        <w:rPr>
          <w:b/>
          <w:sz w:val="22"/>
        </w:rPr>
        <w:t>in</w:t>
      </w:r>
      <w:r w:rsidRPr="00D13040">
        <w:rPr>
          <w:b/>
          <w:sz w:val="22"/>
        </w:rPr>
        <w:t xml:space="preserve"> 201</w:t>
      </w:r>
      <w:r w:rsidR="00D06D4B" w:rsidRPr="00D13040">
        <w:rPr>
          <w:b/>
          <w:sz w:val="22"/>
        </w:rPr>
        <w:t>5</w:t>
      </w:r>
      <w:r w:rsidR="0095085F" w:rsidRPr="00D13040">
        <w:rPr>
          <w:b/>
          <w:sz w:val="22"/>
        </w:rPr>
        <w:t xml:space="preserve"> </w:t>
      </w:r>
      <w:r w:rsidR="0010138F" w:rsidRPr="00D13040">
        <w:rPr>
          <w:b/>
          <w:sz w:val="22"/>
        </w:rPr>
        <w:t xml:space="preserve">(metric tonnes </w:t>
      </w:r>
      <w:r w:rsidR="0095085F" w:rsidRPr="00D13040">
        <w:rPr>
          <w:b/>
          <w:sz w:val="22"/>
        </w:rPr>
        <w:t>(mt)</w:t>
      </w:r>
      <w:r w:rsidR="0010138F" w:rsidRPr="00D13040">
        <w:rPr>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67"/>
        <w:gridCol w:w="1016"/>
        <w:gridCol w:w="1016"/>
        <w:gridCol w:w="916"/>
        <w:gridCol w:w="915"/>
        <w:gridCol w:w="915"/>
        <w:gridCol w:w="1266"/>
      </w:tblGrid>
      <w:tr w:rsidR="007E0ABA" w:rsidRPr="00D13040" w:rsidTr="001271E9">
        <w:trPr>
          <w:trHeight w:val="227"/>
          <w:tblHeader/>
        </w:trPr>
        <w:tc>
          <w:tcPr>
            <w:tcW w:w="1182" w:type="pct"/>
            <w:shd w:val="clear" w:color="auto" w:fill="auto"/>
            <w:vAlign w:val="center"/>
            <w:hideMark/>
          </w:tcPr>
          <w:p w:rsidR="007E0ABA" w:rsidRPr="00D13040" w:rsidRDefault="007E0ABA" w:rsidP="004E5419">
            <w:pPr>
              <w:jc w:val="center"/>
              <w:rPr>
                <w:b/>
                <w:bCs/>
                <w:color w:val="000000"/>
                <w:sz w:val="20"/>
                <w:szCs w:val="20"/>
                <w:lang w:val="en-CA" w:eastAsia="en-CA"/>
              </w:rPr>
            </w:pPr>
            <w:r w:rsidRPr="00D13040">
              <w:rPr>
                <w:b/>
                <w:bCs/>
                <w:color w:val="000000"/>
                <w:sz w:val="20"/>
                <w:szCs w:val="20"/>
                <w:lang w:val="en-US" w:eastAsia="en-CA"/>
              </w:rPr>
              <w:t>Sectors</w:t>
            </w:r>
          </w:p>
        </w:tc>
        <w:tc>
          <w:tcPr>
            <w:tcW w:w="661" w:type="pct"/>
            <w:shd w:val="clear" w:color="auto" w:fill="auto"/>
            <w:vAlign w:val="center"/>
            <w:hideMark/>
          </w:tcPr>
          <w:p w:rsidR="007E0ABA" w:rsidRPr="00D13040" w:rsidRDefault="007E0ABA" w:rsidP="004E5419">
            <w:pPr>
              <w:jc w:val="center"/>
              <w:rPr>
                <w:b/>
                <w:bCs/>
                <w:color w:val="000000"/>
                <w:sz w:val="20"/>
                <w:szCs w:val="20"/>
                <w:lang w:val="en-CA" w:eastAsia="en-CA"/>
              </w:rPr>
            </w:pPr>
            <w:r w:rsidRPr="00D13040">
              <w:rPr>
                <w:b/>
                <w:bCs/>
                <w:color w:val="000000"/>
                <w:sz w:val="20"/>
                <w:szCs w:val="20"/>
                <w:lang w:val="en-US" w:eastAsia="en-CA"/>
              </w:rPr>
              <w:t>HFC-134a</w:t>
            </w:r>
          </w:p>
        </w:tc>
        <w:tc>
          <w:tcPr>
            <w:tcW w:w="530" w:type="pct"/>
            <w:shd w:val="clear" w:color="auto" w:fill="auto"/>
            <w:vAlign w:val="center"/>
            <w:hideMark/>
          </w:tcPr>
          <w:p w:rsidR="007E0ABA" w:rsidRPr="00D13040" w:rsidRDefault="007E0ABA" w:rsidP="004E5419">
            <w:pPr>
              <w:jc w:val="center"/>
              <w:rPr>
                <w:b/>
                <w:bCs/>
                <w:color w:val="000000"/>
                <w:sz w:val="20"/>
                <w:szCs w:val="20"/>
                <w:lang w:val="en-CA" w:eastAsia="en-CA"/>
              </w:rPr>
            </w:pPr>
            <w:r w:rsidRPr="00D13040">
              <w:rPr>
                <w:b/>
                <w:bCs/>
                <w:color w:val="000000"/>
                <w:sz w:val="20"/>
                <w:szCs w:val="20"/>
                <w:lang w:val="en-US" w:eastAsia="en-CA"/>
              </w:rPr>
              <w:t>R-404A</w:t>
            </w:r>
          </w:p>
        </w:tc>
        <w:tc>
          <w:tcPr>
            <w:tcW w:w="530" w:type="pct"/>
            <w:shd w:val="clear" w:color="auto" w:fill="auto"/>
            <w:vAlign w:val="center"/>
            <w:hideMark/>
          </w:tcPr>
          <w:p w:rsidR="007E0ABA" w:rsidRPr="00D13040" w:rsidRDefault="007E0ABA" w:rsidP="004E5419">
            <w:pPr>
              <w:jc w:val="center"/>
              <w:rPr>
                <w:b/>
                <w:bCs/>
                <w:color w:val="000000"/>
                <w:sz w:val="20"/>
                <w:szCs w:val="20"/>
                <w:lang w:val="en-CA" w:eastAsia="en-CA"/>
              </w:rPr>
            </w:pPr>
            <w:r w:rsidRPr="00D13040">
              <w:rPr>
                <w:b/>
                <w:bCs/>
                <w:color w:val="000000"/>
                <w:sz w:val="20"/>
                <w:szCs w:val="20"/>
                <w:lang w:val="en-US" w:eastAsia="en-CA"/>
              </w:rPr>
              <w:t>R-410A</w:t>
            </w:r>
          </w:p>
        </w:tc>
        <w:tc>
          <w:tcPr>
            <w:tcW w:w="478" w:type="pct"/>
            <w:shd w:val="clear" w:color="auto" w:fill="auto"/>
            <w:vAlign w:val="center"/>
            <w:hideMark/>
          </w:tcPr>
          <w:p w:rsidR="007E0ABA" w:rsidRPr="00D13040" w:rsidRDefault="007E0ABA" w:rsidP="004E5419">
            <w:pPr>
              <w:jc w:val="center"/>
              <w:rPr>
                <w:b/>
                <w:bCs/>
                <w:color w:val="000000"/>
                <w:sz w:val="20"/>
                <w:szCs w:val="20"/>
                <w:lang w:val="en-CA" w:eastAsia="en-CA"/>
              </w:rPr>
            </w:pPr>
            <w:r w:rsidRPr="00D13040">
              <w:rPr>
                <w:b/>
                <w:bCs/>
                <w:color w:val="000000"/>
                <w:sz w:val="20"/>
                <w:szCs w:val="20"/>
                <w:lang w:val="en-US" w:eastAsia="en-CA"/>
              </w:rPr>
              <w:t>R-407C</w:t>
            </w:r>
          </w:p>
        </w:tc>
        <w:tc>
          <w:tcPr>
            <w:tcW w:w="478" w:type="pct"/>
            <w:shd w:val="clear" w:color="auto" w:fill="auto"/>
            <w:vAlign w:val="center"/>
            <w:hideMark/>
          </w:tcPr>
          <w:p w:rsidR="007E0ABA" w:rsidRPr="00D13040" w:rsidRDefault="007E0ABA" w:rsidP="004E5419">
            <w:pPr>
              <w:jc w:val="center"/>
              <w:rPr>
                <w:b/>
                <w:bCs/>
                <w:color w:val="000000"/>
                <w:sz w:val="20"/>
                <w:szCs w:val="20"/>
                <w:lang w:val="en-CA" w:eastAsia="en-CA"/>
              </w:rPr>
            </w:pPr>
            <w:r w:rsidRPr="00D13040">
              <w:rPr>
                <w:b/>
                <w:bCs/>
                <w:color w:val="000000"/>
                <w:sz w:val="20"/>
                <w:szCs w:val="20"/>
                <w:lang w:val="en-US" w:eastAsia="en-CA"/>
              </w:rPr>
              <w:t>HFC-227ea</w:t>
            </w:r>
          </w:p>
        </w:tc>
        <w:tc>
          <w:tcPr>
            <w:tcW w:w="478" w:type="pct"/>
            <w:shd w:val="clear" w:color="auto" w:fill="auto"/>
            <w:vAlign w:val="center"/>
            <w:hideMark/>
          </w:tcPr>
          <w:p w:rsidR="007E0ABA" w:rsidRPr="00D13040" w:rsidRDefault="007E0ABA" w:rsidP="004E5419">
            <w:pPr>
              <w:jc w:val="center"/>
              <w:rPr>
                <w:b/>
                <w:bCs/>
                <w:color w:val="000000"/>
                <w:sz w:val="20"/>
                <w:szCs w:val="20"/>
                <w:lang w:val="en-CA" w:eastAsia="en-CA"/>
              </w:rPr>
            </w:pPr>
            <w:r w:rsidRPr="00D13040">
              <w:rPr>
                <w:b/>
                <w:bCs/>
                <w:color w:val="000000"/>
                <w:sz w:val="20"/>
                <w:szCs w:val="20"/>
                <w:lang w:val="en-US" w:eastAsia="en-CA"/>
              </w:rPr>
              <w:t>HFC-32</w:t>
            </w:r>
          </w:p>
        </w:tc>
        <w:tc>
          <w:tcPr>
            <w:tcW w:w="661" w:type="pct"/>
            <w:shd w:val="clear" w:color="auto" w:fill="auto"/>
            <w:vAlign w:val="center"/>
            <w:hideMark/>
          </w:tcPr>
          <w:p w:rsidR="007E0ABA" w:rsidRPr="00D13040" w:rsidRDefault="007E0ABA" w:rsidP="004E5419">
            <w:pPr>
              <w:jc w:val="center"/>
              <w:rPr>
                <w:b/>
                <w:bCs/>
                <w:color w:val="000000"/>
                <w:sz w:val="20"/>
                <w:szCs w:val="20"/>
                <w:lang w:val="en-CA" w:eastAsia="en-CA"/>
              </w:rPr>
            </w:pPr>
            <w:r w:rsidRPr="00D13040">
              <w:rPr>
                <w:b/>
                <w:bCs/>
                <w:color w:val="000000"/>
                <w:sz w:val="20"/>
                <w:szCs w:val="20"/>
                <w:lang w:val="en-CA" w:eastAsia="en-CA"/>
              </w:rPr>
              <w:t>Total</w:t>
            </w:r>
          </w:p>
        </w:tc>
      </w:tr>
      <w:tr w:rsidR="007E0ABA" w:rsidRPr="00D13040" w:rsidTr="001271E9">
        <w:trPr>
          <w:trHeight w:val="227"/>
        </w:trPr>
        <w:tc>
          <w:tcPr>
            <w:tcW w:w="1182" w:type="pct"/>
            <w:shd w:val="clear" w:color="auto" w:fill="auto"/>
            <w:vAlign w:val="center"/>
            <w:hideMark/>
          </w:tcPr>
          <w:p w:rsidR="007E0ABA" w:rsidRPr="00D13040" w:rsidRDefault="007E0ABA" w:rsidP="004E5419">
            <w:pPr>
              <w:jc w:val="left"/>
              <w:rPr>
                <w:color w:val="000000"/>
                <w:sz w:val="20"/>
                <w:szCs w:val="20"/>
                <w:lang w:val="en-CA" w:eastAsia="en-CA"/>
              </w:rPr>
            </w:pPr>
            <w:r w:rsidRPr="00D13040">
              <w:rPr>
                <w:color w:val="000000"/>
                <w:sz w:val="20"/>
                <w:szCs w:val="20"/>
                <w:lang w:val="en-US" w:eastAsia="en-CA"/>
              </w:rPr>
              <w:t xml:space="preserve">Domestic </w:t>
            </w:r>
            <w:r w:rsidR="00D06D4B" w:rsidRPr="00D13040">
              <w:rPr>
                <w:color w:val="000000"/>
                <w:sz w:val="20"/>
                <w:szCs w:val="20"/>
                <w:lang w:val="en-US" w:eastAsia="en-CA"/>
              </w:rPr>
              <w:t>refrigerator manufacturing</w:t>
            </w:r>
          </w:p>
        </w:tc>
        <w:tc>
          <w:tcPr>
            <w:tcW w:w="661"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205.80</w:t>
            </w: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205.80</w:t>
            </w:r>
          </w:p>
        </w:tc>
      </w:tr>
      <w:tr w:rsidR="007E0ABA" w:rsidRPr="00D13040" w:rsidTr="001271E9">
        <w:trPr>
          <w:trHeight w:val="227"/>
        </w:trPr>
        <w:tc>
          <w:tcPr>
            <w:tcW w:w="1182" w:type="pct"/>
            <w:shd w:val="clear" w:color="auto" w:fill="auto"/>
            <w:vAlign w:val="center"/>
            <w:hideMark/>
          </w:tcPr>
          <w:p w:rsidR="007E0ABA" w:rsidRPr="00D13040" w:rsidRDefault="007E0ABA" w:rsidP="004E5419">
            <w:pPr>
              <w:jc w:val="left"/>
              <w:rPr>
                <w:color w:val="000000"/>
                <w:sz w:val="20"/>
                <w:szCs w:val="20"/>
                <w:lang w:val="en-CA" w:eastAsia="en-CA"/>
              </w:rPr>
            </w:pPr>
            <w:r w:rsidRPr="00D13040">
              <w:rPr>
                <w:color w:val="000000"/>
                <w:sz w:val="20"/>
                <w:szCs w:val="20"/>
                <w:lang w:val="en-US" w:eastAsia="en-CA"/>
              </w:rPr>
              <w:t xml:space="preserve">Commercial </w:t>
            </w:r>
            <w:r w:rsidR="00D06D4B" w:rsidRPr="00D13040">
              <w:rPr>
                <w:color w:val="000000"/>
                <w:sz w:val="20"/>
                <w:szCs w:val="20"/>
                <w:lang w:val="en-US" w:eastAsia="en-CA"/>
              </w:rPr>
              <w:t xml:space="preserve">refrigerator </w:t>
            </w:r>
            <w:r w:rsidRPr="00D13040">
              <w:rPr>
                <w:color w:val="000000"/>
                <w:sz w:val="20"/>
                <w:szCs w:val="20"/>
                <w:lang w:val="en-US" w:eastAsia="en-CA"/>
              </w:rPr>
              <w:t>manufacturing</w:t>
            </w:r>
          </w:p>
        </w:tc>
        <w:tc>
          <w:tcPr>
            <w:tcW w:w="661"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119.70</w:t>
            </w:r>
          </w:p>
        </w:tc>
        <w:tc>
          <w:tcPr>
            <w:tcW w:w="530"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3.50</w:t>
            </w: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123.20</w:t>
            </w:r>
          </w:p>
        </w:tc>
      </w:tr>
      <w:tr w:rsidR="007E0ABA" w:rsidRPr="00D13040" w:rsidTr="001271E9">
        <w:trPr>
          <w:trHeight w:val="227"/>
        </w:trPr>
        <w:tc>
          <w:tcPr>
            <w:tcW w:w="1182" w:type="pct"/>
            <w:shd w:val="clear" w:color="auto" w:fill="auto"/>
            <w:vAlign w:val="center"/>
            <w:hideMark/>
          </w:tcPr>
          <w:p w:rsidR="007E0ABA" w:rsidRPr="00D13040" w:rsidRDefault="007E0ABA" w:rsidP="004E5419">
            <w:pPr>
              <w:jc w:val="left"/>
              <w:rPr>
                <w:color w:val="000000"/>
                <w:sz w:val="20"/>
                <w:szCs w:val="20"/>
                <w:lang w:val="en-CA" w:eastAsia="en-CA"/>
              </w:rPr>
            </w:pPr>
            <w:r w:rsidRPr="00D13040">
              <w:rPr>
                <w:color w:val="000000"/>
                <w:sz w:val="20"/>
                <w:szCs w:val="20"/>
                <w:lang w:val="en-US" w:eastAsia="en-CA"/>
              </w:rPr>
              <w:t>Industrial refrigerator manufacturing</w:t>
            </w:r>
          </w:p>
        </w:tc>
        <w:tc>
          <w:tcPr>
            <w:tcW w:w="661" w:type="pct"/>
            <w:shd w:val="clear" w:color="auto" w:fill="auto"/>
            <w:hideMark/>
          </w:tcPr>
          <w:p w:rsidR="007E0ABA" w:rsidRPr="00D13040" w:rsidRDefault="007E0ABA" w:rsidP="004E5419">
            <w:pPr>
              <w:jc w:val="right"/>
              <w:rPr>
                <w:color w:val="000000"/>
                <w:sz w:val="20"/>
                <w:szCs w:val="20"/>
                <w:lang w:val="en-CA" w:eastAsia="en-CA"/>
              </w:rPr>
            </w:pP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530"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0.50</w:t>
            </w: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0.50</w:t>
            </w:r>
          </w:p>
        </w:tc>
      </w:tr>
      <w:tr w:rsidR="007E0ABA" w:rsidRPr="00D13040" w:rsidTr="001271E9">
        <w:trPr>
          <w:trHeight w:val="227"/>
        </w:trPr>
        <w:tc>
          <w:tcPr>
            <w:tcW w:w="1182" w:type="pct"/>
            <w:shd w:val="clear" w:color="auto" w:fill="auto"/>
            <w:vAlign w:val="center"/>
            <w:hideMark/>
          </w:tcPr>
          <w:p w:rsidR="007E0ABA" w:rsidRPr="00D13040" w:rsidRDefault="007E0ABA" w:rsidP="004E5419">
            <w:pPr>
              <w:jc w:val="left"/>
              <w:rPr>
                <w:color w:val="000000"/>
                <w:sz w:val="20"/>
                <w:szCs w:val="20"/>
                <w:lang w:val="en-CA" w:eastAsia="en-CA"/>
              </w:rPr>
            </w:pPr>
            <w:r w:rsidRPr="00D13040">
              <w:rPr>
                <w:color w:val="000000"/>
                <w:sz w:val="20"/>
                <w:szCs w:val="20"/>
                <w:lang w:val="en-US" w:eastAsia="en-CA"/>
              </w:rPr>
              <w:t>Transportation refrigeration</w:t>
            </w:r>
          </w:p>
        </w:tc>
        <w:tc>
          <w:tcPr>
            <w:tcW w:w="661"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3.18</w:t>
            </w: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530"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0.50</w:t>
            </w: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3.68</w:t>
            </w:r>
          </w:p>
        </w:tc>
      </w:tr>
      <w:tr w:rsidR="007E0ABA" w:rsidRPr="00D13040" w:rsidTr="001271E9">
        <w:trPr>
          <w:trHeight w:val="227"/>
        </w:trPr>
        <w:tc>
          <w:tcPr>
            <w:tcW w:w="1182" w:type="pct"/>
            <w:shd w:val="clear" w:color="auto" w:fill="auto"/>
            <w:vAlign w:val="center"/>
            <w:hideMark/>
          </w:tcPr>
          <w:p w:rsidR="007E0ABA" w:rsidRPr="00D13040" w:rsidRDefault="007E0ABA" w:rsidP="004E5419">
            <w:pPr>
              <w:jc w:val="left"/>
              <w:rPr>
                <w:color w:val="000000"/>
                <w:sz w:val="20"/>
                <w:szCs w:val="20"/>
                <w:lang w:val="en-CA" w:eastAsia="en-CA"/>
              </w:rPr>
            </w:pPr>
            <w:r w:rsidRPr="00D13040">
              <w:rPr>
                <w:color w:val="000000"/>
                <w:sz w:val="20"/>
                <w:szCs w:val="20"/>
                <w:lang w:val="en-US" w:eastAsia="en-CA"/>
              </w:rPr>
              <w:t xml:space="preserve">Residential </w:t>
            </w:r>
            <w:r w:rsidR="00D06D4B" w:rsidRPr="00D13040">
              <w:rPr>
                <w:color w:val="000000"/>
                <w:sz w:val="20"/>
                <w:szCs w:val="20"/>
                <w:lang w:val="en-US" w:eastAsia="en-CA"/>
              </w:rPr>
              <w:t xml:space="preserve">air-conditioner (AC) </w:t>
            </w:r>
            <w:r w:rsidRPr="00D13040">
              <w:rPr>
                <w:color w:val="000000"/>
                <w:sz w:val="20"/>
                <w:szCs w:val="20"/>
                <w:lang w:val="en-US" w:eastAsia="en-CA"/>
              </w:rPr>
              <w:t>manufacturing</w:t>
            </w:r>
          </w:p>
        </w:tc>
        <w:tc>
          <w:tcPr>
            <w:tcW w:w="661"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2.00</w:t>
            </w: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530"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2.00</w:t>
            </w:r>
          </w:p>
        </w:tc>
        <w:tc>
          <w:tcPr>
            <w:tcW w:w="478"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w:t>
            </w: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0.90</w:t>
            </w: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4.90</w:t>
            </w:r>
          </w:p>
        </w:tc>
      </w:tr>
      <w:tr w:rsidR="007E0ABA" w:rsidRPr="00D13040" w:rsidTr="001271E9">
        <w:trPr>
          <w:trHeight w:val="227"/>
        </w:trPr>
        <w:tc>
          <w:tcPr>
            <w:tcW w:w="1182" w:type="pct"/>
            <w:shd w:val="clear" w:color="auto" w:fill="auto"/>
            <w:vAlign w:val="center"/>
            <w:hideMark/>
          </w:tcPr>
          <w:p w:rsidR="007E0ABA" w:rsidRPr="00D13040" w:rsidRDefault="007E0ABA" w:rsidP="004E5419">
            <w:pPr>
              <w:jc w:val="left"/>
              <w:rPr>
                <w:color w:val="000000"/>
                <w:sz w:val="20"/>
                <w:szCs w:val="20"/>
                <w:lang w:val="en-CA" w:eastAsia="en-CA"/>
              </w:rPr>
            </w:pPr>
            <w:r w:rsidRPr="00D13040">
              <w:rPr>
                <w:color w:val="000000"/>
                <w:sz w:val="20"/>
                <w:szCs w:val="20"/>
                <w:lang w:val="en-US" w:eastAsia="en-CA"/>
              </w:rPr>
              <w:t>Commercial AC manufacturing</w:t>
            </w:r>
          </w:p>
        </w:tc>
        <w:tc>
          <w:tcPr>
            <w:tcW w:w="661"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3.00</w:t>
            </w: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530"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1.43</w:t>
            </w: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4.43</w:t>
            </w:r>
          </w:p>
        </w:tc>
      </w:tr>
      <w:tr w:rsidR="007E0ABA" w:rsidRPr="00D13040" w:rsidTr="001271E9">
        <w:trPr>
          <w:trHeight w:val="227"/>
        </w:trPr>
        <w:tc>
          <w:tcPr>
            <w:tcW w:w="1182" w:type="pct"/>
            <w:shd w:val="clear" w:color="auto" w:fill="auto"/>
            <w:vAlign w:val="center"/>
            <w:hideMark/>
          </w:tcPr>
          <w:p w:rsidR="007E0ABA" w:rsidRPr="00D13040" w:rsidRDefault="007E0ABA" w:rsidP="004E5419">
            <w:pPr>
              <w:jc w:val="left"/>
              <w:rPr>
                <w:color w:val="000000"/>
                <w:sz w:val="20"/>
                <w:szCs w:val="20"/>
                <w:lang w:val="en-CA" w:eastAsia="en-CA"/>
              </w:rPr>
            </w:pPr>
            <w:r w:rsidRPr="00D13040">
              <w:rPr>
                <w:color w:val="000000"/>
                <w:sz w:val="20"/>
                <w:szCs w:val="20"/>
                <w:lang w:val="en-US" w:eastAsia="en-CA"/>
              </w:rPr>
              <w:t>Industrial AC manufacturing</w:t>
            </w:r>
          </w:p>
        </w:tc>
        <w:tc>
          <w:tcPr>
            <w:tcW w:w="661" w:type="pct"/>
            <w:shd w:val="clear" w:color="auto" w:fill="auto"/>
            <w:hideMark/>
          </w:tcPr>
          <w:p w:rsidR="007E0ABA" w:rsidRPr="00D13040" w:rsidRDefault="007E0ABA" w:rsidP="004E5419">
            <w:pPr>
              <w:jc w:val="right"/>
              <w:rPr>
                <w:color w:val="000000"/>
                <w:sz w:val="20"/>
                <w:szCs w:val="20"/>
                <w:lang w:val="en-CA" w:eastAsia="en-CA"/>
              </w:rPr>
            </w:pPr>
          </w:p>
        </w:tc>
        <w:tc>
          <w:tcPr>
            <w:tcW w:w="530"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0.50</w:t>
            </w:r>
          </w:p>
        </w:tc>
        <w:tc>
          <w:tcPr>
            <w:tcW w:w="530"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4.00</w:t>
            </w:r>
          </w:p>
        </w:tc>
        <w:tc>
          <w:tcPr>
            <w:tcW w:w="478"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1.10</w:t>
            </w: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5.60</w:t>
            </w:r>
          </w:p>
        </w:tc>
      </w:tr>
      <w:tr w:rsidR="007E0ABA" w:rsidRPr="00D13040" w:rsidTr="001271E9">
        <w:trPr>
          <w:trHeight w:val="227"/>
        </w:trPr>
        <w:tc>
          <w:tcPr>
            <w:tcW w:w="1182" w:type="pct"/>
            <w:shd w:val="clear" w:color="auto" w:fill="auto"/>
            <w:vAlign w:val="center"/>
            <w:hideMark/>
          </w:tcPr>
          <w:p w:rsidR="007E0ABA" w:rsidRPr="00D13040" w:rsidRDefault="007E0ABA" w:rsidP="004E5419">
            <w:pPr>
              <w:jc w:val="left"/>
              <w:rPr>
                <w:color w:val="000000"/>
                <w:sz w:val="20"/>
                <w:szCs w:val="20"/>
                <w:lang w:val="en-CA" w:eastAsia="en-CA"/>
              </w:rPr>
            </w:pPr>
            <w:r w:rsidRPr="00D13040">
              <w:rPr>
                <w:color w:val="000000"/>
                <w:sz w:val="20"/>
                <w:szCs w:val="20"/>
                <w:lang w:val="en-US" w:eastAsia="en-CA"/>
              </w:rPr>
              <w:t>Mobile AC</w:t>
            </w:r>
          </w:p>
        </w:tc>
        <w:tc>
          <w:tcPr>
            <w:tcW w:w="661"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7.79</w:t>
            </w:r>
          </w:p>
        </w:tc>
        <w:tc>
          <w:tcPr>
            <w:tcW w:w="530"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0.35</w:t>
            </w: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8.14</w:t>
            </w:r>
          </w:p>
        </w:tc>
      </w:tr>
      <w:tr w:rsidR="007E0ABA" w:rsidRPr="00D13040" w:rsidTr="001271E9">
        <w:trPr>
          <w:trHeight w:val="227"/>
        </w:trPr>
        <w:tc>
          <w:tcPr>
            <w:tcW w:w="1182" w:type="pct"/>
            <w:shd w:val="clear" w:color="auto" w:fill="auto"/>
            <w:vAlign w:val="center"/>
            <w:hideMark/>
          </w:tcPr>
          <w:p w:rsidR="007E0ABA" w:rsidRPr="00D13040" w:rsidRDefault="007E0ABA" w:rsidP="004E5419">
            <w:pPr>
              <w:jc w:val="left"/>
              <w:rPr>
                <w:color w:val="000000"/>
                <w:sz w:val="20"/>
                <w:szCs w:val="20"/>
                <w:lang w:val="en-CA" w:eastAsia="en-CA"/>
              </w:rPr>
            </w:pPr>
            <w:r w:rsidRPr="00D13040">
              <w:rPr>
                <w:color w:val="000000"/>
                <w:sz w:val="20"/>
                <w:szCs w:val="20"/>
                <w:lang w:val="en-US" w:eastAsia="en-CA"/>
              </w:rPr>
              <w:t xml:space="preserve">Aerosol </w:t>
            </w:r>
          </w:p>
        </w:tc>
        <w:tc>
          <w:tcPr>
            <w:tcW w:w="661"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140.10</w:t>
            </w: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140.10</w:t>
            </w:r>
          </w:p>
        </w:tc>
      </w:tr>
      <w:tr w:rsidR="007E0ABA" w:rsidRPr="00D13040" w:rsidTr="001271E9">
        <w:trPr>
          <w:trHeight w:val="227"/>
        </w:trPr>
        <w:tc>
          <w:tcPr>
            <w:tcW w:w="1182" w:type="pct"/>
            <w:shd w:val="clear" w:color="auto" w:fill="auto"/>
            <w:vAlign w:val="center"/>
            <w:hideMark/>
          </w:tcPr>
          <w:p w:rsidR="007E0ABA" w:rsidRPr="00D13040" w:rsidRDefault="00D06D4B" w:rsidP="004E5419">
            <w:pPr>
              <w:jc w:val="left"/>
              <w:rPr>
                <w:color w:val="000000"/>
                <w:sz w:val="20"/>
                <w:szCs w:val="20"/>
                <w:lang w:val="en-CA" w:eastAsia="en-CA"/>
              </w:rPr>
            </w:pPr>
            <w:r w:rsidRPr="00D13040">
              <w:rPr>
                <w:color w:val="000000"/>
                <w:sz w:val="20"/>
                <w:szCs w:val="20"/>
                <w:lang w:val="en-US" w:eastAsia="en-CA"/>
              </w:rPr>
              <w:t>F</w:t>
            </w:r>
            <w:r w:rsidR="007E0ABA" w:rsidRPr="00D13040">
              <w:rPr>
                <w:color w:val="000000"/>
                <w:sz w:val="20"/>
                <w:szCs w:val="20"/>
                <w:lang w:val="en-US" w:eastAsia="en-CA"/>
              </w:rPr>
              <w:t>ire Extinguishers</w:t>
            </w:r>
          </w:p>
        </w:tc>
        <w:tc>
          <w:tcPr>
            <w:tcW w:w="661" w:type="pct"/>
            <w:shd w:val="clear" w:color="auto" w:fill="auto"/>
            <w:hideMark/>
          </w:tcPr>
          <w:p w:rsidR="007E0ABA" w:rsidRPr="00D13040" w:rsidRDefault="007E0ABA" w:rsidP="004E5419">
            <w:pPr>
              <w:jc w:val="right"/>
              <w:rPr>
                <w:color w:val="000000"/>
                <w:sz w:val="20"/>
                <w:szCs w:val="20"/>
                <w:lang w:val="en-CA" w:eastAsia="en-CA"/>
              </w:rPr>
            </w:pP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530"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478"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1.00</w:t>
            </w:r>
          </w:p>
        </w:tc>
        <w:tc>
          <w:tcPr>
            <w:tcW w:w="478" w:type="pct"/>
            <w:shd w:val="clear" w:color="auto" w:fill="auto"/>
            <w:hideMark/>
          </w:tcPr>
          <w:p w:rsidR="007E0ABA" w:rsidRPr="00D13040" w:rsidRDefault="007E0ABA" w:rsidP="004E5419">
            <w:pPr>
              <w:jc w:val="right"/>
              <w:rPr>
                <w:color w:val="000000"/>
                <w:sz w:val="20"/>
                <w:szCs w:val="20"/>
                <w:lang w:val="en-CA" w:eastAsia="en-CA"/>
              </w:rPr>
            </w:pP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1.00</w:t>
            </w:r>
          </w:p>
        </w:tc>
      </w:tr>
      <w:tr w:rsidR="007E0ABA" w:rsidRPr="00D13040" w:rsidTr="001271E9">
        <w:trPr>
          <w:trHeight w:val="227"/>
        </w:trPr>
        <w:tc>
          <w:tcPr>
            <w:tcW w:w="1182" w:type="pct"/>
            <w:shd w:val="clear" w:color="auto" w:fill="auto"/>
            <w:vAlign w:val="center"/>
            <w:hideMark/>
          </w:tcPr>
          <w:p w:rsidR="007E0ABA" w:rsidRPr="00D13040" w:rsidRDefault="007E0ABA" w:rsidP="004E5419">
            <w:pPr>
              <w:keepNext/>
              <w:jc w:val="left"/>
              <w:rPr>
                <w:color w:val="000000"/>
                <w:sz w:val="20"/>
                <w:szCs w:val="20"/>
                <w:lang w:val="en-CA" w:eastAsia="en-CA"/>
              </w:rPr>
            </w:pPr>
            <w:r w:rsidRPr="00D13040">
              <w:rPr>
                <w:color w:val="000000"/>
                <w:sz w:val="20"/>
                <w:szCs w:val="20"/>
                <w:lang w:val="en-US" w:eastAsia="en-CA"/>
              </w:rPr>
              <w:t>Service sector (for all applications)</w:t>
            </w:r>
          </w:p>
        </w:tc>
        <w:tc>
          <w:tcPr>
            <w:tcW w:w="661"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284.91</w:t>
            </w:r>
          </w:p>
        </w:tc>
        <w:tc>
          <w:tcPr>
            <w:tcW w:w="530"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11.15</w:t>
            </w:r>
          </w:p>
        </w:tc>
        <w:tc>
          <w:tcPr>
            <w:tcW w:w="530"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12.83</w:t>
            </w:r>
          </w:p>
        </w:tc>
        <w:tc>
          <w:tcPr>
            <w:tcW w:w="478"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1.95</w:t>
            </w:r>
          </w:p>
        </w:tc>
        <w:tc>
          <w:tcPr>
            <w:tcW w:w="478"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1.50</w:t>
            </w:r>
          </w:p>
        </w:tc>
        <w:tc>
          <w:tcPr>
            <w:tcW w:w="478" w:type="pct"/>
            <w:shd w:val="clear" w:color="auto" w:fill="auto"/>
            <w:hideMark/>
          </w:tcPr>
          <w:p w:rsidR="007E0ABA" w:rsidRPr="00D13040" w:rsidRDefault="007E0ABA" w:rsidP="004E5419">
            <w:pPr>
              <w:jc w:val="right"/>
              <w:rPr>
                <w:color w:val="000000"/>
                <w:sz w:val="20"/>
                <w:szCs w:val="20"/>
                <w:lang w:val="en-CA" w:eastAsia="en-CA"/>
              </w:rPr>
            </w:pPr>
            <w:r w:rsidRPr="00D13040">
              <w:rPr>
                <w:color w:val="000000"/>
                <w:sz w:val="20"/>
                <w:szCs w:val="20"/>
                <w:lang w:val="en-US" w:eastAsia="en-CA"/>
              </w:rPr>
              <w:t>1.00</w:t>
            </w: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313.34</w:t>
            </w:r>
          </w:p>
        </w:tc>
      </w:tr>
      <w:tr w:rsidR="007E0ABA" w:rsidRPr="00D13040" w:rsidTr="001271E9">
        <w:trPr>
          <w:trHeight w:val="227"/>
        </w:trPr>
        <w:tc>
          <w:tcPr>
            <w:tcW w:w="1182" w:type="pct"/>
            <w:shd w:val="clear" w:color="auto" w:fill="auto"/>
            <w:vAlign w:val="center"/>
            <w:hideMark/>
          </w:tcPr>
          <w:p w:rsidR="007E0ABA" w:rsidRPr="00D13040" w:rsidRDefault="007E0ABA" w:rsidP="004E5419">
            <w:pPr>
              <w:jc w:val="left"/>
              <w:rPr>
                <w:b/>
                <w:color w:val="000000"/>
                <w:sz w:val="20"/>
                <w:szCs w:val="20"/>
                <w:lang w:val="en-CA" w:eastAsia="en-CA"/>
              </w:rPr>
            </w:pPr>
            <w:r w:rsidRPr="00D13040">
              <w:rPr>
                <w:b/>
                <w:color w:val="000000"/>
                <w:sz w:val="20"/>
                <w:szCs w:val="20"/>
                <w:lang w:val="en-CA" w:eastAsia="en-CA"/>
              </w:rPr>
              <w:t>Total</w:t>
            </w:r>
          </w:p>
        </w:tc>
        <w:tc>
          <w:tcPr>
            <w:tcW w:w="661" w:type="pct"/>
            <w:shd w:val="clear" w:color="auto" w:fill="auto"/>
            <w:noWrap/>
            <w:hideMark/>
          </w:tcPr>
          <w:p w:rsidR="007E0ABA" w:rsidRPr="00D13040" w:rsidRDefault="007E0ABA" w:rsidP="004E5419">
            <w:pPr>
              <w:jc w:val="right"/>
              <w:rPr>
                <w:b/>
                <w:color w:val="000000"/>
                <w:sz w:val="20"/>
                <w:szCs w:val="20"/>
                <w:lang w:val="en-CA" w:eastAsia="en-CA"/>
              </w:rPr>
            </w:pPr>
            <w:r w:rsidRPr="00D13040">
              <w:rPr>
                <w:b/>
                <w:color w:val="000000"/>
                <w:sz w:val="20"/>
                <w:szCs w:val="20"/>
                <w:lang w:val="en-CA" w:eastAsia="en-CA"/>
              </w:rPr>
              <w:t>766.48</w:t>
            </w:r>
          </w:p>
        </w:tc>
        <w:tc>
          <w:tcPr>
            <w:tcW w:w="530" w:type="pct"/>
            <w:shd w:val="clear" w:color="auto" w:fill="auto"/>
            <w:noWrap/>
            <w:hideMark/>
          </w:tcPr>
          <w:p w:rsidR="007E0ABA" w:rsidRPr="00D13040" w:rsidRDefault="007E0ABA" w:rsidP="004E5419">
            <w:pPr>
              <w:jc w:val="right"/>
              <w:rPr>
                <w:b/>
                <w:color w:val="000000"/>
                <w:sz w:val="20"/>
                <w:szCs w:val="20"/>
                <w:lang w:val="en-CA" w:eastAsia="en-CA"/>
              </w:rPr>
            </w:pPr>
            <w:r w:rsidRPr="00D13040">
              <w:rPr>
                <w:b/>
                <w:color w:val="000000"/>
                <w:sz w:val="20"/>
                <w:szCs w:val="20"/>
                <w:lang w:val="en-CA" w:eastAsia="en-CA"/>
              </w:rPr>
              <w:t>15.50</w:t>
            </w:r>
          </w:p>
        </w:tc>
        <w:tc>
          <w:tcPr>
            <w:tcW w:w="530" w:type="pct"/>
            <w:shd w:val="clear" w:color="auto" w:fill="auto"/>
            <w:noWrap/>
            <w:hideMark/>
          </w:tcPr>
          <w:p w:rsidR="007E0ABA" w:rsidRPr="00D13040" w:rsidRDefault="007E0ABA" w:rsidP="004E5419">
            <w:pPr>
              <w:jc w:val="right"/>
              <w:rPr>
                <w:b/>
                <w:color w:val="000000"/>
                <w:sz w:val="20"/>
                <w:szCs w:val="20"/>
                <w:lang w:val="en-CA" w:eastAsia="en-CA"/>
              </w:rPr>
            </w:pPr>
            <w:r w:rsidRPr="00D13040">
              <w:rPr>
                <w:b/>
                <w:color w:val="000000"/>
                <w:sz w:val="20"/>
                <w:szCs w:val="20"/>
                <w:lang w:val="en-CA" w:eastAsia="en-CA"/>
              </w:rPr>
              <w:t>21.26</w:t>
            </w:r>
          </w:p>
        </w:tc>
        <w:tc>
          <w:tcPr>
            <w:tcW w:w="478" w:type="pct"/>
            <w:shd w:val="clear" w:color="auto" w:fill="auto"/>
            <w:noWrap/>
            <w:hideMark/>
          </w:tcPr>
          <w:p w:rsidR="007E0ABA" w:rsidRPr="00D13040" w:rsidRDefault="007E0ABA" w:rsidP="004E5419">
            <w:pPr>
              <w:jc w:val="right"/>
              <w:rPr>
                <w:b/>
                <w:color w:val="000000"/>
                <w:sz w:val="20"/>
                <w:szCs w:val="20"/>
                <w:lang w:val="en-CA" w:eastAsia="en-CA"/>
              </w:rPr>
            </w:pPr>
            <w:r w:rsidRPr="00D13040">
              <w:rPr>
                <w:b/>
                <w:color w:val="000000"/>
                <w:sz w:val="20"/>
                <w:szCs w:val="20"/>
                <w:lang w:val="en-CA" w:eastAsia="en-CA"/>
              </w:rPr>
              <w:t>3.05</w:t>
            </w:r>
          </w:p>
        </w:tc>
        <w:tc>
          <w:tcPr>
            <w:tcW w:w="478" w:type="pct"/>
            <w:shd w:val="clear" w:color="auto" w:fill="auto"/>
            <w:noWrap/>
            <w:hideMark/>
          </w:tcPr>
          <w:p w:rsidR="007E0ABA" w:rsidRPr="00D13040" w:rsidRDefault="007E0ABA" w:rsidP="004E5419">
            <w:pPr>
              <w:jc w:val="right"/>
              <w:rPr>
                <w:b/>
                <w:color w:val="000000"/>
                <w:sz w:val="20"/>
                <w:szCs w:val="20"/>
                <w:lang w:val="en-CA" w:eastAsia="en-CA"/>
              </w:rPr>
            </w:pPr>
            <w:r w:rsidRPr="00D13040">
              <w:rPr>
                <w:b/>
                <w:color w:val="000000"/>
                <w:sz w:val="20"/>
                <w:szCs w:val="20"/>
                <w:lang w:val="en-CA" w:eastAsia="en-CA"/>
              </w:rPr>
              <w:t>2.50</w:t>
            </w:r>
          </w:p>
        </w:tc>
        <w:tc>
          <w:tcPr>
            <w:tcW w:w="478" w:type="pct"/>
            <w:shd w:val="clear" w:color="auto" w:fill="auto"/>
            <w:noWrap/>
            <w:hideMark/>
          </w:tcPr>
          <w:p w:rsidR="007E0ABA" w:rsidRPr="00D13040" w:rsidRDefault="007E0ABA" w:rsidP="004E5419">
            <w:pPr>
              <w:jc w:val="right"/>
              <w:rPr>
                <w:b/>
                <w:color w:val="000000"/>
                <w:sz w:val="20"/>
                <w:szCs w:val="20"/>
                <w:lang w:val="en-CA" w:eastAsia="en-CA"/>
              </w:rPr>
            </w:pPr>
            <w:r w:rsidRPr="00D13040">
              <w:rPr>
                <w:b/>
                <w:color w:val="000000"/>
                <w:sz w:val="20"/>
                <w:szCs w:val="20"/>
                <w:lang w:val="en-CA" w:eastAsia="en-CA"/>
              </w:rPr>
              <w:t>1.90</w:t>
            </w:r>
          </w:p>
        </w:tc>
        <w:tc>
          <w:tcPr>
            <w:tcW w:w="661" w:type="pct"/>
            <w:shd w:val="clear" w:color="auto" w:fill="auto"/>
            <w:noWrap/>
            <w:hideMark/>
          </w:tcPr>
          <w:p w:rsidR="007E0ABA" w:rsidRPr="00D13040" w:rsidRDefault="007E0ABA" w:rsidP="004E5419">
            <w:pPr>
              <w:jc w:val="right"/>
              <w:rPr>
                <w:b/>
                <w:color w:val="000000"/>
                <w:sz w:val="20"/>
                <w:szCs w:val="20"/>
                <w:lang w:val="en-CA" w:eastAsia="en-CA"/>
              </w:rPr>
            </w:pPr>
            <w:r w:rsidRPr="00D13040">
              <w:rPr>
                <w:b/>
                <w:color w:val="000000"/>
                <w:sz w:val="20"/>
                <w:szCs w:val="20"/>
                <w:lang w:val="en-CA" w:eastAsia="en-CA"/>
              </w:rPr>
              <w:t>810.68</w:t>
            </w:r>
          </w:p>
        </w:tc>
      </w:tr>
      <w:tr w:rsidR="007E0ABA" w:rsidRPr="00D13040" w:rsidTr="001271E9">
        <w:trPr>
          <w:trHeight w:val="227"/>
        </w:trPr>
        <w:tc>
          <w:tcPr>
            <w:tcW w:w="1182" w:type="pct"/>
            <w:shd w:val="clear" w:color="auto" w:fill="auto"/>
            <w:vAlign w:val="center"/>
            <w:hideMark/>
          </w:tcPr>
          <w:p w:rsidR="007E0ABA" w:rsidRPr="00D13040" w:rsidRDefault="007E0ABA" w:rsidP="004E5419">
            <w:pPr>
              <w:jc w:val="left"/>
              <w:rPr>
                <w:color w:val="000000"/>
                <w:sz w:val="20"/>
                <w:szCs w:val="20"/>
                <w:lang w:val="en-CA" w:eastAsia="en-CA"/>
              </w:rPr>
            </w:pPr>
            <w:r w:rsidRPr="00D13040">
              <w:rPr>
                <w:color w:val="000000"/>
                <w:sz w:val="20"/>
                <w:szCs w:val="20"/>
                <w:lang w:val="en-CA" w:eastAsia="en-CA"/>
              </w:rPr>
              <w:t>% in mt</w:t>
            </w: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94.5%</w:t>
            </w:r>
          </w:p>
        </w:tc>
        <w:tc>
          <w:tcPr>
            <w:tcW w:w="530"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1.9%</w:t>
            </w:r>
          </w:p>
        </w:tc>
        <w:tc>
          <w:tcPr>
            <w:tcW w:w="530"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2.</w:t>
            </w:r>
            <w:r w:rsidR="00862A02" w:rsidRPr="00D13040">
              <w:rPr>
                <w:color w:val="000000"/>
                <w:sz w:val="20"/>
                <w:szCs w:val="20"/>
                <w:lang w:val="en-CA" w:eastAsia="en-CA"/>
              </w:rPr>
              <w:t>7</w:t>
            </w:r>
            <w:r w:rsidRPr="00D13040">
              <w:rPr>
                <w:color w:val="000000"/>
                <w:sz w:val="20"/>
                <w:szCs w:val="20"/>
                <w:lang w:val="en-CA" w:eastAsia="en-CA"/>
              </w:rPr>
              <w:t>%</w:t>
            </w:r>
          </w:p>
        </w:tc>
        <w:tc>
          <w:tcPr>
            <w:tcW w:w="478"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0.4%</w:t>
            </w:r>
          </w:p>
        </w:tc>
        <w:tc>
          <w:tcPr>
            <w:tcW w:w="478"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0.3%</w:t>
            </w:r>
          </w:p>
        </w:tc>
        <w:tc>
          <w:tcPr>
            <w:tcW w:w="478"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0.2%</w:t>
            </w:r>
          </w:p>
        </w:tc>
        <w:tc>
          <w:tcPr>
            <w:tcW w:w="661" w:type="pct"/>
            <w:shd w:val="clear" w:color="auto" w:fill="auto"/>
            <w:noWrap/>
            <w:hideMark/>
          </w:tcPr>
          <w:p w:rsidR="007E0ABA" w:rsidRPr="00D13040" w:rsidRDefault="007E0ABA" w:rsidP="004E5419">
            <w:pPr>
              <w:jc w:val="right"/>
              <w:rPr>
                <w:color w:val="000000"/>
                <w:sz w:val="20"/>
                <w:szCs w:val="20"/>
                <w:lang w:val="en-CA" w:eastAsia="en-CA"/>
              </w:rPr>
            </w:pPr>
            <w:r w:rsidRPr="00D13040">
              <w:rPr>
                <w:color w:val="000000"/>
                <w:sz w:val="20"/>
                <w:szCs w:val="20"/>
                <w:lang w:val="en-CA" w:eastAsia="en-CA"/>
              </w:rPr>
              <w:t>100.0%</w:t>
            </w:r>
          </w:p>
        </w:tc>
      </w:tr>
      <w:tr w:rsidR="00D06D4B" w:rsidRPr="00D13040" w:rsidTr="001271E9">
        <w:trPr>
          <w:trHeight w:val="227"/>
        </w:trPr>
        <w:tc>
          <w:tcPr>
            <w:tcW w:w="1182" w:type="pct"/>
            <w:shd w:val="clear" w:color="auto" w:fill="auto"/>
            <w:vAlign w:val="center"/>
          </w:tcPr>
          <w:p w:rsidR="00D06D4B" w:rsidRPr="00D13040" w:rsidRDefault="00D06D4B" w:rsidP="004E5419">
            <w:pPr>
              <w:jc w:val="left"/>
              <w:rPr>
                <w:color w:val="000000"/>
                <w:sz w:val="20"/>
                <w:szCs w:val="20"/>
                <w:lang w:val="en-CA" w:eastAsia="en-CA"/>
              </w:rPr>
            </w:pPr>
            <w:r w:rsidRPr="00D13040">
              <w:rPr>
                <w:color w:val="000000"/>
                <w:sz w:val="20"/>
                <w:szCs w:val="20"/>
                <w:lang w:val="en-CA" w:eastAsia="en-CA"/>
              </w:rPr>
              <w:t>Total CO</w:t>
            </w:r>
            <w:r w:rsidRPr="00D13040">
              <w:rPr>
                <w:color w:val="000000"/>
                <w:sz w:val="20"/>
                <w:szCs w:val="20"/>
                <w:vertAlign w:val="subscript"/>
                <w:lang w:val="en-CA" w:eastAsia="en-CA"/>
              </w:rPr>
              <w:t>2</w:t>
            </w:r>
            <w:r w:rsidR="0042234C" w:rsidRPr="00D13040">
              <w:rPr>
                <w:color w:val="000000"/>
                <w:sz w:val="20"/>
                <w:szCs w:val="20"/>
                <w:lang w:val="en-CA" w:eastAsia="en-CA"/>
              </w:rPr>
              <w:t>-eq</w:t>
            </w:r>
            <w:r w:rsidRPr="00D13040">
              <w:rPr>
                <w:color w:val="000000"/>
                <w:sz w:val="20"/>
                <w:szCs w:val="20"/>
                <w:lang w:val="en-CA" w:eastAsia="en-CA"/>
              </w:rPr>
              <w:t xml:space="preserve"> tonnes</w:t>
            </w:r>
          </w:p>
        </w:tc>
        <w:tc>
          <w:tcPr>
            <w:tcW w:w="661" w:type="pct"/>
            <w:shd w:val="clear" w:color="auto" w:fill="auto"/>
            <w:noWrap/>
          </w:tcPr>
          <w:p w:rsidR="00D06D4B" w:rsidRPr="00D13040" w:rsidRDefault="0026033A" w:rsidP="004E5419">
            <w:pPr>
              <w:jc w:val="right"/>
              <w:rPr>
                <w:color w:val="000000"/>
                <w:sz w:val="20"/>
                <w:szCs w:val="20"/>
                <w:lang w:val="en-CA" w:eastAsia="en-CA"/>
              </w:rPr>
            </w:pPr>
            <w:r w:rsidRPr="00D13040">
              <w:rPr>
                <w:color w:val="000000"/>
                <w:sz w:val="20"/>
                <w:szCs w:val="20"/>
                <w:lang w:val="en-CA" w:eastAsia="en-CA"/>
              </w:rPr>
              <w:t>1</w:t>
            </w:r>
            <w:r w:rsidR="001271E9" w:rsidRPr="00D13040">
              <w:rPr>
                <w:color w:val="000000"/>
                <w:sz w:val="20"/>
                <w:szCs w:val="20"/>
                <w:lang w:val="en-CA" w:eastAsia="en-CA"/>
              </w:rPr>
              <w:t>,</w:t>
            </w:r>
            <w:r w:rsidRPr="00D13040">
              <w:rPr>
                <w:color w:val="000000"/>
                <w:sz w:val="20"/>
                <w:szCs w:val="20"/>
                <w:lang w:val="en-CA" w:eastAsia="en-CA"/>
              </w:rPr>
              <w:t>096</w:t>
            </w:r>
            <w:r w:rsidR="001271E9" w:rsidRPr="00D13040">
              <w:rPr>
                <w:color w:val="000000"/>
                <w:sz w:val="20"/>
                <w:szCs w:val="20"/>
                <w:lang w:val="en-CA" w:eastAsia="en-CA"/>
              </w:rPr>
              <w:t>,</w:t>
            </w:r>
            <w:r w:rsidRPr="00D13040">
              <w:rPr>
                <w:color w:val="000000"/>
                <w:sz w:val="20"/>
                <w:szCs w:val="20"/>
                <w:lang w:val="en-CA" w:eastAsia="en-CA"/>
              </w:rPr>
              <w:t>059</w:t>
            </w:r>
          </w:p>
        </w:tc>
        <w:tc>
          <w:tcPr>
            <w:tcW w:w="530" w:type="pct"/>
            <w:shd w:val="clear" w:color="auto" w:fill="auto"/>
            <w:noWrap/>
          </w:tcPr>
          <w:p w:rsidR="00D06D4B" w:rsidRPr="00D13040" w:rsidRDefault="0026033A" w:rsidP="004E5419">
            <w:pPr>
              <w:jc w:val="right"/>
              <w:rPr>
                <w:color w:val="000000"/>
                <w:sz w:val="20"/>
                <w:szCs w:val="20"/>
                <w:lang w:val="en-CA" w:eastAsia="en-CA"/>
              </w:rPr>
            </w:pPr>
            <w:r w:rsidRPr="00D13040">
              <w:rPr>
                <w:color w:val="000000"/>
                <w:sz w:val="20"/>
                <w:szCs w:val="20"/>
                <w:lang w:val="en-CA" w:eastAsia="en-CA"/>
              </w:rPr>
              <w:t>60</w:t>
            </w:r>
            <w:r w:rsidR="001271E9" w:rsidRPr="00D13040">
              <w:rPr>
                <w:color w:val="000000"/>
                <w:sz w:val="20"/>
                <w:szCs w:val="20"/>
                <w:lang w:val="en-CA" w:eastAsia="en-CA"/>
              </w:rPr>
              <w:t>,</w:t>
            </w:r>
            <w:r w:rsidRPr="00D13040">
              <w:rPr>
                <w:color w:val="000000"/>
                <w:sz w:val="20"/>
                <w:szCs w:val="20"/>
                <w:lang w:val="en-CA" w:eastAsia="en-CA"/>
              </w:rPr>
              <w:t>78</w:t>
            </w:r>
            <w:r w:rsidR="00FE142B" w:rsidRPr="00D13040">
              <w:rPr>
                <w:color w:val="000000"/>
                <w:sz w:val="20"/>
                <w:szCs w:val="20"/>
                <w:lang w:val="en-CA" w:eastAsia="en-CA"/>
              </w:rPr>
              <w:t>5</w:t>
            </w:r>
          </w:p>
        </w:tc>
        <w:tc>
          <w:tcPr>
            <w:tcW w:w="530" w:type="pct"/>
            <w:shd w:val="clear" w:color="auto" w:fill="auto"/>
            <w:noWrap/>
          </w:tcPr>
          <w:p w:rsidR="00D06D4B" w:rsidRPr="00D13040" w:rsidRDefault="001271E9" w:rsidP="004E5419">
            <w:pPr>
              <w:jc w:val="right"/>
              <w:rPr>
                <w:color w:val="000000"/>
                <w:sz w:val="20"/>
                <w:szCs w:val="20"/>
                <w:lang w:val="en-CA" w:eastAsia="en-CA"/>
              </w:rPr>
            </w:pPr>
            <w:r w:rsidRPr="00D13040">
              <w:rPr>
                <w:color w:val="000000"/>
                <w:sz w:val="20"/>
                <w:szCs w:val="20"/>
                <w:lang w:val="en-CA" w:eastAsia="en-CA"/>
              </w:rPr>
              <w:t>44,255</w:t>
            </w:r>
          </w:p>
        </w:tc>
        <w:tc>
          <w:tcPr>
            <w:tcW w:w="478" w:type="pct"/>
            <w:shd w:val="clear" w:color="auto" w:fill="auto"/>
            <w:noWrap/>
          </w:tcPr>
          <w:p w:rsidR="00D06D4B" w:rsidRPr="00D13040" w:rsidRDefault="0026033A" w:rsidP="004E5419">
            <w:pPr>
              <w:jc w:val="right"/>
              <w:rPr>
                <w:color w:val="000000"/>
                <w:sz w:val="20"/>
                <w:szCs w:val="20"/>
                <w:lang w:val="en-CA" w:eastAsia="en-CA"/>
              </w:rPr>
            </w:pPr>
            <w:r w:rsidRPr="00D13040">
              <w:rPr>
                <w:color w:val="000000"/>
                <w:sz w:val="20"/>
                <w:szCs w:val="20"/>
                <w:lang w:val="en-CA" w:eastAsia="en-CA"/>
              </w:rPr>
              <w:t>5</w:t>
            </w:r>
            <w:r w:rsidR="001271E9" w:rsidRPr="00D13040">
              <w:rPr>
                <w:color w:val="000000"/>
                <w:sz w:val="20"/>
                <w:szCs w:val="20"/>
                <w:lang w:val="en-CA" w:eastAsia="en-CA"/>
              </w:rPr>
              <w:t>,</w:t>
            </w:r>
            <w:r w:rsidRPr="00D13040">
              <w:rPr>
                <w:color w:val="000000"/>
                <w:sz w:val="20"/>
                <w:szCs w:val="20"/>
                <w:lang w:val="en-CA" w:eastAsia="en-CA"/>
              </w:rPr>
              <w:t>401</w:t>
            </w:r>
          </w:p>
        </w:tc>
        <w:tc>
          <w:tcPr>
            <w:tcW w:w="478" w:type="pct"/>
            <w:shd w:val="clear" w:color="auto" w:fill="auto"/>
            <w:noWrap/>
          </w:tcPr>
          <w:p w:rsidR="00D06D4B" w:rsidRPr="00D13040" w:rsidRDefault="0026033A" w:rsidP="004E5419">
            <w:pPr>
              <w:jc w:val="right"/>
              <w:rPr>
                <w:color w:val="000000"/>
                <w:sz w:val="20"/>
                <w:szCs w:val="20"/>
                <w:lang w:val="en-CA" w:eastAsia="en-CA"/>
              </w:rPr>
            </w:pPr>
            <w:r w:rsidRPr="00D13040">
              <w:rPr>
                <w:color w:val="000000"/>
                <w:sz w:val="20"/>
                <w:szCs w:val="20"/>
                <w:lang w:val="en-CA" w:eastAsia="en-CA"/>
              </w:rPr>
              <w:t>8</w:t>
            </w:r>
            <w:r w:rsidR="001271E9" w:rsidRPr="00D13040">
              <w:rPr>
                <w:color w:val="000000"/>
                <w:sz w:val="20"/>
                <w:szCs w:val="20"/>
                <w:lang w:val="en-CA" w:eastAsia="en-CA"/>
              </w:rPr>
              <w:t>,</w:t>
            </w:r>
            <w:r w:rsidRPr="00D13040">
              <w:rPr>
                <w:color w:val="000000"/>
                <w:sz w:val="20"/>
                <w:szCs w:val="20"/>
                <w:lang w:val="en-CA" w:eastAsia="en-CA"/>
              </w:rPr>
              <w:t>050</w:t>
            </w:r>
          </w:p>
        </w:tc>
        <w:tc>
          <w:tcPr>
            <w:tcW w:w="478" w:type="pct"/>
            <w:shd w:val="clear" w:color="auto" w:fill="auto"/>
            <w:noWrap/>
          </w:tcPr>
          <w:p w:rsidR="00D06D4B" w:rsidRPr="00D13040" w:rsidRDefault="0026033A" w:rsidP="004E5419">
            <w:pPr>
              <w:jc w:val="right"/>
              <w:rPr>
                <w:color w:val="000000"/>
                <w:sz w:val="20"/>
                <w:szCs w:val="20"/>
                <w:lang w:val="en-CA" w:eastAsia="en-CA"/>
              </w:rPr>
            </w:pPr>
            <w:r w:rsidRPr="00D13040">
              <w:rPr>
                <w:color w:val="000000"/>
                <w:sz w:val="20"/>
                <w:szCs w:val="20"/>
                <w:lang w:val="en-CA" w:eastAsia="en-CA"/>
              </w:rPr>
              <w:t>1</w:t>
            </w:r>
            <w:r w:rsidR="001271E9" w:rsidRPr="00D13040">
              <w:rPr>
                <w:color w:val="000000"/>
                <w:sz w:val="20"/>
                <w:szCs w:val="20"/>
                <w:lang w:val="en-CA" w:eastAsia="en-CA"/>
              </w:rPr>
              <w:t>,</w:t>
            </w:r>
            <w:r w:rsidRPr="00D13040">
              <w:rPr>
                <w:color w:val="000000"/>
                <w:sz w:val="20"/>
                <w:szCs w:val="20"/>
                <w:lang w:val="en-CA" w:eastAsia="en-CA"/>
              </w:rPr>
              <w:t>28</w:t>
            </w:r>
            <w:r w:rsidR="00FE142B" w:rsidRPr="00D13040">
              <w:rPr>
                <w:color w:val="000000"/>
                <w:sz w:val="20"/>
                <w:szCs w:val="20"/>
                <w:lang w:val="en-CA" w:eastAsia="en-CA"/>
              </w:rPr>
              <w:t>2</w:t>
            </w:r>
          </w:p>
        </w:tc>
        <w:tc>
          <w:tcPr>
            <w:tcW w:w="661" w:type="pct"/>
            <w:shd w:val="clear" w:color="auto" w:fill="auto"/>
            <w:noWrap/>
          </w:tcPr>
          <w:p w:rsidR="00D06D4B" w:rsidRPr="00D13040" w:rsidRDefault="001271E9" w:rsidP="004E5419">
            <w:pPr>
              <w:jc w:val="right"/>
              <w:rPr>
                <w:color w:val="000000"/>
                <w:sz w:val="20"/>
                <w:szCs w:val="20"/>
                <w:lang w:val="en-CA" w:eastAsia="en-CA"/>
              </w:rPr>
            </w:pPr>
            <w:r w:rsidRPr="00D13040">
              <w:rPr>
                <w:color w:val="000000"/>
                <w:sz w:val="20"/>
                <w:szCs w:val="20"/>
                <w:lang w:val="en-CA" w:eastAsia="en-CA"/>
              </w:rPr>
              <w:t>1,215,83</w:t>
            </w:r>
            <w:r w:rsidR="00FE142B" w:rsidRPr="00D13040">
              <w:rPr>
                <w:color w:val="000000"/>
                <w:sz w:val="20"/>
                <w:szCs w:val="20"/>
                <w:lang w:val="en-CA" w:eastAsia="en-CA"/>
              </w:rPr>
              <w:t>3</w:t>
            </w:r>
          </w:p>
        </w:tc>
      </w:tr>
      <w:tr w:rsidR="001271E9" w:rsidRPr="00D13040" w:rsidTr="001271E9">
        <w:trPr>
          <w:trHeight w:val="227"/>
        </w:trPr>
        <w:tc>
          <w:tcPr>
            <w:tcW w:w="1182" w:type="pct"/>
            <w:shd w:val="clear" w:color="auto" w:fill="auto"/>
            <w:vAlign w:val="center"/>
          </w:tcPr>
          <w:p w:rsidR="001271E9" w:rsidRPr="00D13040" w:rsidRDefault="001271E9" w:rsidP="004E5419">
            <w:pPr>
              <w:jc w:val="left"/>
              <w:rPr>
                <w:color w:val="000000"/>
                <w:sz w:val="20"/>
                <w:szCs w:val="20"/>
                <w:lang w:val="en-CA" w:eastAsia="en-CA"/>
              </w:rPr>
            </w:pPr>
            <w:r w:rsidRPr="00D13040">
              <w:rPr>
                <w:color w:val="000000"/>
                <w:sz w:val="20"/>
                <w:szCs w:val="20"/>
                <w:lang w:val="en-CA" w:eastAsia="en-CA"/>
              </w:rPr>
              <w:t>% in CO</w:t>
            </w:r>
            <w:r w:rsidRPr="00D13040">
              <w:rPr>
                <w:color w:val="000000"/>
                <w:sz w:val="20"/>
                <w:szCs w:val="20"/>
                <w:vertAlign w:val="subscript"/>
                <w:lang w:val="en-CA" w:eastAsia="en-CA"/>
              </w:rPr>
              <w:t>2</w:t>
            </w:r>
            <w:r w:rsidR="0042234C" w:rsidRPr="00D13040">
              <w:rPr>
                <w:color w:val="000000"/>
                <w:sz w:val="20"/>
                <w:szCs w:val="20"/>
                <w:lang w:val="en-CA" w:eastAsia="en-CA"/>
              </w:rPr>
              <w:t>-eq</w:t>
            </w:r>
            <w:r w:rsidRPr="00D13040">
              <w:rPr>
                <w:color w:val="000000"/>
                <w:sz w:val="20"/>
                <w:szCs w:val="20"/>
                <w:lang w:val="en-CA" w:eastAsia="en-CA"/>
              </w:rPr>
              <w:t xml:space="preserve"> tonnes</w:t>
            </w:r>
          </w:p>
        </w:tc>
        <w:tc>
          <w:tcPr>
            <w:tcW w:w="661" w:type="pct"/>
            <w:shd w:val="clear" w:color="auto" w:fill="auto"/>
            <w:noWrap/>
          </w:tcPr>
          <w:p w:rsidR="001271E9" w:rsidRPr="00D13040" w:rsidRDefault="001271E9" w:rsidP="004E5419">
            <w:pPr>
              <w:jc w:val="right"/>
              <w:rPr>
                <w:sz w:val="20"/>
                <w:szCs w:val="20"/>
              </w:rPr>
            </w:pPr>
            <w:r w:rsidRPr="00D13040">
              <w:rPr>
                <w:sz w:val="20"/>
                <w:szCs w:val="20"/>
              </w:rPr>
              <w:t>90.1%</w:t>
            </w:r>
          </w:p>
        </w:tc>
        <w:tc>
          <w:tcPr>
            <w:tcW w:w="530" w:type="pct"/>
            <w:shd w:val="clear" w:color="auto" w:fill="auto"/>
            <w:noWrap/>
          </w:tcPr>
          <w:p w:rsidR="001271E9" w:rsidRPr="00D13040" w:rsidRDefault="001271E9" w:rsidP="004E5419">
            <w:pPr>
              <w:jc w:val="right"/>
              <w:rPr>
                <w:sz w:val="20"/>
                <w:szCs w:val="20"/>
              </w:rPr>
            </w:pPr>
            <w:r w:rsidRPr="00D13040">
              <w:rPr>
                <w:sz w:val="20"/>
                <w:szCs w:val="20"/>
              </w:rPr>
              <w:t>5.0%</w:t>
            </w:r>
          </w:p>
        </w:tc>
        <w:tc>
          <w:tcPr>
            <w:tcW w:w="530" w:type="pct"/>
            <w:shd w:val="clear" w:color="auto" w:fill="auto"/>
            <w:noWrap/>
          </w:tcPr>
          <w:p w:rsidR="001271E9" w:rsidRPr="00D13040" w:rsidRDefault="001271E9" w:rsidP="004E5419">
            <w:pPr>
              <w:jc w:val="right"/>
              <w:rPr>
                <w:sz w:val="20"/>
                <w:szCs w:val="20"/>
              </w:rPr>
            </w:pPr>
            <w:r w:rsidRPr="00D13040">
              <w:rPr>
                <w:sz w:val="20"/>
                <w:szCs w:val="20"/>
              </w:rPr>
              <w:t>3.6%</w:t>
            </w:r>
          </w:p>
        </w:tc>
        <w:tc>
          <w:tcPr>
            <w:tcW w:w="478" w:type="pct"/>
            <w:shd w:val="clear" w:color="auto" w:fill="auto"/>
            <w:noWrap/>
          </w:tcPr>
          <w:p w:rsidR="001271E9" w:rsidRPr="00D13040" w:rsidRDefault="001271E9" w:rsidP="004E5419">
            <w:pPr>
              <w:jc w:val="right"/>
              <w:rPr>
                <w:sz w:val="20"/>
                <w:szCs w:val="20"/>
              </w:rPr>
            </w:pPr>
            <w:r w:rsidRPr="00D13040">
              <w:rPr>
                <w:sz w:val="20"/>
                <w:szCs w:val="20"/>
              </w:rPr>
              <w:t>0.4%</w:t>
            </w:r>
          </w:p>
        </w:tc>
        <w:tc>
          <w:tcPr>
            <w:tcW w:w="478" w:type="pct"/>
            <w:shd w:val="clear" w:color="auto" w:fill="auto"/>
            <w:noWrap/>
          </w:tcPr>
          <w:p w:rsidR="001271E9" w:rsidRPr="00D13040" w:rsidRDefault="001271E9" w:rsidP="004E5419">
            <w:pPr>
              <w:jc w:val="right"/>
              <w:rPr>
                <w:sz w:val="20"/>
                <w:szCs w:val="20"/>
              </w:rPr>
            </w:pPr>
            <w:r w:rsidRPr="00D13040">
              <w:rPr>
                <w:sz w:val="20"/>
                <w:szCs w:val="20"/>
              </w:rPr>
              <w:t>0.7%</w:t>
            </w:r>
          </w:p>
        </w:tc>
        <w:tc>
          <w:tcPr>
            <w:tcW w:w="478" w:type="pct"/>
            <w:shd w:val="clear" w:color="auto" w:fill="auto"/>
            <w:noWrap/>
          </w:tcPr>
          <w:p w:rsidR="001271E9" w:rsidRPr="00D13040" w:rsidRDefault="001271E9" w:rsidP="004E5419">
            <w:pPr>
              <w:jc w:val="right"/>
              <w:rPr>
                <w:sz w:val="20"/>
                <w:szCs w:val="20"/>
              </w:rPr>
            </w:pPr>
            <w:r w:rsidRPr="00D13040">
              <w:rPr>
                <w:sz w:val="20"/>
                <w:szCs w:val="20"/>
              </w:rPr>
              <w:t>0.1%</w:t>
            </w:r>
          </w:p>
        </w:tc>
        <w:tc>
          <w:tcPr>
            <w:tcW w:w="661" w:type="pct"/>
            <w:shd w:val="clear" w:color="auto" w:fill="auto"/>
            <w:noWrap/>
          </w:tcPr>
          <w:p w:rsidR="001271E9" w:rsidRPr="00D13040" w:rsidRDefault="001271E9" w:rsidP="004E5419">
            <w:pPr>
              <w:jc w:val="right"/>
              <w:rPr>
                <w:sz w:val="20"/>
                <w:szCs w:val="20"/>
              </w:rPr>
            </w:pPr>
            <w:r w:rsidRPr="00D13040">
              <w:rPr>
                <w:sz w:val="20"/>
                <w:szCs w:val="20"/>
              </w:rPr>
              <w:t>100.0%</w:t>
            </w:r>
          </w:p>
        </w:tc>
      </w:tr>
    </w:tbl>
    <w:p w:rsidR="007E0ABA" w:rsidRPr="00D13040" w:rsidRDefault="007E0ABA" w:rsidP="004E5419">
      <w:pPr>
        <w:pStyle w:val="StyleHeader4Para4Left0Firstline0"/>
        <w:numPr>
          <w:ilvl w:val="0"/>
          <w:numId w:val="0"/>
        </w:numPr>
        <w:rPr>
          <w:sz w:val="18"/>
          <w:szCs w:val="18"/>
        </w:rPr>
      </w:pPr>
    </w:p>
    <w:p w:rsidR="007E0ABA" w:rsidRPr="00D13040" w:rsidRDefault="007E0ABA" w:rsidP="004E5419">
      <w:pPr>
        <w:pStyle w:val="Heading1"/>
      </w:pPr>
      <w:r w:rsidRPr="00D13040">
        <w:t>The consumption of HFC-134a constitutes 94.5 per cent of the total consumption of HFCs in metric tonnes</w:t>
      </w:r>
      <w:r w:rsidR="00FE142B" w:rsidRPr="00D13040">
        <w:t xml:space="preserve">, </w:t>
      </w:r>
      <w:r w:rsidR="00FF76BD" w:rsidRPr="00D13040">
        <w:t>and 90.</w:t>
      </w:r>
      <w:r w:rsidR="0010138F" w:rsidRPr="00D13040">
        <w:t>1</w:t>
      </w:r>
      <w:r w:rsidR="00FF76BD" w:rsidRPr="00D13040">
        <w:t xml:space="preserve"> per cent in CO</w:t>
      </w:r>
      <w:r w:rsidR="00FF76BD" w:rsidRPr="00D13040">
        <w:rPr>
          <w:vertAlign w:val="subscript"/>
        </w:rPr>
        <w:t>2</w:t>
      </w:r>
      <w:r w:rsidR="0042234C" w:rsidRPr="00D13040">
        <w:t>-eq</w:t>
      </w:r>
      <w:r w:rsidR="00A90E08" w:rsidRPr="00D13040">
        <w:t>uivalent</w:t>
      </w:r>
      <w:r w:rsidR="0042234C" w:rsidRPr="00D13040">
        <w:t xml:space="preserve"> </w:t>
      </w:r>
      <w:r w:rsidR="00FF76BD" w:rsidRPr="00D13040">
        <w:t>tonnes in 2015</w:t>
      </w:r>
      <w:r w:rsidRPr="00D13040">
        <w:t>.  HFC-134a in domestic refrigerator manufacturing constitutes about 26.9 per cent of the total HFC-134a consumption in the country.</w:t>
      </w:r>
    </w:p>
    <w:p w:rsidR="007E0ABA" w:rsidRPr="00D13040" w:rsidRDefault="007E0ABA" w:rsidP="004E5419">
      <w:r w:rsidRPr="00D13040">
        <w:rPr>
          <w:i/>
        </w:rPr>
        <w:t xml:space="preserve">Domestic refrigerator manufacturing sector </w:t>
      </w:r>
    </w:p>
    <w:p w:rsidR="007E0ABA" w:rsidRPr="00D13040" w:rsidRDefault="007E0ABA" w:rsidP="004E5419"/>
    <w:p w:rsidR="003E45DC" w:rsidRPr="00D13040" w:rsidRDefault="005511BB" w:rsidP="004E5419">
      <w:pPr>
        <w:pStyle w:val="Heading1"/>
      </w:pPr>
      <w:r w:rsidRPr="00D13040">
        <w:t xml:space="preserve">In Bangladesh, domestic refrigerators are both locally produced and imported. </w:t>
      </w:r>
      <w:r w:rsidR="00FF76BD" w:rsidRPr="00D13040">
        <w:t xml:space="preserve">Local production is done by </w:t>
      </w:r>
      <w:r w:rsidRPr="00D13040">
        <w:t>four d</w:t>
      </w:r>
      <w:r w:rsidR="007E0ABA" w:rsidRPr="00D13040">
        <w:t xml:space="preserve">omestic refrigerator manufacturers using </w:t>
      </w:r>
      <w:r w:rsidRPr="00D13040">
        <w:t xml:space="preserve">mainly </w:t>
      </w:r>
      <w:r w:rsidR="007E0ABA" w:rsidRPr="00D13040">
        <w:t>HFC-134a as a refrigerant</w:t>
      </w:r>
      <w:r w:rsidR="00FF76BD" w:rsidRPr="00D13040">
        <w:t>,</w:t>
      </w:r>
      <w:r w:rsidRPr="00D13040">
        <w:t xml:space="preserve"> </w:t>
      </w:r>
      <w:r w:rsidR="00FF76BD" w:rsidRPr="00D13040">
        <w:t xml:space="preserve">with a total production of </w:t>
      </w:r>
      <w:r w:rsidRPr="00D13040">
        <w:t>about 2.5 million units</w:t>
      </w:r>
      <w:r w:rsidR="00FF76BD" w:rsidRPr="00D13040">
        <w:t xml:space="preserve"> in 2016</w:t>
      </w:r>
      <w:r w:rsidRPr="00D13040">
        <w:t xml:space="preserve">. In the same period, </w:t>
      </w:r>
      <w:r w:rsidR="00FF76BD" w:rsidRPr="00D13040">
        <w:t xml:space="preserve">approximately </w:t>
      </w:r>
      <w:r w:rsidRPr="00D13040">
        <w:t xml:space="preserve">200,000 units were imported from China, India, Indonesia and Thailand. </w:t>
      </w:r>
      <w:r w:rsidR="007E0ABA" w:rsidRPr="00D13040">
        <w:t xml:space="preserve"> </w:t>
      </w:r>
      <w:r w:rsidR="00656009" w:rsidRPr="00D13040">
        <w:t>D</w:t>
      </w:r>
      <w:r w:rsidR="003E45DC" w:rsidRPr="00D13040">
        <w:t>emand for refrigeration and air-conditioning</w:t>
      </w:r>
      <w:r w:rsidR="00FF76BD" w:rsidRPr="00D13040">
        <w:t xml:space="preserve"> (RAC) </w:t>
      </w:r>
      <w:r w:rsidR="003E45DC" w:rsidRPr="00D13040">
        <w:t xml:space="preserve">products </w:t>
      </w:r>
      <w:r w:rsidR="00656009" w:rsidRPr="00D13040">
        <w:t xml:space="preserve">is increasing </w:t>
      </w:r>
      <w:r w:rsidR="003E45DC" w:rsidRPr="00D13040">
        <w:t xml:space="preserve">due to growth in </w:t>
      </w:r>
      <w:r w:rsidR="00FF76BD" w:rsidRPr="00D13040">
        <w:t xml:space="preserve">the </w:t>
      </w:r>
      <w:r w:rsidR="003E45DC" w:rsidRPr="00D13040">
        <w:t xml:space="preserve">economy </w:t>
      </w:r>
      <w:r w:rsidR="00FF76BD" w:rsidRPr="00D13040">
        <w:t>of the country.</w:t>
      </w:r>
      <w:r w:rsidR="003E45DC" w:rsidRPr="00D13040">
        <w:t xml:space="preserve">  </w:t>
      </w:r>
    </w:p>
    <w:p w:rsidR="007E0ABA" w:rsidRPr="00D13040" w:rsidRDefault="007E0ABA" w:rsidP="004E5419">
      <w:pPr>
        <w:pStyle w:val="Heading1"/>
        <w:numPr>
          <w:ilvl w:val="0"/>
          <w:numId w:val="0"/>
        </w:numPr>
        <w:rPr>
          <w:u w:val="single"/>
        </w:rPr>
      </w:pPr>
      <w:r w:rsidRPr="00D13040">
        <w:rPr>
          <w:u w:val="single"/>
        </w:rPr>
        <w:t>Company profile</w:t>
      </w:r>
    </w:p>
    <w:p w:rsidR="00BB4A8C" w:rsidRPr="00D13040" w:rsidRDefault="007E0ABA" w:rsidP="004E5419">
      <w:pPr>
        <w:pStyle w:val="Heading1"/>
      </w:pPr>
      <w:r w:rsidRPr="00D13040">
        <w:t xml:space="preserve">Walton is the largest manufacturer of </w:t>
      </w:r>
      <w:r w:rsidR="0095085F" w:rsidRPr="00D13040">
        <w:t xml:space="preserve">domestic </w:t>
      </w:r>
      <w:r w:rsidRPr="00D13040">
        <w:t>refrigerator</w:t>
      </w:r>
      <w:r w:rsidR="0095085F" w:rsidRPr="00D13040">
        <w:t xml:space="preserve">s in Bangladesh with a </w:t>
      </w:r>
      <w:r w:rsidR="00FF76BD" w:rsidRPr="00D13040">
        <w:t xml:space="preserve">total production of 2.2 million units </w:t>
      </w:r>
      <w:r w:rsidR="00FE142B" w:rsidRPr="00D13040">
        <w:t xml:space="preserve">in 2016, </w:t>
      </w:r>
      <w:r w:rsidR="00FF76BD" w:rsidRPr="00D13040">
        <w:t>representing 88</w:t>
      </w:r>
      <w:r w:rsidR="00D57263" w:rsidRPr="00D13040">
        <w:t xml:space="preserve"> </w:t>
      </w:r>
      <w:r w:rsidR="0095085F" w:rsidRPr="00D13040">
        <w:t>per cent</w:t>
      </w:r>
      <w:r w:rsidR="00FF76BD" w:rsidRPr="00D13040">
        <w:t xml:space="preserve"> of the total market</w:t>
      </w:r>
      <w:r w:rsidR="00C639F3" w:rsidRPr="00D13040">
        <w:t>, and</w:t>
      </w:r>
      <w:r w:rsidRPr="00D13040">
        <w:t xml:space="preserve"> mainly uses HFC</w:t>
      </w:r>
      <w:r w:rsidR="00D57263" w:rsidRPr="00D13040">
        <w:noBreakHyphen/>
        <w:t>134a as a refrigerant. Approximately 150,000 units of refrigerator</w:t>
      </w:r>
      <w:r w:rsidR="006828D0" w:rsidRPr="00D13040">
        <w:t>s</w:t>
      </w:r>
      <w:r w:rsidR="00D57263" w:rsidRPr="00D13040">
        <w:t xml:space="preserve"> were exported (</w:t>
      </w:r>
      <w:r w:rsidRPr="00D13040">
        <w:t xml:space="preserve">Bhutan, Myanmar, Nepal and countries in Africa and </w:t>
      </w:r>
      <w:r w:rsidR="00D57263" w:rsidRPr="00D13040">
        <w:t xml:space="preserve">the </w:t>
      </w:r>
      <w:r w:rsidRPr="00D13040">
        <w:t>Middle East</w:t>
      </w:r>
      <w:r w:rsidR="00D57263" w:rsidRPr="00D13040">
        <w:t>)</w:t>
      </w:r>
      <w:r w:rsidRPr="00D13040">
        <w:t xml:space="preserve">. The </w:t>
      </w:r>
      <w:r w:rsidR="00BB4A8C" w:rsidRPr="00D13040">
        <w:t xml:space="preserve">company’s HFC-134a </w:t>
      </w:r>
      <w:r w:rsidRPr="00D13040">
        <w:t xml:space="preserve">consumption in </w:t>
      </w:r>
      <w:r w:rsidR="00BB4A8C" w:rsidRPr="00D13040">
        <w:t>2016 was</w:t>
      </w:r>
      <w:r w:rsidRPr="00D13040">
        <w:t xml:space="preserve"> 197.30</w:t>
      </w:r>
      <w:r w:rsidR="00C639F3" w:rsidRPr="00D13040">
        <w:t> </w:t>
      </w:r>
      <w:r w:rsidRPr="00D13040">
        <w:t>mt</w:t>
      </w:r>
      <w:r w:rsidR="00BB4A8C" w:rsidRPr="00D13040">
        <w:t>.</w:t>
      </w:r>
      <w:r w:rsidR="003E45DC" w:rsidRPr="00D13040">
        <w:t xml:space="preserve"> The company </w:t>
      </w:r>
      <w:r w:rsidR="00BB4A8C" w:rsidRPr="00D13040">
        <w:t xml:space="preserve">also </w:t>
      </w:r>
      <w:r w:rsidR="00D57263" w:rsidRPr="00D13040">
        <w:t xml:space="preserve">has a production line of compressors with </w:t>
      </w:r>
      <w:r w:rsidR="00FE142B" w:rsidRPr="00D13040">
        <w:t xml:space="preserve">a cooling capacity range of 85 </w:t>
      </w:r>
      <w:r w:rsidR="00D57263" w:rsidRPr="00D13040">
        <w:t xml:space="preserve">to 205 </w:t>
      </w:r>
      <w:r w:rsidR="00FE142B" w:rsidRPr="00D13040">
        <w:t>w</w:t>
      </w:r>
      <w:r w:rsidR="00D57263" w:rsidRPr="00D13040">
        <w:t>atts used in the domestic refrigerator industry</w:t>
      </w:r>
      <w:r w:rsidR="00FE142B" w:rsidRPr="00D13040">
        <w:t xml:space="preserve">, with a total production of </w:t>
      </w:r>
      <w:r w:rsidR="00BB4A8C" w:rsidRPr="00D13040">
        <w:t>2.25 million</w:t>
      </w:r>
      <w:r w:rsidR="00500BCE" w:rsidRPr="00D13040">
        <w:t xml:space="preserve"> </w:t>
      </w:r>
      <w:r w:rsidR="00D57263" w:rsidRPr="00D13040">
        <w:t>compressors</w:t>
      </w:r>
      <w:r w:rsidR="00500BCE" w:rsidRPr="00D13040">
        <w:t xml:space="preserve"> </w:t>
      </w:r>
      <w:r w:rsidR="00FE142B" w:rsidRPr="00D13040">
        <w:t xml:space="preserve">in 2016, </w:t>
      </w:r>
      <w:r w:rsidR="00AB6D2E" w:rsidRPr="00D13040">
        <w:t>representing 70 per cent of the total market</w:t>
      </w:r>
      <w:r w:rsidR="00BB4A8C" w:rsidRPr="00D13040">
        <w:t>.  It is estimated that the company would be producing 4.5 million compressors by 2021-2022 annually for both the domestic market and for exports</w:t>
      </w:r>
      <w:r w:rsidR="00AB6D2E" w:rsidRPr="00D13040">
        <w:t>.</w:t>
      </w:r>
      <w:r w:rsidR="00BB4A8C" w:rsidRPr="00D13040">
        <w:t xml:space="preserve"> </w:t>
      </w:r>
    </w:p>
    <w:p w:rsidR="00BB4A8C" w:rsidRPr="00D13040" w:rsidRDefault="00F95B68" w:rsidP="004E5419">
      <w:pPr>
        <w:pStyle w:val="Heading1"/>
      </w:pPr>
      <w:r w:rsidRPr="00D13040">
        <w:t xml:space="preserve">In 2015, Walton completed the conversion of </w:t>
      </w:r>
      <w:r w:rsidR="007E0ABA" w:rsidRPr="00D13040">
        <w:t xml:space="preserve">one production line </w:t>
      </w:r>
      <w:r w:rsidRPr="00D13040">
        <w:t xml:space="preserve">from HFC-134a to isobutane as a demonstration project </w:t>
      </w:r>
      <w:r w:rsidR="007E0ABA" w:rsidRPr="00D13040">
        <w:t xml:space="preserve">with funding support from </w:t>
      </w:r>
      <w:r w:rsidR="00664695" w:rsidRPr="00D13040">
        <w:t xml:space="preserve">the </w:t>
      </w:r>
      <w:r w:rsidR="007E0ABA" w:rsidRPr="00D13040">
        <w:t xml:space="preserve">United States </w:t>
      </w:r>
      <w:r w:rsidR="00664695" w:rsidRPr="00D13040">
        <w:t>of America (US $550,000)</w:t>
      </w:r>
      <w:r w:rsidR="00FE142B" w:rsidRPr="00D13040">
        <w:t>,</w:t>
      </w:r>
      <w:r w:rsidR="00664695" w:rsidRPr="00D13040">
        <w:t xml:space="preserve"> plus US $7</w:t>
      </w:r>
      <w:r w:rsidR="00A30194" w:rsidRPr="00D13040">
        <w:t>9</w:t>
      </w:r>
      <w:r w:rsidR="00664695" w:rsidRPr="00D13040">
        <w:t xml:space="preserve">0,000 provided by the enterprise. </w:t>
      </w:r>
      <w:r w:rsidR="00D704FB" w:rsidRPr="00D13040">
        <w:t xml:space="preserve">The project included </w:t>
      </w:r>
      <w:r w:rsidR="0042234C" w:rsidRPr="00D13040">
        <w:t xml:space="preserve">conversion of assembly line </w:t>
      </w:r>
      <w:r w:rsidR="00A90E08" w:rsidRPr="00D13040">
        <w:t>comprising of</w:t>
      </w:r>
      <w:r w:rsidR="0042234C" w:rsidRPr="00D13040">
        <w:t xml:space="preserve"> investments in refrigerant storage, charging and supply system, gas charging and ultrasonic </w:t>
      </w:r>
      <w:r w:rsidR="00FE142B" w:rsidRPr="00D13040">
        <w:t xml:space="preserve">welding </w:t>
      </w:r>
      <w:r w:rsidR="0042234C" w:rsidRPr="00D13040">
        <w:t>units, replacement of vacuum pumps with explosion-proof units and helium detection system, safety system including exhaust blower, gas detection and alarm system and explosion proof motors, modification of testing equipment and explosion proof researc</w:t>
      </w:r>
      <w:r w:rsidR="00A90E08" w:rsidRPr="00D13040">
        <w:t>h and development testing rooms,</w:t>
      </w:r>
      <w:r w:rsidR="0042234C" w:rsidRPr="00D13040">
        <w:t xml:space="preserve"> and training</w:t>
      </w:r>
      <w:r w:rsidR="00664695" w:rsidRPr="00D13040">
        <w:t xml:space="preserve">. </w:t>
      </w:r>
      <w:r w:rsidR="00BB4A8C" w:rsidRPr="00D13040">
        <w:t>All compressors used in the conversion were imported</w:t>
      </w:r>
      <w:r w:rsidR="00664695" w:rsidRPr="00D13040">
        <w:t xml:space="preserve"> as the </w:t>
      </w:r>
      <w:r w:rsidR="0042234C" w:rsidRPr="00D13040">
        <w:t>project did not include compressor manufacturing conversion.</w:t>
      </w:r>
      <w:r w:rsidR="00BB4A8C" w:rsidRPr="00D13040">
        <w:t xml:space="preserve">  </w:t>
      </w:r>
      <w:r w:rsidR="003E45DC" w:rsidRPr="00D13040">
        <w:t xml:space="preserve">In 2016, Walton produced 650,000 refrigerators on this converted line with refrigerant charge ranging from 39 grams to 60 </w:t>
      </w:r>
      <w:r w:rsidR="00B85979" w:rsidRPr="00D13040">
        <w:t xml:space="preserve">grams </w:t>
      </w:r>
      <w:r w:rsidR="003E45DC" w:rsidRPr="00D13040">
        <w:t>per unit</w:t>
      </w:r>
      <w:r w:rsidR="002802F5" w:rsidRPr="00D13040">
        <w:t xml:space="preserve"> reducing HFC-134a consumption by </w:t>
      </w:r>
      <w:r w:rsidR="00F878DE" w:rsidRPr="00D13040">
        <w:t>65</w:t>
      </w:r>
      <w:r w:rsidR="002802F5" w:rsidRPr="00D13040">
        <w:t xml:space="preserve"> </w:t>
      </w:r>
      <w:proofErr w:type="spellStart"/>
      <w:r w:rsidR="002802F5" w:rsidRPr="00D13040">
        <w:t>mt.</w:t>
      </w:r>
      <w:proofErr w:type="spellEnd"/>
      <w:r w:rsidR="00762300" w:rsidRPr="00D13040">
        <w:t xml:space="preserve"> </w:t>
      </w:r>
      <w:r w:rsidR="00664695" w:rsidRPr="00D13040">
        <w:t>L</w:t>
      </w:r>
      <w:r w:rsidR="003E45DC" w:rsidRPr="00D13040">
        <w:t xml:space="preserve">essons </w:t>
      </w:r>
      <w:r w:rsidR="009528B6" w:rsidRPr="00D13040">
        <w:t xml:space="preserve">learned </w:t>
      </w:r>
      <w:r w:rsidR="003E45DC" w:rsidRPr="00D13040">
        <w:t xml:space="preserve">from this conversion </w:t>
      </w:r>
      <w:r w:rsidR="00B85979" w:rsidRPr="00D13040">
        <w:t>to isobuta</w:t>
      </w:r>
      <w:r w:rsidR="003E45DC" w:rsidRPr="00D13040">
        <w:t xml:space="preserve">ne </w:t>
      </w:r>
      <w:r w:rsidR="00664695" w:rsidRPr="00D13040">
        <w:t xml:space="preserve">technology </w:t>
      </w:r>
      <w:r w:rsidR="003E45DC" w:rsidRPr="00D13040">
        <w:t xml:space="preserve">encouraged Walton to move forward </w:t>
      </w:r>
      <w:r w:rsidR="00FE142B" w:rsidRPr="00D13040">
        <w:t>to</w:t>
      </w:r>
      <w:r w:rsidR="003E45DC" w:rsidRPr="00D13040">
        <w:t xml:space="preserve"> convert the entire manufacturing facility to hydrocarbons.</w:t>
      </w:r>
    </w:p>
    <w:p w:rsidR="006828D0" w:rsidRPr="00D13040" w:rsidRDefault="006828D0" w:rsidP="004E5419">
      <w:pPr>
        <w:pStyle w:val="Heading1"/>
      </w:pPr>
      <w:r w:rsidRPr="00D13040">
        <w:t>At the 62</w:t>
      </w:r>
      <w:r w:rsidRPr="00D13040">
        <w:rPr>
          <w:vertAlign w:val="superscript"/>
        </w:rPr>
        <w:t>nd</w:t>
      </w:r>
      <w:r w:rsidRPr="00D13040">
        <w:t xml:space="preserve"> meeting, t</w:t>
      </w:r>
      <w:r w:rsidR="00FE142B" w:rsidRPr="00D13040">
        <w:t xml:space="preserve">he Executive Committee approved </w:t>
      </w:r>
      <w:r w:rsidRPr="00D13040">
        <w:t>US $</w:t>
      </w:r>
      <w:r w:rsidR="00463DD4" w:rsidRPr="00D13040">
        <w:t>1,146,074</w:t>
      </w:r>
      <w:r w:rsidRPr="00D13040">
        <w:t xml:space="preserve"> for the conversion of the insulation foam component to replace </w:t>
      </w:r>
      <w:r w:rsidR="002802F5" w:rsidRPr="00D13040">
        <w:t>183.6</w:t>
      </w:r>
      <w:r w:rsidRPr="00D13040">
        <w:t xml:space="preserve"> mt </w:t>
      </w:r>
      <w:r w:rsidR="002802F5" w:rsidRPr="00D13040">
        <w:t>(20.2</w:t>
      </w:r>
      <w:r w:rsidR="008A08D6" w:rsidRPr="00D13040">
        <w:t> </w:t>
      </w:r>
      <w:r w:rsidR="002802F5" w:rsidRPr="00D13040">
        <w:t xml:space="preserve">ODP tonnes) </w:t>
      </w:r>
      <w:r w:rsidRPr="00D13040">
        <w:t xml:space="preserve">of HCFC-141b to cyclopentane for domestic refrigeration manufacturing at Walton. The project was successfully completed by </w:t>
      </w:r>
      <w:r w:rsidR="008A08D6" w:rsidRPr="00D13040">
        <w:t>2014</w:t>
      </w:r>
      <w:r w:rsidRPr="00D13040">
        <w:t xml:space="preserve">. At the time of the approval of the project, the capacity of the enterprise was about </w:t>
      </w:r>
      <w:r w:rsidR="00463DD4" w:rsidRPr="00D13040">
        <w:t>283</w:t>
      </w:r>
      <w:r w:rsidRPr="00D13040">
        <w:t>,000 units/year.</w:t>
      </w:r>
    </w:p>
    <w:p w:rsidR="0035071E" w:rsidRPr="00D13040" w:rsidRDefault="0035071E" w:rsidP="004E5419">
      <w:pPr>
        <w:keepNext/>
        <w:jc w:val="left"/>
        <w:rPr>
          <w:b/>
        </w:rPr>
      </w:pPr>
      <w:r w:rsidRPr="00D13040">
        <w:rPr>
          <w:b/>
        </w:rPr>
        <w:t>Project overview and funding request</w:t>
      </w:r>
    </w:p>
    <w:p w:rsidR="003E45DC" w:rsidRPr="00D13040" w:rsidRDefault="003E45DC" w:rsidP="004E5419">
      <w:pPr>
        <w:keepNext/>
        <w:jc w:val="left"/>
        <w:rPr>
          <w:b/>
        </w:rPr>
      </w:pPr>
    </w:p>
    <w:p w:rsidR="0035071E" w:rsidRPr="00D13040" w:rsidRDefault="0035071E" w:rsidP="004E5419">
      <w:pPr>
        <w:pStyle w:val="Heading1"/>
        <w:keepNext/>
        <w:numPr>
          <w:ilvl w:val="0"/>
          <w:numId w:val="0"/>
        </w:numPr>
        <w:rPr>
          <w:i/>
        </w:rPr>
      </w:pPr>
      <w:r w:rsidRPr="00D13040">
        <w:rPr>
          <w:i/>
        </w:rPr>
        <w:t>Technology selection</w:t>
      </w:r>
    </w:p>
    <w:p w:rsidR="0035071E" w:rsidRPr="00D13040" w:rsidRDefault="0035071E" w:rsidP="004E5419">
      <w:pPr>
        <w:pStyle w:val="Heading1"/>
      </w:pPr>
      <w:r w:rsidRPr="00D13040">
        <w:t xml:space="preserve">The project proposal provides a review of the technology options available </w:t>
      </w:r>
      <w:r w:rsidR="009528B6" w:rsidRPr="00D13040">
        <w:t xml:space="preserve">in terms of </w:t>
      </w:r>
      <w:r w:rsidRPr="00D13040">
        <w:t>their technical and economic feasibility</w:t>
      </w:r>
      <w:r w:rsidR="00664695" w:rsidRPr="00D13040">
        <w:t>,</w:t>
      </w:r>
      <w:r w:rsidRPr="00D13040">
        <w:t xml:space="preserve"> and environmental performance.  </w:t>
      </w:r>
      <w:r w:rsidR="00664695" w:rsidRPr="00D13040">
        <w:t>T</w:t>
      </w:r>
      <w:r w:rsidRPr="00D13040">
        <w:t>he e</w:t>
      </w:r>
      <w:r w:rsidR="00B85979" w:rsidRPr="00D13040">
        <w:t xml:space="preserve">nterprise evaluated </w:t>
      </w:r>
      <w:r w:rsidRPr="00D13040">
        <w:t>propane</w:t>
      </w:r>
      <w:r w:rsidR="00664695" w:rsidRPr="00D13040">
        <w:noBreakHyphen/>
      </w:r>
      <w:r w:rsidRPr="00D13040">
        <w:t xml:space="preserve">butane mixture and </w:t>
      </w:r>
      <w:r w:rsidR="00D704FB" w:rsidRPr="00D13040">
        <w:t xml:space="preserve">pure </w:t>
      </w:r>
      <w:r w:rsidRPr="00D13040">
        <w:t xml:space="preserve">isobutane and concluded that isobutane </w:t>
      </w:r>
      <w:r w:rsidR="00D704FB" w:rsidRPr="00D13040">
        <w:t xml:space="preserve">alone </w:t>
      </w:r>
      <w:r w:rsidRPr="00D13040">
        <w:t>is the better option</w:t>
      </w:r>
      <w:r w:rsidR="00D704FB" w:rsidRPr="00D13040">
        <w:t xml:space="preserve">. </w:t>
      </w:r>
      <w:r w:rsidR="00664695" w:rsidRPr="00D13040">
        <w:t xml:space="preserve">Furthermore, it </w:t>
      </w:r>
      <w:r w:rsidRPr="00D13040">
        <w:t xml:space="preserve">is </w:t>
      </w:r>
      <w:r w:rsidR="00D704FB" w:rsidRPr="00D13040">
        <w:t xml:space="preserve">readily </w:t>
      </w:r>
      <w:r w:rsidRPr="00D13040">
        <w:t>available and cost</w:t>
      </w:r>
      <w:r w:rsidR="00D704FB" w:rsidRPr="00D13040">
        <w:noBreakHyphen/>
      </w:r>
      <w:r w:rsidRPr="00D13040">
        <w:t>effective</w:t>
      </w:r>
      <w:r w:rsidR="00664695" w:rsidRPr="00D13040">
        <w:t xml:space="preserve"> and has been used </w:t>
      </w:r>
      <w:r w:rsidRPr="00D13040">
        <w:t xml:space="preserve">in the </w:t>
      </w:r>
      <w:r w:rsidR="0050390B" w:rsidRPr="00D13040">
        <w:t>production line that was converted</w:t>
      </w:r>
      <w:r w:rsidRPr="00D13040">
        <w:t xml:space="preserve"> w</w:t>
      </w:r>
      <w:r w:rsidR="005511BB" w:rsidRPr="00D13040">
        <w:t xml:space="preserve">ith funding assistance from </w:t>
      </w:r>
      <w:r w:rsidR="0050390B" w:rsidRPr="00D13040">
        <w:t xml:space="preserve">the </w:t>
      </w:r>
      <w:r w:rsidR="00FE142B" w:rsidRPr="00D13040">
        <w:t>United States of America</w:t>
      </w:r>
      <w:r w:rsidRPr="00D13040">
        <w:t>.</w:t>
      </w:r>
    </w:p>
    <w:p w:rsidR="007E0ABA" w:rsidRPr="00D13040" w:rsidRDefault="007E0ABA" w:rsidP="004E5419">
      <w:pPr>
        <w:pStyle w:val="Heading1"/>
        <w:numPr>
          <w:ilvl w:val="0"/>
          <w:numId w:val="0"/>
        </w:numPr>
        <w:rPr>
          <w:i/>
        </w:rPr>
      </w:pPr>
      <w:r w:rsidRPr="00D13040">
        <w:rPr>
          <w:i/>
        </w:rPr>
        <w:t xml:space="preserve">Production conversion activities foreseen </w:t>
      </w:r>
    </w:p>
    <w:p w:rsidR="007E0ABA" w:rsidRPr="00D13040" w:rsidRDefault="0050390B" w:rsidP="004E5419">
      <w:pPr>
        <w:pStyle w:val="Heading1"/>
      </w:pPr>
      <w:r w:rsidRPr="00D13040">
        <w:t xml:space="preserve">The </w:t>
      </w:r>
      <w:r w:rsidR="007E0ABA" w:rsidRPr="00D13040">
        <w:t xml:space="preserve">conversion of </w:t>
      </w:r>
      <w:r w:rsidRPr="00D13040">
        <w:t>the</w:t>
      </w:r>
      <w:r w:rsidR="007E0ABA" w:rsidRPr="00D13040">
        <w:t xml:space="preserve"> production lines </w:t>
      </w:r>
      <w:r w:rsidRPr="00D13040">
        <w:t xml:space="preserve">from </w:t>
      </w:r>
      <w:r w:rsidR="007E0ABA" w:rsidRPr="00D13040">
        <w:t xml:space="preserve">HFC-134a to isobutane </w:t>
      </w:r>
      <w:r w:rsidRPr="00D13040">
        <w:t xml:space="preserve">as a refrigerant </w:t>
      </w:r>
      <w:r w:rsidR="007E0ABA" w:rsidRPr="00D13040">
        <w:t>for manufacturing domestic refrigerators</w:t>
      </w:r>
      <w:r w:rsidRPr="00D13040">
        <w:t xml:space="preserve"> includes: modification or replacement of the equipment in the prod</w:t>
      </w:r>
      <w:r w:rsidR="002802F5" w:rsidRPr="00D13040">
        <w:t>uction process for refrigerator</w:t>
      </w:r>
      <w:r w:rsidR="000033C1" w:rsidRPr="00D13040">
        <w:t>s</w:t>
      </w:r>
      <w:r w:rsidRPr="00D13040">
        <w:t>, installation of safety devices in areas where refrigerant is handled and product re-design including introduction of safety feature to handle flammable refrigerants</w:t>
      </w:r>
      <w:r w:rsidR="008B142E" w:rsidRPr="00D13040">
        <w:t xml:space="preserve"> changes in product components including heat exchanger and compressor; and </w:t>
      </w:r>
      <w:r w:rsidR="007E0ABA" w:rsidRPr="00D13040">
        <w:t xml:space="preserve">support </w:t>
      </w:r>
      <w:r w:rsidR="00FE142B" w:rsidRPr="00D13040">
        <w:t xml:space="preserve">for </w:t>
      </w:r>
      <w:r w:rsidR="00C00365" w:rsidRPr="00D13040">
        <w:t xml:space="preserve">the </w:t>
      </w:r>
      <w:r w:rsidR="007E0ABA" w:rsidRPr="00D13040">
        <w:t xml:space="preserve">service infrastructure for handling installation and maintenance. </w:t>
      </w:r>
      <w:r w:rsidR="008B142E" w:rsidRPr="00D13040">
        <w:t>The new product will have a</w:t>
      </w:r>
      <w:r w:rsidR="000033C1" w:rsidRPr="00D13040">
        <w:t>n average</w:t>
      </w:r>
      <w:r w:rsidR="008B142E" w:rsidRPr="00D13040">
        <w:t xml:space="preserve"> refrigerant charge of </w:t>
      </w:r>
      <w:r w:rsidR="006828D0" w:rsidRPr="00D13040">
        <w:t>40 to 90</w:t>
      </w:r>
      <w:r w:rsidR="008B142E" w:rsidRPr="00D13040">
        <w:t xml:space="preserve"> grams of isobutane per unit instead of </w:t>
      </w:r>
      <w:r w:rsidR="00786F7E" w:rsidRPr="00D13040">
        <w:t xml:space="preserve">an average of </w:t>
      </w:r>
      <w:r w:rsidR="008B142E" w:rsidRPr="00D13040">
        <w:t xml:space="preserve">126 grams of HFC-134a. </w:t>
      </w:r>
      <w:r w:rsidR="00603DA4" w:rsidRPr="00D13040">
        <w:t xml:space="preserve">Financial assistance for the conversion of the lines are requested for </w:t>
      </w:r>
      <w:r w:rsidR="007E0ABA" w:rsidRPr="00D13040">
        <w:t>refrigerant supply and storage, vacuum pumps, refrigerant charging equipment, leak detection equipment, safety infrastructure and assembly line testing equipment</w:t>
      </w:r>
      <w:r w:rsidR="00603DA4" w:rsidRPr="00D13040">
        <w:t>,</w:t>
      </w:r>
      <w:r w:rsidR="007E0ABA" w:rsidRPr="00D13040">
        <w:t xml:space="preserve">  vacuum pump</w:t>
      </w:r>
      <w:r w:rsidR="00603DA4" w:rsidRPr="00D13040">
        <w:t>s</w:t>
      </w:r>
      <w:r w:rsidR="007E0ABA" w:rsidRPr="00D13040">
        <w:t>, charging machine</w:t>
      </w:r>
      <w:r w:rsidR="00603DA4" w:rsidRPr="00D13040">
        <w:t>s</w:t>
      </w:r>
      <w:r w:rsidR="007E0ABA" w:rsidRPr="00D13040">
        <w:t xml:space="preserve">, manifold for service centre for equipping service infrastructure for handling hydrocarbon refrigerants, modification of drier filter production line for use with isobutane, changing fin press die for frost free refrigerator production and technical assistance/consultancy for product redesign, training costs and civil works </w:t>
      </w:r>
      <w:r w:rsidR="00E8215F" w:rsidRPr="00D13040">
        <w:t>necessary</w:t>
      </w:r>
      <w:r w:rsidR="007E0ABA" w:rsidRPr="00D13040">
        <w:t xml:space="preserve"> for conversion.  The incremental operating costs </w:t>
      </w:r>
      <w:r w:rsidR="00603DA4" w:rsidRPr="00D13040">
        <w:t xml:space="preserve">(IOC) </w:t>
      </w:r>
      <w:r w:rsidR="007E0ABA" w:rsidRPr="00D13040">
        <w:t xml:space="preserve">for </w:t>
      </w:r>
      <w:r w:rsidR="00603DA4" w:rsidRPr="00D13040">
        <w:t xml:space="preserve">the </w:t>
      </w:r>
      <w:r w:rsidR="007E0ABA" w:rsidRPr="00D13040">
        <w:t xml:space="preserve">production </w:t>
      </w:r>
      <w:r w:rsidR="008B142E" w:rsidRPr="00D13040">
        <w:t xml:space="preserve">of </w:t>
      </w:r>
      <w:r w:rsidR="007E0ABA" w:rsidRPr="00D13040">
        <w:t xml:space="preserve">1.62 million refrigerators </w:t>
      </w:r>
      <w:r w:rsidR="00FE142B" w:rsidRPr="00D13040">
        <w:t xml:space="preserve">is </w:t>
      </w:r>
      <w:r w:rsidR="007E0ABA" w:rsidRPr="00D13040">
        <w:t xml:space="preserve">estimated at US $3,018,600 (i.e., </w:t>
      </w:r>
      <w:r w:rsidR="00B56167" w:rsidRPr="00D13040">
        <w:t>US</w:t>
      </w:r>
      <w:r w:rsidR="00A47F92" w:rsidRPr="00D13040">
        <w:t> </w:t>
      </w:r>
      <w:r w:rsidR="00B56167" w:rsidRPr="00D13040">
        <w:t>$1.83</w:t>
      </w:r>
      <w:r w:rsidR="00A47F92" w:rsidRPr="00D13040">
        <w:t> </w:t>
      </w:r>
      <w:r w:rsidR="00B56167" w:rsidRPr="00D13040">
        <w:t xml:space="preserve">per unit).  </w:t>
      </w:r>
      <w:r w:rsidR="00A47F92" w:rsidRPr="00D13040">
        <w:t xml:space="preserve">These costs have not been requested. </w:t>
      </w:r>
      <w:r w:rsidR="00B56167" w:rsidRPr="00D13040">
        <w:t>T</w:t>
      </w:r>
      <w:r w:rsidR="007E0ABA" w:rsidRPr="00D13040">
        <w:t xml:space="preserve">able </w:t>
      </w:r>
      <w:r w:rsidR="008B142E" w:rsidRPr="00D13040">
        <w:t xml:space="preserve">2 </w:t>
      </w:r>
      <w:r w:rsidR="007E0ABA" w:rsidRPr="00D13040">
        <w:t xml:space="preserve">summarises the investment costs </w:t>
      </w:r>
      <w:r w:rsidR="00AA1F70" w:rsidRPr="00D13040">
        <w:t xml:space="preserve">requested </w:t>
      </w:r>
      <w:r w:rsidR="007E0ABA" w:rsidRPr="00D13040">
        <w:t>for the project.</w:t>
      </w:r>
    </w:p>
    <w:p w:rsidR="00DD08A6" w:rsidRPr="00D13040" w:rsidRDefault="00DD08A6" w:rsidP="004E5419">
      <w:pPr>
        <w:pStyle w:val="Heading1"/>
        <w:numPr>
          <w:ilvl w:val="0"/>
          <w:numId w:val="0"/>
        </w:numPr>
        <w:spacing w:after="0"/>
        <w:rPr>
          <w:b/>
        </w:rPr>
      </w:pPr>
      <w:r w:rsidRPr="00D13040">
        <w:rPr>
          <w:b/>
        </w:rPr>
        <w:t xml:space="preserve">Table </w:t>
      </w:r>
      <w:r w:rsidR="00B56167" w:rsidRPr="00D13040">
        <w:rPr>
          <w:b/>
        </w:rPr>
        <w:t>2</w:t>
      </w:r>
      <w:r w:rsidRPr="00D13040">
        <w:rPr>
          <w:b/>
        </w:rPr>
        <w:t xml:space="preserve">: </w:t>
      </w:r>
      <w:r w:rsidR="008B142E" w:rsidRPr="00D13040">
        <w:rPr>
          <w:b/>
        </w:rPr>
        <w:t xml:space="preserve">Estimated </w:t>
      </w:r>
      <w:r w:rsidRPr="00D13040">
        <w:rPr>
          <w:b/>
        </w:rPr>
        <w:t xml:space="preserve">costs for conversion of </w:t>
      </w:r>
      <w:r w:rsidR="008B142E" w:rsidRPr="00D13040">
        <w:rPr>
          <w:b/>
        </w:rPr>
        <w:t xml:space="preserve">three domestic </w:t>
      </w:r>
      <w:r w:rsidRPr="00D13040">
        <w:rPr>
          <w:b/>
        </w:rPr>
        <w:t>refrigerator manufacturing</w:t>
      </w:r>
      <w:r w:rsidR="008B142E" w:rsidRPr="00D13040">
        <w:rPr>
          <w:b/>
        </w:rPr>
        <w:t xml:space="preserve"> lines at Walton</w:t>
      </w:r>
    </w:p>
    <w:tbl>
      <w:tblPr>
        <w:tblW w:w="5000" w:type="pct"/>
        <w:tblLook w:val="04A0" w:firstRow="1" w:lastRow="0" w:firstColumn="1" w:lastColumn="0" w:noHBand="0" w:noVBand="1"/>
      </w:tblPr>
      <w:tblGrid>
        <w:gridCol w:w="6778"/>
        <w:gridCol w:w="2798"/>
      </w:tblGrid>
      <w:tr w:rsidR="00DD08A6" w:rsidRPr="00D13040" w:rsidTr="005C1713">
        <w:trPr>
          <w:trHeight w:val="227"/>
          <w:tblHeader/>
        </w:trPr>
        <w:tc>
          <w:tcPr>
            <w:tcW w:w="35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8A6" w:rsidRPr="00D13040" w:rsidRDefault="008B142E" w:rsidP="004E5419">
            <w:pPr>
              <w:jc w:val="left"/>
              <w:rPr>
                <w:b/>
                <w:bCs/>
                <w:color w:val="000000"/>
                <w:sz w:val="20"/>
                <w:szCs w:val="20"/>
                <w:lang w:val="en-CA" w:eastAsia="en-CA"/>
              </w:rPr>
            </w:pPr>
            <w:r w:rsidRPr="00D13040">
              <w:rPr>
                <w:b/>
                <w:bCs/>
                <w:color w:val="000000"/>
                <w:sz w:val="20"/>
                <w:szCs w:val="20"/>
                <w:lang w:val="en-CA" w:eastAsia="en-CA"/>
              </w:rPr>
              <w:t>Description</w:t>
            </w:r>
          </w:p>
        </w:tc>
        <w:tc>
          <w:tcPr>
            <w:tcW w:w="1461" w:type="pct"/>
            <w:tcBorders>
              <w:top w:val="single" w:sz="4" w:space="0" w:color="auto"/>
              <w:left w:val="nil"/>
              <w:bottom w:val="single" w:sz="4" w:space="0" w:color="auto"/>
              <w:right w:val="single" w:sz="4" w:space="0" w:color="auto"/>
            </w:tcBorders>
            <w:shd w:val="clear" w:color="auto" w:fill="auto"/>
            <w:noWrap/>
            <w:vAlign w:val="bottom"/>
            <w:hideMark/>
          </w:tcPr>
          <w:p w:rsidR="00DD08A6" w:rsidRPr="00D13040" w:rsidRDefault="008B142E" w:rsidP="004E5419">
            <w:pPr>
              <w:jc w:val="center"/>
              <w:rPr>
                <w:b/>
                <w:bCs/>
                <w:color w:val="000000"/>
                <w:sz w:val="20"/>
                <w:szCs w:val="20"/>
                <w:lang w:val="en-CA" w:eastAsia="en-CA"/>
              </w:rPr>
            </w:pPr>
            <w:r w:rsidRPr="00D13040">
              <w:rPr>
                <w:b/>
                <w:bCs/>
                <w:color w:val="000000"/>
                <w:sz w:val="20"/>
                <w:szCs w:val="20"/>
                <w:lang w:val="en-CA" w:eastAsia="en-CA"/>
              </w:rPr>
              <w:t>Cost (</w:t>
            </w:r>
            <w:r w:rsidR="00DD08A6" w:rsidRPr="00D13040">
              <w:rPr>
                <w:b/>
                <w:bCs/>
                <w:color w:val="000000"/>
                <w:sz w:val="20"/>
                <w:szCs w:val="20"/>
                <w:lang w:val="en-CA" w:eastAsia="en-CA"/>
              </w:rPr>
              <w:t>US $</w:t>
            </w:r>
            <w:r w:rsidRPr="00D13040">
              <w:rPr>
                <w:b/>
                <w:bCs/>
                <w:color w:val="000000"/>
                <w:sz w:val="20"/>
                <w:szCs w:val="20"/>
                <w:lang w:val="en-CA" w:eastAsia="en-CA"/>
              </w:rPr>
              <w:t>)</w:t>
            </w:r>
          </w:p>
        </w:tc>
      </w:tr>
      <w:tr w:rsidR="00EE2893" w:rsidRPr="00D13040" w:rsidTr="00F72C91">
        <w:trPr>
          <w:trHeight w:val="227"/>
        </w:trPr>
        <w:tc>
          <w:tcPr>
            <w:tcW w:w="3539" w:type="pct"/>
            <w:tcBorders>
              <w:top w:val="nil"/>
              <w:left w:val="single" w:sz="4" w:space="0" w:color="auto"/>
              <w:bottom w:val="single" w:sz="4" w:space="0" w:color="auto"/>
              <w:right w:val="single" w:sz="4" w:space="0" w:color="auto"/>
            </w:tcBorders>
            <w:shd w:val="clear" w:color="auto" w:fill="auto"/>
            <w:noWrap/>
          </w:tcPr>
          <w:p w:rsidR="00EE2893" w:rsidRPr="00D13040" w:rsidRDefault="00EE2893" w:rsidP="004E5419">
            <w:pPr>
              <w:rPr>
                <w:sz w:val="20"/>
                <w:szCs w:val="20"/>
              </w:rPr>
            </w:pPr>
            <w:r w:rsidRPr="00D13040">
              <w:rPr>
                <w:sz w:val="20"/>
                <w:szCs w:val="20"/>
              </w:rPr>
              <w:t>Product design, testing and certification</w:t>
            </w:r>
          </w:p>
        </w:tc>
        <w:tc>
          <w:tcPr>
            <w:tcW w:w="1461" w:type="pct"/>
            <w:tcBorders>
              <w:top w:val="nil"/>
              <w:left w:val="nil"/>
              <w:bottom w:val="single" w:sz="4" w:space="0" w:color="auto"/>
              <w:right w:val="single" w:sz="4" w:space="0" w:color="auto"/>
            </w:tcBorders>
            <w:shd w:val="clear" w:color="auto" w:fill="auto"/>
            <w:noWrap/>
          </w:tcPr>
          <w:p w:rsidR="00EE2893" w:rsidRPr="00D13040" w:rsidRDefault="00EE2893" w:rsidP="004E5419">
            <w:pPr>
              <w:jc w:val="right"/>
              <w:rPr>
                <w:sz w:val="20"/>
                <w:szCs w:val="20"/>
              </w:rPr>
            </w:pPr>
            <w:r w:rsidRPr="00D13040">
              <w:rPr>
                <w:sz w:val="20"/>
                <w:szCs w:val="20"/>
              </w:rPr>
              <w:t>240,000</w:t>
            </w:r>
          </w:p>
        </w:tc>
      </w:tr>
      <w:tr w:rsidR="00DD08A6" w:rsidRPr="00D13040" w:rsidTr="0026348F">
        <w:trPr>
          <w:trHeight w:val="227"/>
        </w:trPr>
        <w:tc>
          <w:tcPr>
            <w:tcW w:w="3539" w:type="pct"/>
            <w:tcBorders>
              <w:top w:val="nil"/>
              <w:left w:val="single" w:sz="4" w:space="0" w:color="auto"/>
              <w:bottom w:val="single" w:sz="4" w:space="0" w:color="auto"/>
              <w:right w:val="single" w:sz="4" w:space="0" w:color="auto"/>
            </w:tcBorders>
            <w:shd w:val="clear" w:color="auto" w:fill="auto"/>
            <w:noWrap/>
            <w:vAlign w:val="bottom"/>
            <w:hideMark/>
          </w:tcPr>
          <w:p w:rsidR="00DD08A6" w:rsidRPr="00D13040" w:rsidRDefault="00DD08A6" w:rsidP="004E5419">
            <w:pPr>
              <w:jc w:val="left"/>
              <w:rPr>
                <w:color w:val="000000"/>
                <w:sz w:val="20"/>
                <w:szCs w:val="20"/>
                <w:lang w:val="en-CA" w:eastAsia="en-CA"/>
              </w:rPr>
            </w:pPr>
            <w:r w:rsidRPr="00D13040">
              <w:rPr>
                <w:color w:val="000000"/>
                <w:sz w:val="20"/>
                <w:szCs w:val="20"/>
                <w:lang w:val="en-CA" w:eastAsia="en-CA"/>
              </w:rPr>
              <w:t>Refrigerant charging and supply system</w:t>
            </w:r>
          </w:p>
        </w:tc>
        <w:tc>
          <w:tcPr>
            <w:tcW w:w="1461" w:type="pct"/>
            <w:tcBorders>
              <w:top w:val="nil"/>
              <w:left w:val="nil"/>
              <w:bottom w:val="single" w:sz="4" w:space="0" w:color="auto"/>
              <w:right w:val="single" w:sz="4" w:space="0" w:color="auto"/>
            </w:tcBorders>
            <w:shd w:val="clear" w:color="auto" w:fill="auto"/>
            <w:noWrap/>
            <w:vAlign w:val="bottom"/>
            <w:hideMark/>
          </w:tcPr>
          <w:p w:rsidR="00DD08A6" w:rsidRPr="00D13040" w:rsidRDefault="00DD08A6" w:rsidP="004E5419">
            <w:pPr>
              <w:jc w:val="right"/>
              <w:rPr>
                <w:color w:val="000000"/>
                <w:sz w:val="20"/>
                <w:szCs w:val="20"/>
                <w:lang w:val="en-CA" w:eastAsia="en-CA"/>
              </w:rPr>
            </w:pPr>
            <w:r w:rsidRPr="00D13040">
              <w:rPr>
                <w:color w:val="000000"/>
                <w:sz w:val="20"/>
                <w:szCs w:val="20"/>
                <w:lang w:val="en-CA" w:eastAsia="en-CA"/>
              </w:rPr>
              <w:t>130,000</w:t>
            </w:r>
          </w:p>
        </w:tc>
      </w:tr>
      <w:tr w:rsidR="00DD08A6" w:rsidRPr="00D13040" w:rsidTr="0026348F">
        <w:trPr>
          <w:trHeight w:val="227"/>
        </w:trPr>
        <w:tc>
          <w:tcPr>
            <w:tcW w:w="3539" w:type="pct"/>
            <w:tcBorders>
              <w:top w:val="nil"/>
              <w:left w:val="single" w:sz="4" w:space="0" w:color="auto"/>
              <w:bottom w:val="single" w:sz="4" w:space="0" w:color="auto"/>
              <w:right w:val="single" w:sz="4" w:space="0" w:color="auto"/>
            </w:tcBorders>
            <w:shd w:val="clear" w:color="auto" w:fill="auto"/>
            <w:noWrap/>
            <w:vAlign w:val="bottom"/>
            <w:hideMark/>
          </w:tcPr>
          <w:p w:rsidR="00DD08A6" w:rsidRPr="00D13040" w:rsidRDefault="00DD08A6" w:rsidP="004E5419">
            <w:pPr>
              <w:jc w:val="left"/>
              <w:rPr>
                <w:color w:val="000000"/>
                <w:sz w:val="20"/>
                <w:szCs w:val="20"/>
                <w:lang w:val="en-CA" w:eastAsia="en-CA"/>
              </w:rPr>
            </w:pPr>
            <w:r w:rsidRPr="00D13040">
              <w:rPr>
                <w:color w:val="000000"/>
                <w:sz w:val="20"/>
                <w:szCs w:val="20"/>
                <w:lang w:val="en-CA" w:eastAsia="en-CA"/>
              </w:rPr>
              <w:t>Assembly line modifications</w:t>
            </w:r>
          </w:p>
        </w:tc>
        <w:tc>
          <w:tcPr>
            <w:tcW w:w="1461" w:type="pct"/>
            <w:tcBorders>
              <w:top w:val="nil"/>
              <w:left w:val="nil"/>
              <w:bottom w:val="single" w:sz="4" w:space="0" w:color="auto"/>
              <w:right w:val="single" w:sz="4" w:space="0" w:color="auto"/>
            </w:tcBorders>
            <w:shd w:val="clear" w:color="auto" w:fill="auto"/>
            <w:noWrap/>
            <w:vAlign w:val="bottom"/>
            <w:hideMark/>
          </w:tcPr>
          <w:p w:rsidR="00DD08A6" w:rsidRPr="00D13040" w:rsidRDefault="00DD08A6" w:rsidP="004E5419">
            <w:pPr>
              <w:jc w:val="right"/>
              <w:rPr>
                <w:color w:val="000000"/>
                <w:sz w:val="20"/>
                <w:szCs w:val="20"/>
                <w:lang w:val="en-CA" w:eastAsia="en-CA"/>
              </w:rPr>
            </w:pPr>
            <w:r w:rsidRPr="00D13040">
              <w:rPr>
                <w:color w:val="000000"/>
                <w:sz w:val="20"/>
                <w:szCs w:val="20"/>
                <w:lang w:val="en-CA" w:eastAsia="en-CA"/>
              </w:rPr>
              <w:t>1,068,000</w:t>
            </w:r>
          </w:p>
        </w:tc>
      </w:tr>
      <w:tr w:rsidR="00DD08A6" w:rsidRPr="00D13040" w:rsidTr="0026348F">
        <w:trPr>
          <w:trHeight w:val="227"/>
        </w:trPr>
        <w:tc>
          <w:tcPr>
            <w:tcW w:w="3539" w:type="pct"/>
            <w:tcBorders>
              <w:top w:val="nil"/>
              <w:left w:val="single" w:sz="4" w:space="0" w:color="auto"/>
              <w:bottom w:val="single" w:sz="4" w:space="0" w:color="auto"/>
              <w:right w:val="single" w:sz="4" w:space="0" w:color="auto"/>
            </w:tcBorders>
            <w:shd w:val="clear" w:color="auto" w:fill="auto"/>
            <w:noWrap/>
            <w:vAlign w:val="bottom"/>
            <w:hideMark/>
          </w:tcPr>
          <w:p w:rsidR="00DD08A6" w:rsidRPr="00D13040" w:rsidRDefault="00DD08A6" w:rsidP="004E5419">
            <w:pPr>
              <w:jc w:val="left"/>
              <w:rPr>
                <w:color w:val="000000"/>
                <w:sz w:val="20"/>
                <w:szCs w:val="20"/>
                <w:lang w:val="en-CA" w:eastAsia="en-CA"/>
              </w:rPr>
            </w:pPr>
            <w:r w:rsidRPr="00D13040">
              <w:rPr>
                <w:color w:val="000000"/>
                <w:sz w:val="20"/>
                <w:szCs w:val="20"/>
                <w:lang w:val="en-CA" w:eastAsia="en-CA"/>
              </w:rPr>
              <w:t xml:space="preserve">Safety systems </w:t>
            </w:r>
          </w:p>
        </w:tc>
        <w:tc>
          <w:tcPr>
            <w:tcW w:w="1461" w:type="pct"/>
            <w:tcBorders>
              <w:top w:val="nil"/>
              <w:left w:val="nil"/>
              <w:bottom w:val="single" w:sz="4" w:space="0" w:color="auto"/>
              <w:right w:val="single" w:sz="4" w:space="0" w:color="auto"/>
            </w:tcBorders>
            <w:shd w:val="clear" w:color="auto" w:fill="auto"/>
            <w:noWrap/>
            <w:vAlign w:val="bottom"/>
            <w:hideMark/>
          </w:tcPr>
          <w:p w:rsidR="00DD08A6" w:rsidRPr="00D13040" w:rsidRDefault="00DD08A6" w:rsidP="004E5419">
            <w:pPr>
              <w:jc w:val="right"/>
              <w:rPr>
                <w:color w:val="000000"/>
                <w:sz w:val="20"/>
                <w:szCs w:val="20"/>
                <w:lang w:val="en-CA" w:eastAsia="en-CA"/>
              </w:rPr>
            </w:pPr>
            <w:r w:rsidRPr="00D13040">
              <w:rPr>
                <w:color w:val="000000"/>
                <w:sz w:val="20"/>
                <w:szCs w:val="20"/>
                <w:lang w:val="en-CA" w:eastAsia="en-CA"/>
              </w:rPr>
              <w:t>203,000</w:t>
            </w:r>
          </w:p>
        </w:tc>
      </w:tr>
      <w:tr w:rsidR="00DD08A6" w:rsidRPr="00D13040" w:rsidTr="0026348F">
        <w:trPr>
          <w:trHeight w:val="227"/>
        </w:trPr>
        <w:tc>
          <w:tcPr>
            <w:tcW w:w="3539" w:type="pct"/>
            <w:tcBorders>
              <w:top w:val="nil"/>
              <w:left w:val="single" w:sz="4" w:space="0" w:color="auto"/>
              <w:bottom w:val="single" w:sz="4" w:space="0" w:color="auto"/>
              <w:right w:val="single" w:sz="4" w:space="0" w:color="auto"/>
            </w:tcBorders>
            <w:shd w:val="clear" w:color="auto" w:fill="auto"/>
            <w:noWrap/>
            <w:vAlign w:val="bottom"/>
            <w:hideMark/>
          </w:tcPr>
          <w:p w:rsidR="00DD08A6" w:rsidRPr="00D13040" w:rsidRDefault="00DD08A6" w:rsidP="004E5419">
            <w:pPr>
              <w:jc w:val="left"/>
              <w:rPr>
                <w:color w:val="000000"/>
                <w:sz w:val="20"/>
                <w:szCs w:val="20"/>
                <w:lang w:val="en-CA" w:eastAsia="en-CA"/>
              </w:rPr>
            </w:pPr>
            <w:r w:rsidRPr="00D13040">
              <w:rPr>
                <w:color w:val="000000"/>
                <w:sz w:val="20"/>
                <w:szCs w:val="20"/>
                <w:lang w:val="en-CA" w:eastAsia="en-CA"/>
              </w:rPr>
              <w:t>Service centers equipment support</w:t>
            </w:r>
          </w:p>
        </w:tc>
        <w:tc>
          <w:tcPr>
            <w:tcW w:w="1461" w:type="pct"/>
            <w:tcBorders>
              <w:top w:val="nil"/>
              <w:left w:val="nil"/>
              <w:bottom w:val="single" w:sz="4" w:space="0" w:color="auto"/>
              <w:right w:val="single" w:sz="4" w:space="0" w:color="auto"/>
            </w:tcBorders>
            <w:shd w:val="clear" w:color="auto" w:fill="auto"/>
            <w:noWrap/>
            <w:vAlign w:val="bottom"/>
            <w:hideMark/>
          </w:tcPr>
          <w:p w:rsidR="00DD08A6" w:rsidRPr="00D13040" w:rsidRDefault="00DD08A6" w:rsidP="004E5419">
            <w:pPr>
              <w:jc w:val="right"/>
              <w:rPr>
                <w:color w:val="000000"/>
                <w:sz w:val="20"/>
                <w:szCs w:val="20"/>
                <w:lang w:val="en-CA" w:eastAsia="en-CA"/>
              </w:rPr>
            </w:pPr>
            <w:r w:rsidRPr="00D13040">
              <w:rPr>
                <w:color w:val="000000"/>
                <w:sz w:val="20"/>
                <w:szCs w:val="20"/>
                <w:lang w:val="en-CA" w:eastAsia="en-CA"/>
              </w:rPr>
              <w:t>150,000</w:t>
            </w:r>
          </w:p>
        </w:tc>
      </w:tr>
      <w:tr w:rsidR="00EE2893" w:rsidRPr="00D13040" w:rsidTr="00F72C91">
        <w:trPr>
          <w:trHeight w:val="227"/>
        </w:trPr>
        <w:tc>
          <w:tcPr>
            <w:tcW w:w="3539" w:type="pct"/>
            <w:tcBorders>
              <w:top w:val="nil"/>
              <w:left w:val="single" w:sz="4" w:space="0" w:color="auto"/>
              <w:bottom w:val="single" w:sz="4" w:space="0" w:color="auto"/>
              <w:right w:val="single" w:sz="4" w:space="0" w:color="auto"/>
            </w:tcBorders>
            <w:shd w:val="clear" w:color="auto" w:fill="auto"/>
            <w:noWrap/>
          </w:tcPr>
          <w:p w:rsidR="00EE2893" w:rsidRPr="00D13040" w:rsidRDefault="00EE2893" w:rsidP="004E5419">
            <w:pPr>
              <w:rPr>
                <w:sz w:val="20"/>
                <w:szCs w:val="20"/>
              </w:rPr>
            </w:pPr>
            <w:r w:rsidRPr="00D13040">
              <w:rPr>
                <w:sz w:val="20"/>
                <w:szCs w:val="20"/>
              </w:rPr>
              <w:t>Technical assistance and training</w:t>
            </w:r>
          </w:p>
        </w:tc>
        <w:tc>
          <w:tcPr>
            <w:tcW w:w="1461" w:type="pct"/>
            <w:tcBorders>
              <w:top w:val="nil"/>
              <w:left w:val="nil"/>
              <w:bottom w:val="single" w:sz="4" w:space="0" w:color="auto"/>
              <w:right w:val="single" w:sz="4" w:space="0" w:color="auto"/>
            </w:tcBorders>
            <w:shd w:val="clear" w:color="auto" w:fill="auto"/>
            <w:noWrap/>
          </w:tcPr>
          <w:p w:rsidR="00EE2893" w:rsidRPr="00D13040" w:rsidRDefault="00EE2893" w:rsidP="004E5419">
            <w:pPr>
              <w:jc w:val="right"/>
              <w:rPr>
                <w:sz w:val="20"/>
                <w:szCs w:val="20"/>
              </w:rPr>
            </w:pPr>
            <w:r w:rsidRPr="00D13040">
              <w:rPr>
                <w:sz w:val="20"/>
                <w:szCs w:val="20"/>
              </w:rPr>
              <w:t>160,000</w:t>
            </w:r>
          </w:p>
        </w:tc>
      </w:tr>
      <w:tr w:rsidR="00EE2893" w:rsidRPr="00D13040" w:rsidTr="00F72C91">
        <w:trPr>
          <w:trHeight w:val="227"/>
        </w:trPr>
        <w:tc>
          <w:tcPr>
            <w:tcW w:w="3539" w:type="pct"/>
            <w:tcBorders>
              <w:top w:val="nil"/>
              <w:left w:val="single" w:sz="4" w:space="0" w:color="auto"/>
              <w:bottom w:val="single" w:sz="4" w:space="0" w:color="auto"/>
              <w:right w:val="single" w:sz="4" w:space="0" w:color="auto"/>
            </w:tcBorders>
            <w:shd w:val="clear" w:color="auto" w:fill="auto"/>
            <w:noWrap/>
          </w:tcPr>
          <w:p w:rsidR="00EE2893" w:rsidRPr="00D13040" w:rsidRDefault="00EE2893" w:rsidP="004E5419">
            <w:pPr>
              <w:rPr>
                <w:sz w:val="20"/>
                <w:szCs w:val="20"/>
              </w:rPr>
            </w:pPr>
            <w:r w:rsidRPr="00D13040">
              <w:rPr>
                <w:sz w:val="20"/>
                <w:szCs w:val="20"/>
              </w:rPr>
              <w:t>Shipping and insurance</w:t>
            </w:r>
          </w:p>
        </w:tc>
        <w:tc>
          <w:tcPr>
            <w:tcW w:w="1461" w:type="pct"/>
            <w:tcBorders>
              <w:top w:val="nil"/>
              <w:left w:val="nil"/>
              <w:bottom w:val="single" w:sz="4" w:space="0" w:color="auto"/>
              <w:right w:val="single" w:sz="4" w:space="0" w:color="auto"/>
            </w:tcBorders>
            <w:shd w:val="clear" w:color="auto" w:fill="auto"/>
            <w:noWrap/>
          </w:tcPr>
          <w:p w:rsidR="00EE2893" w:rsidRPr="00D13040" w:rsidRDefault="00EE2893" w:rsidP="004E5419">
            <w:pPr>
              <w:jc w:val="right"/>
              <w:rPr>
                <w:sz w:val="20"/>
                <w:szCs w:val="20"/>
              </w:rPr>
            </w:pPr>
            <w:r w:rsidRPr="00D13040">
              <w:rPr>
                <w:sz w:val="20"/>
                <w:szCs w:val="20"/>
              </w:rPr>
              <w:t>116,325</w:t>
            </w:r>
          </w:p>
        </w:tc>
      </w:tr>
      <w:tr w:rsidR="00DD08A6" w:rsidRPr="00D13040" w:rsidTr="0026348F">
        <w:trPr>
          <w:trHeight w:val="227"/>
        </w:trPr>
        <w:tc>
          <w:tcPr>
            <w:tcW w:w="3539" w:type="pct"/>
            <w:tcBorders>
              <w:top w:val="nil"/>
              <w:left w:val="single" w:sz="4" w:space="0" w:color="auto"/>
              <w:bottom w:val="single" w:sz="4" w:space="0" w:color="auto"/>
              <w:right w:val="single" w:sz="4" w:space="0" w:color="auto"/>
            </w:tcBorders>
            <w:shd w:val="clear" w:color="auto" w:fill="auto"/>
            <w:noWrap/>
            <w:vAlign w:val="bottom"/>
            <w:hideMark/>
          </w:tcPr>
          <w:p w:rsidR="00DD08A6" w:rsidRPr="00D13040" w:rsidRDefault="00DD08A6" w:rsidP="004E5419">
            <w:pPr>
              <w:jc w:val="left"/>
              <w:rPr>
                <w:color w:val="000000"/>
                <w:sz w:val="20"/>
                <w:szCs w:val="20"/>
                <w:lang w:val="en-CA" w:eastAsia="en-CA"/>
              </w:rPr>
            </w:pPr>
            <w:r w:rsidRPr="00D13040">
              <w:rPr>
                <w:color w:val="000000"/>
                <w:sz w:val="20"/>
                <w:szCs w:val="20"/>
                <w:lang w:val="en-CA" w:eastAsia="en-CA"/>
              </w:rPr>
              <w:t xml:space="preserve">Civil </w:t>
            </w:r>
            <w:r w:rsidR="00862A02" w:rsidRPr="00D13040">
              <w:rPr>
                <w:color w:val="000000"/>
                <w:sz w:val="20"/>
                <w:szCs w:val="20"/>
                <w:lang w:val="en-CA" w:eastAsia="en-CA"/>
              </w:rPr>
              <w:t>construction</w:t>
            </w:r>
          </w:p>
        </w:tc>
        <w:tc>
          <w:tcPr>
            <w:tcW w:w="1461" w:type="pct"/>
            <w:tcBorders>
              <w:top w:val="nil"/>
              <w:left w:val="nil"/>
              <w:bottom w:val="single" w:sz="4" w:space="0" w:color="auto"/>
              <w:right w:val="single" w:sz="4" w:space="0" w:color="auto"/>
            </w:tcBorders>
            <w:shd w:val="clear" w:color="auto" w:fill="auto"/>
            <w:noWrap/>
            <w:vAlign w:val="bottom"/>
            <w:hideMark/>
          </w:tcPr>
          <w:p w:rsidR="00DD08A6" w:rsidRPr="00D13040" w:rsidRDefault="00DD08A6" w:rsidP="004E5419">
            <w:pPr>
              <w:jc w:val="right"/>
              <w:rPr>
                <w:color w:val="000000"/>
                <w:sz w:val="20"/>
                <w:szCs w:val="20"/>
                <w:lang w:val="en-CA" w:eastAsia="en-CA"/>
              </w:rPr>
            </w:pPr>
            <w:r w:rsidRPr="00D13040">
              <w:rPr>
                <w:color w:val="000000"/>
                <w:sz w:val="20"/>
                <w:szCs w:val="20"/>
                <w:lang w:val="en-CA" w:eastAsia="en-CA"/>
              </w:rPr>
              <w:t>80,000</w:t>
            </w:r>
          </w:p>
        </w:tc>
      </w:tr>
      <w:tr w:rsidR="00DD08A6" w:rsidRPr="00D13040" w:rsidTr="0026348F">
        <w:trPr>
          <w:trHeight w:val="227"/>
        </w:trPr>
        <w:tc>
          <w:tcPr>
            <w:tcW w:w="3539" w:type="pct"/>
            <w:tcBorders>
              <w:top w:val="nil"/>
              <w:left w:val="single" w:sz="4" w:space="0" w:color="auto"/>
              <w:bottom w:val="single" w:sz="4" w:space="0" w:color="auto"/>
              <w:right w:val="single" w:sz="4" w:space="0" w:color="auto"/>
            </w:tcBorders>
            <w:shd w:val="clear" w:color="auto" w:fill="auto"/>
            <w:noWrap/>
            <w:hideMark/>
          </w:tcPr>
          <w:p w:rsidR="00DD08A6" w:rsidRPr="00D13040" w:rsidRDefault="00DD08A6" w:rsidP="004E5419">
            <w:pPr>
              <w:jc w:val="left"/>
              <w:rPr>
                <w:color w:val="000000"/>
                <w:sz w:val="20"/>
                <w:szCs w:val="20"/>
                <w:lang w:val="en-CA" w:eastAsia="en-CA"/>
              </w:rPr>
            </w:pPr>
            <w:r w:rsidRPr="00D13040">
              <w:rPr>
                <w:color w:val="000000"/>
                <w:sz w:val="20"/>
                <w:szCs w:val="20"/>
                <w:lang w:val="en-CA" w:eastAsia="en-CA"/>
              </w:rPr>
              <w:t>Contingencies</w:t>
            </w:r>
          </w:p>
        </w:tc>
        <w:tc>
          <w:tcPr>
            <w:tcW w:w="1461" w:type="pct"/>
            <w:tcBorders>
              <w:top w:val="nil"/>
              <w:left w:val="nil"/>
              <w:bottom w:val="single" w:sz="4" w:space="0" w:color="auto"/>
              <w:right w:val="single" w:sz="4" w:space="0" w:color="auto"/>
            </w:tcBorders>
            <w:shd w:val="clear" w:color="auto" w:fill="auto"/>
            <w:noWrap/>
            <w:hideMark/>
          </w:tcPr>
          <w:p w:rsidR="00DD08A6" w:rsidRPr="00D13040" w:rsidRDefault="00DD08A6" w:rsidP="004E5419">
            <w:pPr>
              <w:jc w:val="right"/>
              <w:rPr>
                <w:color w:val="000000"/>
                <w:sz w:val="20"/>
                <w:szCs w:val="20"/>
                <w:lang w:val="en-CA" w:eastAsia="en-CA"/>
              </w:rPr>
            </w:pPr>
            <w:r w:rsidRPr="00D13040">
              <w:rPr>
                <w:color w:val="000000"/>
                <w:sz w:val="20"/>
                <w:szCs w:val="20"/>
                <w:lang w:val="en-CA" w:eastAsia="en-CA"/>
              </w:rPr>
              <w:t>214,733</w:t>
            </w:r>
          </w:p>
        </w:tc>
      </w:tr>
      <w:tr w:rsidR="00DD08A6" w:rsidRPr="00D13040" w:rsidTr="0026348F">
        <w:trPr>
          <w:trHeight w:val="227"/>
        </w:trPr>
        <w:tc>
          <w:tcPr>
            <w:tcW w:w="3539" w:type="pct"/>
            <w:tcBorders>
              <w:top w:val="nil"/>
              <w:left w:val="single" w:sz="4" w:space="0" w:color="auto"/>
              <w:bottom w:val="single" w:sz="4" w:space="0" w:color="auto"/>
              <w:right w:val="single" w:sz="4" w:space="0" w:color="auto"/>
            </w:tcBorders>
            <w:shd w:val="clear" w:color="auto" w:fill="auto"/>
            <w:noWrap/>
            <w:hideMark/>
          </w:tcPr>
          <w:p w:rsidR="00DD08A6" w:rsidRPr="00D13040" w:rsidRDefault="00DD08A6" w:rsidP="004E5419">
            <w:pPr>
              <w:jc w:val="left"/>
              <w:rPr>
                <w:b/>
                <w:bCs/>
                <w:color w:val="000000"/>
                <w:sz w:val="20"/>
                <w:szCs w:val="20"/>
                <w:lang w:val="en-CA" w:eastAsia="en-CA"/>
              </w:rPr>
            </w:pPr>
            <w:r w:rsidRPr="00D13040">
              <w:rPr>
                <w:b/>
                <w:bCs/>
                <w:color w:val="000000"/>
                <w:sz w:val="20"/>
                <w:szCs w:val="20"/>
                <w:lang w:val="en-CA" w:eastAsia="en-CA"/>
              </w:rPr>
              <w:t xml:space="preserve">Total </w:t>
            </w:r>
          </w:p>
        </w:tc>
        <w:tc>
          <w:tcPr>
            <w:tcW w:w="1461" w:type="pct"/>
            <w:tcBorders>
              <w:top w:val="nil"/>
              <w:left w:val="nil"/>
              <w:bottom w:val="single" w:sz="4" w:space="0" w:color="auto"/>
              <w:right w:val="single" w:sz="4" w:space="0" w:color="auto"/>
            </w:tcBorders>
            <w:shd w:val="clear" w:color="auto" w:fill="auto"/>
            <w:noWrap/>
            <w:hideMark/>
          </w:tcPr>
          <w:p w:rsidR="00DD08A6" w:rsidRPr="00D13040" w:rsidRDefault="00DD08A6" w:rsidP="004E5419">
            <w:pPr>
              <w:jc w:val="right"/>
              <w:rPr>
                <w:b/>
                <w:bCs/>
                <w:color w:val="000000"/>
                <w:sz w:val="20"/>
                <w:szCs w:val="20"/>
                <w:lang w:val="en-CA" w:eastAsia="en-CA"/>
              </w:rPr>
            </w:pPr>
            <w:r w:rsidRPr="00D13040">
              <w:rPr>
                <w:b/>
                <w:bCs/>
                <w:color w:val="000000"/>
                <w:sz w:val="20"/>
                <w:szCs w:val="20"/>
                <w:lang w:val="en-CA" w:eastAsia="en-CA"/>
              </w:rPr>
              <w:t>2,362,058</w:t>
            </w:r>
          </w:p>
        </w:tc>
      </w:tr>
      <w:tr w:rsidR="00DD08A6" w:rsidRPr="00D13040" w:rsidTr="0026348F">
        <w:trPr>
          <w:trHeight w:val="227"/>
        </w:trPr>
        <w:tc>
          <w:tcPr>
            <w:tcW w:w="3539" w:type="pct"/>
            <w:tcBorders>
              <w:top w:val="nil"/>
              <w:left w:val="single" w:sz="4" w:space="0" w:color="auto"/>
              <w:bottom w:val="single" w:sz="4" w:space="0" w:color="auto"/>
              <w:right w:val="single" w:sz="4" w:space="0" w:color="auto"/>
            </w:tcBorders>
            <w:shd w:val="clear" w:color="auto" w:fill="auto"/>
            <w:noWrap/>
            <w:hideMark/>
          </w:tcPr>
          <w:p w:rsidR="00DD08A6" w:rsidRPr="00D13040" w:rsidRDefault="00A47F92" w:rsidP="004E5419">
            <w:pPr>
              <w:jc w:val="left"/>
              <w:rPr>
                <w:color w:val="000000"/>
                <w:sz w:val="20"/>
                <w:szCs w:val="20"/>
                <w:lang w:val="en-CA" w:eastAsia="en-CA"/>
              </w:rPr>
            </w:pPr>
            <w:r w:rsidRPr="00D13040">
              <w:rPr>
                <w:color w:val="000000"/>
                <w:sz w:val="20"/>
                <w:szCs w:val="20"/>
                <w:lang w:val="en-CA" w:eastAsia="en-CA"/>
              </w:rPr>
              <w:t>O</w:t>
            </w:r>
            <w:r w:rsidR="00DD08A6" w:rsidRPr="00D13040">
              <w:rPr>
                <w:color w:val="000000"/>
                <w:sz w:val="20"/>
                <w:szCs w:val="20"/>
                <w:lang w:val="en-CA" w:eastAsia="en-CA"/>
              </w:rPr>
              <w:t xml:space="preserve">perating </w:t>
            </w:r>
            <w:r w:rsidRPr="00D13040">
              <w:rPr>
                <w:color w:val="000000"/>
                <w:sz w:val="20"/>
                <w:szCs w:val="20"/>
                <w:lang w:val="en-CA" w:eastAsia="en-CA"/>
              </w:rPr>
              <w:t>costs</w:t>
            </w:r>
          </w:p>
        </w:tc>
        <w:tc>
          <w:tcPr>
            <w:tcW w:w="1461" w:type="pct"/>
            <w:tcBorders>
              <w:top w:val="nil"/>
              <w:left w:val="nil"/>
              <w:bottom w:val="single" w:sz="4" w:space="0" w:color="auto"/>
              <w:right w:val="single" w:sz="4" w:space="0" w:color="auto"/>
            </w:tcBorders>
            <w:shd w:val="clear" w:color="auto" w:fill="auto"/>
            <w:noWrap/>
            <w:vAlign w:val="bottom"/>
            <w:hideMark/>
          </w:tcPr>
          <w:p w:rsidR="00DD08A6" w:rsidRPr="00D13040" w:rsidRDefault="00DD08A6" w:rsidP="004E5419">
            <w:pPr>
              <w:jc w:val="right"/>
              <w:rPr>
                <w:color w:val="000000"/>
                <w:sz w:val="20"/>
                <w:szCs w:val="20"/>
                <w:lang w:val="en-CA" w:eastAsia="en-CA"/>
              </w:rPr>
            </w:pPr>
            <w:r w:rsidRPr="00D13040">
              <w:rPr>
                <w:color w:val="000000"/>
                <w:sz w:val="20"/>
                <w:szCs w:val="20"/>
                <w:lang w:val="en-CA" w:eastAsia="en-CA"/>
              </w:rPr>
              <w:t> -</w:t>
            </w:r>
          </w:p>
        </w:tc>
      </w:tr>
      <w:tr w:rsidR="00DD08A6" w:rsidRPr="00D13040" w:rsidTr="0026348F">
        <w:trPr>
          <w:trHeight w:val="227"/>
        </w:trPr>
        <w:tc>
          <w:tcPr>
            <w:tcW w:w="3539" w:type="pct"/>
            <w:tcBorders>
              <w:top w:val="nil"/>
              <w:left w:val="single" w:sz="4" w:space="0" w:color="auto"/>
              <w:bottom w:val="single" w:sz="4" w:space="0" w:color="auto"/>
              <w:right w:val="single" w:sz="4" w:space="0" w:color="auto"/>
            </w:tcBorders>
            <w:shd w:val="clear" w:color="auto" w:fill="auto"/>
            <w:noWrap/>
            <w:hideMark/>
          </w:tcPr>
          <w:p w:rsidR="00DD08A6" w:rsidRPr="00D13040" w:rsidRDefault="00DD08A6" w:rsidP="004E5419">
            <w:pPr>
              <w:jc w:val="left"/>
              <w:rPr>
                <w:b/>
                <w:bCs/>
                <w:color w:val="000000"/>
                <w:sz w:val="20"/>
                <w:szCs w:val="20"/>
                <w:lang w:val="en-CA" w:eastAsia="en-CA"/>
              </w:rPr>
            </w:pPr>
            <w:r w:rsidRPr="00D13040">
              <w:rPr>
                <w:b/>
                <w:bCs/>
                <w:color w:val="000000"/>
                <w:sz w:val="20"/>
                <w:szCs w:val="20"/>
                <w:lang w:val="en-CA" w:eastAsia="en-CA"/>
              </w:rPr>
              <w:t xml:space="preserve">Total </w:t>
            </w:r>
            <w:r w:rsidR="004E5419">
              <w:rPr>
                <w:b/>
                <w:bCs/>
                <w:color w:val="000000"/>
                <w:sz w:val="20"/>
                <w:szCs w:val="20"/>
                <w:lang w:val="en-CA" w:eastAsia="en-CA"/>
              </w:rPr>
              <w:t>f</w:t>
            </w:r>
            <w:r w:rsidR="00A47F92" w:rsidRPr="00D13040">
              <w:rPr>
                <w:b/>
                <w:bCs/>
                <w:color w:val="000000"/>
                <w:sz w:val="20"/>
                <w:szCs w:val="20"/>
                <w:lang w:val="en-CA" w:eastAsia="en-CA"/>
              </w:rPr>
              <w:t>und requested</w:t>
            </w:r>
          </w:p>
        </w:tc>
        <w:tc>
          <w:tcPr>
            <w:tcW w:w="1461" w:type="pct"/>
            <w:tcBorders>
              <w:top w:val="nil"/>
              <w:left w:val="nil"/>
              <w:bottom w:val="single" w:sz="4" w:space="0" w:color="auto"/>
              <w:right w:val="single" w:sz="4" w:space="0" w:color="auto"/>
            </w:tcBorders>
            <w:shd w:val="clear" w:color="auto" w:fill="auto"/>
            <w:noWrap/>
            <w:vAlign w:val="bottom"/>
          </w:tcPr>
          <w:p w:rsidR="00DD08A6" w:rsidRPr="00D13040" w:rsidRDefault="00DD08A6" w:rsidP="004E5419">
            <w:pPr>
              <w:jc w:val="right"/>
              <w:rPr>
                <w:b/>
                <w:bCs/>
                <w:color w:val="000000"/>
                <w:sz w:val="20"/>
                <w:szCs w:val="20"/>
                <w:lang w:val="en-CA" w:eastAsia="en-CA"/>
              </w:rPr>
            </w:pPr>
            <w:r w:rsidRPr="00D13040">
              <w:rPr>
                <w:b/>
                <w:bCs/>
                <w:color w:val="000000"/>
                <w:sz w:val="20"/>
                <w:szCs w:val="20"/>
                <w:lang w:val="en-CA" w:eastAsia="en-CA"/>
              </w:rPr>
              <w:t>2,362,058</w:t>
            </w:r>
          </w:p>
        </w:tc>
      </w:tr>
    </w:tbl>
    <w:p w:rsidR="00DD08A6" w:rsidRPr="00D13040" w:rsidRDefault="00DD08A6" w:rsidP="004E5419">
      <w:pPr>
        <w:pStyle w:val="Heading1"/>
        <w:numPr>
          <w:ilvl w:val="0"/>
          <w:numId w:val="0"/>
        </w:numPr>
        <w:rPr>
          <w:b/>
        </w:rPr>
      </w:pPr>
    </w:p>
    <w:p w:rsidR="00DD08A6" w:rsidRPr="00D13040" w:rsidRDefault="00EE2893" w:rsidP="004E5419">
      <w:pPr>
        <w:pStyle w:val="Heading1"/>
      </w:pPr>
      <w:r w:rsidRPr="00D13040">
        <w:t>T</w:t>
      </w:r>
      <w:r w:rsidR="008B142E" w:rsidRPr="00D13040">
        <w:t>he conversion of the compressor line to manufacture fixed speed compressors for refrigerators using isobutane as the refrigerant</w:t>
      </w:r>
      <w:r w:rsidRPr="00D13040">
        <w:t xml:space="preserve"> includes:</w:t>
      </w:r>
      <w:r w:rsidR="008B142E" w:rsidRPr="00D13040">
        <w:t xml:space="preserve"> </w:t>
      </w:r>
      <w:r w:rsidR="00DD08A6" w:rsidRPr="00D13040">
        <w:t>product redesign, modifications in tool, die, moulds and machining operations for design changes in parts and components to ensure energy efficient performance of</w:t>
      </w:r>
      <w:r w:rsidR="00C00365" w:rsidRPr="00D13040">
        <w:t xml:space="preserve"> the </w:t>
      </w:r>
      <w:r w:rsidR="00DD08A6" w:rsidRPr="00D13040">
        <w:t>compressor</w:t>
      </w:r>
      <w:r w:rsidR="00C00365" w:rsidRPr="00D13040">
        <w:t xml:space="preserve">s; </w:t>
      </w:r>
      <w:r w:rsidR="00DD08A6" w:rsidRPr="00D13040">
        <w:t xml:space="preserve">safety systems and training and testing needed for assessing </w:t>
      </w:r>
      <w:r w:rsidR="00C00365" w:rsidRPr="00D13040">
        <w:t xml:space="preserve">its </w:t>
      </w:r>
      <w:r w:rsidR="00DD08A6" w:rsidRPr="00D13040">
        <w:t xml:space="preserve">reliable performance.   </w:t>
      </w:r>
      <w:r w:rsidR="003F76B1" w:rsidRPr="00D13040">
        <w:t xml:space="preserve">The total </w:t>
      </w:r>
      <w:r w:rsidR="00762300" w:rsidRPr="00D13040">
        <w:t xml:space="preserve">estimated </w:t>
      </w:r>
      <w:r w:rsidR="003F76B1" w:rsidRPr="00D13040">
        <w:t>cost of the project is</w:t>
      </w:r>
      <w:r w:rsidR="00DD08A6" w:rsidRPr="00D13040">
        <w:t xml:space="preserve"> US $</w:t>
      </w:r>
      <w:r w:rsidR="003F76B1" w:rsidRPr="00D13040">
        <w:t>3</w:t>
      </w:r>
      <w:r w:rsidR="00DD08A6" w:rsidRPr="00D13040">
        <w:t>,574,450</w:t>
      </w:r>
      <w:r w:rsidR="00786F7E" w:rsidRPr="00D13040">
        <w:t>;</w:t>
      </w:r>
      <w:r w:rsidR="003F76B1" w:rsidRPr="00D13040">
        <w:t xml:space="preserve"> of this amount, US $1,000,000 is co-financed by Walton.</w:t>
      </w:r>
      <w:r w:rsidR="00DD08A6" w:rsidRPr="00D13040">
        <w:t xml:space="preserve">  Table </w:t>
      </w:r>
      <w:r w:rsidR="003F76B1" w:rsidRPr="00D13040">
        <w:t xml:space="preserve">3 </w:t>
      </w:r>
      <w:r w:rsidR="00DD08A6" w:rsidRPr="00D13040">
        <w:t>presents the summary of the costs requested by the company.</w:t>
      </w:r>
    </w:p>
    <w:p w:rsidR="00DD08A6" w:rsidRPr="00D13040" w:rsidRDefault="00DD08A6" w:rsidP="004E5419">
      <w:pPr>
        <w:keepNext/>
        <w:rPr>
          <w:b/>
        </w:rPr>
      </w:pPr>
      <w:r w:rsidRPr="00D13040">
        <w:rPr>
          <w:b/>
        </w:rPr>
        <w:t xml:space="preserve">Table </w:t>
      </w:r>
      <w:r w:rsidR="00B56167" w:rsidRPr="00D13040">
        <w:rPr>
          <w:b/>
        </w:rPr>
        <w:t>3</w:t>
      </w:r>
      <w:r w:rsidRPr="00D13040">
        <w:rPr>
          <w:b/>
        </w:rPr>
        <w:t xml:space="preserve">: </w:t>
      </w:r>
      <w:r w:rsidR="00762300" w:rsidRPr="00D13040">
        <w:rPr>
          <w:b/>
        </w:rPr>
        <w:t>Estimated</w:t>
      </w:r>
      <w:r w:rsidRPr="00D13040">
        <w:rPr>
          <w:b/>
        </w:rPr>
        <w:t xml:space="preserve"> p</w:t>
      </w:r>
      <w:r w:rsidR="00762300" w:rsidRPr="00D13040">
        <w:rPr>
          <w:b/>
        </w:rPr>
        <w:t>roject costs for conversion of c</w:t>
      </w:r>
      <w:r w:rsidRPr="00D13040">
        <w:rPr>
          <w:b/>
        </w:rPr>
        <w:t>ompressor manufacturing</w:t>
      </w:r>
      <w:r w:rsidR="00762300" w:rsidRPr="00D13040">
        <w:rPr>
          <w:b/>
        </w:rPr>
        <w:t xml:space="preserve"> facility at Walton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8"/>
        <w:gridCol w:w="2582"/>
      </w:tblGrid>
      <w:tr w:rsidR="00DD08A6" w:rsidRPr="00D13040" w:rsidTr="0026348F">
        <w:trPr>
          <w:trHeight w:val="227"/>
          <w:tblHeader/>
        </w:trPr>
        <w:tc>
          <w:tcPr>
            <w:tcW w:w="3625" w:type="pct"/>
            <w:shd w:val="clear" w:color="auto" w:fill="auto"/>
            <w:tcMar>
              <w:top w:w="15" w:type="dxa"/>
              <w:left w:w="15" w:type="dxa"/>
              <w:bottom w:w="0" w:type="dxa"/>
              <w:right w:w="15" w:type="dxa"/>
            </w:tcMar>
            <w:vAlign w:val="center"/>
            <w:hideMark/>
          </w:tcPr>
          <w:p w:rsidR="00DD08A6" w:rsidRPr="00D13040" w:rsidRDefault="00762300" w:rsidP="004E5419">
            <w:pPr>
              <w:keepNext/>
              <w:rPr>
                <w:b/>
                <w:bCs/>
                <w:color w:val="000000"/>
                <w:sz w:val="20"/>
                <w:szCs w:val="20"/>
              </w:rPr>
            </w:pPr>
            <w:r w:rsidRPr="00D13040">
              <w:rPr>
                <w:b/>
                <w:bCs/>
                <w:color w:val="000000"/>
                <w:sz w:val="20"/>
                <w:szCs w:val="20"/>
              </w:rPr>
              <w:t>Description</w:t>
            </w:r>
          </w:p>
        </w:tc>
        <w:tc>
          <w:tcPr>
            <w:tcW w:w="1375" w:type="pct"/>
            <w:shd w:val="clear" w:color="auto" w:fill="auto"/>
            <w:noWrap/>
            <w:tcMar>
              <w:top w:w="15" w:type="dxa"/>
              <w:left w:w="15" w:type="dxa"/>
              <w:bottom w:w="0" w:type="dxa"/>
              <w:right w:w="15" w:type="dxa"/>
            </w:tcMar>
            <w:vAlign w:val="center"/>
            <w:hideMark/>
          </w:tcPr>
          <w:p w:rsidR="00DD08A6" w:rsidRPr="00D13040" w:rsidRDefault="00762300" w:rsidP="004E5419">
            <w:pPr>
              <w:keepNext/>
              <w:jc w:val="center"/>
              <w:rPr>
                <w:b/>
                <w:bCs/>
                <w:color w:val="000000"/>
                <w:sz w:val="20"/>
                <w:szCs w:val="20"/>
              </w:rPr>
            </w:pPr>
            <w:r w:rsidRPr="00D13040">
              <w:rPr>
                <w:b/>
                <w:bCs/>
                <w:color w:val="000000"/>
                <w:sz w:val="20"/>
                <w:szCs w:val="20"/>
              </w:rPr>
              <w:t>Cost (</w:t>
            </w:r>
            <w:r w:rsidR="00DD08A6" w:rsidRPr="00D13040">
              <w:rPr>
                <w:b/>
                <w:bCs/>
                <w:color w:val="000000"/>
                <w:sz w:val="20"/>
                <w:szCs w:val="20"/>
              </w:rPr>
              <w:t>US $</w:t>
            </w:r>
            <w:r w:rsidRPr="00D13040">
              <w:rPr>
                <w:b/>
                <w:bCs/>
                <w:color w:val="000000"/>
                <w:sz w:val="20"/>
                <w:szCs w:val="20"/>
              </w:rPr>
              <w:t>)</w:t>
            </w:r>
          </w:p>
        </w:tc>
      </w:tr>
      <w:tr w:rsidR="00DD08A6" w:rsidRPr="00D13040" w:rsidTr="0026348F">
        <w:trPr>
          <w:trHeight w:val="227"/>
        </w:trPr>
        <w:tc>
          <w:tcPr>
            <w:tcW w:w="3625" w:type="pct"/>
            <w:shd w:val="clear" w:color="auto" w:fill="auto"/>
            <w:tcMar>
              <w:top w:w="15" w:type="dxa"/>
              <w:left w:w="15" w:type="dxa"/>
              <w:bottom w:w="0" w:type="dxa"/>
              <w:right w:w="15" w:type="dxa"/>
            </w:tcMar>
            <w:hideMark/>
          </w:tcPr>
          <w:p w:rsidR="00DD08A6" w:rsidRPr="00D13040" w:rsidRDefault="00DD08A6" w:rsidP="004E5419">
            <w:pPr>
              <w:keepNext/>
              <w:jc w:val="left"/>
              <w:rPr>
                <w:color w:val="000000"/>
                <w:sz w:val="20"/>
                <w:szCs w:val="20"/>
              </w:rPr>
            </w:pPr>
            <w:r w:rsidRPr="00D13040">
              <w:rPr>
                <w:color w:val="000000"/>
                <w:sz w:val="20"/>
                <w:szCs w:val="20"/>
              </w:rPr>
              <w:t>Costs of plant equipment modification</w:t>
            </w:r>
          </w:p>
        </w:tc>
        <w:tc>
          <w:tcPr>
            <w:tcW w:w="1375" w:type="pct"/>
            <w:shd w:val="clear" w:color="auto" w:fill="auto"/>
            <w:tcMar>
              <w:top w:w="15" w:type="dxa"/>
              <w:left w:w="15" w:type="dxa"/>
              <w:bottom w:w="0" w:type="dxa"/>
              <w:right w:w="15" w:type="dxa"/>
            </w:tcMar>
            <w:hideMark/>
          </w:tcPr>
          <w:p w:rsidR="00DD08A6" w:rsidRPr="00D13040" w:rsidRDefault="00DD08A6" w:rsidP="004E5419">
            <w:pPr>
              <w:keepNext/>
              <w:jc w:val="right"/>
              <w:rPr>
                <w:color w:val="000000"/>
                <w:sz w:val="20"/>
                <w:szCs w:val="20"/>
              </w:rPr>
            </w:pPr>
            <w:r w:rsidRPr="00D13040">
              <w:rPr>
                <w:color w:val="000000"/>
                <w:sz w:val="20"/>
                <w:szCs w:val="20"/>
              </w:rPr>
              <w:t>2,260,000</w:t>
            </w:r>
          </w:p>
        </w:tc>
      </w:tr>
      <w:tr w:rsidR="00DD08A6" w:rsidRPr="00D13040" w:rsidTr="0026348F">
        <w:trPr>
          <w:trHeight w:val="227"/>
        </w:trPr>
        <w:tc>
          <w:tcPr>
            <w:tcW w:w="3625" w:type="pct"/>
            <w:shd w:val="clear" w:color="auto" w:fill="auto"/>
            <w:tcMar>
              <w:top w:w="15" w:type="dxa"/>
              <w:left w:w="15" w:type="dxa"/>
              <w:bottom w:w="0" w:type="dxa"/>
              <w:right w:w="15" w:type="dxa"/>
            </w:tcMar>
            <w:hideMark/>
          </w:tcPr>
          <w:p w:rsidR="00DD08A6" w:rsidRPr="00D13040" w:rsidRDefault="00DD08A6" w:rsidP="004E5419">
            <w:pPr>
              <w:keepNext/>
              <w:jc w:val="left"/>
              <w:rPr>
                <w:color w:val="000000"/>
                <w:sz w:val="20"/>
                <w:szCs w:val="20"/>
              </w:rPr>
            </w:pPr>
            <w:r w:rsidRPr="00D13040">
              <w:rPr>
                <w:color w:val="000000"/>
                <w:sz w:val="20"/>
                <w:szCs w:val="20"/>
              </w:rPr>
              <w:t>Product redesign, prototype development and testing</w:t>
            </w:r>
          </w:p>
        </w:tc>
        <w:tc>
          <w:tcPr>
            <w:tcW w:w="1375" w:type="pct"/>
            <w:shd w:val="clear" w:color="auto" w:fill="auto"/>
            <w:tcMar>
              <w:top w:w="15" w:type="dxa"/>
              <w:left w:w="15" w:type="dxa"/>
              <w:bottom w:w="0" w:type="dxa"/>
              <w:right w:w="15" w:type="dxa"/>
            </w:tcMar>
            <w:hideMark/>
          </w:tcPr>
          <w:p w:rsidR="00DD08A6" w:rsidRPr="00D13040" w:rsidRDefault="00DD08A6" w:rsidP="004E5419">
            <w:pPr>
              <w:keepNext/>
              <w:jc w:val="right"/>
              <w:rPr>
                <w:color w:val="000000"/>
                <w:sz w:val="20"/>
                <w:szCs w:val="20"/>
              </w:rPr>
            </w:pPr>
            <w:r w:rsidRPr="00D13040">
              <w:rPr>
                <w:color w:val="000000"/>
                <w:sz w:val="20"/>
                <w:szCs w:val="20"/>
              </w:rPr>
              <w:t>500,000</w:t>
            </w:r>
          </w:p>
        </w:tc>
      </w:tr>
      <w:tr w:rsidR="00DD08A6" w:rsidRPr="00D13040" w:rsidTr="0026348F">
        <w:trPr>
          <w:trHeight w:val="227"/>
        </w:trPr>
        <w:tc>
          <w:tcPr>
            <w:tcW w:w="3625" w:type="pct"/>
            <w:shd w:val="clear" w:color="auto" w:fill="auto"/>
            <w:tcMar>
              <w:top w:w="15" w:type="dxa"/>
              <w:left w:w="15" w:type="dxa"/>
              <w:bottom w:w="0" w:type="dxa"/>
              <w:right w:w="15" w:type="dxa"/>
            </w:tcMar>
            <w:hideMark/>
          </w:tcPr>
          <w:p w:rsidR="00DD08A6" w:rsidRPr="00D13040" w:rsidRDefault="00DD08A6" w:rsidP="004E5419">
            <w:pPr>
              <w:jc w:val="left"/>
              <w:rPr>
                <w:color w:val="000000"/>
                <w:sz w:val="20"/>
                <w:szCs w:val="20"/>
              </w:rPr>
            </w:pPr>
            <w:r w:rsidRPr="00D13040">
              <w:rPr>
                <w:color w:val="000000"/>
                <w:sz w:val="20"/>
                <w:szCs w:val="20"/>
              </w:rPr>
              <w:t>Safety system for testing and verification</w:t>
            </w:r>
          </w:p>
        </w:tc>
        <w:tc>
          <w:tcPr>
            <w:tcW w:w="1375" w:type="pct"/>
            <w:shd w:val="clear" w:color="auto" w:fill="auto"/>
            <w:tcMar>
              <w:top w:w="15" w:type="dxa"/>
              <w:left w:w="15" w:type="dxa"/>
              <w:bottom w:w="0" w:type="dxa"/>
              <w:right w:w="15" w:type="dxa"/>
            </w:tcMar>
            <w:hideMark/>
          </w:tcPr>
          <w:p w:rsidR="00DD08A6" w:rsidRPr="00D13040" w:rsidRDefault="00DD08A6" w:rsidP="004E5419">
            <w:pPr>
              <w:jc w:val="right"/>
              <w:rPr>
                <w:color w:val="000000"/>
                <w:sz w:val="20"/>
                <w:szCs w:val="20"/>
              </w:rPr>
            </w:pPr>
            <w:r w:rsidRPr="00D13040">
              <w:rPr>
                <w:color w:val="000000"/>
                <w:sz w:val="20"/>
                <w:szCs w:val="20"/>
              </w:rPr>
              <w:t>250,000</w:t>
            </w:r>
          </w:p>
        </w:tc>
      </w:tr>
      <w:tr w:rsidR="00DD08A6" w:rsidRPr="00D13040" w:rsidTr="0026348F">
        <w:trPr>
          <w:trHeight w:val="227"/>
        </w:trPr>
        <w:tc>
          <w:tcPr>
            <w:tcW w:w="3625" w:type="pct"/>
            <w:shd w:val="clear" w:color="auto" w:fill="auto"/>
            <w:tcMar>
              <w:top w:w="15" w:type="dxa"/>
              <w:left w:w="15" w:type="dxa"/>
              <w:bottom w:w="0" w:type="dxa"/>
              <w:right w:w="15" w:type="dxa"/>
            </w:tcMar>
            <w:hideMark/>
          </w:tcPr>
          <w:p w:rsidR="00DD08A6" w:rsidRPr="00D13040" w:rsidRDefault="00DD08A6" w:rsidP="004E5419">
            <w:pPr>
              <w:jc w:val="left"/>
              <w:rPr>
                <w:color w:val="000000"/>
                <w:sz w:val="20"/>
                <w:szCs w:val="20"/>
              </w:rPr>
            </w:pPr>
            <w:r w:rsidRPr="00D13040">
              <w:rPr>
                <w:color w:val="000000"/>
                <w:sz w:val="20"/>
                <w:szCs w:val="20"/>
              </w:rPr>
              <w:t>Training</w:t>
            </w:r>
          </w:p>
        </w:tc>
        <w:tc>
          <w:tcPr>
            <w:tcW w:w="1375" w:type="pct"/>
            <w:shd w:val="clear" w:color="auto" w:fill="auto"/>
            <w:tcMar>
              <w:top w:w="15" w:type="dxa"/>
              <w:left w:w="15" w:type="dxa"/>
              <w:bottom w:w="0" w:type="dxa"/>
              <w:right w:w="15" w:type="dxa"/>
            </w:tcMar>
            <w:hideMark/>
          </w:tcPr>
          <w:p w:rsidR="00DD08A6" w:rsidRPr="00D13040" w:rsidRDefault="00DD08A6" w:rsidP="004E5419">
            <w:pPr>
              <w:jc w:val="right"/>
              <w:rPr>
                <w:color w:val="000000"/>
                <w:sz w:val="20"/>
                <w:szCs w:val="20"/>
              </w:rPr>
            </w:pPr>
            <w:r w:rsidRPr="00D13040">
              <w:rPr>
                <w:color w:val="000000"/>
                <w:sz w:val="20"/>
                <w:szCs w:val="20"/>
              </w:rPr>
              <w:t>20,000</w:t>
            </w:r>
          </w:p>
        </w:tc>
      </w:tr>
      <w:tr w:rsidR="00DD08A6" w:rsidRPr="00D13040" w:rsidTr="0026348F">
        <w:trPr>
          <w:trHeight w:val="227"/>
        </w:trPr>
        <w:tc>
          <w:tcPr>
            <w:tcW w:w="3625" w:type="pct"/>
            <w:shd w:val="clear" w:color="auto" w:fill="auto"/>
            <w:tcMar>
              <w:top w:w="15" w:type="dxa"/>
              <w:left w:w="15" w:type="dxa"/>
              <w:bottom w:w="0" w:type="dxa"/>
              <w:right w:w="15" w:type="dxa"/>
            </w:tcMar>
            <w:hideMark/>
          </w:tcPr>
          <w:p w:rsidR="00DD08A6" w:rsidRPr="00D13040" w:rsidRDefault="00DD08A6" w:rsidP="004E5419">
            <w:pPr>
              <w:jc w:val="left"/>
              <w:rPr>
                <w:color w:val="000000"/>
                <w:sz w:val="20"/>
                <w:szCs w:val="20"/>
              </w:rPr>
            </w:pPr>
            <w:r w:rsidRPr="00D13040">
              <w:rPr>
                <w:color w:val="000000"/>
                <w:sz w:val="20"/>
                <w:szCs w:val="20"/>
              </w:rPr>
              <w:t>Installation and commissioning</w:t>
            </w:r>
          </w:p>
        </w:tc>
        <w:tc>
          <w:tcPr>
            <w:tcW w:w="1375" w:type="pct"/>
            <w:shd w:val="clear" w:color="auto" w:fill="auto"/>
            <w:tcMar>
              <w:top w:w="15" w:type="dxa"/>
              <w:left w:w="15" w:type="dxa"/>
              <w:bottom w:w="0" w:type="dxa"/>
              <w:right w:w="15" w:type="dxa"/>
            </w:tcMar>
            <w:hideMark/>
          </w:tcPr>
          <w:p w:rsidR="00DD08A6" w:rsidRPr="00D13040" w:rsidRDefault="00DD08A6" w:rsidP="004E5419">
            <w:pPr>
              <w:jc w:val="right"/>
              <w:rPr>
                <w:color w:val="000000"/>
                <w:sz w:val="20"/>
                <w:szCs w:val="20"/>
              </w:rPr>
            </w:pPr>
            <w:r w:rsidRPr="00D13040">
              <w:rPr>
                <w:color w:val="000000"/>
                <w:sz w:val="20"/>
                <w:szCs w:val="20"/>
              </w:rPr>
              <w:t>169,500</w:t>
            </w:r>
          </w:p>
        </w:tc>
      </w:tr>
      <w:tr w:rsidR="00DD08A6" w:rsidRPr="00D13040" w:rsidTr="0026348F">
        <w:trPr>
          <w:trHeight w:val="227"/>
        </w:trPr>
        <w:tc>
          <w:tcPr>
            <w:tcW w:w="3625" w:type="pct"/>
            <w:shd w:val="clear" w:color="auto" w:fill="auto"/>
            <w:tcMar>
              <w:top w:w="15" w:type="dxa"/>
              <w:left w:w="15" w:type="dxa"/>
              <w:bottom w:w="0" w:type="dxa"/>
              <w:right w:w="15" w:type="dxa"/>
            </w:tcMar>
            <w:hideMark/>
          </w:tcPr>
          <w:p w:rsidR="00DD08A6" w:rsidRPr="00D13040" w:rsidRDefault="00DD08A6" w:rsidP="004E5419">
            <w:pPr>
              <w:jc w:val="left"/>
              <w:rPr>
                <w:color w:val="000000"/>
                <w:sz w:val="20"/>
                <w:szCs w:val="20"/>
              </w:rPr>
            </w:pPr>
            <w:r w:rsidRPr="00D13040">
              <w:rPr>
                <w:color w:val="000000"/>
                <w:sz w:val="20"/>
                <w:szCs w:val="20"/>
              </w:rPr>
              <w:t>Civil construction and other miscellaneous</w:t>
            </w:r>
          </w:p>
        </w:tc>
        <w:tc>
          <w:tcPr>
            <w:tcW w:w="1375" w:type="pct"/>
            <w:shd w:val="clear" w:color="auto" w:fill="auto"/>
            <w:tcMar>
              <w:top w:w="15" w:type="dxa"/>
              <w:left w:w="15" w:type="dxa"/>
              <w:bottom w:w="0" w:type="dxa"/>
              <w:right w:w="15" w:type="dxa"/>
            </w:tcMar>
            <w:hideMark/>
          </w:tcPr>
          <w:p w:rsidR="00DD08A6" w:rsidRPr="00D13040" w:rsidRDefault="00DD08A6" w:rsidP="004E5419">
            <w:pPr>
              <w:jc w:val="right"/>
              <w:rPr>
                <w:color w:val="000000"/>
                <w:sz w:val="20"/>
                <w:szCs w:val="20"/>
              </w:rPr>
            </w:pPr>
            <w:r w:rsidRPr="00D13040">
              <w:rPr>
                <w:color w:val="000000"/>
                <w:sz w:val="20"/>
                <w:szCs w:val="20"/>
              </w:rPr>
              <w:t>50,000</w:t>
            </w:r>
          </w:p>
        </w:tc>
      </w:tr>
      <w:tr w:rsidR="003F76B1" w:rsidRPr="00D13040" w:rsidTr="0026348F">
        <w:trPr>
          <w:trHeight w:val="227"/>
        </w:trPr>
        <w:tc>
          <w:tcPr>
            <w:tcW w:w="3625" w:type="pct"/>
            <w:shd w:val="clear" w:color="auto" w:fill="auto"/>
            <w:tcMar>
              <w:top w:w="15" w:type="dxa"/>
              <w:left w:w="15" w:type="dxa"/>
              <w:bottom w:w="0" w:type="dxa"/>
              <w:right w:w="15" w:type="dxa"/>
            </w:tcMar>
          </w:tcPr>
          <w:p w:rsidR="003F76B1" w:rsidRPr="00D13040" w:rsidRDefault="003F76B1" w:rsidP="004E5419">
            <w:pPr>
              <w:rPr>
                <w:sz w:val="20"/>
                <w:szCs w:val="20"/>
              </w:rPr>
            </w:pPr>
            <w:r w:rsidRPr="00D13040">
              <w:rPr>
                <w:sz w:val="20"/>
                <w:szCs w:val="20"/>
              </w:rPr>
              <w:t>Contingency</w:t>
            </w:r>
          </w:p>
        </w:tc>
        <w:tc>
          <w:tcPr>
            <w:tcW w:w="1375" w:type="pct"/>
            <w:shd w:val="clear" w:color="auto" w:fill="auto"/>
            <w:tcMar>
              <w:top w:w="15" w:type="dxa"/>
              <w:left w:w="15" w:type="dxa"/>
              <w:bottom w:w="0" w:type="dxa"/>
              <w:right w:w="15" w:type="dxa"/>
            </w:tcMar>
          </w:tcPr>
          <w:p w:rsidR="003F76B1" w:rsidRPr="00D13040" w:rsidRDefault="003F76B1" w:rsidP="004E5419">
            <w:pPr>
              <w:jc w:val="right"/>
              <w:rPr>
                <w:sz w:val="20"/>
                <w:szCs w:val="20"/>
              </w:rPr>
            </w:pPr>
            <w:r w:rsidRPr="00D13040">
              <w:rPr>
                <w:sz w:val="20"/>
                <w:szCs w:val="20"/>
              </w:rPr>
              <w:t>324,950</w:t>
            </w:r>
          </w:p>
        </w:tc>
      </w:tr>
      <w:tr w:rsidR="00DD08A6" w:rsidRPr="00D13040" w:rsidTr="0026348F">
        <w:trPr>
          <w:trHeight w:val="227"/>
        </w:trPr>
        <w:tc>
          <w:tcPr>
            <w:tcW w:w="3625" w:type="pct"/>
            <w:shd w:val="clear" w:color="auto" w:fill="auto"/>
            <w:tcMar>
              <w:top w:w="15" w:type="dxa"/>
              <w:left w:w="15" w:type="dxa"/>
              <w:bottom w:w="0" w:type="dxa"/>
              <w:right w:w="15" w:type="dxa"/>
            </w:tcMar>
            <w:hideMark/>
          </w:tcPr>
          <w:p w:rsidR="00DD08A6" w:rsidRPr="00D13040" w:rsidRDefault="003F76B1" w:rsidP="004E5419">
            <w:pPr>
              <w:jc w:val="left"/>
              <w:rPr>
                <w:b/>
                <w:color w:val="000000"/>
                <w:sz w:val="20"/>
                <w:szCs w:val="20"/>
              </w:rPr>
            </w:pPr>
            <w:r w:rsidRPr="00D13040">
              <w:rPr>
                <w:b/>
                <w:color w:val="000000"/>
                <w:sz w:val="20"/>
                <w:szCs w:val="20"/>
              </w:rPr>
              <w:t>T</w:t>
            </w:r>
            <w:r w:rsidR="00DD08A6" w:rsidRPr="00D13040">
              <w:rPr>
                <w:b/>
                <w:color w:val="000000"/>
                <w:sz w:val="20"/>
                <w:szCs w:val="20"/>
              </w:rPr>
              <w:t>otal</w:t>
            </w:r>
          </w:p>
        </w:tc>
        <w:tc>
          <w:tcPr>
            <w:tcW w:w="1375" w:type="pct"/>
            <w:shd w:val="clear" w:color="auto" w:fill="auto"/>
            <w:tcMar>
              <w:top w:w="15" w:type="dxa"/>
              <w:left w:w="15" w:type="dxa"/>
              <w:bottom w:w="0" w:type="dxa"/>
              <w:right w:w="15" w:type="dxa"/>
            </w:tcMar>
            <w:hideMark/>
          </w:tcPr>
          <w:p w:rsidR="00DD08A6" w:rsidRPr="00D13040" w:rsidRDefault="00DD08A6" w:rsidP="004E5419">
            <w:pPr>
              <w:jc w:val="right"/>
              <w:rPr>
                <w:b/>
                <w:color w:val="000000"/>
                <w:sz w:val="20"/>
                <w:szCs w:val="20"/>
              </w:rPr>
            </w:pPr>
            <w:r w:rsidRPr="00D13040">
              <w:rPr>
                <w:b/>
                <w:color w:val="000000"/>
                <w:sz w:val="20"/>
                <w:szCs w:val="20"/>
              </w:rPr>
              <w:t>3,574,450</w:t>
            </w:r>
          </w:p>
        </w:tc>
      </w:tr>
      <w:tr w:rsidR="00DD08A6" w:rsidRPr="00D13040" w:rsidTr="0026348F">
        <w:trPr>
          <w:trHeight w:val="227"/>
        </w:trPr>
        <w:tc>
          <w:tcPr>
            <w:tcW w:w="3625" w:type="pct"/>
            <w:shd w:val="clear" w:color="auto" w:fill="auto"/>
            <w:tcMar>
              <w:top w:w="15" w:type="dxa"/>
              <w:left w:w="15" w:type="dxa"/>
              <w:bottom w:w="0" w:type="dxa"/>
              <w:right w:w="15" w:type="dxa"/>
            </w:tcMar>
          </w:tcPr>
          <w:p w:rsidR="00DD08A6" w:rsidRPr="00D13040" w:rsidRDefault="003F76B1" w:rsidP="004E5419">
            <w:pPr>
              <w:jc w:val="left"/>
              <w:rPr>
                <w:color w:val="000000"/>
                <w:sz w:val="20"/>
                <w:szCs w:val="20"/>
              </w:rPr>
            </w:pPr>
            <w:r w:rsidRPr="00D13040">
              <w:rPr>
                <w:color w:val="000000"/>
                <w:sz w:val="20"/>
                <w:szCs w:val="20"/>
              </w:rPr>
              <w:t>C</w:t>
            </w:r>
            <w:r w:rsidR="00DD08A6" w:rsidRPr="00D13040">
              <w:rPr>
                <w:color w:val="000000"/>
                <w:sz w:val="20"/>
                <w:szCs w:val="20"/>
              </w:rPr>
              <w:t>o-financing</w:t>
            </w:r>
          </w:p>
        </w:tc>
        <w:tc>
          <w:tcPr>
            <w:tcW w:w="1375" w:type="pct"/>
            <w:shd w:val="clear" w:color="auto" w:fill="auto"/>
            <w:tcMar>
              <w:top w:w="15" w:type="dxa"/>
              <w:left w:w="15" w:type="dxa"/>
              <w:bottom w:w="0" w:type="dxa"/>
              <w:right w:w="15" w:type="dxa"/>
            </w:tcMar>
          </w:tcPr>
          <w:p w:rsidR="00DD08A6" w:rsidRPr="00D13040" w:rsidRDefault="00DD08A6" w:rsidP="004E5419">
            <w:pPr>
              <w:jc w:val="right"/>
              <w:rPr>
                <w:color w:val="000000"/>
                <w:sz w:val="20"/>
                <w:szCs w:val="20"/>
              </w:rPr>
            </w:pPr>
            <w:r w:rsidRPr="00D13040">
              <w:rPr>
                <w:color w:val="000000"/>
                <w:sz w:val="20"/>
                <w:szCs w:val="20"/>
              </w:rPr>
              <w:t>1,000,000</w:t>
            </w:r>
          </w:p>
        </w:tc>
      </w:tr>
      <w:tr w:rsidR="003F76B1" w:rsidRPr="00D13040" w:rsidTr="0026348F">
        <w:trPr>
          <w:trHeight w:val="227"/>
        </w:trPr>
        <w:tc>
          <w:tcPr>
            <w:tcW w:w="3625" w:type="pct"/>
            <w:shd w:val="clear" w:color="auto" w:fill="auto"/>
            <w:tcMar>
              <w:top w:w="15" w:type="dxa"/>
              <w:left w:w="15" w:type="dxa"/>
              <w:bottom w:w="0" w:type="dxa"/>
              <w:right w:w="15" w:type="dxa"/>
            </w:tcMar>
          </w:tcPr>
          <w:p w:rsidR="003F76B1" w:rsidRPr="00D13040" w:rsidRDefault="004E5419" w:rsidP="004E5419">
            <w:pPr>
              <w:jc w:val="left"/>
              <w:rPr>
                <w:b/>
                <w:color w:val="000000"/>
                <w:sz w:val="20"/>
                <w:szCs w:val="20"/>
              </w:rPr>
            </w:pPr>
            <w:r>
              <w:rPr>
                <w:b/>
                <w:color w:val="000000"/>
                <w:sz w:val="20"/>
                <w:szCs w:val="20"/>
              </w:rPr>
              <w:t>Total f</w:t>
            </w:r>
            <w:r w:rsidR="003F76B1" w:rsidRPr="00D13040">
              <w:rPr>
                <w:b/>
                <w:color w:val="000000"/>
                <w:sz w:val="20"/>
                <w:szCs w:val="20"/>
              </w:rPr>
              <w:t>und requested</w:t>
            </w:r>
          </w:p>
        </w:tc>
        <w:tc>
          <w:tcPr>
            <w:tcW w:w="1375" w:type="pct"/>
            <w:shd w:val="clear" w:color="auto" w:fill="auto"/>
            <w:tcMar>
              <w:top w:w="15" w:type="dxa"/>
              <w:left w:w="15" w:type="dxa"/>
              <w:bottom w:w="0" w:type="dxa"/>
              <w:right w:w="15" w:type="dxa"/>
            </w:tcMar>
          </w:tcPr>
          <w:p w:rsidR="003F76B1" w:rsidRPr="00D13040" w:rsidRDefault="003F76B1" w:rsidP="004E5419">
            <w:pPr>
              <w:jc w:val="right"/>
              <w:rPr>
                <w:b/>
                <w:color w:val="000000"/>
                <w:sz w:val="20"/>
                <w:szCs w:val="20"/>
              </w:rPr>
            </w:pPr>
            <w:r w:rsidRPr="00D13040">
              <w:rPr>
                <w:b/>
                <w:color w:val="000000"/>
                <w:sz w:val="20"/>
                <w:szCs w:val="20"/>
              </w:rPr>
              <w:t>2,574,450</w:t>
            </w:r>
          </w:p>
        </w:tc>
      </w:tr>
    </w:tbl>
    <w:p w:rsidR="00DD08A6" w:rsidRPr="00D13040" w:rsidRDefault="00DD08A6" w:rsidP="004E5419">
      <w:pPr>
        <w:rPr>
          <w:b/>
        </w:rPr>
      </w:pPr>
    </w:p>
    <w:p w:rsidR="003F76B1" w:rsidRPr="00D13040" w:rsidRDefault="003F76B1" w:rsidP="004E5419">
      <w:pPr>
        <w:rPr>
          <w:b/>
        </w:rPr>
      </w:pPr>
      <w:bookmarkStart w:id="0" w:name="_GoBack"/>
      <w:bookmarkEnd w:id="0"/>
    </w:p>
    <w:p w:rsidR="00DD08A6" w:rsidRPr="00D13040" w:rsidRDefault="00DD08A6" w:rsidP="004E5419">
      <w:pPr>
        <w:pStyle w:val="Heading1"/>
        <w:keepNext/>
      </w:pPr>
      <w:r w:rsidRPr="00D13040">
        <w:t xml:space="preserve">The </w:t>
      </w:r>
      <w:r w:rsidR="003F76B1" w:rsidRPr="00D13040">
        <w:t xml:space="preserve">total </w:t>
      </w:r>
      <w:r w:rsidRPr="00D13040">
        <w:t xml:space="preserve">costs for refrigerator manufacturing conversion and compressor conversion as submitted is </w:t>
      </w:r>
      <w:r w:rsidR="00762300" w:rsidRPr="00D13040">
        <w:t>summarized in Table 4</w:t>
      </w:r>
      <w:r w:rsidRPr="00D13040">
        <w:t>.</w:t>
      </w:r>
    </w:p>
    <w:p w:rsidR="00DD08A6" w:rsidRPr="00D13040" w:rsidRDefault="00DD08A6" w:rsidP="004E5419">
      <w:pPr>
        <w:rPr>
          <w:b/>
        </w:rPr>
      </w:pPr>
      <w:r w:rsidRPr="00D13040">
        <w:rPr>
          <w:b/>
        </w:rPr>
        <w:t xml:space="preserve">Table </w:t>
      </w:r>
      <w:r w:rsidR="00B56167" w:rsidRPr="00D13040">
        <w:rPr>
          <w:b/>
        </w:rPr>
        <w:t xml:space="preserve">4. </w:t>
      </w:r>
      <w:r w:rsidR="003F76B1" w:rsidRPr="00D13040">
        <w:rPr>
          <w:b/>
        </w:rPr>
        <w:t xml:space="preserve">Estimated </w:t>
      </w:r>
      <w:r w:rsidRPr="00D13040">
        <w:rPr>
          <w:b/>
        </w:rPr>
        <w:t xml:space="preserve">costs for conversion of </w:t>
      </w:r>
      <w:r w:rsidR="003F76B1" w:rsidRPr="00D13040">
        <w:rPr>
          <w:b/>
        </w:rPr>
        <w:t xml:space="preserve">three domestic </w:t>
      </w:r>
      <w:r w:rsidRPr="00D13040">
        <w:rPr>
          <w:b/>
        </w:rPr>
        <w:t xml:space="preserve">refrigerator manufacturing </w:t>
      </w:r>
      <w:r w:rsidR="003F76B1" w:rsidRPr="00D13040">
        <w:rPr>
          <w:b/>
        </w:rPr>
        <w:t xml:space="preserve">lines </w:t>
      </w:r>
      <w:r w:rsidRPr="00D13040">
        <w:rPr>
          <w:b/>
        </w:rPr>
        <w:t>and</w:t>
      </w:r>
      <w:r w:rsidR="003F76B1" w:rsidRPr="00D13040">
        <w:rPr>
          <w:b/>
        </w:rPr>
        <w:t xml:space="preserve"> </w:t>
      </w:r>
      <w:r w:rsidR="00EB30ED" w:rsidRPr="00D13040">
        <w:rPr>
          <w:b/>
        </w:rPr>
        <w:t>one compressor</w:t>
      </w:r>
      <w:r w:rsidR="003F76B1" w:rsidRPr="00D13040">
        <w:rPr>
          <w:b/>
        </w:rPr>
        <w:t xml:space="preserve"> line at Walton</w:t>
      </w:r>
    </w:p>
    <w:tbl>
      <w:tblPr>
        <w:tblW w:w="5000" w:type="pct"/>
        <w:tblLook w:val="04A0" w:firstRow="1" w:lastRow="0" w:firstColumn="1" w:lastColumn="0" w:noHBand="0" w:noVBand="1"/>
      </w:tblPr>
      <w:tblGrid>
        <w:gridCol w:w="3963"/>
        <w:gridCol w:w="1215"/>
        <w:gridCol w:w="1671"/>
        <w:gridCol w:w="2727"/>
      </w:tblGrid>
      <w:tr w:rsidR="00DD08A6" w:rsidRPr="00D13040" w:rsidTr="003F76B1">
        <w:trPr>
          <w:trHeight w:val="227"/>
        </w:trPr>
        <w:tc>
          <w:tcPr>
            <w:tcW w:w="2148" w:type="pct"/>
            <w:tcBorders>
              <w:top w:val="single" w:sz="4" w:space="0" w:color="auto"/>
              <w:left w:val="single" w:sz="4" w:space="0" w:color="auto"/>
              <w:bottom w:val="single" w:sz="4" w:space="0" w:color="auto"/>
              <w:right w:val="single" w:sz="4" w:space="0" w:color="auto"/>
            </w:tcBorders>
            <w:shd w:val="clear" w:color="auto" w:fill="auto"/>
            <w:noWrap/>
            <w:hideMark/>
          </w:tcPr>
          <w:p w:rsidR="00DD08A6" w:rsidRPr="00D13040" w:rsidRDefault="00DD08A6" w:rsidP="004E5419">
            <w:pPr>
              <w:jc w:val="left"/>
              <w:rPr>
                <w:b/>
                <w:color w:val="000000"/>
                <w:sz w:val="20"/>
                <w:lang w:val="en-CA" w:eastAsia="en-CA"/>
              </w:rPr>
            </w:pPr>
            <w:r w:rsidRPr="00D13040">
              <w:rPr>
                <w:b/>
                <w:color w:val="000000"/>
                <w:sz w:val="20"/>
                <w:lang w:val="en-CA" w:eastAsia="en-CA"/>
              </w:rPr>
              <w:t>Particulars</w:t>
            </w:r>
          </w:p>
        </w:tc>
        <w:tc>
          <w:tcPr>
            <w:tcW w:w="713" w:type="pct"/>
            <w:tcBorders>
              <w:top w:val="single" w:sz="4" w:space="0" w:color="auto"/>
              <w:left w:val="nil"/>
              <w:bottom w:val="single" w:sz="4" w:space="0" w:color="auto"/>
              <w:right w:val="single" w:sz="4" w:space="0" w:color="auto"/>
            </w:tcBorders>
            <w:shd w:val="clear" w:color="auto" w:fill="auto"/>
            <w:noWrap/>
            <w:hideMark/>
          </w:tcPr>
          <w:p w:rsidR="00DD08A6" w:rsidRPr="00D13040" w:rsidRDefault="00DD08A6" w:rsidP="004E5419">
            <w:pPr>
              <w:jc w:val="center"/>
              <w:rPr>
                <w:b/>
                <w:color w:val="000000"/>
                <w:sz w:val="20"/>
                <w:lang w:val="en-CA" w:eastAsia="en-CA"/>
              </w:rPr>
            </w:pPr>
            <w:r w:rsidRPr="00D13040">
              <w:rPr>
                <w:b/>
                <w:color w:val="000000"/>
                <w:sz w:val="20"/>
                <w:lang w:val="en-CA" w:eastAsia="en-CA"/>
              </w:rPr>
              <w:t>US $</w:t>
            </w:r>
          </w:p>
        </w:tc>
        <w:tc>
          <w:tcPr>
            <w:tcW w:w="951" w:type="pct"/>
            <w:tcBorders>
              <w:top w:val="single" w:sz="4" w:space="0" w:color="auto"/>
              <w:left w:val="nil"/>
              <w:bottom w:val="single" w:sz="4" w:space="0" w:color="auto"/>
              <w:right w:val="single" w:sz="4" w:space="0" w:color="auto"/>
            </w:tcBorders>
            <w:shd w:val="clear" w:color="auto" w:fill="auto"/>
            <w:hideMark/>
          </w:tcPr>
          <w:p w:rsidR="00DD08A6" w:rsidRPr="00D13040" w:rsidRDefault="00DD08A6" w:rsidP="004E5419">
            <w:pPr>
              <w:jc w:val="center"/>
              <w:rPr>
                <w:b/>
                <w:color w:val="000000"/>
                <w:sz w:val="20"/>
                <w:lang w:val="en-CA" w:eastAsia="en-CA"/>
              </w:rPr>
            </w:pPr>
            <w:r w:rsidRPr="00D13040">
              <w:rPr>
                <w:b/>
                <w:color w:val="000000"/>
                <w:sz w:val="20"/>
                <w:lang w:val="en-CA" w:eastAsia="en-CA"/>
              </w:rPr>
              <w:t>HFC-134a phase-out (mt)</w:t>
            </w:r>
          </w:p>
        </w:tc>
        <w:tc>
          <w:tcPr>
            <w:tcW w:w="1189" w:type="pct"/>
            <w:tcBorders>
              <w:top w:val="single" w:sz="4" w:space="0" w:color="auto"/>
              <w:left w:val="nil"/>
              <w:bottom w:val="single" w:sz="4" w:space="0" w:color="auto"/>
              <w:right w:val="single" w:sz="4" w:space="0" w:color="auto"/>
            </w:tcBorders>
            <w:shd w:val="clear" w:color="auto" w:fill="auto"/>
            <w:noWrap/>
            <w:hideMark/>
          </w:tcPr>
          <w:p w:rsidR="00DD08A6" w:rsidRPr="00D13040" w:rsidRDefault="00DD08A6" w:rsidP="004E5419">
            <w:pPr>
              <w:jc w:val="center"/>
              <w:rPr>
                <w:b/>
                <w:color w:val="000000"/>
                <w:sz w:val="20"/>
                <w:lang w:val="en-CA" w:eastAsia="en-CA"/>
              </w:rPr>
            </w:pPr>
            <w:r w:rsidRPr="00D13040">
              <w:rPr>
                <w:b/>
                <w:color w:val="000000"/>
                <w:sz w:val="20"/>
                <w:lang w:val="en-CA" w:eastAsia="en-CA"/>
              </w:rPr>
              <w:t>Cost – effectiveness (US $/kg)</w:t>
            </w:r>
          </w:p>
        </w:tc>
      </w:tr>
      <w:tr w:rsidR="00DD08A6" w:rsidRPr="00D13040" w:rsidTr="003F76B1">
        <w:trPr>
          <w:trHeight w:val="227"/>
        </w:trPr>
        <w:tc>
          <w:tcPr>
            <w:tcW w:w="2148" w:type="pct"/>
            <w:tcBorders>
              <w:top w:val="nil"/>
              <w:left w:val="single" w:sz="4" w:space="0" w:color="auto"/>
              <w:bottom w:val="single" w:sz="4" w:space="0" w:color="auto"/>
              <w:right w:val="single" w:sz="4" w:space="0" w:color="auto"/>
            </w:tcBorders>
            <w:shd w:val="clear" w:color="auto" w:fill="auto"/>
            <w:noWrap/>
            <w:hideMark/>
          </w:tcPr>
          <w:p w:rsidR="00DD08A6" w:rsidRPr="00D13040" w:rsidRDefault="00DD08A6" w:rsidP="004E5419">
            <w:pPr>
              <w:jc w:val="left"/>
              <w:rPr>
                <w:color w:val="000000"/>
                <w:sz w:val="20"/>
                <w:lang w:val="en-CA" w:eastAsia="en-CA"/>
              </w:rPr>
            </w:pPr>
            <w:r w:rsidRPr="00D13040">
              <w:rPr>
                <w:color w:val="000000"/>
                <w:sz w:val="20"/>
                <w:lang w:val="en-CA" w:eastAsia="en-CA"/>
              </w:rPr>
              <w:t>Refrigerator manufacturing</w:t>
            </w:r>
          </w:p>
        </w:tc>
        <w:tc>
          <w:tcPr>
            <w:tcW w:w="713" w:type="pct"/>
            <w:tcBorders>
              <w:top w:val="nil"/>
              <w:left w:val="nil"/>
              <w:bottom w:val="single" w:sz="4" w:space="0" w:color="auto"/>
              <w:right w:val="single" w:sz="4" w:space="0" w:color="auto"/>
            </w:tcBorders>
            <w:shd w:val="clear" w:color="auto" w:fill="auto"/>
            <w:noWrap/>
            <w:hideMark/>
          </w:tcPr>
          <w:p w:rsidR="00DD08A6" w:rsidRPr="00D13040" w:rsidRDefault="00DD08A6" w:rsidP="004E5419">
            <w:pPr>
              <w:jc w:val="right"/>
              <w:rPr>
                <w:color w:val="000000"/>
                <w:sz w:val="20"/>
                <w:lang w:val="en-CA" w:eastAsia="en-CA"/>
              </w:rPr>
            </w:pPr>
            <w:r w:rsidRPr="00D13040">
              <w:rPr>
                <w:color w:val="000000"/>
                <w:sz w:val="20"/>
                <w:lang w:val="en-CA" w:eastAsia="en-CA"/>
              </w:rPr>
              <w:t>2,362,</w:t>
            </w:r>
            <w:r w:rsidR="00FB0264" w:rsidRPr="00D13040">
              <w:rPr>
                <w:color w:val="000000"/>
                <w:sz w:val="20"/>
                <w:lang w:val="en-CA" w:eastAsia="en-CA"/>
              </w:rPr>
              <w:t>058</w:t>
            </w:r>
          </w:p>
        </w:tc>
        <w:tc>
          <w:tcPr>
            <w:tcW w:w="951" w:type="pct"/>
            <w:tcBorders>
              <w:top w:val="nil"/>
              <w:left w:val="nil"/>
              <w:bottom w:val="single" w:sz="4" w:space="0" w:color="auto"/>
              <w:right w:val="single" w:sz="4" w:space="0" w:color="auto"/>
            </w:tcBorders>
            <w:shd w:val="clear" w:color="auto" w:fill="auto"/>
            <w:noWrap/>
            <w:hideMark/>
          </w:tcPr>
          <w:p w:rsidR="00DD08A6" w:rsidRPr="00D13040" w:rsidRDefault="00DD08A6" w:rsidP="004E5419">
            <w:pPr>
              <w:jc w:val="right"/>
              <w:rPr>
                <w:color w:val="000000"/>
                <w:sz w:val="20"/>
                <w:lang w:val="en-CA" w:eastAsia="en-CA"/>
              </w:rPr>
            </w:pPr>
            <w:r w:rsidRPr="00D13040">
              <w:rPr>
                <w:color w:val="000000"/>
                <w:sz w:val="20"/>
                <w:lang w:val="en-CA" w:eastAsia="en-CA"/>
              </w:rPr>
              <w:t>197.30</w:t>
            </w:r>
          </w:p>
        </w:tc>
        <w:tc>
          <w:tcPr>
            <w:tcW w:w="1189" w:type="pct"/>
            <w:tcBorders>
              <w:top w:val="nil"/>
              <w:left w:val="nil"/>
              <w:bottom w:val="single" w:sz="4" w:space="0" w:color="auto"/>
              <w:right w:val="single" w:sz="4" w:space="0" w:color="auto"/>
            </w:tcBorders>
            <w:shd w:val="clear" w:color="auto" w:fill="auto"/>
            <w:noWrap/>
            <w:hideMark/>
          </w:tcPr>
          <w:p w:rsidR="00DD08A6" w:rsidRPr="00D13040" w:rsidRDefault="00DD08A6" w:rsidP="004E5419">
            <w:pPr>
              <w:jc w:val="right"/>
              <w:rPr>
                <w:color w:val="000000"/>
                <w:sz w:val="20"/>
                <w:lang w:val="en-CA" w:eastAsia="en-CA"/>
              </w:rPr>
            </w:pPr>
            <w:r w:rsidRPr="00D13040">
              <w:rPr>
                <w:color w:val="000000"/>
                <w:sz w:val="20"/>
                <w:lang w:val="en-CA" w:eastAsia="en-CA"/>
              </w:rPr>
              <w:t>11.97</w:t>
            </w:r>
          </w:p>
        </w:tc>
      </w:tr>
      <w:tr w:rsidR="00DD08A6" w:rsidRPr="00D13040" w:rsidTr="003F76B1">
        <w:trPr>
          <w:trHeight w:val="227"/>
        </w:trPr>
        <w:tc>
          <w:tcPr>
            <w:tcW w:w="2148" w:type="pct"/>
            <w:tcBorders>
              <w:top w:val="nil"/>
              <w:left w:val="single" w:sz="4" w:space="0" w:color="auto"/>
              <w:bottom w:val="single" w:sz="4" w:space="0" w:color="auto"/>
              <w:right w:val="single" w:sz="4" w:space="0" w:color="auto"/>
            </w:tcBorders>
            <w:shd w:val="clear" w:color="auto" w:fill="auto"/>
            <w:noWrap/>
            <w:hideMark/>
          </w:tcPr>
          <w:p w:rsidR="00DD08A6" w:rsidRPr="00D13040" w:rsidRDefault="00DD08A6" w:rsidP="004E5419">
            <w:pPr>
              <w:jc w:val="left"/>
              <w:rPr>
                <w:color w:val="000000"/>
                <w:sz w:val="20"/>
                <w:lang w:val="en-CA" w:eastAsia="en-CA"/>
              </w:rPr>
            </w:pPr>
            <w:r w:rsidRPr="00D13040">
              <w:rPr>
                <w:color w:val="000000"/>
                <w:sz w:val="20"/>
                <w:lang w:val="en-CA" w:eastAsia="en-CA"/>
              </w:rPr>
              <w:t>Compressor manufacturing</w:t>
            </w:r>
          </w:p>
        </w:tc>
        <w:tc>
          <w:tcPr>
            <w:tcW w:w="713" w:type="pct"/>
            <w:tcBorders>
              <w:top w:val="nil"/>
              <w:left w:val="nil"/>
              <w:bottom w:val="single" w:sz="4" w:space="0" w:color="auto"/>
              <w:right w:val="single" w:sz="4" w:space="0" w:color="auto"/>
            </w:tcBorders>
            <w:shd w:val="clear" w:color="auto" w:fill="auto"/>
            <w:noWrap/>
            <w:hideMark/>
          </w:tcPr>
          <w:p w:rsidR="00DD08A6" w:rsidRPr="00D13040" w:rsidRDefault="00DD08A6" w:rsidP="004E5419">
            <w:pPr>
              <w:jc w:val="right"/>
              <w:rPr>
                <w:color w:val="000000"/>
                <w:sz w:val="20"/>
                <w:lang w:val="en-CA" w:eastAsia="en-CA"/>
              </w:rPr>
            </w:pPr>
            <w:r w:rsidRPr="00D13040">
              <w:rPr>
                <w:color w:val="000000"/>
                <w:sz w:val="20"/>
                <w:lang w:val="en-CA" w:eastAsia="en-CA"/>
              </w:rPr>
              <w:t>2,574,450</w:t>
            </w:r>
          </w:p>
        </w:tc>
        <w:tc>
          <w:tcPr>
            <w:tcW w:w="951" w:type="pct"/>
            <w:tcBorders>
              <w:top w:val="nil"/>
              <w:left w:val="nil"/>
              <w:bottom w:val="single" w:sz="4" w:space="0" w:color="auto"/>
              <w:right w:val="single" w:sz="4" w:space="0" w:color="auto"/>
            </w:tcBorders>
            <w:shd w:val="clear" w:color="auto" w:fill="auto"/>
            <w:noWrap/>
            <w:hideMark/>
          </w:tcPr>
          <w:p w:rsidR="00DD08A6" w:rsidRPr="00D13040" w:rsidRDefault="00DD08A6" w:rsidP="004E5419">
            <w:pPr>
              <w:jc w:val="right"/>
              <w:rPr>
                <w:color w:val="000000"/>
                <w:sz w:val="20"/>
                <w:lang w:val="en-CA" w:eastAsia="en-CA"/>
              </w:rPr>
            </w:pPr>
          </w:p>
        </w:tc>
        <w:tc>
          <w:tcPr>
            <w:tcW w:w="1189" w:type="pct"/>
            <w:tcBorders>
              <w:top w:val="nil"/>
              <w:left w:val="nil"/>
              <w:bottom w:val="single" w:sz="4" w:space="0" w:color="auto"/>
              <w:right w:val="single" w:sz="4" w:space="0" w:color="auto"/>
            </w:tcBorders>
            <w:shd w:val="clear" w:color="auto" w:fill="auto"/>
            <w:noWrap/>
            <w:hideMark/>
          </w:tcPr>
          <w:p w:rsidR="00DD08A6" w:rsidRPr="00D13040" w:rsidRDefault="00DD08A6" w:rsidP="004E5419">
            <w:pPr>
              <w:jc w:val="right"/>
              <w:rPr>
                <w:color w:val="000000"/>
                <w:sz w:val="20"/>
                <w:lang w:val="en-CA" w:eastAsia="en-CA"/>
              </w:rPr>
            </w:pPr>
            <w:r w:rsidRPr="00D13040">
              <w:rPr>
                <w:color w:val="000000"/>
                <w:sz w:val="20"/>
                <w:lang w:val="en-CA" w:eastAsia="en-CA"/>
              </w:rPr>
              <w:t>NA</w:t>
            </w:r>
          </w:p>
        </w:tc>
      </w:tr>
      <w:tr w:rsidR="00DD08A6" w:rsidRPr="00D13040" w:rsidTr="003F76B1">
        <w:trPr>
          <w:trHeight w:val="227"/>
        </w:trPr>
        <w:tc>
          <w:tcPr>
            <w:tcW w:w="2148" w:type="pct"/>
            <w:tcBorders>
              <w:top w:val="nil"/>
              <w:left w:val="single" w:sz="4" w:space="0" w:color="auto"/>
              <w:bottom w:val="single" w:sz="4" w:space="0" w:color="auto"/>
              <w:right w:val="single" w:sz="4" w:space="0" w:color="auto"/>
            </w:tcBorders>
            <w:shd w:val="clear" w:color="auto" w:fill="auto"/>
            <w:noWrap/>
            <w:hideMark/>
          </w:tcPr>
          <w:p w:rsidR="00DD08A6" w:rsidRPr="00D13040" w:rsidRDefault="00DD08A6" w:rsidP="004E5419">
            <w:pPr>
              <w:jc w:val="left"/>
              <w:rPr>
                <w:b/>
                <w:color w:val="000000"/>
                <w:sz w:val="20"/>
                <w:lang w:val="en-CA" w:eastAsia="en-CA"/>
              </w:rPr>
            </w:pPr>
            <w:r w:rsidRPr="00D13040">
              <w:rPr>
                <w:b/>
                <w:color w:val="000000"/>
                <w:sz w:val="20"/>
                <w:lang w:val="en-CA" w:eastAsia="en-CA"/>
              </w:rPr>
              <w:t>Total</w:t>
            </w:r>
          </w:p>
        </w:tc>
        <w:tc>
          <w:tcPr>
            <w:tcW w:w="713" w:type="pct"/>
            <w:tcBorders>
              <w:top w:val="nil"/>
              <w:left w:val="nil"/>
              <w:bottom w:val="single" w:sz="4" w:space="0" w:color="auto"/>
              <w:right w:val="single" w:sz="4" w:space="0" w:color="auto"/>
            </w:tcBorders>
            <w:shd w:val="clear" w:color="auto" w:fill="auto"/>
            <w:noWrap/>
            <w:hideMark/>
          </w:tcPr>
          <w:p w:rsidR="00DD08A6" w:rsidRPr="00D13040" w:rsidRDefault="00DD08A6" w:rsidP="004E5419">
            <w:pPr>
              <w:jc w:val="right"/>
              <w:rPr>
                <w:b/>
                <w:color w:val="000000"/>
                <w:sz w:val="20"/>
                <w:lang w:val="en-CA" w:eastAsia="en-CA"/>
              </w:rPr>
            </w:pPr>
            <w:r w:rsidRPr="00D13040">
              <w:rPr>
                <w:b/>
                <w:color w:val="000000"/>
                <w:sz w:val="20"/>
                <w:lang w:val="en-CA" w:eastAsia="en-CA"/>
              </w:rPr>
              <w:t>4,936,</w:t>
            </w:r>
            <w:r w:rsidR="00FB0264" w:rsidRPr="00D13040">
              <w:rPr>
                <w:b/>
                <w:color w:val="000000"/>
                <w:sz w:val="20"/>
                <w:lang w:val="en-CA" w:eastAsia="en-CA"/>
              </w:rPr>
              <w:t>508</w:t>
            </w:r>
          </w:p>
        </w:tc>
        <w:tc>
          <w:tcPr>
            <w:tcW w:w="951" w:type="pct"/>
            <w:tcBorders>
              <w:top w:val="nil"/>
              <w:left w:val="nil"/>
              <w:bottom w:val="single" w:sz="4" w:space="0" w:color="auto"/>
              <w:right w:val="single" w:sz="4" w:space="0" w:color="auto"/>
            </w:tcBorders>
            <w:shd w:val="clear" w:color="auto" w:fill="auto"/>
            <w:noWrap/>
            <w:hideMark/>
          </w:tcPr>
          <w:p w:rsidR="00DD08A6" w:rsidRPr="00D13040" w:rsidRDefault="00DD08A6" w:rsidP="004E5419">
            <w:pPr>
              <w:jc w:val="right"/>
              <w:rPr>
                <w:b/>
                <w:color w:val="000000"/>
                <w:sz w:val="20"/>
                <w:lang w:val="en-CA" w:eastAsia="en-CA"/>
              </w:rPr>
            </w:pPr>
            <w:r w:rsidRPr="00D13040">
              <w:rPr>
                <w:b/>
                <w:color w:val="000000"/>
                <w:sz w:val="20"/>
                <w:lang w:val="en-CA" w:eastAsia="en-CA"/>
              </w:rPr>
              <w:t>197.30</w:t>
            </w:r>
          </w:p>
        </w:tc>
        <w:tc>
          <w:tcPr>
            <w:tcW w:w="1189" w:type="pct"/>
            <w:tcBorders>
              <w:top w:val="nil"/>
              <w:left w:val="nil"/>
              <w:bottom w:val="single" w:sz="4" w:space="0" w:color="auto"/>
              <w:right w:val="single" w:sz="4" w:space="0" w:color="auto"/>
            </w:tcBorders>
            <w:shd w:val="clear" w:color="auto" w:fill="auto"/>
            <w:noWrap/>
            <w:hideMark/>
          </w:tcPr>
          <w:p w:rsidR="00DD08A6" w:rsidRPr="00D13040" w:rsidRDefault="0035071E" w:rsidP="004E5419">
            <w:pPr>
              <w:jc w:val="right"/>
              <w:rPr>
                <w:b/>
                <w:color w:val="000000"/>
                <w:sz w:val="20"/>
                <w:lang w:val="en-CA" w:eastAsia="en-CA"/>
              </w:rPr>
            </w:pPr>
            <w:r w:rsidRPr="00D13040">
              <w:rPr>
                <w:b/>
                <w:color w:val="000000"/>
                <w:sz w:val="20"/>
                <w:lang w:val="en-CA" w:eastAsia="en-CA"/>
              </w:rPr>
              <w:t>NA</w:t>
            </w:r>
          </w:p>
        </w:tc>
      </w:tr>
    </w:tbl>
    <w:p w:rsidR="00E85409" w:rsidRPr="00D13040" w:rsidRDefault="00E85409" w:rsidP="004E5419">
      <w:pPr>
        <w:rPr>
          <w:lang w:val="en-CA"/>
        </w:rPr>
      </w:pPr>
    </w:p>
    <w:p w:rsidR="00B56167" w:rsidRPr="00D13040" w:rsidRDefault="00DD08A6" w:rsidP="004E5419">
      <w:pPr>
        <w:pStyle w:val="Heading1"/>
        <w:rPr>
          <w:lang w:val="en-CA"/>
        </w:rPr>
      </w:pPr>
      <w:r w:rsidRPr="00D13040">
        <w:rPr>
          <w:lang w:val="en-CA"/>
        </w:rPr>
        <w:t>The project is expected to result in direct emissions reduction of about 282,000 tonnes of CO</w:t>
      </w:r>
      <w:r w:rsidRPr="00D13040">
        <w:rPr>
          <w:vertAlign w:val="subscript"/>
          <w:lang w:val="en-CA"/>
        </w:rPr>
        <w:t>2</w:t>
      </w:r>
      <w:r w:rsidRPr="00D13040">
        <w:rPr>
          <w:lang w:val="en-CA"/>
        </w:rPr>
        <w:noBreakHyphen/>
        <w:t xml:space="preserve"> eq</w:t>
      </w:r>
      <w:r w:rsidR="00A90E08" w:rsidRPr="00D13040">
        <w:rPr>
          <w:lang w:val="en-CA"/>
        </w:rPr>
        <w:t>uivalent</w:t>
      </w:r>
      <w:r w:rsidR="0042234C" w:rsidRPr="00D13040">
        <w:rPr>
          <w:lang w:val="en-CA"/>
        </w:rPr>
        <w:t xml:space="preserve"> tonnes</w:t>
      </w:r>
      <w:r w:rsidR="00AA1F70" w:rsidRPr="00D13040">
        <w:rPr>
          <w:lang w:val="en-CA"/>
        </w:rPr>
        <w:t xml:space="preserve"> with the reduction of </w:t>
      </w:r>
      <w:r w:rsidR="0033170D" w:rsidRPr="00D13040">
        <w:rPr>
          <w:lang w:val="en-CA"/>
        </w:rPr>
        <w:t>197.3</w:t>
      </w:r>
      <w:r w:rsidR="00AA1F70" w:rsidRPr="00D13040">
        <w:rPr>
          <w:lang w:val="en-CA"/>
        </w:rPr>
        <w:t xml:space="preserve"> mt of HFC-134a</w:t>
      </w:r>
      <w:r w:rsidR="00EB30ED" w:rsidRPr="00D13040">
        <w:rPr>
          <w:lang w:val="en-CA"/>
        </w:rPr>
        <w:t>. No e</w:t>
      </w:r>
      <w:r w:rsidRPr="00D13040">
        <w:rPr>
          <w:lang w:val="en-CA"/>
        </w:rPr>
        <w:t xml:space="preserve">stimates of indirect emission savings </w:t>
      </w:r>
      <w:r w:rsidR="00EB30ED" w:rsidRPr="00D13040">
        <w:rPr>
          <w:lang w:val="en-CA"/>
        </w:rPr>
        <w:t xml:space="preserve">associated with energy efficiency </w:t>
      </w:r>
      <w:r w:rsidRPr="00D13040">
        <w:rPr>
          <w:lang w:val="en-CA"/>
        </w:rPr>
        <w:t>were provided.</w:t>
      </w:r>
    </w:p>
    <w:p w:rsidR="00EB30ED" w:rsidRPr="00D13040" w:rsidRDefault="00EB30ED" w:rsidP="004E5419">
      <w:pPr>
        <w:pStyle w:val="Heading1"/>
        <w:rPr>
          <w:lang w:val="en-CA"/>
        </w:rPr>
      </w:pPr>
      <w:r w:rsidRPr="00D13040">
        <w:rPr>
          <w:lang w:val="en-CA"/>
        </w:rPr>
        <w:t xml:space="preserve">The project </w:t>
      </w:r>
      <w:r w:rsidR="002802F5" w:rsidRPr="00D13040">
        <w:rPr>
          <w:lang w:val="en-CA"/>
        </w:rPr>
        <w:t>will be implemented over a period of</w:t>
      </w:r>
      <w:r w:rsidRPr="00D13040">
        <w:rPr>
          <w:lang w:val="en-CA"/>
        </w:rPr>
        <w:t xml:space="preserve"> 24 months. </w:t>
      </w:r>
    </w:p>
    <w:p w:rsidR="00EB30ED" w:rsidRPr="00D13040" w:rsidRDefault="00EB30ED" w:rsidP="004E5419">
      <w:pPr>
        <w:jc w:val="center"/>
        <w:rPr>
          <w:b/>
          <w:lang w:val="en-CA"/>
        </w:rPr>
      </w:pPr>
    </w:p>
    <w:p w:rsidR="00DD08A6" w:rsidRPr="00D13040" w:rsidRDefault="00DD08A6" w:rsidP="004E5419">
      <w:pPr>
        <w:jc w:val="center"/>
        <w:rPr>
          <w:b/>
          <w:lang w:val="en-CA"/>
        </w:rPr>
      </w:pPr>
      <w:r w:rsidRPr="00D13040">
        <w:rPr>
          <w:b/>
          <w:lang w:val="en-CA"/>
        </w:rPr>
        <w:t>SECRETARIAT’S COMMENTS AND RECOMMENDATION</w:t>
      </w:r>
    </w:p>
    <w:p w:rsidR="00DD08A6" w:rsidRPr="00D13040" w:rsidRDefault="00DD08A6" w:rsidP="004E5419">
      <w:pPr>
        <w:rPr>
          <w:lang w:val="en-CA"/>
        </w:rPr>
      </w:pPr>
    </w:p>
    <w:p w:rsidR="00DD08A6" w:rsidRPr="00D13040" w:rsidRDefault="00DD08A6" w:rsidP="004E5419">
      <w:pPr>
        <w:rPr>
          <w:b/>
          <w:lang w:val="en-CA"/>
        </w:rPr>
      </w:pPr>
      <w:r w:rsidRPr="00D13040">
        <w:rPr>
          <w:b/>
          <w:lang w:val="en-CA"/>
        </w:rPr>
        <w:t>COMMENTS</w:t>
      </w:r>
    </w:p>
    <w:p w:rsidR="00DD08A6" w:rsidRPr="00D13040" w:rsidRDefault="00DD08A6" w:rsidP="004E5419">
      <w:pPr>
        <w:rPr>
          <w:lang w:val="en-CA"/>
        </w:rPr>
      </w:pPr>
    </w:p>
    <w:p w:rsidR="00603DA4" w:rsidRPr="00D13040" w:rsidRDefault="00603DA4" w:rsidP="004E5419">
      <w:pPr>
        <w:rPr>
          <w:lang w:val="en-CA"/>
        </w:rPr>
      </w:pPr>
      <w:r w:rsidRPr="00D13040">
        <w:rPr>
          <w:i/>
          <w:lang w:val="en-CA"/>
        </w:rPr>
        <w:t>Eligibility</w:t>
      </w:r>
    </w:p>
    <w:p w:rsidR="00603DA4" w:rsidRPr="00D13040" w:rsidRDefault="00603DA4" w:rsidP="004E5419">
      <w:pPr>
        <w:rPr>
          <w:i/>
          <w:lang w:val="en-CA"/>
        </w:rPr>
      </w:pPr>
    </w:p>
    <w:p w:rsidR="00603680" w:rsidRPr="00D13040" w:rsidRDefault="00EB30ED" w:rsidP="004E5419">
      <w:pPr>
        <w:pStyle w:val="Heading1"/>
        <w:rPr>
          <w:lang w:val="en-CA"/>
        </w:rPr>
      </w:pPr>
      <w:r w:rsidRPr="00D13040">
        <w:rPr>
          <w:lang w:val="en-CA"/>
        </w:rPr>
        <w:t xml:space="preserve">This project has been submitted </w:t>
      </w:r>
      <w:r w:rsidR="006F1380" w:rsidRPr="00D13040">
        <w:rPr>
          <w:lang w:val="en-CA"/>
        </w:rPr>
        <w:t>in line with decision 78/3(g)</w:t>
      </w:r>
      <w:r w:rsidR="00603680" w:rsidRPr="00D13040">
        <w:rPr>
          <w:lang w:val="en-CA"/>
        </w:rPr>
        <w:t>.</w:t>
      </w:r>
      <w:r w:rsidRPr="00D13040">
        <w:rPr>
          <w:lang w:val="en-CA"/>
        </w:rPr>
        <w:t xml:space="preserve"> It included an official letter from the Government with the commitment </w:t>
      </w:r>
      <w:r w:rsidR="002802F5" w:rsidRPr="00D13040">
        <w:rPr>
          <w:lang w:val="en-CA"/>
        </w:rPr>
        <w:t xml:space="preserve">required in the decision as </w:t>
      </w:r>
      <w:r w:rsidR="00A47F92" w:rsidRPr="00D13040">
        <w:rPr>
          <w:lang w:val="en-CA"/>
        </w:rPr>
        <w:t>mentioned</w:t>
      </w:r>
      <w:r w:rsidR="002802F5" w:rsidRPr="00D13040">
        <w:rPr>
          <w:lang w:val="en-CA"/>
        </w:rPr>
        <w:t xml:space="preserve"> in paragraph 2.</w:t>
      </w:r>
    </w:p>
    <w:p w:rsidR="00603680" w:rsidRPr="00D13040" w:rsidRDefault="002C669F" w:rsidP="004E5419">
      <w:pPr>
        <w:pStyle w:val="Heading1"/>
        <w:rPr>
          <w:lang w:val="en-CA"/>
        </w:rPr>
      </w:pPr>
      <w:r w:rsidRPr="00D13040">
        <w:rPr>
          <w:lang w:val="en-CA"/>
        </w:rPr>
        <w:t>The</w:t>
      </w:r>
      <w:r w:rsidR="00603680" w:rsidRPr="00D13040">
        <w:rPr>
          <w:lang w:val="en-CA"/>
        </w:rPr>
        <w:t xml:space="preserve"> Secretariat </w:t>
      </w:r>
      <w:r w:rsidRPr="00D13040">
        <w:rPr>
          <w:lang w:val="en-CA"/>
        </w:rPr>
        <w:t xml:space="preserve">reviewed  </w:t>
      </w:r>
      <w:r w:rsidR="00EB30ED" w:rsidRPr="00D13040">
        <w:rPr>
          <w:lang w:val="en-CA"/>
        </w:rPr>
        <w:t xml:space="preserve">the project proposal based on the current policies </w:t>
      </w:r>
      <w:r w:rsidR="005C1713" w:rsidRPr="00D13040">
        <w:rPr>
          <w:lang w:val="en-CA"/>
        </w:rPr>
        <w:t>and</w:t>
      </w:r>
      <w:r w:rsidR="00EB30ED" w:rsidRPr="00D13040">
        <w:rPr>
          <w:lang w:val="en-CA"/>
        </w:rPr>
        <w:t xml:space="preserve"> decisions of the Multilateral Fund and the review of </w:t>
      </w:r>
      <w:r w:rsidRPr="00D13040">
        <w:rPr>
          <w:lang w:val="en-CA"/>
        </w:rPr>
        <w:t>similar</w:t>
      </w:r>
      <w:r w:rsidR="006F1380" w:rsidRPr="00D13040">
        <w:rPr>
          <w:lang w:val="en-CA"/>
        </w:rPr>
        <w:t xml:space="preserve"> conversion projects for </w:t>
      </w:r>
      <w:r w:rsidR="00A47F92" w:rsidRPr="00D13040">
        <w:rPr>
          <w:lang w:val="en-CA"/>
        </w:rPr>
        <w:t>CFC</w:t>
      </w:r>
      <w:r w:rsidR="006F1380" w:rsidRPr="00D13040">
        <w:rPr>
          <w:lang w:val="en-CA"/>
        </w:rPr>
        <w:t xml:space="preserve"> phase-out </w:t>
      </w:r>
      <w:r w:rsidR="00EB30ED" w:rsidRPr="00D13040">
        <w:rPr>
          <w:lang w:val="en-CA"/>
        </w:rPr>
        <w:t xml:space="preserve">so far </w:t>
      </w:r>
      <w:r w:rsidR="006F1380" w:rsidRPr="00D13040">
        <w:rPr>
          <w:lang w:val="en-CA"/>
        </w:rPr>
        <w:t>approved (</w:t>
      </w:r>
      <w:r w:rsidR="00E8215F" w:rsidRPr="00D13040">
        <w:rPr>
          <w:lang w:val="en-CA"/>
        </w:rPr>
        <w:t>i.e.</w:t>
      </w:r>
      <w:r w:rsidR="006F1380" w:rsidRPr="00D13040">
        <w:rPr>
          <w:lang w:val="en-CA"/>
        </w:rPr>
        <w:t>, conversion of refrigerant component from CFC-12 to isobutane, and conversion of compressors from HCFC-22 to propane involving product and manufacturing process redesign)</w:t>
      </w:r>
      <w:r w:rsidR="00EB30ED" w:rsidRPr="00D13040">
        <w:rPr>
          <w:lang w:val="en-CA"/>
        </w:rPr>
        <w:t>. T</w:t>
      </w:r>
      <w:r w:rsidR="006F1380" w:rsidRPr="00D13040">
        <w:rPr>
          <w:lang w:val="en-CA"/>
        </w:rPr>
        <w:t xml:space="preserve">he Secretariat’s </w:t>
      </w:r>
      <w:r w:rsidR="00EB30ED" w:rsidRPr="00D13040">
        <w:rPr>
          <w:lang w:val="en-CA"/>
        </w:rPr>
        <w:t>comment</w:t>
      </w:r>
      <w:r w:rsidRPr="00D13040">
        <w:rPr>
          <w:lang w:val="en-CA"/>
        </w:rPr>
        <w:t xml:space="preserve">s </w:t>
      </w:r>
      <w:r w:rsidR="006F1380" w:rsidRPr="00D13040">
        <w:rPr>
          <w:lang w:val="en-CA"/>
        </w:rPr>
        <w:t xml:space="preserve">on </w:t>
      </w:r>
      <w:r w:rsidRPr="00D13040">
        <w:rPr>
          <w:lang w:val="en-CA"/>
        </w:rPr>
        <w:t xml:space="preserve">the </w:t>
      </w:r>
      <w:r w:rsidR="006F1380" w:rsidRPr="00D13040">
        <w:rPr>
          <w:lang w:val="en-CA"/>
        </w:rPr>
        <w:t xml:space="preserve">project </w:t>
      </w:r>
      <w:r w:rsidR="00EB30ED" w:rsidRPr="00D13040">
        <w:rPr>
          <w:lang w:val="en-CA"/>
        </w:rPr>
        <w:t>proposals</w:t>
      </w:r>
      <w:r w:rsidR="006F1380" w:rsidRPr="00D13040">
        <w:rPr>
          <w:lang w:val="en-CA"/>
        </w:rPr>
        <w:t xml:space="preserve"> are </w:t>
      </w:r>
      <w:r w:rsidR="00EB30ED" w:rsidRPr="00D13040">
        <w:rPr>
          <w:lang w:val="en-CA"/>
        </w:rPr>
        <w:t>presented</w:t>
      </w:r>
      <w:r w:rsidR="006F1380" w:rsidRPr="00D13040">
        <w:rPr>
          <w:lang w:val="en-CA"/>
        </w:rPr>
        <w:t xml:space="preserve"> below.</w:t>
      </w:r>
    </w:p>
    <w:p w:rsidR="00603680" w:rsidRPr="00D13040" w:rsidRDefault="00C81127" w:rsidP="004E5419">
      <w:pPr>
        <w:keepNext/>
        <w:rPr>
          <w:i/>
          <w:lang w:val="en-CA"/>
        </w:rPr>
      </w:pPr>
      <w:r w:rsidRPr="00D13040">
        <w:rPr>
          <w:i/>
          <w:lang w:val="en-CA"/>
        </w:rPr>
        <w:t>C</w:t>
      </w:r>
      <w:r w:rsidR="00603680" w:rsidRPr="00D13040">
        <w:rPr>
          <w:i/>
          <w:lang w:val="en-CA"/>
        </w:rPr>
        <w:t>onversion</w:t>
      </w:r>
      <w:r w:rsidRPr="00D13040">
        <w:rPr>
          <w:i/>
          <w:lang w:val="en-CA"/>
        </w:rPr>
        <w:t xml:space="preserve"> of refrigerator assembly line to isobutane</w:t>
      </w:r>
    </w:p>
    <w:p w:rsidR="00603680" w:rsidRPr="00D13040" w:rsidRDefault="00603680" w:rsidP="004E5419">
      <w:pPr>
        <w:keepNext/>
        <w:rPr>
          <w:i/>
          <w:lang w:val="en-CA"/>
        </w:rPr>
      </w:pPr>
    </w:p>
    <w:p w:rsidR="00006E22" w:rsidRPr="00D13040" w:rsidRDefault="00243F57" w:rsidP="004E5419">
      <w:pPr>
        <w:pStyle w:val="Heading1"/>
        <w:rPr>
          <w:lang w:val="en-CA"/>
        </w:rPr>
      </w:pPr>
      <w:r w:rsidRPr="00D13040">
        <w:rPr>
          <w:lang w:val="en-CA"/>
        </w:rPr>
        <w:t>Noting that one production line had already converted to isobutane technology, t</w:t>
      </w:r>
      <w:r w:rsidR="00603680" w:rsidRPr="00D13040">
        <w:rPr>
          <w:lang w:val="en-CA"/>
        </w:rPr>
        <w:t xml:space="preserve">he Secretariat </w:t>
      </w:r>
      <w:r w:rsidRPr="00D13040">
        <w:rPr>
          <w:lang w:val="en-CA"/>
        </w:rPr>
        <w:t xml:space="preserve">requested </w:t>
      </w:r>
      <w:r w:rsidR="00603680" w:rsidRPr="00D13040">
        <w:rPr>
          <w:lang w:val="en-CA"/>
        </w:rPr>
        <w:t xml:space="preserve">clarification on </w:t>
      </w:r>
      <w:r w:rsidRPr="00D13040">
        <w:rPr>
          <w:lang w:val="en-CA"/>
        </w:rPr>
        <w:t>the</w:t>
      </w:r>
      <w:r w:rsidRPr="00D13040">
        <w:t xml:space="preserve"> </w:t>
      </w:r>
      <w:r w:rsidRPr="00D13040">
        <w:rPr>
          <w:lang w:val="en-CA"/>
        </w:rPr>
        <w:t xml:space="preserve">need for product redesign, prototype development and certification; the requests for </w:t>
      </w:r>
      <w:r w:rsidR="00C81127" w:rsidRPr="00D13040">
        <w:rPr>
          <w:lang w:val="en-CA"/>
        </w:rPr>
        <w:t>components for assembly line modification</w:t>
      </w:r>
      <w:r w:rsidRPr="00D13040">
        <w:rPr>
          <w:lang w:val="en-CA"/>
        </w:rPr>
        <w:t xml:space="preserve">; </w:t>
      </w:r>
      <w:r w:rsidR="008D1A89" w:rsidRPr="00D13040">
        <w:rPr>
          <w:lang w:val="en-CA"/>
        </w:rPr>
        <w:t xml:space="preserve">the need </w:t>
      </w:r>
      <w:r w:rsidR="00E8215F" w:rsidRPr="00D13040">
        <w:rPr>
          <w:lang w:val="en-CA"/>
        </w:rPr>
        <w:t xml:space="preserve">for </w:t>
      </w:r>
      <w:r w:rsidR="008D1A89" w:rsidRPr="00D13040">
        <w:rPr>
          <w:lang w:val="en-CA"/>
        </w:rPr>
        <w:t xml:space="preserve">additional </w:t>
      </w:r>
      <w:r w:rsidR="00006E22" w:rsidRPr="00D13040">
        <w:rPr>
          <w:lang w:val="en-CA"/>
        </w:rPr>
        <w:t>safety infrastructure</w:t>
      </w:r>
      <w:r w:rsidRPr="00D13040">
        <w:rPr>
          <w:lang w:val="en-CA"/>
        </w:rPr>
        <w:t xml:space="preserve">; </w:t>
      </w:r>
      <w:r w:rsidR="0033170D" w:rsidRPr="00D13040">
        <w:rPr>
          <w:lang w:val="en-CA"/>
        </w:rPr>
        <w:t>the need</w:t>
      </w:r>
      <w:r w:rsidR="00C81127" w:rsidRPr="00D13040">
        <w:rPr>
          <w:lang w:val="en-CA"/>
        </w:rPr>
        <w:t xml:space="preserve"> for modification of </w:t>
      </w:r>
      <w:r w:rsidR="008D1A89" w:rsidRPr="00D13040">
        <w:rPr>
          <w:lang w:val="en-CA"/>
        </w:rPr>
        <w:t xml:space="preserve">the </w:t>
      </w:r>
      <w:r w:rsidR="00C81127" w:rsidRPr="00D13040">
        <w:rPr>
          <w:lang w:val="en-CA"/>
        </w:rPr>
        <w:t>filter drier manufacturing process and fin press</w:t>
      </w:r>
      <w:r w:rsidR="00006E22" w:rsidRPr="00D13040">
        <w:rPr>
          <w:lang w:val="en-CA"/>
        </w:rPr>
        <w:t xml:space="preserve"> die</w:t>
      </w:r>
      <w:r w:rsidR="00C81127" w:rsidRPr="00D13040">
        <w:rPr>
          <w:lang w:val="en-CA"/>
        </w:rPr>
        <w:t xml:space="preserve"> for producing evaporators</w:t>
      </w:r>
      <w:r w:rsidRPr="00D13040">
        <w:rPr>
          <w:lang w:val="en-CA"/>
        </w:rPr>
        <w:t xml:space="preserve">; and the need for </w:t>
      </w:r>
      <w:r w:rsidR="00937866" w:rsidRPr="00D13040">
        <w:rPr>
          <w:lang w:val="en-CA"/>
        </w:rPr>
        <w:t xml:space="preserve">technical assistance and training </w:t>
      </w:r>
      <w:r w:rsidRPr="00D13040">
        <w:rPr>
          <w:lang w:val="en-CA"/>
        </w:rPr>
        <w:t>component.</w:t>
      </w:r>
    </w:p>
    <w:p w:rsidR="006F1380" w:rsidRPr="00D13040" w:rsidRDefault="008D1A89" w:rsidP="004E5419">
      <w:pPr>
        <w:pStyle w:val="Heading1"/>
        <w:rPr>
          <w:lang w:val="en-CA"/>
        </w:rPr>
      </w:pPr>
      <w:r w:rsidRPr="00D13040">
        <w:rPr>
          <w:lang w:val="en-CA"/>
        </w:rPr>
        <w:t>Following a discussion o</w:t>
      </w:r>
      <w:r w:rsidR="0026348F" w:rsidRPr="00D13040">
        <w:rPr>
          <w:lang w:val="en-CA"/>
        </w:rPr>
        <w:t>n</w:t>
      </w:r>
      <w:r w:rsidRPr="00D13040">
        <w:rPr>
          <w:lang w:val="en-CA"/>
        </w:rPr>
        <w:t xml:space="preserve"> the above, UNDP </w:t>
      </w:r>
      <w:r w:rsidR="002802F5" w:rsidRPr="00D13040">
        <w:rPr>
          <w:lang w:val="en-CA"/>
        </w:rPr>
        <w:t xml:space="preserve">explained that the requested modifications were necessary to implement the conversion projects, and </w:t>
      </w:r>
      <w:r w:rsidRPr="00D13040">
        <w:rPr>
          <w:lang w:val="en-CA"/>
        </w:rPr>
        <w:t xml:space="preserve">agreed to adjust costs of equipment required for ultrasonic welding machines in the production lines, rationalised the number of vacuum pumps and their unit costs, and adjusted the costs required for safety systems. </w:t>
      </w:r>
      <w:r w:rsidR="00006E22" w:rsidRPr="00D13040">
        <w:rPr>
          <w:lang w:val="en-CA"/>
        </w:rPr>
        <w:t xml:space="preserve">UNDP </w:t>
      </w:r>
      <w:r w:rsidRPr="00D13040">
        <w:rPr>
          <w:lang w:val="en-CA"/>
        </w:rPr>
        <w:t xml:space="preserve">also </w:t>
      </w:r>
      <w:r w:rsidR="00006E22" w:rsidRPr="00D13040">
        <w:rPr>
          <w:lang w:val="en-CA"/>
        </w:rPr>
        <w:t>agreed to remove the component relating to filter drier manufacturing based on consultation with the company</w:t>
      </w:r>
      <w:r w:rsidR="008D3BF9" w:rsidRPr="00D13040">
        <w:rPr>
          <w:lang w:val="en-CA"/>
        </w:rPr>
        <w:t xml:space="preserve">, </w:t>
      </w:r>
      <w:r w:rsidR="00243F57" w:rsidRPr="00D13040">
        <w:rPr>
          <w:lang w:val="en-CA"/>
        </w:rPr>
        <w:t xml:space="preserve">and </w:t>
      </w:r>
      <w:r w:rsidR="008D3BF9" w:rsidRPr="00D13040">
        <w:rPr>
          <w:lang w:val="en-CA"/>
        </w:rPr>
        <w:t>reduce the costs for technical assistance, product redesign, testing and certification.</w:t>
      </w:r>
      <w:r w:rsidR="00006E22" w:rsidRPr="00D13040">
        <w:rPr>
          <w:lang w:val="en-CA"/>
        </w:rPr>
        <w:t xml:space="preserve"> </w:t>
      </w:r>
    </w:p>
    <w:p w:rsidR="00DD08A6" w:rsidRPr="00D13040" w:rsidRDefault="00DD08A6" w:rsidP="004E5419">
      <w:pPr>
        <w:pStyle w:val="Heading1"/>
        <w:rPr>
          <w:lang w:val="en-CA"/>
        </w:rPr>
      </w:pPr>
      <w:r w:rsidRPr="00D13040">
        <w:rPr>
          <w:lang w:val="en-CA"/>
        </w:rPr>
        <w:t xml:space="preserve">The incremental operating cost </w:t>
      </w:r>
      <w:r w:rsidR="00243F57" w:rsidRPr="00D13040">
        <w:rPr>
          <w:lang w:val="en-CA"/>
        </w:rPr>
        <w:t xml:space="preserve">had been estimated </w:t>
      </w:r>
      <w:r w:rsidRPr="00D13040">
        <w:rPr>
          <w:lang w:val="en-CA"/>
        </w:rPr>
        <w:t>at US</w:t>
      </w:r>
      <w:r w:rsidR="00B56167" w:rsidRPr="00D13040">
        <w:rPr>
          <w:lang w:val="en-CA"/>
        </w:rPr>
        <w:t> </w:t>
      </w:r>
      <w:r w:rsidRPr="00D13040">
        <w:rPr>
          <w:lang w:val="en-CA"/>
        </w:rPr>
        <w:t>$1.863</w:t>
      </w:r>
      <w:r w:rsidR="00243F57" w:rsidRPr="00D13040">
        <w:rPr>
          <w:lang w:val="en-CA"/>
        </w:rPr>
        <w:t>/</w:t>
      </w:r>
      <w:r w:rsidRPr="00D13040">
        <w:rPr>
          <w:lang w:val="en-CA"/>
        </w:rPr>
        <w:t>unit on an average</w:t>
      </w:r>
      <w:r w:rsidR="00C00365" w:rsidRPr="00D13040">
        <w:rPr>
          <w:lang w:val="en-CA"/>
        </w:rPr>
        <w:t xml:space="preserve">, </w:t>
      </w:r>
      <w:r w:rsidR="0033170D" w:rsidRPr="00D13040">
        <w:rPr>
          <w:lang w:val="en-CA"/>
        </w:rPr>
        <w:t>including US</w:t>
      </w:r>
      <w:r w:rsidR="00134C9D" w:rsidRPr="00D13040">
        <w:rPr>
          <w:lang w:val="en-CA"/>
        </w:rPr>
        <w:t> </w:t>
      </w:r>
      <w:r w:rsidR="0026348F" w:rsidRPr="00D13040">
        <w:rPr>
          <w:lang w:val="en-CA"/>
        </w:rPr>
        <w:t>$2</w:t>
      </w:r>
      <w:r w:rsidR="00243F57" w:rsidRPr="00D13040">
        <w:rPr>
          <w:lang w:val="en-CA"/>
        </w:rPr>
        <w:t>.00/</w:t>
      </w:r>
      <w:r w:rsidR="0026348F" w:rsidRPr="00D13040">
        <w:rPr>
          <w:lang w:val="en-CA"/>
        </w:rPr>
        <w:t xml:space="preserve">compressor. </w:t>
      </w:r>
      <w:r w:rsidR="00243F57" w:rsidRPr="00D13040">
        <w:rPr>
          <w:lang w:val="en-CA"/>
        </w:rPr>
        <w:t xml:space="preserve">However, </w:t>
      </w:r>
      <w:r w:rsidR="008D3BF9" w:rsidRPr="00D13040">
        <w:rPr>
          <w:lang w:val="en-CA"/>
        </w:rPr>
        <w:t xml:space="preserve">financial assistance is requested for </w:t>
      </w:r>
      <w:r w:rsidR="00E8215F" w:rsidRPr="00D13040">
        <w:rPr>
          <w:lang w:val="en-CA"/>
        </w:rPr>
        <w:t xml:space="preserve">converting </w:t>
      </w:r>
      <w:r w:rsidR="008D3BF9" w:rsidRPr="00D13040">
        <w:rPr>
          <w:lang w:val="en-CA"/>
        </w:rPr>
        <w:t xml:space="preserve">the </w:t>
      </w:r>
      <w:r w:rsidRPr="00D13040">
        <w:rPr>
          <w:lang w:val="en-CA"/>
        </w:rPr>
        <w:t xml:space="preserve">compressor manufacturing </w:t>
      </w:r>
      <w:r w:rsidR="00243F57" w:rsidRPr="00D13040">
        <w:rPr>
          <w:lang w:val="en-CA"/>
        </w:rPr>
        <w:t>line to isobutane</w:t>
      </w:r>
      <w:r w:rsidR="00134C9D" w:rsidRPr="00D13040">
        <w:rPr>
          <w:lang w:val="en-CA"/>
        </w:rPr>
        <w:t>.</w:t>
      </w:r>
      <w:r w:rsidRPr="00D13040">
        <w:rPr>
          <w:lang w:val="en-CA"/>
        </w:rPr>
        <w:t xml:space="preserve"> </w:t>
      </w:r>
      <w:r w:rsidR="00134C9D" w:rsidRPr="00D13040">
        <w:rPr>
          <w:lang w:val="en-CA"/>
        </w:rPr>
        <w:t>T</w:t>
      </w:r>
      <w:r w:rsidR="00243F57" w:rsidRPr="00D13040">
        <w:rPr>
          <w:lang w:val="en-CA"/>
        </w:rPr>
        <w:t xml:space="preserve">his </w:t>
      </w:r>
      <w:r w:rsidR="008D3BF9" w:rsidRPr="00D13040">
        <w:rPr>
          <w:lang w:val="en-CA"/>
        </w:rPr>
        <w:t xml:space="preserve">would </w:t>
      </w:r>
      <w:r w:rsidR="00243F57" w:rsidRPr="00D13040">
        <w:rPr>
          <w:lang w:val="en-CA"/>
        </w:rPr>
        <w:t xml:space="preserve">result in </w:t>
      </w:r>
      <w:r w:rsidRPr="00D13040">
        <w:rPr>
          <w:lang w:val="en-CA"/>
        </w:rPr>
        <w:t>incremental saving</w:t>
      </w:r>
      <w:r w:rsidR="008D3BF9" w:rsidRPr="00D13040">
        <w:rPr>
          <w:lang w:val="en-CA"/>
        </w:rPr>
        <w:t>s</w:t>
      </w:r>
      <w:r w:rsidRPr="00D13040">
        <w:rPr>
          <w:lang w:val="en-CA"/>
        </w:rPr>
        <w:t xml:space="preserve"> of US</w:t>
      </w:r>
      <w:r w:rsidR="00B56167" w:rsidRPr="00D13040">
        <w:rPr>
          <w:lang w:val="en-CA"/>
        </w:rPr>
        <w:t> </w:t>
      </w:r>
      <w:r w:rsidRPr="00D13040">
        <w:rPr>
          <w:lang w:val="en-CA"/>
        </w:rPr>
        <w:t>$0.137</w:t>
      </w:r>
      <w:r w:rsidR="00243F57" w:rsidRPr="00D13040">
        <w:rPr>
          <w:lang w:val="en-CA"/>
        </w:rPr>
        <w:t>/</w:t>
      </w:r>
      <w:r w:rsidRPr="00D13040">
        <w:rPr>
          <w:lang w:val="en-CA"/>
        </w:rPr>
        <w:t>unit</w:t>
      </w:r>
      <w:r w:rsidR="00243F57" w:rsidRPr="00D13040">
        <w:rPr>
          <w:lang w:val="en-CA"/>
        </w:rPr>
        <w:t>, or</w:t>
      </w:r>
      <w:r w:rsidR="00C00365" w:rsidRPr="00D13040">
        <w:rPr>
          <w:lang w:val="en-CA"/>
        </w:rPr>
        <w:t xml:space="preserve"> </w:t>
      </w:r>
      <w:r w:rsidR="006D194A" w:rsidRPr="00D13040">
        <w:rPr>
          <w:lang w:val="en-CA"/>
        </w:rPr>
        <w:t xml:space="preserve">US $221,940 for a total </w:t>
      </w:r>
      <w:r w:rsidRPr="00D13040">
        <w:rPr>
          <w:lang w:val="en-CA"/>
        </w:rPr>
        <w:t>production of 1,620,000 units in 2016</w:t>
      </w:r>
      <w:r w:rsidR="006D194A" w:rsidRPr="00D13040">
        <w:rPr>
          <w:lang w:val="en-CA"/>
        </w:rPr>
        <w:t xml:space="preserve">. </w:t>
      </w:r>
    </w:p>
    <w:p w:rsidR="00213C19" w:rsidRPr="00D13040" w:rsidRDefault="00DD08A6" w:rsidP="004E5419">
      <w:pPr>
        <w:pStyle w:val="Heading1"/>
        <w:rPr>
          <w:lang w:val="en-CA"/>
        </w:rPr>
      </w:pPr>
      <w:r w:rsidRPr="00D13040">
        <w:rPr>
          <w:lang w:val="en-CA"/>
        </w:rPr>
        <w:t xml:space="preserve">The funding </w:t>
      </w:r>
      <w:r w:rsidR="00B61ABB" w:rsidRPr="00D13040">
        <w:rPr>
          <w:lang w:val="en-CA"/>
        </w:rPr>
        <w:t xml:space="preserve">component </w:t>
      </w:r>
      <w:r w:rsidR="006D194A" w:rsidRPr="00D13040">
        <w:rPr>
          <w:lang w:val="en-CA"/>
        </w:rPr>
        <w:t xml:space="preserve">also </w:t>
      </w:r>
      <w:r w:rsidR="00B61ABB" w:rsidRPr="00D13040">
        <w:rPr>
          <w:lang w:val="en-CA"/>
        </w:rPr>
        <w:t xml:space="preserve">included </w:t>
      </w:r>
      <w:r w:rsidR="00C00365" w:rsidRPr="00D13040">
        <w:rPr>
          <w:lang w:val="en-CA"/>
        </w:rPr>
        <w:t xml:space="preserve">assistance to </w:t>
      </w:r>
      <w:r w:rsidRPr="00D13040">
        <w:rPr>
          <w:lang w:val="en-CA"/>
        </w:rPr>
        <w:t>service centres equipment infrastructure</w:t>
      </w:r>
      <w:r w:rsidR="00134C9D" w:rsidRPr="00D13040">
        <w:rPr>
          <w:lang w:val="en-CA"/>
        </w:rPr>
        <w:t>. A</w:t>
      </w:r>
      <w:r w:rsidR="006D194A" w:rsidRPr="00D13040">
        <w:rPr>
          <w:lang w:val="en-CA"/>
        </w:rPr>
        <w:t>s this activity is</w:t>
      </w:r>
      <w:r w:rsidRPr="00D13040">
        <w:rPr>
          <w:lang w:val="en-CA"/>
        </w:rPr>
        <w:t xml:space="preserve"> </w:t>
      </w:r>
      <w:r w:rsidR="00B61ABB" w:rsidRPr="00D13040">
        <w:rPr>
          <w:lang w:val="en-CA"/>
        </w:rPr>
        <w:t>related to servicing, UNDP agreed</w:t>
      </w:r>
      <w:r w:rsidR="0033170D" w:rsidRPr="00D13040">
        <w:rPr>
          <w:lang w:val="en-CA"/>
        </w:rPr>
        <w:t xml:space="preserve"> to</w:t>
      </w:r>
      <w:r w:rsidR="00B61ABB" w:rsidRPr="00D13040">
        <w:rPr>
          <w:lang w:val="en-CA"/>
        </w:rPr>
        <w:t xml:space="preserve"> consider </w:t>
      </w:r>
      <w:r w:rsidR="006D194A" w:rsidRPr="00D13040">
        <w:rPr>
          <w:lang w:val="en-CA"/>
        </w:rPr>
        <w:t xml:space="preserve">deducting an additional </w:t>
      </w:r>
      <w:r w:rsidR="00086323" w:rsidRPr="00D13040">
        <w:rPr>
          <w:lang w:val="en-CA"/>
        </w:rPr>
        <w:t>33.33</w:t>
      </w:r>
      <w:r w:rsidR="006D194A" w:rsidRPr="00D13040">
        <w:rPr>
          <w:lang w:val="en-CA"/>
        </w:rPr>
        <w:t xml:space="preserve"> mt of HFC</w:t>
      </w:r>
      <w:r w:rsidR="00086323" w:rsidRPr="00D13040">
        <w:rPr>
          <w:lang w:val="en-CA"/>
        </w:rPr>
        <w:noBreakHyphen/>
      </w:r>
      <w:r w:rsidR="006D194A" w:rsidRPr="00D13040">
        <w:rPr>
          <w:lang w:val="en-CA"/>
        </w:rPr>
        <w:t xml:space="preserve">134a </w:t>
      </w:r>
      <w:r w:rsidR="00463DD4" w:rsidRPr="00D13040">
        <w:rPr>
          <w:lang w:val="en-CA"/>
        </w:rPr>
        <w:t>(47,662 CO</w:t>
      </w:r>
      <w:r w:rsidR="00463DD4" w:rsidRPr="00D13040">
        <w:rPr>
          <w:vertAlign w:val="subscript"/>
          <w:lang w:val="en-CA"/>
        </w:rPr>
        <w:t>2</w:t>
      </w:r>
      <w:r w:rsidR="0042234C" w:rsidRPr="00D13040">
        <w:rPr>
          <w:lang w:val="en-CA"/>
        </w:rPr>
        <w:t>-eq</w:t>
      </w:r>
      <w:r w:rsidR="00A90E08" w:rsidRPr="00D13040">
        <w:rPr>
          <w:lang w:val="en-CA"/>
        </w:rPr>
        <w:t>uivalent</w:t>
      </w:r>
      <w:r w:rsidR="00463DD4" w:rsidRPr="00D13040">
        <w:rPr>
          <w:lang w:val="en-CA"/>
        </w:rPr>
        <w:t xml:space="preserve"> tonnes) </w:t>
      </w:r>
      <w:r w:rsidR="006D194A" w:rsidRPr="00D13040">
        <w:rPr>
          <w:lang w:val="en-CA"/>
        </w:rPr>
        <w:t xml:space="preserve">calculated at </w:t>
      </w:r>
      <w:r w:rsidR="001E1E76" w:rsidRPr="00D13040">
        <w:rPr>
          <w:lang w:val="en-CA"/>
        </w:rPr>
        <w:t xml:space="preserve">US $4.8/kg in line with </w:t>
      </w:r>
      <w:r w:rsidR="006D194A" w:rsidRPr="00D13040">
        <w:rPr>
          <w:lang w:val="en-CA"/>
        </w:rPr>
        <w:t>74/50</w:t>
      </w:r>
      <w:r w:rsidR="00086323" w:rsidRPr="00D13040">
        <w:rPr>
          <w:lang w:val="en-CA"/>
        </w:rPr>
        <w:t>(c)</w:t>
      </w:r>
      <w:r w:rsidR="0026348F" w:rsidRPr="00D13040">
        <w:rPr>
          <w:lang w:val="en-CA"/>
        </w:rPr>
        <w:t>.</w:t>
      </w:r>
      <w:r w:rsidR="00A47F92" w:rsidRPr="00D13040">
        <w:rPr>
          <w:lang w:val="en-CA"/>
        </w:rPr>
        <w:t xml:space="preserve"> The agreed costs of the conversion of the domestic refrigerator manufacturing lines are shown in Table 5.</w:t>
      </w:r>
    </w:p>
    <w:p w:rsidR="00614D50" w:rsidRPr="00D13040" w:rsidRDefault="00614D50" w:rsidP="004E5419">
      <w:pPr>
        <w:pStyle w:val="Heading1"/>
        <w:numPr>
          <w:ilvl w:val="0"/>
          <w:numId w:val="0"/>
        </w:numPr>
        <w:spacing w:after="0"/>
        <w:rPr>
          <w:b/>
          <w:lang w:val="en-CA"/>
        </w:rPr>
      </w:pPr>
      <w:proofErr w:type="gramStart"/>
      <w:r w:rsidRPr="00D13040">
        <w:rPr>
          <w:b/>
          <w:lang w:val="en-CA"/>
        </w:rPr>
        <w:t>Table 5.</w:t>
      </w:r>
      <w:proofErr w:type="gramEnd"/>
      <w:r w:rsidRPr="00D13040">
        <w:rPr>
          <w:b/>
          <w:lang w:val="en-CA"/>
        </w:rPr>
        <w:t xml:space="preserve"> Agreed costs for conversion </w:t>
      </w:r>
      <w:proofErr w:type="gramStart"/>
      <w:r w:rsidRPr="00D13040">
        <w:rPr>
          <w:b/>
          <w:lang w:val="en-CA"/>
        </w:rPr>
        <w:t xml:space="preserve">of </w:t>
      </w:r>
      <w:r w:rsidR="00A47F92" w:rsidRPr="00D13040">
        <w:rPr>
          <w:b/>
          <w:lang w:val="en-CA"/>
        </w:rPr>
        <w:t xml:space="preserve"> domestic</w:t>
      </w:r>
      <w:proofErr w:type="gramEnd"/>
      <w:r w:rsidR="00A47F92" w:rsidRPr="00D13040">
        <w:rPr>
          <w:b/>
          <w:lang w:val="en-CA"/>
        </w:rPr>
        <w:t xml:space="preserve"> </w:t>
      </w:r>
      <w:r w:rsidRPr="00D13040">
        <w:rPr>
          <w:b/>
          <w:lang w:val="en-CA"/>
        </w:rPr>
        <w:t>refrigerator manufacturing</w:t>
      </w:r>
      <w:r w:rsidR="00A47F92" w:rsidRPr="00D13040">
        <w:rPr>
          <w:b/>
          <w:lang w:val="en-CA"/>
        </w:rPr>
        <w:t xml:space="preserve"> lines at Walton</w:t>
      </w:r>
    </w:p>
    <w:tbl>
      <w:tblPr>
        <w:tblW w:w="5000" w:type="pct"/>
        <w:tblLook w:val="04A0" w:firstRow="1" w:lastRow="0" w:firstColumn="1" w:lastColumn="0" w:noHBand="0" w:noVBand="1"/>
      </w:tblPr>
      <w:tblGrid>
        <w:gridCol w:w="6510"/>
        <w:gridCol w:w="1438"/>
        <w:gridCol w:w="1628"/>
      </w:tblGrid>
      <w:tr w:rsidR="00614D50" w:rsidRPr="00D13040" w:rsidTr="00F72C91">
        <w:trPr>
          <w:trHeight w:val="227"/>
          <w:tblHeader/>
        </w:trPr>
        <w:tc>
          <w:tcPr>
            <w:tcW w:w="3399" w:type="pct"/>
            <w:tcBorders>
              <w:top w:val="single" w:sz="4" w:space="0" w:color="auto"/>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b/>
                <w:sz w:val="20"/>
                <w:szCs w:val="20"/>
              </w:rPr>
            </w:pPr>
            <w:r w:rsidRPr="00D13040">
              <w:rPr>
                <w:b/>
                <w:sz w:val="20"/>
                <w:szCs w:val="20"/>
              </w:rPr>
              <w:t>Particulars</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center"/>
              <w:rPr>
                <w:b/>
                <w:sz w:val="20"/>
                <w:szCs w:val="20"/>
              </w:rPr>
            </w:pPr>
            <w:r w:rsidRPr="00D13040">
              <w:rPr>
                <w:b/>
                <w:sz w:val="20"/>
                <w:szCs w:val="20"/>
              </w:rPr>
              <w:t xml:space="preserve">Proposed cost </w:t>
            </w:r>
            <w:r w:rsidR="007D6CE1" w:rsidRPr="00D13040">
              <w:rPr>
                <w:b/>
                <w:sz w:val="20"/>
                <w:szCs w:val="20"/>
              </w:rPr>
              <w:t>(</w:t>
            </w:r>
            <w:r w:rsidRPr="00D13040">
              <w:rPr>
                <w:b/>
                <w:sz w:val="20"/>
                <w:szCs w:val="20"/>
              </w:rPr>
              <w:t>US $</w:t>
            </w:r>
            <w:r w:rsidR="007D6CE1" w:rsidRPr="00D13040">
              <w:rPr>
                <w:b/>
                <w:sz w:val="20"/>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auto"/>
            <w:noWrap/>
            <w:hideMark/>
          </w:tcPr>
          <w:p w:rsidR="00614D50" w:rsidRPr="00D13040" w:rsidRDefault="00614D50" w:rsidP="004E5419">
            <w:pPr>
              <w:jc w:val="center"/>
              <w:rPr>
                <w:b/>
                <w:sz w:val="20"/>
                <w:szCs w:val="20"/>
              </w:rPr>
            </w:pPr>
            <w:r w:rsidRPr="00D13040">
              <w:rPr>
                <w:b/>
                <w:sz w:val="20"/>
                <w:szCs w:val="20"/>
              </w:rPr>
              <w:t xml:space="preserve">Agreed cost </w:t>
            </w:r>
          </w:p>
          <w:p w:rsidR="00614D50" w:rsidRPr="00D13040" w:rsidRDefault="007D6CE1" w:rsidP="004E5419">
            <w:pPr>
              <w:jc w:val="center"/>
              <w:rPr>
                <w:b/>
                <w:sz w:val="20"/>
                <w:szCs w:val="20"/>
              </w:rPr>
            </w:pPr>
            <w:r w:rsidRPr="00D13040">
              <w:rPr>
                <w:b/>
                <w:sz w:val="20"/>
                <w:szCs w:val="20"/>
              </w:rPr>
              <w:t>(</w:t>
            </w:r>
            <w:r w:rsidR="00614D50" w:rsidRPr="00D13040">
              <w:rPr>
                <w:b/>
                <w:sz w:val="20"/>
                <w:szCs w:val="20"/>
              </w:rPr>
              <w:t>US $</w:t>
            </w:r>
            <w:r w:rsidRPr="00D13040">
              <w:rPr>
                <w:b/>
                <w:sz w:val="20"/>
                <w:szCs w:val="20"/>
              </w:rPr>
              <w:t>)</w:t>
            </w:r>
          </w:p>
        </w:tc>
      </w:tr>
      <w:tr w:rsidR="00614D50" w:rsidRPr="00D13040" w:rsidTr="00F72C91">
        <w:trPr>
          <w:trHeight w:val="227"/>
        </w:trPr>
        <w:tc>
          <w:tcPr>
            <w:tcW w:w="3399" w:type="pct"/>
            <w:tcBorders>
              <w:top w:val="single" w:sz="4" w:space="0" w:color="auto"/>
              <w:left w:val="single" w:sz="4" w:space="0" w:color="auto"/>
              <w:bottom w:val="single" w:sz="4" w:space="0" w:color="auto"/>
              <w:right w:val="single" w:sz="4" w:space="0" w:color="auto"/>
            </w:tcBorders>
            <w:shd w:val="clear" w:color="auto" w:fill="auto"/>
            <w:noWrap/>
          </w:tcPr>
          <w:p w:rsidR="00614D50" w:rsidRPr="00D13040" w:rsidRDefault="00614D50" w:rsidP="004E5419">
            <w:pPr>
              <w:rPr>
                <w:b/>
                <w:sz w:val="20"/>
                <w:szCs w:val="20"/>
              </w:rPr>
            </w:pPr>
            <w:r w:rsidRPr="00D13040">
              <w:rPr>
                <w:b/>
                <w:sz w:val="20"/>
                <w:szCs w:val="20"/>
              </w:rPr>
              <w:t>Refrigerator manufacturing</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rPr>
                <w:b/>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rsidR="00614D50" w:rsidRPr="00D13040" w:rsidRDefault="00614D50" w:rsidP="004E5419">
            <w:pPr>
              <w:rPr>
                <w:b/>
                <w:sz w:val="20"/>
                <w:szCs w:val="20"/>
              </w:rPr>
            </w:pPr>
          </w:p>
        </w:tc>
      </w:tr>
      <w:tr w:rsidR="00A47F92" w:rsidRPr="00D13040" w:rsidTr="004E5419">
        <w:trPr>
          <w:trHeight w:val="227"/>
        </w:trPr>
        <w:tc>
          <w:tcPr>
            <w:tcW w:w="3399" w:type="pct"/>
            <w:tcBorders>
              <w:top w:val="nil"/>
              <w:left w:val="single" w:sz="4" w:space="0" w:color="auto"/>
              <w:bottom w:val="single" w:sz="4" w:space="0" w:color="auto"/>
              <w:right w:val="single" w:sz="4" w:space="0" w:color="auto"/>
            </w:tcBorders>
            <w:shd w:val="clear" w:color="auto" w:fill="auto"/>
            <w:noWrap/>
          </w:tcPr>
          <w:p w:rsidR="00A47F92" w:rsidRPr="00D13040" w:rsidRDefault="00A47F92" w:rsidP="004E5419">
            <w:pPr>
              <w:rPr>
                <w:sz w:val="20"/>
                <w:szCs w:val="20"/>
              </w:rPr>
            </w:pPr>
            <w:r w:rsidRPr="00D13040">
              <w:rPr>
                <w:sz w:val="20"/>
                <w:szCs w:val="20"/>
              </w:rPr>
              <w:t>Product design, testing and certification</w:t>
            </w:r>
          </w:p>
        </w:tc>
        <w:tc>
          <w:tcPr>
            <w:tcW w:w="751" w:type="pct"/>
            <w:tcBorders>
              <w:top w:val="single" w:sz="4" w:space="0" w:color="auto"/>
              <w:left w:val="nil"/>
              <w:bottom w:val="single" w:sz="4" w:space="0" w:color="auto"/>
              <w:right w:val="single" w:sz="4" w:space="0" w:color="auto"/>
            </w:tcBorders>
          </w:tcPr>
          <w:p w:rsidR="00A47F92" w:rsidRPr="00D13040" w:rsidRDefault="00A47F92" w:rsidP="004E5419">
            <w:pPr>
              <w:jc w:val="right"/>
              <w:rPr>
                <w:sz w:val="20"/>
                <w:szCs w:val="20"/>
              </w:rPr>
            </w:pPr>
            <w:r w:rsidRPr="00D13040">
              <w:rPr>
                <w:sz w:val="20"/>
                <w:szCs w:val="20"/>
              </w:rPr>
              <w:t>240,000</w:t>
            </w:r>
          </w:p>
        </w:tc>
        <w:tc>
          <w:tcPr>
            <w:tcW w:w="850" w:type="pct"/>
            <w:tcBorders>
              <w:top w:val="nil"/>
              <w:left w:val="single" w:sz="4" w:space="0" w:color="auto"/>
              <w:bottom w:val="single" w:sz="4" w:space="0" w:color="auto"/>
              <w:right w:val="single" w:sz="4" w:space="0" w:color="auto"/>
            </w:tcBorders>
            <w:shd w:val="clear" w:color="auto" w:fill="auto"/>
            <w:noWrap/>
          </w:tcPr>
          <w:p w:rsidR="00A47F92" w:rsidRPr="00D13040" w:rsidRDefault="00A47F92" w:rsidP="004E5419">
            <w:pPr>
              <w:jc w:val="right"/>
              <w:rPr>
                <w:sz w:val="20"/>
                <w:szCs w:val="20"/>
              </w:rPr>
            </w:pPr>
            <w:r w:rsidRPr="00D13040">
              <w:rPr>
                <w:sz w:val="20"/>
                <w:szCs w:val="20"/>
              </w:rPr>
              <w:t>96,000</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sz w:val="20"/>
                <w:szCs w:val="20"/>
              </w:rPr>
            </w:pPr>
            <w:r w:rsidRPr="00D13040">
              <w:rPr>
                <w:sz w:val="20"/>
                <w:szCs w:val="20"/>
              </w:rPr>
              <w:t>Refrigerant charging and supply system</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color w:val="000000"/>
                <w:sz w:val="20"/>
                <w:szCs w:val="20"/>
              </w:rPr>
            </w:pPr>
            <w:r w:rsidRPr="00D13040">
              <w:rPr>
                <w:color w:val="000000"/>
                <w:sz w:val="20"/>
                <w:szCs w:val="20"/>
              </w:rPr>
              <w:t>130,000</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color w:val="000000"/>
                <w:sz w:val="20"/>
                <w:szCs w:val="20"/>
              </w:rPr>
            </w:pPr>
            <w:r w:rsidRPr="00D13040">
              <w:rPr>
                <w:color w:val="000000"/>
                <w:sz w:val="20"/>
                <w:szCs w:val="20"/>
              </w:rPr>
              <w:t>130,000</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sz w:val="20"/>
                <w:szCs w:val="20"/>
              </w:rPr>
            </w:pPr>
            <w:r w:rsidRPr="00D13040">
              <w:rPr>
                <w:sz w:val="20"/>
                <w:szCs w:val="20"/>
              </w:rPr>
              <w:t>Assembly line modifications</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color w:val="000000"/>
                <w:sz w:val="20"/>
                <w:szCs w:val="20"/>
              </w:rPr>
            </w:pPr>
            <w:r w:rsidRPr="00D13040">
              <w:rPr>
                <w:color w:val="000000"/>
                <w:sz w:val="20"/>
                <w:szCs w:val="20"/>
              </w:rPr>
              <w:t>1,068,000</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color w:val="000000"/>
                <w:sz w:val="20"/>
                <w:szCs w:val="20"/>
              </w:rPr>
            </w:pPr>
            <w:r w:rsidRPr="00D13040">
              <w:rPr>
                <w:color w:val="000000"/>
                <w:sz w:val="20"/>
                <w:szCs w:val="20"/>
              </w:rPr>
              <w:t>671,000</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sz w:val="20"/>
                <w:szCs w:val="20"/>
              </w:rPr>
            </w:pPr>
            <w:r w:rsidRPr="00D13040">
              <w:rPr>
                <w:sz w:val="20"/>
                <w:szCs w:val="20"/>
              </w:rPr>
              <w:t>Safety systems</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color w:val="000000"/>
                <w:sz w:val="20"/>
                <w:szCs w:val="20"/>
              </w:rPr>
            </w:pPr>
            <w:r w:rsidRPr="00D13040">
              <w:rPr>
                <w:color w:val="000000"/>
                <w:sz w:val="20"/>
                <w:szCs w:val="20"/>
              </w:rPr>
              <w:t>203,000</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color w:val="000000"/>
                <w:sz w:val="20"/>
                <w:szCs w:val="20"/>
              </w:rPr>
            </w:pPr>
            <w:r w:rsidRPr="00D13040">
              <w:rPr>
                <w:color w:val="000000"/>
                <w:sz w:val="20"/>
                <w:szCs w:val="20"/>
              </w:rPr>
              <w:t>158,000</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sz w:val="20"/>
                <w:szCs w:val="20"/>
              </w:rPr>
            </w:pPr>
            <w:r w:rsidRPr="00D13040">
              <w:rPr>
                <w:sz w:val="20"/>
                <w:szCs w:val="20"/>
              </w:rPr>
              <w:t>Technical assistance</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color w:val="000000"/>
                <w:sz w:val="20"/>
                <w:szCs w:val="20"/>
              </w:rPr>
            </w:pPr>
            <w:r w:rsidRPr="00D13040">
              <w:rPr>
                <w:color w:val="000000"/>
                <w:sz w:val="20"/>
                <w:szCs w:val="20"/>
              </w:rPr>
              <w:t>160,000</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color w:val="000000"/>
                <w:sz w:val="20"/>
                <w:szCs w:val="20"/>
              </w:rPr>
            </w:pPr>
            <w:r w:rsidRPr="00D13040">
              <w:rPr>
                <w:color w:val="000000"/>
                <w:sz w:val="20"/>
                <w:szCs w:val="20"/>
              </w:rPr>
              <w:t>70,000</w:t>
            </w:r>
          </w:p>
        </w:tc>
      </w:tr>
      <w:tr w:rsidR="00A47F92" w:rsidRPr="00D13040" w:rsidTr="004E5419">
        <w:trPr>
          <w:trHeight w:val="227"/>
        </w:trPr>
        <w:tc>
          <w:tcPr>
            <w:tcW w:w="3399" w:type="pct"/>
            <w:tcBorders>
              <w:top w:val="nil"/>
              <w:left w:val="single" w:sz="4" w:space="0" w:color="auto"/>
              <w:bottom w:val="single" w:sz="4" w:space="0" w:color="auto"/>
              <w:right w:val="single" w:sz="4" w:space="0" w:color="auto"/>
            </w:tcBorders>
            <w:shd w:val="clear" w:color="auto" w:fill="auto"/>
            <w:noWrap/>
          </w:tcPr>
          <w:p w:rsidR="00A47F92" w:rsidRPr="00D13040" w:rsidRDefault="00A47F92" w:rsidP="004E5419">
            <w:pPr>
              <w:rPr>
                <w:sz w:val="20"/>
                <w:szCs w:val="20"/>
              </w:rPr>
            </w:pPr>
            <w:r w:rsidRPr="00D13040">
              <w:rPr>
                <w:sz w:val="20"/>
                <w:szCs w:val="20"/>
              </w:rPr>
              <w:t>Shipping and insurance</w:t>
            </w:r>
          </w:p>
        </w:tc>
        <w:tc>
          <w:tcPr>
            <w:tcW w:w="751" w:type="pct"/>
            <w:tcBorders>
              <w:top w:val="single" w:sz="4" w:space="0" w:color="auto"/>
              <w:left w:val="nil"/>
              <w:bottom w:val="single" w:sz="4" w:space="0" w:color="auto"/>
              <w:right w:val="single" w:sz="4" w:space="0" w:color="auto"/>
            </w:tcBorders>
          </w:tcPr>
          <w:p w:rsidR="00A47F92" w:rsidRPr="00D13040" w:rsidRDefault="00A47F92" w:rsidP="004E5419">
            <w:pPr>
              <w:jc w:val="right"/>
              <w:rPr>
                <w:sz w:val="20"/>
                <w:szCs w:val="20"/>
              </w:rPr>
            </w:pPr>
            <w:r w:rsidRPr="00D13040">
              <w:rPr>
                <w:sz w:val="20"/>
                <w:szCs w:val="20"/>
              </w:rPr>
              <w:t>116,325</w:t>
            </w:r>
          </w:p>
        </w:tc>
        <w:tc>
          <w:tcPr>
            <w:tcW w:w="850" w:type="pct"/>
            <w:tcBorders>
              <w:top w:val="nil"/>
              <w:left w:val="single" w:sz="4" w:space="0" w:color="auto"/>
              <w:bottom w:val="single" w:sz="4" w:space="0" w:color="auto"/>
              <w:right w:val="single" w:sz="4" w:space="0" w:color="auto"/>
            </w:tcBorders>
            <w:shd w:val="clear" w:color="auto" w:fill="auto"/>
            <w:noWrap/>
          </w:tcPr>
          <w:p w:rsidR="00A47F92" w:rsidRPr="00D13040" w:rsidRDefault="00A47F92" w:rsidP="004E5419">
            <w:pPr>
              <w:jc w:val="right"/>
              <w:rPr>
                <w:sz w:val="20"/>
                <w:szCs w:val="20"/>
              </w:rPr>
            </w:pPr>
            <w:r w:rsidRPr="00D13040">
              <w:rPr>
                <w:sz w:val="20"/>
                <w:szCs w:val="20"/>
              </w:rPr>
              <w:t>71,925</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sz w:val="20"/>
                <w:szCs w:val="20"/>
              </w:rPr>
            </w:pPr>
            <w:r w:rsidRPr="00D13040">
              <w:rPr>
                <w:sz w:val="20"/>
                <w:szCs w:val="20"/>
              </w:rPr>
              <w:t>Civil construction</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color w:val="000000"/>
                <w:sz w:val="20"/>
                <w:szCs w:val="20"/>
              </w:rPr>
            </w:pPr>
            <w:r w:rsidRPr="00D13040">
              <w:rPr>
                <w:color w:val="000000"/>
                <w:sz w:val="20"/>
                <w:szCs w:val="20"/>
              </w:rPr>
              <w:t>80,000</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color w:val="000000"/>
                <w:sz w:val="20"/>
                <w:szCs w:val="20"/>
              </w:rPr>
            </w:pPr>
            <w:r w:rsidRPr="00D13040">
              <w:rPr>
                <w:color w:val="000000"/>
                <w:sz w:val="20"/>
                <w:szCs w:val="20"/>
              </w:rPr>
              <w:t>60,000</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tcPr>
          <w:p w:rsidR="00614D50" w:rsidRPr="00D13040" w:rsidRDefault="00614D50" w:rsidP="004E5419">
            <w:pPr>
              <w:rPr>
                <w:sz w:val="20"/>
                <w:szCs w:val="20"/>
              </w:rPr>
            </w:pPr>
            <w:r w:rsidRPr="00D13040">
              <w:rPr>
                <w:sz w:val="20"/>
                <w:szCs w:val="20"/>
              </w:rPr>
              <w:t>Service sector equipment support</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color w:val="000000"/>
                <w:sz w:val="20"/>
                <w:szCs w:val="20"/>
              </w:rPr>
            </w:pPr>
            <w:r w:rsidRPr="00D13040">
              <w:rPr>
                <w:color w:val="000000"/>
                <w:sz w:val="20"/>
                <w:szCs w:val="20"/>
              </w:rPr>
              <w:t>150,000</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A47F92" w:rsidP="004E5419">
            <w:pPr>
              <w:jc w:val="right"/>
              <w:rPr>
                <w:color w:val="000000"/>
                <w:sz w:val="20"/>
                <w:szCs w:val="20"/>
              </w:rPr>
            </w:pPr>
            <w:r w:rsidRPr="00D13040">
              <w:rPr>
                <w:color w:val="000000"/>
                <w:sz w:val="20"/>
                <w:szCs w:val="20"/>
              </w:rPr>
              <w:t>0</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sz w:val="20"/>
                <w:szCs w:val="20"/>
              </w:rPr>
            </w:pPr>
            <w:r w:rsidRPr="00D13040">
              <w:rPr>
                <w:sz w:val="20"/>
                <w:szCs w:val="20"/>
              </w:rPr>
              <w:t>Total funding request (excluding contingency)</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color w:val="000000"/>
                <w:sz w:val="20"/>
                <w:szCs w:val="20"/>
              </w:rPr>
            </w:pPr>
            <w:r w:rsidRPr="00D13040">
              <w:rPr>
                <w:color w:val="000000"/>
                <w:sz w:val="20"/>
                <w:szCs w:val="20"/>
              </w:rPr>
              <w:fldChar w:fldCharType="begin"/>
            </w:r>
            <w:r w:rsidRPr="00D13040">
              <w:rPr>
                <w:color w:val="000000"/>
                <w:sz w:val="20"/>
                <w:szCs w:val="20"/>
              </w:rPr>
              <w:instrText xml:space="preserve"> =SUM(ABOVE) </w:instrText>
            </w:r>
            <w:r w:rsidRPr="00D13040">
              <w:rPr>
                <w:color w:val="000000"/>
                <w:sz w:val="20"/>
                <w:szCs w:val="20"/>
              </w:rPr>
              <w:fldChar w:fldCharType="separate"/>
            </w:r>
            <w:r w:rsidRPr="00D13040">
              <w:rPr>
                <w:noProof/>
                <w:color w:val="000000"/>
                <w:sz w:val="20"/>
                <w:szCs w:val="20"/>
              </w:rPr>
              <w:t>2,147,325</w:t>
            </w:r>
            <w:r w:rsidRPr="00D13040">
              <w:rPr>
                <w:color w:val="000000"/>
                <w:sz w:val="20"/>
                <w:szCs w:val="20"/>
              </w:rPr>
              <w:fldChar w:fldCharType="end"/>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color w:val="000000"/>
                <w:sz w:val="20"/>
                <w:szCs w:val="20"/>
              </w:rPr>
            </w:pPr>
            <w:r w:rsidRPr="00D13040">
              <w:rPr>
                <w:color w:val="000000"/>
                <w:sz w:val="20"/>
                <w:szCs w:val="20"/>
              </w:rPr>
              <w:t>1,256,925</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tcPr>
          <w:p w:rsidR="00614D50" w:rsidRPr="00D13040" w:rsidRDefault="00614D50" w:rsidP="004E5419">
            <w:pPr>
              <w:rPr>
                <w:sz w:val="20"/>
                <w:szCs w:val="20"/>
              </w:rPr>
            </w:pPr>
            <w:r w:rsidRPr="00D13040">
              <w:rPr>
                <w:sz w:val="20"/>
                <w:szCs w:val="20"/>
              </w:rPr>
              <w:t>Contingency</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color w:val="000000"/>
                <w:sz w:val="20"/>
                <w:szCs w:val="20"/>
              </w:rPr>
            </w:pPr>
            <w:r w:rsidRPr="00D13040">
              <w:rPr>
                <w:color w:val="000000"/>
                <w:sz w:val="20"/>
                <w:szCs w:val="20"/>
              </w:rPr>
              <w:t>214,733</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color w:val="000000"/>
                <w:sz w:val="20"/>
                <w:szCs w:val="20"/>
              </w:rPr>
            </w:pPr>
            <w:r w:rsidRPr="00D13040">
              <w:rPr>
                <w:color w:val="000000"/>
                <w:sz w:val="20"/>
                <w:szCs w:val="20"/>
              </w:rPr>
              <w:t>125,693</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b/>
                <w:sz w:val="20"/>
                <w:szCs w:val="20"/>
              </w:rPr>
            </w:pPr>
            <w:r w:rsidRPr="00D13040">
              <w:rPr>
                <w:b/>
                <w:sz w:val="20"/>
                <w:szCs w:val="20"/>
              </w:rPr>
              <w:t>Total incremental capital cost</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b/>
                <w:color w:val="000000"/>
                <w:sz w:val="20"/>
                <w:szCs w:val="20"/>
              </w:rPr>
            </w:pPr>
            <w:r w:rsidRPr="00D13040">
              <w:rPr>
                <w:b/>
                <w:color w:val="000000"/>
                <w:sz w:val="20"/>
                <w:szCs w:val="20"/>
              </w:rPr>
              <w:t>2,362,058</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b/>
                <w:color w:val="000000"/>
                <w:sz w:val="20"/>
                <w:szCs w:val="20"/>
              </w:rPr>
            </w:pPr>
            <w:r w:rsidRPr="00D13040">
              <w:rPr>
                <w:b/>
                <w:color w:val="000000"/>
                <w:sz w:val="20"/>
                <w:szCs w:val="20"/>
              </w:rPr>
              <w:t>1,382,618</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sz w:val="20"/>
                <w:szCs w:val="20"/>
              </w:rPr>
            </w:pPr>
            <w:r w:rsidRPr="00D13040">
              <w:rPr>
                <w:sz w:val="20"/>
                <w:szCs w:val="20"/>
              </w:rPr>
              <w:t>Incremental operating savings</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color w:val="000000"/>
                <w:sz w:val="20"/>
                <w:szCs w:val="20"/>
              </w:rPr>
            </w:pPr>
            <w:r w:rsidRPr="00D13040">
              <w:rPr>
                <w:color w:val="000000"/>
                <w:sz w:val="20"/>
                <w:szCs w:val="20"/>
              </w:rPr>
              <w:t>*</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A47F92" w:rsidP="004E5419">
            <w:pPr>
              <w:jc w:val="right"/>
              <w:rPr>
                <w:color w:val="000000"/>
                <w:sz w:val="20"/>
                <w:szCs w:val="20"/>
              </w:rPr>
            </w:pPr>
            <w:r w:rsidRPr="00D13040">
              <w:rPr>
                <w:color w:val="000000"/>
                <w:sz w:val="20"/>
                <w:szCs w:val="20"/>
              </w:rPr>
              <w:t>(</w:t>
            </w:r>
            <w:r w:rsidR="00614D50" w:rsidRPr="00D13040">
              <w:rPr>
                <w:color w:val="000000"/>
                <w:sz w:val="20"/>
                <w:szCs w:val="20"/>
              </w:rPr>
              <w:t>221,940</w:t>
            </w:r>
            <w:r w:rsidRPr="00D13040">
              <w:rPr>
                <w:color w:val="000000"/>
                <w:sz w:val="20"/>
                <w:szCs w:val="20"/>
              </w:rPr>
              <w:t>)</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b/>
                <w:sz w:val="20"/>
                <w:szCs w:val="20"/>
              </w:rPr>
            </w:pPr>
            <w:r w:rsidRPr="00D13040">
              <w:rPr>
                <w:b/>
                <w:sz w:val="20"/>
                <w:szCs w:val="20"/>
              </w:rPr>
              <w:t>Total incremental cost</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b/>
                <w:bCs/>
                <w:color w:val="000000"/>
                <w:sz w:val="20"/>
                <w:szCs w:val="20"/>
              </w:rPr>
            </w:pPr>
            <w:r w:rsidRPr="00D13040">
              <w:rPr>
                <w:b/>
                <w:bCs/>
                <w:color w:val="000000"/>
                <w:sz w:val="20"/>
                <w:szCs w:val="20"/>
              </w:rPr>
              <w:t>2,362,058</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b/>
                <w:bCs/>
                <w:color w:val="000000"/>
                <w:sz w:val="20"/>
                <w:szCs w:val="20"/>
              </w:rPr>
            </w:pPr>
            <w:r w:rsidRPr="00D13040">
              <w:rPr>
                <w:b/>
                <w:bCs/>
                <w:color w:val="000000"/>
                <w:sz w:val="20"/>
                <w:szCs w:val="20"/>
              </w:rPr>
              <w:t>1,160,678</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b/>
                <w:sz w:val="20"/>
                <w:szCs w:val="20"/>
              </w:rPr>
            </w:pPr>
            <w:r w:rsidRPr="00D13040">
              <w:rPr>
                <w:b/>
                <w:sz w:val="20"/>
                <w:szCs w:val="20"/>
              </w:rPr>
              <w:t xml:space="preserve">HFC-134a </w:t>
            </w:r>
            <w:r w:rsidR="00167D05" w:rsidRPr="00D13040">
              <w:rPr>
                <w:b/>
                <w:sz w:val="20"/>
                <w:szCs w:val="20"/>
              </w:rPr>
              <w:t>consumption</w:t>
            </w:r>
            <w:r w:rsidR="00A90E08" w:rsidRPr="00D13040">
              <w:rPr>
                <w:b/>
                <w:sz w:val="20"/>
                <w:szCs w:val="20"/>
              </w:rPr>
              <w:t xml:space="preserve"> (mt)</w:t>
            </w:r>
          </w:p>
        </w:tc>
        <w:tc>
          <w:tcPr>
            <w:tcW w:w="751" w:type="pct"/>
            <w:tcBorders>
              <w:top w:val="single" w:sz="4" w:space="0" w:color="auto"/>
              <w:left w:val="nil"/>
              <w:bottom w:val="single" w:sz="4" w:space="0" w:color="auto"/>
              <w:right w:val="single" w:sz="4" w:space="0" w:color="auto"/>
            </w:tcBorders>
            <w:vAlign w:val="center"/>
          </w:tcPr>
          <w:p w:rsidR="00614D50" w:rsidRPr="00D13040" w:rsidRDefault="00614D50" w:rsidP="004E5419">
            <w:pPr>
              <w:jc w:val="right"/>
              <w:rPr>
                <w:b/>
                <w:bCs/>
                <w:color w:val="000000"/>
                <w:sz w:val="20"/>
                <w:szCs w:val="20"/>
              </w:rPr>
            </w:pPr>
            <w:r w:rsidRPr="00D13040">
              <w:rPr>
                <w:b/>
                <w:bCs/>
                <w:color w:val="000000"/>
                <w:sz w:val="20"/>
                <w:szCs w:val="20"/>
              </w:rPr>
              <w:t>197.3</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b/>
                <w:bCs/>
                <w:color w:val="000000"/>
                <w:sz w:val="20"/>
                <w:szCs w:val="20"/>
              </w:rPr>
            </w:pPr>
            <w:r w:rsidRPr="00D13040">
              <w:rPr>
                <w:b/>
                <w:bCs/>
                <w:color w:val="000000"/>
                <w:sz w:val="20"/>
                <w:szCs w:val="20"/>
              </w:rPr>
              <w:t>197.3</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b/>
                <w:sz w:val="20"/>
                <w:szCs w:val="20"/>
              </w:rPr>
            </w:pPr>
            <w:r w:rsidRPr="00D13040">
              <w:rPr>
                <w:b/>
                <w:sz w:val="20"/>
                <w:szCs w:val="20"/>
              </w:rPr>
              <w:t>CE (US $/kg)</w:t>
            </w:r>
          </w:p>
        </w:tc>
        <w:tc>
          <w:tcPr>
            <w:tcW w:w="751" w:type="pct"/>
            <w:tcBorders>
              <w:top w:val="single" w:sz="4" w:space="0" w:color="auto"/>
              <w:left w:val="nil"/>
              <w:bottom w:val="single" w:sz="4" w:space="0" w:color="auto"/>
              <w:right w:val="single" w:sz="4" w:space="0" w:color="auto"/>
            </w:tcBorders>
            <w:vAlign w:val="center"/>
          </w:tcPr>
          <w:p w:rsidR="00614D50" w:rsidRPr="00D13040" w:rsidRDefault="00614D50" w:rsidP="004E5419">
            <w:pPr>
              <w:jc w:val="right"/>
              <w:rPr>
                <w:b/>
                <w:bCs/>
                <w:color w:val="000000"/>
                <w:sz w:val="20"/>
                <w:szCs w:val="20"/>
              </w:rPr>
            </w:pPr>
            <w:r w:rsidRPr="00D13040">
              <w:rPr>
                <w:b/>
                <w:bCs/>
                <w:color w:val="000000"/>
                <w:sz w:val="20"/>
                <w:szCs w:val="20"/>
              </w:rPr>
              <w:t xml:space="preserve">11.97 </w:t>
            </w: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b/>
                <w:bCs/>
                <w:color w:val="000000"/>
                <w:sz w:val="20"/>
                <w:szCs w:val="20"/>
              </w:rPr>
            </w:pPr>
            <w:r w:rsidRPr="00D13040">
              <w:rPr>
                <w:b/>
                <w:bCs/>
                <w:color w:val="000000"/>
                <w:sz w:val="20"/>
                <w:szCs w:val="20"/>
              </w:rPr>
              <w:t xml:space="preserve">       5.88 </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b/>
                <w:sz w:val="20"/>
                <w:szCs w:val="20"/>
              </w:rPr>
            </w:pPr>
            <w:r w:rsidRPr="00D13040">
              <w:rPr>
                <w:b/>
                <w:sz w:val="20"/>
                <w:szCs w:val="20"/>
              </w:rPr>
              <w:t>Servicing</w:t>
            </w:r>
            <w:r w:rsidR="00167D05" w:rsidRPr="00D13040">
              <w:rPr>
                <w:b/>
                <w:sz w:val="20"/>
                <w:szCs w:val="20"/>
              </w:rPr>
              <w:t xml:space="preserve"> sector</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b/>
                <w:bCs/>
                <w:color w:val="000000"/>
                <w:sz w:val="20"/>
                <w:szCs w:val="20"/>
              </w:rPr>
            </w:pPr>
          </w:p>
        </w:tc>
        <w:tc>
          <w:tcPr>
            <w:tcW w:w="850" w:type="pct"/>
            <w:tcBorders>
              <w:top w:val="nil"/>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b/>
                <w:bCs/>
                <w:color w:val="000000"/>
                <w:sz w:val="20"/>
                <w:szCs w:val="20"/>
              </w:rPr>
            </w:pPr>
            <w:r w:rsidRPr="00D13040">
              <w:rPr>
                <w:b/>
                <w:bCs/>
                <w:color w:val="000000"/>
                <w:sz w:val="20"/>
                <w:szCs w:val="20"/>
              </w:rPr>
              <w:t> </w:t>
            </w:r>
          </w:p>
        </w:tc>
      </w:tr>
      <w:tr w:rsidR="00614D50" w:rsidRPr="00D13040" w:rsidTr="00F72C91">
        <w:trPr>
          <w:trHeight w:val="227"/>
        </w:trPr>
        <w:tc>
          <w:tcPr>
            <w:tcW w:w="3399" w:type="pct"/>
            <w:tcBorders>
              <w:top w:val="single" w:sz="4" w:space="0" w:color="auto"/>
              <w:left w:val="single" w:sz="4" w:space="0" w:color="auto"/>
              <w:bottom w:val="single" w:sz="4" w:space="0" w:color="auto"/>
              <w:right w:val="single" w:sz="4" w:space="0" w:color="auto"/>
            </w:tcBorders>
            <w:shd w:val="clear" w:color="auto" w:fill="auto"/>
            <w:noWrap/>
            <w:hideMark/>
          </w:tcPr>
          <w:p w:rsidR="00614D50" w:rsidRPr="00D13040" w:rsidRDefault="00167D05" w:rsidP="004E5419">
            <w:pPr>
              <w:rPr>
                <w:sz w:val="20"/>
                <w:szCs w:val="20"/>
              </w:rPr>
            </w:pPr>
            <w:r w:rsidRPr="00D13040">
              <w:rPr>
                <w:sz w:val="20"/>
                <w:szCs w:val="20"/>
              </w:rPr>
              <w:t>Technical assistance</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4D50" w:rsidRPr="00D13040" w:rsidRDefault="00614D50" w:rsidP="004E5419">
            <w:pPr>
              <w:jc w:val="right"/>
              <w:rPr>
                <w:color w:val="000000"/>
                <w:sz w:val="20"/>
                <w:szCs w:val="20"/>
              </w:rPr>
            </w:pPr>
            <w:r w:rsidRPr="00D13040">
              <w:rPr>
                <w:color w:val="000000"/>
                <w:sz w:val="20"/>
                <w:szCs w:val="20"/>
              </w:rPr>
              <w:t>150,000</w:t>
            </w:r>
          </w:p>
        </w:tc>
      </w:tr>
      <w:tr w:rsidR="00614D50" w:rsidRPr="00D13040" w:rsidTr="00F72C91">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167D05" w:rsidP="004E5419">
            <w:pPr>
              <w:rPr>
                <w:sz w:val="20"/>
                <w:szCs w:val="20"/>
              </w:rPr>
            </w:pPr>
            <w:r w:rsidRPr="00D13040">
              <w:rPr>
                <w:sz w:val="20"/>
                <w:szCs w:val="20"/>
              </w:rPr>
              <w:t>T</w:t>
            </w:r>
            <w:r w:rsidR="00614D50" w:rsidRPr="00D13040">
              <w:rPr>
                <w:sz w:val="20"/>
                <w:szCs w:val="20"/>
              </w:rPr>
              <w:t>raining</w:t>
            </w:r>
            <w:r w:rsidRPr="00D13040">
              <w:rPr>
                <w:sz w:val="20"/>
                <w:szCs w:val="20"/>
              </w:rPr>
              <w:t xml:space="preserve"> of technicians</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color w:val="000000"/>
                <w:sz w:val="20"/>
                <w:szCs w:val="20"/>
              </w:rPr>
            </w:pPr>
          </w:p>
        </w:tc>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614D50" w:rsidRPr="00D13040" w:rsidRDefault="00614D50" w:rsidP="004E5419">
            <w:pPr>
              <w:jc w:val="right"/>
              <w:rPr>
                <w:color w:val="000000"/>
                <w:sz w:val="20"/>
                <w:szCs w:val="20"/>
              </w:rPr>
            </w:pPr>
            <w:r w:rsidRPr="00D13040">
              <w:rPr>
                <w:color w:val="000000"/>
                <w:sz w:val="20"/>
                <w:szCs w:val="20"/>
              </w:rPr>
              <w:t>10,000</w:t>
            </w:r>
          </w:p>
        </w:tc>
      </w:tr>
      <w:tr w:rsidR="00614D50" w:rsidRPr="00D13040" w:rsidTr="00463DD4">
        <w:trPr>
          <w:trHeight w:val="227"/>
        </w:trPr>
        <w:tc>
          <w:tcPr>
            <w:tcW w:w="3399" w:type="pct"/>
            <w:tcBorders>
              <w:top w:val="nil"/>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b/>
                <w:sz w:val="20"/>
                <w:szCs w:val="20"/>
              </w:rPr>
            </w:pPr>
            <w:r w:rsidRPr="00D13040">
              <w:rPr>
                <w:b/>
                <w:sz w:val="20"/>
                <w:szCs w:val="20"/>
              </w:rPr>
              <w:t>Total</w:t>
            </w:r>
            <w:r w:rsidR="00D13040" w:rsidRPr="00D13040">
              <w:rPr>
                <w:b/>
                <w:sz w:val="20"/>
                <w:szCs w:val="20"/>
              </w:rPr>
              <w:t xml:space="preserve"> </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b/>
                <w:bCs/>
                <w:color w:val="000000"/>
                <w:sz w:val="20"/>
                <w:szCs w:val="20"/>
              </w:rPr>
            </w:pPr>
          </w:p>
        </w:tc>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614D50" w:rsidRPr="00D13040" w:rsidRDefault="00614D50" w:rsidP="004E5419">
            <w:pPr>
              <w:jc w:val="right"/>
              <w:rPr>
                <w:b/>
                <w:bCs/>
                <w:color w:val="000000"/>
                <w:sz w:val="20"/>
                <w:szCs w:val="20"/>
              </w:rPr>
            </w:pPr>
            <w:r w:rsidRPr="00D13040">
              <w:rPr>
                <w:b/>
                <w:bCs/>
                <w:color w:val="000000"/>
                <w:sz w:val="20"/>
                <w:szCs w:val="20"/>
              </w:rPr>
              <w:t>160,000</w:t>
            </w:r>
          </w:p>
        </w:tc>
      </w:tr>
      <w:tr w:rsidR="00614D50" w:rsidRPr="00D13040" w:rsidTr="00463DD4">
        <w:trPr>
          <w:trHeight w:val="227"/>
        </w:trPr>
        <w:tc>
          <w:tcPr>
            <w:tcW w:w="3399" w:type="pct"/>
            <w:tcBorders>
              <w:top w:val="single" w:sz="4" w:space="0" w:color="auto"/>
              <w:left w:val="single" w:sz="4" w:space="0" w:color="auto"/>
              <w:bottom w:val="single" w:sz="4" w:space="0" w:color="auto"/>
              <w:right w:val="single" w:sz="4" w:space="0" w:color="auto"/>
            </w:tcBorders>
            <w:shd w:val="clear" w:color="auto" w:fill="auto"/>
            <w:noWrap/>
            <w:hideMark/>
          </w:tcPr>
          <w:p w:rsidR="00614D50" w:rsidRPr="00D13040" w:rsidRDefault="00614D50" w:rsidP="004E5419">
            <w:pPr>
              <w:rPr>
                <w:b/>
                <w:sz w:val="20"/>
                <w:szCs w:val="20"/>
              </w:rPr>
            </w:pPr>
            <w:r w:rsidRPr="00D13040">
              <w:rPr>
                <w:b/>
                <w:sz w:val="20"/>
                <w:szCs w:val="20"/>
              </w:rPr>
              <w:t xml:space="preserve">HFC-134a </w:t>
            </w:r>
            <w:r w:rsidR="00167D05" w:rsidRPr="00D13040">
              <w:rPr>
                <w:b/>
                <w:sz w:val="20"/>
                <w:szCs w:val="20"/>
              </w:rPr>
              <w:t>consumption</w:t>
            </w:r>
            <w:r w:rsidRPr="00D13040">
              <w:rPr>
                <w:b/>
                <w:sz w:val="20"/>
                <w:szCs w:val="20"/>
              </w:rPr>
              <w:t xml:space="preserve"> </w:t>
            </w:r>
            <w:r w:rsidR="00167D05" w:rsidRPr="00D13040">
              <w:rPr>
                <w:b/>
                <w:sz w:val="20"/>
                <w:szCs w:val="20"/>
              </w:rPr>
              <w:t>(</w:t>
            </w:r>
            <w:r w:rsidRPr="00D13040">
              <w:rPr>
                <w:b/>
                <w:sz w:val="20"/>
                <w:szCs w:val="20"/>
              </w:rPr>
              <w:t>US $4.8/kg</w:t>
            </w:r>
            <w:r w:rsidR="00167D05" w:rsidRPr="00D13040">
              <w:rPr>
                <w:b/>
                <w:sz w:val="20"/>
                <w:szCs w:val="20"/>
              </w:rPr>
              <w:t>)</w:t>
            </w:r>
            <w:r w:rsidRPr="00D13040">
              <w:rPr>
                <w:b/>
                <w:sz w:val="20"/>
                <w:szCs w:val="20"/>
              </w:rPr>
              <w:t xml:space="preserve">  (mt)</w:t>
            </w:r>
          </w:p>
        </w:tc>
        <w:tc>
          <w:tcPr>
            <w:tcW w:w="751" w:type="pct"/>
            <w:tcBorders>
              <w:top w:val="single" w:sz="4" w:space="0" w:color="auto"/>
              <w:left w:val="nil"/>
              <w:bottom w:val="single" w:sz="4" w:space="0" w:color="auto"/>
              <w:right w:val="single" w:sz="4" w:space="0" w:color="auto"/>
            </w:tcBorders>
          </w:tcPr>
          <w:p w:rsidR="00614D50" w:rsidRPr="00D13040" w:rsidRDefault="00614D50" w:rsidP="004E5419">
            <w:pPr>
              <w:jc w:val="right"/>
              <w:rPr>
                <w:b/>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D50" w:rsidRPr="00D13040" w:rsidRDefault="00614D50" w:rsidP="004E5419">
            <w:pPr>
              <w:jc w:val="right"/>
              <w:rPr>
                <w:b/>
                <w:sz w:val="20"/>
                <w:szCs w:val="20"/>
              </w:rPr>
            </w:pPr>
            <w:r w:rsidRPr="00D13040">
              <w:rPr>
                <w:b/>
                <w:sz w:val="20"/>
                <w:szCs w:val="20"/>
              </w:rPr>
              <w:t xml:space="preserve">     33.33 </w:t>
            </w:r>
          </w:p>
        </w:tc>
      </w:tr>
      <w:tr w:rsidR="0042234C" w:rsidRPr="00D13040" w:rsidTr="00463DD4">
        <w:trPr>
          <w:trHeight w:val="227"/>
        </w:trPr>
        <w:tc>
          <w:tcPr>
            <w:tcW w:w="3399" w:type="pct"/>
            <w:tcBorders>
              <w:top w:val="single" w:sz="4" w:space="0" w:color="auto"/>
              <w:left w:val="single" w:sz="4" w:space="0" w:color="auto"/>
              <w:bottom w:val="single" w:sz="4" w:space="0" w:color="auto"/>
              <w:right w:val="single" w:sz="4" w:space="0" w:color="auto"/>
            </w:tcBorders>
            <w:shd w:val="clear" w:color="auto" w:fill="auto"/>
            <w:noWrap/>
          </w:tcPr>
          <w:p w:rsidR="0042234C" w:rsidRPr="00D13040" w:rsidRDefault="0042234C" w:rsidP="004E5419">
            <w:pPr>
              <w:rPr>
                <w:b/>
                <w:sz w:val="20"/>
                <w:szCs w:val="20"/>
              </w:rPr>
            </w:pPr>
            <w:r w:rsidRPr="00D13040">
              <w:rPr>
                <w:b/>
                <w:sz w:val="20"/>
                <w:szCs w:val="20"/>
              </w:rPr>
              <w:t xml:space="preserve">Total HFC-134a </w:t>
            </w:r>
            <w:r w:rsidR="00A90E08" w:rsidRPr="00D13040">
              <w:rPr>
                <w:b/>
                <w:sz w:val="20"/>
                <w:szCs w:val="20"/>
              </w:rPr>
              <w:t>phased-out (mt)</w:t>
            </w:r>
          </w:p>
        </w:tc>
        <w:tc>
          <w:tcPr>
            <w:tcW w:w="751" w:type="pct"/>
            <w:tcBorders>
              <w:top w:val="single" w:sz="4" w:space="0" w:color="auto"/>
              <w:left w:val="nil"/>
              <w:bottom w:val="single" w:sz="4" w:space="0" w:color="auto"/>
              <w:right w:val="single" w:sz="4" w:space="0" w:color="auto"/>
            </w:tcBorders>
          </w:tcPr>
          <w:p w:rsidR="0042234C" w:rsidRPr="00D13040" w:rsidRDefault="0042234C" w:rsidP="004E5419">
            <w:pPr>
              <w:jc w:val="right"/>
              <w:rPr>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234C" w:rsidRPr="00D13040" w:rsidRDefault="00A90E08" w:rsidP="004E5419">
            <w:pPr>
              <w:jc w:val="right"/>
              <w:rPr>
                <w:b/>
                <w:bCs/>
                <w:color w:val="000000"/>
                <w:sz w:val="20"/>
                <w:szCs w:val="20"/>
              </w:rPr>
            </w:pPr>
            <w:r w:rsidRPr="00D13040">
              <w:rPr>
                <w:b/>
                <w:bCs/>
                <w:color w:val="000000"/>
                <w:sz w:val="20"/>
                <w:szCs w:val="20"/>
              </w:rPr>
              <w:t>230.63</w:t>
            </w:r>
          </w:p>
        </w:tc>
      </w:tr>
      <w:tr w:rsidR="00463DD4" w:rsidRPr="00D13040" w:rsidTr="00463DD4">
        <w:trPr>
          <w:trHeight w:val="227"/>
        </w:trPr>
        <w:tc>
          <w:tcPr>
            <w:tcW w:w="3399" w:type="pct"/>
            <w:tcBorders>
              <w:top w:val="single" w:sz="4" w:space="0" w:color="auto"/>
              <w:left w:val="single" w:sz="4" w:space="0" w:color="auto"/>
              <w:bottom w:val="single" w:sz="4" w:space="0" w:color="auto"/>
              <w:right w:val="single" w:sz="4" w:space="0" w:color="auto"/>
            </w:tcBorders>
            <w:shd w:val="clear" w:color="auto" w:fill="auto"/>
            <w:noWrap/>
          </w:tcPr>
          <w:p w:rsidR="00463DD4" w:rsidRPr="00D13040" w:rsidRDefault="00F878DE" w:rsidP="004E5419">
            <w:pPr>
              <w:rPr>
                <w:b/>
                <w:sz w:val="20"/>
                <w:szCs w:val="20"/>
              </w:rPr>
            </w:pPr>
            <w:r w:rsidRPr="00D13040">
              <w:rPr>
                <w:b/>
                <w:sz w:val="20"/>
                <w:szCs w:val="20"/>
              </w:rPr>
              <w:t>CO</w:t>
            </w:r>
            <w:r w:rsidRPr="00D13040">
              <w:rPr>
                <w:b/>
                <w:sz w:val="20"/>
                <w:szCs w:val="20"/>
                <w:vertAlign w:val="subscript"/>
              </w:rPr>
              <w:t>2</w:t>
            </w:r>
            <w:r w:rsidR="00A90E08" w:rsidRPr="00D13040">
              <w:rPr>
                <w:b/>
                <w:sz w:val="20"/>
                <w:szCs w:val="20"/>
              </w:rPr>
              <w:t xml:space="preserve">-eq </w:t>
            </w:r>
            <w:r w:rsidRPr="00D13040">
              <w:rPr>
                <w:b/>
                <w:sz w:val="20"/>
                <w:szCs w:val="20"/>
              </w:rPr>
              <w:t xml:space="preserve">tonnes of HFC-134a phased-out </w:t>
            </w:r>
          </w:p>
        </w:tc>
        <w:tc>
          <w:tcPr>
            <w:tcW w:w="751" w:type="pct"/>
            <w:tcBorders>
              <w:top w:val="single" w:sz="4" w:space="0" w:color="auto"/>
              <w:left w:val="nil"/>
              <w:bottom w:val="single" w:sz="4" w:space="0" w:color="auto"/>
              <w:right w:val="single" w:sz="4" w:space="0" w:color="auto"/>
            </w:tcBorders>
          </w:tcPr>
          <w:p w:rsidR="00463DD4" w:rsidRPr="00D13040" w:rsidRDefault="00463DD4" w:rsidP="004E5419">
            <w:pPr>
              <w:jc w:val="right"/>
              <w:rPr>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3DD4" w:rsidRPr="00D13040" w:rsidRDefault="00F878DE" w:rsidP="004E5419">
            <w:pPr>
              <w:jc w:val="right"/>
              <w:rPr>
                <w:b/>
                <w:bCs/>
                <w:color w:val="000000"/>
                <w:sz w:val="20"/>
                <w:szCs w:val="20"/>
              </w:rPr>
            </w:pPr>
            <w:r w:rsidRPr="00D13040">
              <w:rPr>
                <w:b/>
                <w:bCs/>
                <w:color w:val="000000"/>
                <w:sz w:val="20"/>
                <w:szCs w:val="20"/>
              </w:rPr>
              <w:t>329,801</w:t>
            </w:r>
          </w:p>
        </w:tc>
      </w:tr>
      <w:tr w:rsidR="002852A8" w:rsidRPr="00D13040" w:rsidTr="00463DD4">
        <w:trPr>
          <w:trHeight w:val="227"/>
        </w:trPr>
        <w:tc>
          <w:tcPr>
            <w:tcW w:w="3399" w:type="pct"/>
            <w:tcBorders>
              <w:top w:val="single" w:sz="4" w:space="0" w:color="auto"/>
              <w:left w:val="single" w:sz="4" w:space="0" w:color="auto"/>
              <w:bottom w:val="single" w:sz="4" w:space="0" w:color="auto"/>
              <w:right w:val="single" w:sz="4" w:space="0" w:color="auto"/>
            </w:tcBorders>
            <w:shd w:val="clear" w:color="auto" w:fill="auto"/>
            <w:noWrap/>
          </w:tcPr>
          <w:p w:rsidR="002852A8" w:rsidRPr="00D13040" w:rsidRDefault="002852A8" w:rsidP="004E5419">
            <w:pPr>
              <w:rPr>
                <w:b/>
                <w:sz w:val="20"/>
                <w:szCs w:val="20"/>
              </w:rPr>
            </w:pPr>
            <w:r w:rsidRPr="00D13040">
              <w:rPr>
                <w:b/>
                <w:sz w:val="20"/>
                <w:szCs w:val="20"/>
              </w:rPr>
              <w:t>Total cost of the project</w:t>
            </w:r>
          </w:p>
        </w:tc>
        <w:tc>
          <w:tcPr>
            <w:tcW w:w="751" w:type="pct"/>
            <w:tcBorders>
              <w:top w:val="single" w:sz="4" w:space="0" w:color="auto"/>
              <w:left w:val="nil"/>
              <w:bottom w:val="single" w:sz="4" w:space="0" w:color="auto"/>
              <w:right w:val="single" w:sz="4" w:space="0" w:color="auto"/>
            </w:tcBorders>
          </w:tcPr>
          <w:p w:rsidR="002852A8" w:rsidRPr="00D13040" w:rsidRDefault="002852A8" w:rsidP="004E5419">
            <w:pPr>
              <w:jc w:val="right"/>
              <w:rPr>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52A8" w:rsidRPr="00D13040" w:rsidRDefault="002852A8" w:rsidP="004E5419">
            <w:pPr>
              <w:jc w:val="right"/>
              <w:rPr>
                <w:b/>
                <w:bCs/>
                <w:color w:val="000000"/>
                <w:sz w:val="20"/>
                <w:szCs w:val="20"/>
              </w:rPr>
            </w:pPr>
            <w:r w:rsidRPr="00D13040">
              <w:rPr>
                <w:b/>
                <w:bCs/>
                <w:color w:val="000000"/>
                <w:sz w:val="20"/>
                <w:szCs w:val="20"/>
              </w:rPr>
              <w:t>1,320,678</w:t>
            </w:r>
          </w:p>
        </w:tc>
      </w:tr>
    </w:tbl>
    <w:p w:rsidR="00614D50" w:rsidRPr="00D13040" w:rsidRDefault="00614D50" w:rsidP="004E5419">
      <w:pPr>
        <w:rPr>
          <w:sz w:val="20"/>
          <w:szCs w:val="20"/>
          <w:lang w:val="en-CA"/>
        </w:rPr>
      </w:pPr>
      <w:r w:rsidRPr="00D13040">
        <w:rPr>
          <w:sz w:val="20"/>
          <w:szCs w:val="20"/>
          <w:lang w:val="en-CA"/>
        </w:rPr>
        <w:t xml:space="preserve">*Incremental operating costs were not requested in the </w:t>
      </w:r>
      <w:r w:rsidR="00167D05" w:rsidRPr="00D13040">
        <w:rPr>
          <w:sz w:val="20"/>
          <w:szCs w:val="20"/>
          <w:lang w:val="en-CA"/>
        </w:rPr>
        <w:t xml:space="preserve">original project </w:t>
      </w:r>
      <w:r w:rsidRPr="00D13040">
        <w:rPr>
          <w:sz w:val="20"/>
          <w:szCs w:val="20"/>
          <w:lang w:val="en-CA"/>
        </w:rPr>
        <w:t>proposal.</w:t>
      </w:r>
    </w:p>
    <w:p w:rsidR="00614D50" w:rsidRPr="00D13040" w:rsidRDefault="00614D50" w:rsidP="004E5419">
      <w:pPr>
        <w:rPr>
          <w:lang w:val="en-CA"/>
        </w:rPr>
      </w:pPr>
    </w:p>
    <w:p w:rsidR="00213C19" w:rsidRPr="00D13040" w:rsidRDefault="00213C19" w:rsidP="004E5419">
      <w:pPr>
        <w:keepNext/>
        <w:rPr>
          <w:i/>
          <w:lang w:val="en-CA"/>
        </w:rPr>
      </w:pPr>
      <w:r w:rsidRPr="00D13040">
        <w:rPr>
          <w:i/>
          <w:lang w:val="en-CA"/>
        </w:rPr>
        <w:t>Conversion project for compressors</w:t>
      </w:r>
    </w:p>
    <w:p w:rsidR="00213C19" w:rsidRPr="00D13040" w:rsidRDefault="00213C19" w:rsidP="004E5419">
      <w:pPr>
        <w:keepNext/>
        <w:rPr>
          <w:i/>
          <w:lang w:val="en-CA"/>
        </w:rPr>
      </w:pPr>
    </w:p>
    <w:p w:rsidR="00213C19" w:rsidRPr="00D13040" w:rsidRDefault="006828D0" w:rsidP="004E5419">
      <w:pPr>
        <w:pStyle w:val="Heading1"/>
        <w:rPr>
          <w:lang w:val="en-CA"/>
        </w:rPr>
      </w:pPr>
      <w:r w:rsidRPr="00D13040">
        <w:rPr>
          <w:lang w:val="en-CA"/>
        </w:rPr>
        <w:t>The Secretariat has limited experience in projects related to the conversion of compressor manufacturing from HFC-134a to isobutane for domestic refrigerators</w:t>
      </w:r>
      <w:r w:rsidR="00167D05" w:rsidRPr="00D13040">
        <w:rPr>
          <w:lang w:val="en-CA"/>
        </w:rPr>
        <w:t>; however, it</w:t>
      </w:r>
      <w:r w:rsidRPr="00D13040">
        <w:rPr>
          <w:lang w:val="en-CA"/>
        </w:rPr>
        <w:t xml:space="preserve"> </w:t>
      </w:r>
      <w:r w:rsidR="006D194A" w:rsidRPr="00D13040">
        <w:rPr>
          <w:lang w:val="en-CA"/>
        </w:rPr>
        <w:t>reviewed th</w:t>
      </w:r>
      <w:r w:rsidRPr="00D13040">
        <w:rPr>
          <w:lang w:val="en-CA"/>
        </w:rPr>
        <w:t>is</w:t>
      </w:r>
      <w:r w:rsidR="006D194A" w:rsidRPr="00D13040">
        <w:rPr>
          <w:lang w:val="en-CA"/>
        </w:rPr>
        <w:t xml:space="preserve"> </w:t>
      </w:r>
      <w:r w:rsidR="00167D05" w:rsidRPr="00D13040">
        <w:rPr>
          <w:lang w:val="en-CA"/>
        </w:rPr>
        <w:t>project</w:t>
      </w:r>
      <w:r w:rsidR="006D194A" w:rsidRPr="00D13040">
        <w:rPr>
          <w:lang w:val="en-CA"/>
        </w:rPr>
        <w:t xml:space="preserve"> i</w:t>
      </w:r>
      <w:r w:rsidR="00B61ABB" w:rsidRPr="00D13040">
        <w:rPr>
          <w:lang w:val="en-CA"/>
        </w:rPr>
        <w:t xml:space="preserve">n </w:t>
      </w:r>
      <w:r w:rsidR="006D194A" w:rsidRPr="00D13040">
        <w:rPr>
          <w:lang w:val="en-CA"/>
        </w:rPr>
        <w:t xml:space="preserve">light of the </w:t>
      </w:r>
      <w:r w:rsidR="00213C19" w:rsidRPr="00D13040">
        <w:rPr>
          <w:lang w:val="en-CA"/>
        </w:rPr>
        <w:t>demonstration project</w:t>
      </w:r>
      <w:r w:rsidR="00B61ABB" w:rsidRPr="00D13040">
        <w:rPr>
          <w:lang w:val="en-CA"/>
        </w:rPr>
        <w:t>s</w:t>
      </w:r>
      <w:r w:rsidR="00213C19" w:rsidRPr="00D13040">
        <w:rPr>
          <w:lang w:val="en-CA"/>
        </w:rPr>
        <w:t xml:space="preserve"> approved for </w:t>
      </w:r>
      <w:r w:rsidR="00B61ABB" w:rsidRPr="00D13040">
        <w:rPr>
          <w:lang w:val="en-CA"/>
        </w:rPr>
        <w:t xml:space="preserve">compressor </w:t>
      </w:r>
      <w:r w:rsidR="00213C19" w:rsidRPr="00D13040">
        <w:rPr>
          <w:lang w:val="en-CA"/>
        </w:rPr>
        <w:t>conversion to hydrocarbon</w:t>
      </w:r>
      <w:r w:rsidR="006D194A" w:rsidRPr="00D13040">
        <w:rPr>
          <w:lang w:val="en-CA"/>
        </w:rPr>
        <w:t xml:space="preserve"> refrigerant</w:t>
      </w:r>
      <w:r w:rsidRPr="00D13040">
        <w:rPr>
          <w:lang w:val="en-CA"/>
        </w:rPr>
        <w:t xml:space="preserve"> in </w:t>
      </w:r>
      <w:r w:rsidR="00167D05" w:rsidRPr="00D13040">
        <w:rPr>
          <w:lang w:val="en-CA"/>
        </w:rPr>
        <w:t>air-conditioning</w:t>
      </w:r>
      <w:r w:rsidRPr="00D13040">
        <w:rPr>
          <w:lang w:val="en-CA"/>
        </w:rPr>
        <w:t>, noting similarities between these projects</w:t>
      </w:r>
      <w:r w:rsidR="00B61ABB" w:rsidRPr="00D13040">
        <w:rPr>
          <w:lang w:val="en-CA"/>
        </w:rPr>
        <w:t>.</w:t>
      </w:r>
    </w:p>
    <w:p w:rsidR="00213C19" w:rsidRPr="00D13040" w:rsidRDefault="00213C19" w:rsidP="004E5419">
      <w:pPr>
        <w:pStyle w:val="Heading1"/>
        <w:rPr>
          <w:lang w:val="en-CA"/>
        </w:rPr>
      </w:pPr>
      <w:r w:rsidRPr="00D13040">
        <w:rPr>
          <w:lang w:val="en-CA"/>
        </w:rPr>
        <w:t xml:space="preserve">The </w:t>
      </w:r>
      <w:r w:rsidR="00B61ABB" w:rsidRPr="00D13040">
        <w:rPr>
          <w:lang w:val="en-CA"/>
        </w:rPr>
        <w:t>proposed</w:t>
      </w:r>
      <w:r w:rsidRPr="00D13040">
        <w:rPr>
          <w:lang w:val="en-CA"/>
        </w:rPr>
        <w:t xml:space="preserve"> conversion </w:t>
      </w:r>
      <w:r w:rsidR="00B61ABB" w:rsidRPr="00D13040">
        <w:rPr>
          <w:lang w:val="en-CA"/>
        </w:rPr>
        <w:t xml:space="preserve">is for producing </w:t>
      </w:r>
      <w:r w:rsidRPr="00D13040">
        <w:rPr>
          <w:lang w:val="en-CA"/>
        </w:rPr>
        <w:t>fixed</w:t>
      </w:r>
      <w:r w:rsidR="00614D50" w:rsidRPr="00D13040">
        <w:rPr>
          <w:lang w:val="en-CA"/>
        </w:rPr>
        <w:t>-</w:t>
      </w:r>
      <w:r w:rsidRPr="00D13040">
        <w:rPr>
          <w:lang w:val="en-CA"/>
        </w:rPr>
        <w:t>speed isobutane</w:t>
      </w:r>
      <w:r w:rsidR="00614D50" w:rsidRPr="00D13040">
        <w:rPr>
          <w:lang w:val="en-CA"/>
        </w:rPr>
        <w:t>-</w:t>
      </w:r>
      <w:r w:rsidRPr="00D13040">
        <w:rPr>
          <w:lang w:val="en-CA"/>
        </w:rPr>
        <w:t xml:space="preserve">based compressors </w:t>
      </w:r>
      <w:r w:rsidR="00614D50" w:rsidRPr="00D13040">
        <w:rPr>
          <w:lang w:val="en-CA"/>
        </w:rPr>
        <w:t xml:space="preserve">while the </w:t>
      </w:r>
      <w:r w:rsidRPr="00D13040">
        <w:rPr>
          <w:lang w:val="en-CA"/>
        </w:rPr>
        <w:t xml:space="preserve">compressors </w:t>
      </w:r>
      <w:r w:rsidR="00123390" w:rsidRPr="00D13040">
        <w:rPr>
          <w:lang w:val="en-CA"/>
        </w:rPr>
        <w:t xml:space="preserve">currently </w:t>
      </w:r>
      <w:r w:rsidRPr="00D13040">
        <w:rPr>
          <w:lang w:val="en-CA"/>
        </w:rPr>
        <w:t>used for the isobutane</w:t>
      </w:r>
      <w:r w:rsidR="00614D50" w:rsidRPr="00D13040">
        <w:rPr>
          <w:lang w:val="en-CA"/>
        </w:rPr>
        <w:t>-</w:t>
      </w:r>
      <w:r w:rsidRPr="00D13040">
        <w:rPr>
          <w:lang w:val="en-CA"/>
        </w:rPr>
        <w:t>based refrigerators produced</w:t>
      </w:r>
      <w:r w:rsidR="0026348F" w:rsidRPr="00D13040">
        <w:rPr>
          <w:lang w:val="en-CA"/>
        </w:rPr>
        <w:t xml:space="preserve"> by the enterprise</w:t>
      </w:r>
      <w:r w:rsidR="00614D50" w:rsidRPr="00D13040">
        <w:rPr>
          <w:lang w:val="en-CA"/>
        </w:rPr>
        <w:t xml:space="preserve"> </w:t>
      </w:r>
      <w:r w:rsidRPr="00D13040">
        <w:rPr>
          <w:lang w:val="en-CA"/>
        </w:rPr>
        <w:t xml:space="preserve">are </w:t>
      </w:r>
      <w:r w:rsidR="00123390" w:rsidRPr="00D13040">
        <w:rPr>
          <w:lang w:val="en-CA"/>
        </w:rPr>
        <w:t>inverter</w:t>
      </w:r>
      <w:r w:rsidR="00614D50" w:rsidRPr="00D13040">
        <w:rPr>
          <w:lang w:val="en-CA"/>
        </w:rPr>
        <w:noBreakHyphen/>
      </w:r>
      <w:r w:rsidRPr="00D13040">
        <w:rPr>
          <w:lang w:val="en-CA"/>
        </w:rPr>
        <w:t xml:space="preserve">based models </w:t>
      </w:r>
      <w:r w:rsidR="00D10017" w:rsidRPr="00D13040">
        <w:rPr>
          <w:lang w:val="en-CA"/>
        </w:rPr>
        <w:t xml:space="preserve">which </w:t>
      </w:r>
      <w:r w:rsidR="00123390" w:rsidRPr="00D13040">
        <w:rPr>
          <w:lang w:val="en-CA"/>
        </w:rPr>
        <w:t>are imported</w:t>
      </w:r>
      <w:r w:rsidR="00614D50" w:rsidRPr="00D13040">
        <w:rPr>
          <w:lang w:val="en-CA"/>
        </w:rPr>
        <w:t xml:space="preserve">. UNDP explained that </w:t>
      </w:r>
      <w:r w:rsidR="0033170D" w:rsidRPr="00D13040">
        <w:rPr>
          <w:lang w:val="en-CA"/>
        </w:rPr>
        <w:t>the</w:t>
      </w:r>
      <w:r w:rsidRPr="00D13040">
        <w:rPr>
          <w:lang w:val="en-CA"/>
        </w:rPr>
        <w:t xml:space="preserve"> choice of fixed</w:t>
      </w:r>
      <w:r w:rsidR="00614D50" w:rsidRPr="00D13040">
        <w:rPr>
          <w:lang w:val="en-CA"/>
        </w:rPr>
        <w:t>-</w:t>
      </w:r>
      <w:r w:rsidRPr="00D13040">
        <w:rPr>
          <w:lang w:val="en-CA"/>
        </w:rPr>
        <w:t>speed compressor model was to provide a cost advantage while introducing the new refrigerators using isobutane in the market</w:t>
      </w:r>
      <w:r w:rsidR="00123390" w:rsidRPr="00D13040">
        <w:rPr>
          <w:lang w:val="en-CA"/>
        </w:rPr>
        <w:t>, noting that inverter-type refrigerators cost more</w:t>
      </w:r>
      <w:r w:rsidRPr="00D13040">
        <w:rPr>
          <w:lang w:val="en-CA"/>
        </w:rPr>
        <w:t xml:space="preserve">.  </w:t>
      </w:r>
      <w:r w:rsidR="00614D50" w:rsidRPr="00D13040">
        <w:rPr>
          <w:lang w:val="en-CA"/>
        </w:rPr>
        <w:t>T</w:t>
      </w:r>
      <w:r w:rsidR="00123390" w:rsidRPr="00D13040">
        <w:rPr>
          <w:lang w:val="en-CA"/>
        </w:rPr>
        <w:t>he enterprise is committed to adopting a</w:t>
      </w:r>
      <w:r w:rsidRPr="00D13040">
        <w:rPr>
          <w:lang w:val="en-CA"/>
        </w:rPr>
        <w:t xml:space="preserve"> variable speed compressor model at a future date when product acceptance is </w:t>
      </w:r>
      <w:r w:rsidR="00123390" w:rsidRPr="00D13040">
        <w:rPr>
          <w:lang w:val="en-CA"/>
        </w:rPr>
        <w:t xml:space="preserve">achieved, </w:t>
      </w:r>
      <w:r w:rsidRPr="00D13040">
        <w:rPr>
          <w:lang w:val="en-CA"/>
        </w:rPr>
        <w:t>cost</w:t>
      </w:r>
      <w:r w:rsidR="00123390" w:rsidRPr="00D13040">
        <w:rPr>
          <w:lang w:val="en-CA"/>
        </w:rPr>
        <w:t>s</w:t>
      </w:r>
      <w:r w:rsidRPr="00D13040">
        <w:rPr>
          <w:lang w:val="en-CA"/>
        </w:rPr>
        <w:t xml:space="preserve"> are more favorable</w:t>
      </w:r>
      <w:r w:rsidR="00123390" w:rsidRPr="00D13040">
        <w:rPr>
          <w:lang w:val="en-CA"/>
        </w:rPr>
        <w:t xml:space="preserve">, and </w:t>
      </w:r>
      <w:r w:rsidRPr="00D13040">
        <w:rPr>
          <w:lang w:val="en-CA"/>
        </w:rPr>
        <w:t xml:space="preserve">energy efficiency becomes </w:t>
      </w:r>
      <w:r w:rsidR="00123390" w:rsidRPr="00D13040">
        <w:rPr>
          <w:lang w:val="en-CA"/>
        </w:rPr>
        <w:t xml:space="preserve">a more </w:t>
      </w:r>
      <w:r w:rsidRPr="00D13040">
        <w:rPr>
          <w:lang w:val="en-CA"/>
        </w:rPr>
        <w:t>important driver</w:t>
      </w:r>
      <w:r w:rsidR="00123390" w:rsidRPr="00D13040">
        <w:rPr>
          <w:lang w:val="en-CA"/>
        </w:rPr>
        <w:t xml:space="preserve"> rather than </w:t>
      </w:r>
      <w:r w:rsidR="0026348F" w:rsidRPr="00D13040">
        <w:rPr>
          <w:lang w:val="en-CA"/>
        </w:rPr>
        <w:t xml:space="preserve">product </w:t>
      </w:r>
      <w:r w:rsidR="00123390" w:rsidRPr="00D13040">
        <w:rPr>
          <w:lang w:val="en-CA"/>
        </w:rPr>
        <w:t>cost for the end</w:t>
      </w:r>
      <w:r w:rsidR="00614D50" w:rsidRPr="00D13040">
        <w:rPr>
          <w:lang w:val="en-CA"/>
        </w:rPr>
        <w:noBreakHyphen/>
      </w:r>
      <w:r w:rsidR="00123390" w:rsidRPr="00D13040">
        <w:rPr>
          <w:lang w:val="en-CA"/>
        </w:rPr>
        <w:t>user</w:t>
      </w:r>
      <w:r w:rsidR="00614D50" w:rsidRPr="00D13040">
        <w:rPr>
          <w:lang w:val="en-CA"/>
        </w:rPr>
        <w:t>. T</w:t>
      </w:r>
      <w:r w:rsidR="00123390" w:rsidRPr="00D13040">
        <w:rPr>
          <w:lang w:val="en-CA"/>
        </w:rPr>
        <w:t xml:space="preserve">his </w:t>
      </w:r>
      <w:r w:rsidR="00614D50" w:rsidRPr="00D13040">
        <w:rPr>
          <w:lang w:val="en-CA"/>
        </w:rPr>
        <w:t xml:space="preserve">conversion </w:t>
      </w:r>
      <w:r w:rsidR="00123390" w:rsidRPr="00D13040">
        <w:rPr>
          <w:lang w:val="en-CA"/>
        </w:rPr>
        <w:t xml:space="preserve">will be done at </w:t>
      </w:r>
      <w:r w:rsidR="00E8215F" w:rsidRPr="00D13040">
        <w:rPr>
          <w:lang w:val="en-CA"/>
        </w:rPr>
        <w:t>the company’s</w:t>
      </w:r>
      <w:r w:rsidR="0026348F" w:rsidRPr="00D13040">
        <w:rPr>
          <w:lang w:val="en-CA"/>
        </w:rPr>
        <w:t xml:space="preserve"> </w:t>
      </w:r>
      <w:r w:rsidRPr="00D13040">
        <w:rPr>
          <w:lang w:val="en-CA"/>
        </w:rPr>
        <w:t>cost.</w:t>
      </w:r>
    </w:p>
    <w:p w:rsidR="0016014F" w:rsidRPr="00D13040" w:rsidRDefault="00213C19" w:rsidP="004E5419">
      <w:pPr>
        <w:pStyle w:val="Heading1"/>
        <w:rPr>
          <w:lang w:val="en-CA"/>
        </w:rPr>
      </w:pPr>
      <w:r w:rsidRPr="00D13040">
        <w:rPr>
          <w:lang w:val="en-CA"/>
        </w:rPr>
        <w:t xml:space="preserve">The Secretariat requested clarification on the </w:t>
      </w:r>
      <w:r w:rsidR="00123390" w:rsidRPr="00D13040">
        <w:rPr>
          <w:lang w:val="en-CA"/>
        </w:rPr>
        <w:t xml:space="preserve">costs </w:t>
      </w:r>
      <w:r w:rsidR="00CA0931" w:rsidRPr="00D13040">
        <w:rPr>
          <w:lang w:val="en-CA"/>
        </w:rPr>
        <w:t xml:space="preserve">associated with </w:t>
      </w:r>
      <w:r w:rsidR="00F878DE" w:rsidRPr="00D13040">
        <w:rPr>
          <w:lang w:val="en-CA"/>
        </w:rPr>
        <w:t>changes in</w:t>
      </w:r>
      <w:r w:rsidR="00123390" w:rsidRPr="00D13040">
        <w:rPr>
          <w:lang w:val="en-CA"/>
        </w:rPr>
        <w:t xml:space="preserve"> </w:t>
      </w:r>
      <w:r w:rsidR="0033170D" w:rsidRPr="00D13040">
        <w:rPr>
          <w:lang w:val="en-CA"/>
        </w:rPr>
        <w:t>the manufacturing</w:t>
      </w:r>
      <w:r w:rsidRPr="00D13040">
        <w:rPr>
          <w:lang w:val="en-CA"/>
        </w:rPr>
        <w:t xml:space="preserve"> facility</w:t>
      </w:r>
      <w:r w:rsidR="00F878DE" w:rsidRPr="00D13040">
        <w:rPr>
          <w:lang w:val="en-CA"/>
        </w:rPr>
        <w:t>,</w:t>
      </w:r>
      <w:r w:rsidRPr="00D13040">
        <w:rPr>
          <w:lang w:val="en-CA"/>
        </w:rPr>
        <w:t xml:space="preserve"> </w:t>
      </w:r>
      <w:r w:rsidR="00CA0931" w:rsidRPr="00D13040">
        <w:rPr>
          <w:lang w:val="en-CA"/>
        </w:rPr>
        <w:t xml:space="preserve">and the </w:t>
      </w:r>
      <w:r w:rsidR="00002B0E" w:rsidRPr="00D13040">
        <w:rPr>
          <w:lang w:val="en-CA"/>
        </w:rPr>
        <w:t>costs associated with product redesign</w:t>
      </w:r>
      <w:r w:rsidR="00F878DE" w:rsidRPr="00D13040">
        <w:rPr>
          <w:lang w:val="en-CA"/>
        </w:rPr>
        <w:t>,</w:t>
      </w:r>
      <w:r w:rsidR="00002B0E" w:rsidRPr="00D13040">
        <w:rPr>
          <w:lang w:val="en-CA"/>
        </w:rPr>
        <w:t xml:space="preserve"> testing facilities and training</w:t>
      </w:r>
      <w:r w:rsidR="00F878DE" w:rsidRPr="00D13040">
        <w:rPr>
          <w:lang w:val="en-CA"/>
        </w:rPr>
        <w:t>; in particular, the cost for motor line conversion at US $975,000 and other modifications in machining equipment</w:t>
      </w:r>
      <w:r w:rsidR="00167D05" w:rsidRPr="00D13040">
        <w:rPr>
          <w:lang w:val="en-CA"/>
        </w:rPr>
        <w:t xml:space="preserve"> and </w:t>
      </w:r>
      <w:r w:rsidR="00F878DE" w:rsidRPr="00D13040">
        <w:rPr>
          <w:lang w:val="en-CA"/>
        </w:rPr>
        <w:t>fixtures.</w:t>
      </w:r>
      <w:r w:rsidR="00123390" w:rsidRPr="00D13040">
        <w:rPr>
          <w:lang w:val="en-CA"/>
        </w:rPr>
        <w:t xml:space="preserve"> </w:t>
      </w:r>
    </w:p>
    <w:p w:rsidR="00123390" w:rsidRPr="00D13040" w:rsidRDefault="00614D50" w:rsidP="004E5419">
      <w:pPr>
        <w:pStyle w:val="Heading1"/>
        <w:rPr>
          <w:lang w:val="en-CA"/>
        </w:rPr>
      </w:pPr>
      <w:r w:rsidRPr="00D13040">
        <w:rPr>
          <w:lang w:val="en-CA"/>
        </w:rPr>
        <w:t xml:space="preserve">Further to discussion </w:t>
      </w:r>
      <w:r w:rsidR="007D6CE1" w:rsidRPr="00D13040">
        <w:rPr>
          <w:lang w:val="en-CA"/>
        </w:rPr>
        <w:t>with UNDP</w:t>
      </w:r>
      <w:r w:rsidR="0016014F" w:rsidRPr="00D13040">
        <w:rPr>
          <w:lang w:val="en-CA"/>
        </w:rPr>
        <w:t xml:space="preserve"> it was agreed to reduce the costs for the components to US</w:t>
      </w:r>
      <w:r w:rsidR="0033170D" w:rsidRPr="00D13040">
        <w:rPr>
          <w:lang w:val="en-CA"/>
        </w:rPr>
        <w:t> </w:t>
      </w:r>
      <w:r w:rsidR="0016014F" w:rsidRPr="00D13040">
        <w:rPr>
          <w:lang w:val="en-CA"/>
        </w:rPr>
        <w:t>$925,000</w:t>
      </w:r>
      <w:r w:rsidR="00167D05" w:rsidRPr="00D13040">
        <w:rPr>
          <w:lang w:val="en-CA"/>
        </w:rPr>
        <w:t>,</w:t>
      </w:r>
      <w:r w:rsidR="0016014F" w:rsidRPr="00D13040">
        <w:rPr>
          <w:lang w:val="en-CA"/>
        </w:rPr>
        <w:t xml:space="preserve"> </w:t>
      </w:r>
      <w:r w:rsidR="00167D05" w:rsidRPr="00D13040">
        <w:rPr>
          <w:lang w:val="en-CA"/>
        </w:rPr>
        <w:t xml:space="preserve">resulting in a </w:t>
      </w:r>
      <w:r w:rsidR="00CA0931" w:rsidRPr="00D13040">
        <w:rPr>
          <w:lang w:val="en-CA"/>
        </w:rPr>
        <w:t>co-financ</w:t>
      </w:r>
      <w:r w:rsidR="00167D05" w:rsidRPr="00D13040">
        <w:rPr>
          <w:lang w:val="en-CA"/>
        </w:rPr>
        <w:t xml:space="preserve">e of </w:t>
      </w:r>
      <w:r w:rsidR="0016014F" w:rsidRPr="00D13040">
        <w:rPr>
          <w:lang w:val="en-CA"/>
        </w:rPr>
        <w:t>US $475,000</w:t>
      </w:r>
      <w:r w:rsidR="00167D05" w:rsidRPr="00D13040">
        <w:rPr>
          <w:lang w:val="en-CA"/>
        </w:rPr>
        <w:t xml:space="preserve"> by Walton</w:t>
      </w:r>
      <w:r w:rsidR="0016014F" w:rsidRPr="00D13040">
        <w:rPr>
          <w:lang w:val="en-CA"/>
        </w:rPr>
        <w:t>. UNDP further agreed to the reduction of the costs for redesign, testing and prototype development, and to reduce the costs for installation and commissioning.</w:t>
      </w:r>
      <w:r w:rsidR="00167D05" w:rsidRPr="00D13040">
        <w:rPr>
          <w:lang w:val="en-CA"/>
        </w:rPr>
        <w:t xml:space="preserve"> The agreed costs for conversion of the compressor manufacturing facility are shown in Table 6.</w:t>
      </w:r>
    </w:p>
    <w:p w:rsidR="007D6CE1" w:rsidRPr="00D13040" w:rsidRDefault="007D6CE1" w:rsidP="004E5419">
      <w:pPr>
        <w:rPr>
          <w:b/>
          <w:lang w:val="en-CA"/>
        </w:rPr>
      </w:pPr>
      <w:proofErr w:type="gramStart"/>
      <w:r w:rsidRPr="00D13040">
        <w:rPr>
          <w:b/>
          <w:lang w:val="en-CA"/>
        </w:rPr>
        <w:t>Table 6.</w:t>
      </w:r>
      <w:proofErr w:type="gramEnd"/>
      <w:r w:rsidRPr="00D13040">
        <w:rPr>
          <w:b/>
          <w:lang w:val="en-CA"/>
        </w:rPr>
        <w:t xml:space="preserve"> Agreed costs for conversion of compressor manufacturing</w:t>
      </w:r>
      <w:r w:rsidR="00167D05" w:rsidRPr="00D13040">
        <w:rPr>
          <w:b/>
          <w:lang w:val="en-CA"/>
        </w:rPr>
        <w:t xml:space="preserve"> at Walton</w:t>
      </w:r>
    </w:p>
    <w:tbl>
      <w:tblPr>
        <w:tblW w:w="5000" w:type="pct"/>
        <w:tblLook w:val="04A0" w:firstRow="1" w:lastRow="0" w:firstColumn="1" w:lastColumn="0" w:noHBand="0" w:noVBand="1"/>
      </w:tblPr>
      <w:tblGrid>
        <w:gridCol w:w="6202"/>
        <w:gridCol w:w="1687"/>
        <w:gridCol w:w="1687"/>
      </w:tblGrid>
      <w:tr w:rsidR="007D6CE1" w:rsidRPr="00D13040" w:rsidTr="00F72C91">
        <w:trPr>
          <w:trHeight w:val="227"/>
        </w:trPr>
        <w:tc>
          <w:tcPr>
            <w:tcW w:w="3238" w:type="pct"/>
            <w:tcBorders>
              <w:top w:val="single" w:sz="4" w:space="0" w:color="auto"/>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b/>
                <w:bCs/>
                <w:color w:val="000000"/>
                <w:sz w:val="20"/>
                <w:lang w:val="en-CA" w:eastAsia="en-CA"/>
              </w:rPr>
            </w:pPr>
            <w:r w:rsidRPr="00D13040">
              <w:rPr>
                <w:b/>
                <w:bCs/>
                <w:color w:val="000000"/>
                <w:sz w:val="20"/>
                <w:lang w:val="en-CA" w:eastAsia="en-CA"/>
              </w:rPr>
              <w:t>Particulars</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center"/>
              <w:rPr>
                <w:b/>
                <w:bCs/>
                <w:color w:val="000000"/>
                <w:sz w:val="20"/>
                <w:lang w:val="en-CA" w:eastAsia="en-CA"/>
              </w:rPr>
            </w:pPr>
            <w:r w:rsidRPr="00D13040">
              <w:rPr>
                <w:b/>
                <w:sz w:val="20"/>
                <w:szCs w:val="20"/>
              </w:rPr>
              <w:t>Proposed cost (US $)</w:t>
            </w:r>
          </w:p>
        </w:tc>
        <w:tc>
          <w:tcPr>
            <w:tcW w:w="881" w:type="pct"/>
            <w:tcBorders>
              <w:top w:val="single" w:sz="4" w:space="0" w:color="auto"/>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center"/>
              <w:rPr>
                <w:b/>
                <w:sz w:val="20"/>
                <w:szCs w:val="20"/>
              </w:rPr>
            </w:pPr>
            <w:r w:rsidRPr="00D13040">
              <w:rPr>
                <w:b/>
                <w:sz w:val="20"/>
                <w:szCs w:val="20"/>
              </w:rPr>
              <w:t xml:space="preserve">Agreed cost </w:t>
            </w:r>
          </w:p>
          <w:p w:rsidR="007D6CE1" w:rsidRPr="00D13040" w:rsidRDefault="007D6CE1" w:rsidP="004E5419">
            <w:pPr>
              <w:jc w:val="center"/>
              <w:rPr>
                <w:b/>
                <w:bCs/>
                <w:color w:val="000000"/>
                <w:sz w:val="20"/>
                <w:lang w:val="en-CA" w:eastAsia="en-CA"/>
              </w:rPr>
            </w:pPr>
            <w:r w:rsidRPr="00D13040">
              <w:rPr>
                <w:b/>
                <w:sz w:val="20"/>
                <w:szCs w:val="20"/>
              </w:rPr>
              <w:t>(US $)</w:t>
            </w:r>
          </w:p>
        </w:tc>
      </w:tr>
      <w:tr w:rsidR="007D6CE1" w:rsidRPr="00D13040" w:rsidTr="00F72C91">
        <w:trPr>
          <w:trHeight w:val="227"/>
        </w:trPr>
        <w:tc>
          <w:tcPr>
            <w:tcW w:w="3238" w:type="pct"/>
            <w:tcBorders>
              <w:top w:val="nil"/>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color w:val="000000"/>
                <w:sz w:val="20"/>
                <w:lang w:val="en-CA" w:eastAsia="en-CA"/>
              </w:rPr>
            </w:pPr>
            <w:r w:rsidRPr="00D13040">
              <w:rPr>
                <w:color w:val="000000"/>
                <w:sz w:val="20"/>
                <w:lang w:val="en-CA" w:eastAsia="en-CA"/>
              </w:rPr>
              <w:t>Costs of plant equipment modification</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right"/>
              <w:rPr>
                <w:color w:val="000000"/>
                <w:sz w:val="20"/>
                <w:lang w:val="en-CA" w:eastAsia="en-CA"/>
              </w:rPr>
            </w:pPr>
            <w:r w:rsidRPr="00D13040">
              <w:rPr>
                <w:color w:val="000000"/>
                <w:sz w:val="20"/>
              </w:rPr>
              <w:t>2,260,000</w:t>
            </w:r>
          </w:p>
        </w:tc>
        <w:tc>
          <w:tcPr>
            <w:tcW w:w="881" w:type="pct"/>
            <w:tcBorders>
              <w:top w:val="nil"/>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right"/>
              <w:rPr>
                <w:color w:val="000000"/>
                <w:sz w:val="20"/>
                <w:lang w:val="en-CA" w:eastAsia="en-CA"/>
              </w:rPr>
            </w:pPr>
            <w:r w:rsidRPr="00D13040">
              <w:rPr>
                <w:color w:val="000000"/>
                <w:sz w:val="20"/>
                <w:lang w:val="en-CA" w:eastAsia="en-CA"/>
              </w:rPr>
              <w:t>1,400,000</w:t>
            </w:r>
          </w:p>
        </w:tc>
      </w:tr>
      <w:tr w:rsidR="007D6CE1" w:rsidRPr="00D13040" w:rsidTr="00F72C91">
        <w:trPr>
          <w:trHeight w:val="227"/>
        </w:trPr>
        <w:tc>
          <w:tcPr>
            <w:tcW w:w="3238" w:type="pct"/>
            <w:tcBorders>
              <w:top w:val="nil"/>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color w:val="000000"/>
                <w:sz w:val="20"/>
                <w:lang w:val="en-CA" w:eastAsia="en-CA"/>
              </w:rPr>
            </w:pPr>
            <w:r w:rsidRPr="00D13040">
              <w:rPr>
                <w:color w:val="000000"/>
                <w:sz w:val="20"/>
                <w:lang w:val="en-CA" w:eastAsia="en-CA"/>
              </w:rPr>
              <w:t>Product redesign, prototype development and testing</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right"/>
              <w:rPr>
                <w:color w:val="000000"/>
                <w:sz w:val="20"/>
                <w:lang w:val="en-CA" w:eastAsia="en-CA"/>
              </w:rPr>
            </w:pPr>
            <w:r w:rsidRPr="00D13040">
              <w:rPr>
                <w:color w:val="000000"/>
                <w:sz w:val="20"/>
              </w:rPr>
              <w:t>500,000</w:t>
            </w:r>
          </w:p>
        </w:tc>
        <w:tc>
          <w:tcPr>
            <w:tcW w:w="881" w:type="pct"/>
            <w:tcBorders>
              <w:top w:val="nil"/>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right"/>
              <w:rPr>
                <w:color w:val="000000"/>
                <w:sz w:val="20"/>
                <w:lang w:val="en-CA" w:eastAsia="en-CA"/>
              </w:rPr>
            </w:pPr>
            <w:r w:rsidRPr="00D13040">
              <w:rPr>
                <w:color w:val="000000"/>
                <w:sz w:val="20"/>
                <w:lang w:val="en-CA" w:eastAsia="en-CA"/>
              </w:rPr>
              <w:t>250,000</w:t>
            </w:r>
          </w:p>
        </w:tc>
      </w:tr>
      <w:tr w:rsidR="007D6CE1" w:rsidRPr="00D13040" w:rsidTr="00F72C91">
        <w:trPr>
          <w:trHeight w:val="227"/>
        </w:trPr>
        <w:tc>
          <w:tcPr>
            <w:tcW w:w="3238" w:type="pct"/>
            <w:tcBorders>
              <w:top w:val="nil"/>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color w:val="000000"/>
                <w:sz w:val="20"/>
                <w:lang w:val="en-CA" w:eastAsia="en-CA"/>
              </w:rPr>
            </w:pPr>
            <w:r w:rsidRPr="00D13040">
              <w:rPr>
                <w:color w:val="000000"/>
                <w:sz w:val="20"/>
                <w:lang w:val="en-CA" w:eastAsia="en-CA"/>
              </w:rPr>
              <w:t>Safety system for testing and verification</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right"/>
              <w:rPr>
                <w:color w:val="000000"/>
                <w:sz w:val="20"/>
                <w:lang w:val="en-CA" w:eastAsia="en-CA"/>
              </w:rPr>
            </w:pPr>
            <w:r w:rsidRPr="00D13040">
              <w:rPr>
                <w:color w:val="000000"/>
                <w:sz w:val="20"/>
              </w:rPr>
              <w:t>250,000</w:t>
            </w:r>
          </w:p>
        </w:tc>
        <w:tc>
          <w:tcPr>
            <w:tcW w:w="881" w:type="pct"/>
            <w:tcBorders>
              <w:top w:val="nil"/>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right"/>
              <w:rPr>
                <w:color w:val="000000"/>
                <w:sz w:val="20"/>
                <w:lang w:val="en-CA" w:eastAsia="en-CA"/>
              </w:rPr>
            </w:pPr>
            <w:r w:rsidRPr="00D13040">
              <w:rPr>
                <w:color w:val="000000"/>
                <w:sz w:val="20"/>
                <w:lang w:val="en-CA" w:eastAsia="en-CA"/>
              </w:rPr>
              <w:t>250,000</w:t>
            </w:r>
          </w:p>
        </w:tc>
      </w:tr>
      <w:tr w:rsidR="007D6CE1" w:rsidRPr="00D13040" w:rsidTr="00F72C91">
        <w:trPr>
          <w:trHeight w:val="227"/>
        </w:trPr>
        <w:tc>
          <w:tcPr>
            <w:tcW w:w="3238" w:type="pct"/>
            <w:tcBorders>
              <w:top w:val="nil"/>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color w:val="000000"/>
                <w:sz w:val="20"/>
                <w:lang w:val="en-CA" w:eastAsia="en-CA"/>
              </w:rPr>
            </w:pPr>
            <w:r w:rsidRPr="00D13040">
              <w:rPr>
                <w:color w:val="000000"/>
                <w:sz w:val="20"/>
                <w:lang w:val="en-CA" w:eastAsia="en-CA"/>
              </w:rPr>
              <w:t>Training</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right"/>
              <w:rPr>
                <w:color w:val="000000"/>
                <w:sz w:val="20"/>
                <w:lang w:val="en-CA" w:eastAsia="en-CA"/>
              </w:rPr>
            </w:pPr>
            <w:r w:rsidRPr="00D13040">
              <w:rPr>
                <w:color w:val="000000"/>
                <w:sz w:val="20"/>
              </w:rPr>
              <w:t>20,000</w:t>
            </w:r>
          </w:p>
        </w:tc>
        <w:tc>
          <w:tcPr>
            <w:tcW w:w="881" w:type="pct"/>
            <w:tcBorders>
              <w:top w:val="nil"/>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right"/>
              <w:rPr>
                <w:color w:val="000000"/>
                <w:sz w:val="20"/>
                <w:lang w:val="en-CA" w:eastAsia="en-CA"/>
              </w:rPr>
            </w:pPr>
            <w:r w:rsidRPr="00D13040">
              <w:rPr>
                <w:color w:val="000000"/>
                <w:sz w:val="20"/>
                <w:lang w:val="en-CA" w:eastAsia="en-CA"/>
              </w:rPr>
              <w:t>20,000</w:t>
            </w:r>
          </w:p>
        </w:tc>
      </w:tr>
      <w:tr w:rsidR="007D6CE1" w:rsidRPr="00D13040" w:rsidTr="00F72C91">
        <w:trPr>
          <w:trHeight w:val="227"/>
        </w:trPr>
        <w:tc>
          <w:tcPr>
            <w:tcW w:w="3238" w:type="pct"/>
            <w:tcBorders>
              <w:top w:val="nil"/>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color w:val="000000"/>
                <w:sz w:val="20"/>
                <w:lang w:val="en-CA" w:eastAsia="en-CA"/>
              </w:rPr>
            </w:pPr>
            <w:r w:rsidRPr="00D13040">
              <w:rPr>
                <w:color w:val="000000"/>
                <w:sz w:val="20"/>
                <w:lang w:val="en-CA" w:eastAsia="en-CA"/>
              </w:rPr>
              <w:t>Installation and commissioning</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right"/>
              <w:rPr>
                <w:color w:val="000000"/>
                <w:sz w:val="20"/>
                <w:lang w:val="en-CA" w:eastAsia="en-CA"/>
              </w:rPr>
            </w:pPr>
            <w:r w:rsidRPr="00D13040">
              <w:rPr>
                <w:color w:val="000000"/>
                <w:sz w:val="20"/>
              </w:rPr>
              <w:t>169,500</w:t>
            </w:r>
          </w:p>
        </w:tc>
        <w:tc>
          <w:tcPr>
            <w:tcW w:w="881" w:type="pct"/>
            <w:tcBorders>
              <w:top w:val="nil"/>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right"/>
              <w:rPr>
                <w:color w:val="000000"/>
                <w:sz w:val="20"/>
                <w:lang w:val="en-CA" w:eastAsia="en-CA"/>
              </w:rPr>
            </w:pPr>
            <w:r w:rsidRPr="00D13040">
              <w:rPr>
                <w:color w:val="000000"/>
                <w:sz w:val="20"/>
                <w:lang w:val="en-CA" w:eastAsia="en-CA"/>
              </w:rPr>
              <w:t>108,120</w:t>
            </w:r>
          </w:p>
        </w:tc>
      </w:tr>
      <w:tr w:rsidR="007D6CE1" w:rsidRPr="00D13040" w:rsidTr="00F72C91">
        <w:trPr>
          <w:trHeight w:val="227"/>
        </w:trPr>
        <w:tc>
          <w:tcPr>
            <w:tcW w:w="3238" w:type="pct"/>
            <w:tcBorders>
              <w:top w:val="nil"/>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color w:val="000000"/>
                <w:sz w:val="20"/>
                <w:lang w:val="en-CA" w:eastAsia="en-CA"/>
              </w:rPr>
            </w:pPr>
            <w:r w:rsidRPr="00D13040">
              <w:rPr>
                <w:color w:val="000000"/>
                <w:sz w:val="20"/>
                <w:lang w:val="en-CA" w:eastAsia="en-CA"/>
              </w:rPr>
              <w:t>Civil construction and other miscellaneous</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right"/>
              <w:rPr>
                <w:color w:val="000000"/>
                <w:sz w:val="20"/>
                <w:lang w:val="en-CA" w:eastAsia="en-CA"/>
              </w:rPr>
            </w:pPr>
            <w:r w:rsidRPr="00D13040">
              <w:rPr>
                <w:color w:val="000000"/>
                <w:sz w:val="20"/>
              </w:rPr>
              <w:t>50,000</w:t>
            </w:r>
          </w:p>
        </w:tc>
        <w:tc>
          <w:tcPr>
            <w:tcW w:w="881" w:type="pct"/>
            <w:tcBorders>
              <w:top w:val="nil"/>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right"/>
              <w:rPr>
                <w:color w:val="000000"/>
                <w:sz w:val="20"/>
                <w:lang w:val="en-CA" w:eastAsia="en-CA"/>
              </w:rPr>
            </w:pPr>
            <w:r w:rsidRPr="00D13040">
              <w:rPr>
                <w:color w:val="000000"/>
                <w:sz w:val="20"/>
                <w:lang w:val="en-CA" w:eastAsia="en-CA"/>
              </w:rPr>
              <w:t>50,000</w:t>
            </w:r>
          </w:p>
        </w:tc>
      </w:tr>
      <w:tr w:rsidR="007D6CE1" w:rsidRPr="00D13040" w:rsidTr="00F72C91">
        <w:trPr>
          <w:trHeight w:val="227"/>
        </w:trPr>
        <w:tc>
          <w:tcPr>
            <w:tcW w:w="3238" w:type="pct"/>
            <w:tcBorders>
              <w:top w:val="nil"/>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color w:val="000000"/>
                <w:sz w:val="20"/>
                <w:lang w:val="en-CA" w:eastAsia="en-CA"/>
              </w:rPr>
            </w:pPr>
            <w:r w:rsidRPr="00D13040">
              <w:rPr>
                <w:color w:val="000000"/>
                <w:sz w:val="20"/>
                <w:lang w:val="en-CA" w:eastAsia="en-CA"/>
              </w:rPr>
              <w:t xml:space="preserve">Total incremental cost </w:t>
            </w:r>
            <w:r w:rsidR="00D10017" w:rsidRPr="00D13040">
              <w:rPr>
                <w:color w:val="000000"/>
                <w:sz w:val="20"/>
                <w:lang w:val="en-CA" w:eastAsia="en-CA"/>
              </w:rPr>
              <w:t>(</w:t>
            </w:r>
            <w:r w:rsidRPr="00D13040">
              <w:rPr>
                <w:color w:val="000000"/>
                <w:sz w:val="20"/>
                <w:lang w:val="en-CA" w:eastAsia="en-CA"/>
              </w:rPr>
              <w:t>excluding contingency</w:t>
            </w:r>
            <w:r w:rsidR="00D10017" w:rsidRPr="00D13040">
              <w:rPr>
                <w:color w:val="000000"/>
                <w:sz w:val="20"/>
                <w:lang w:val="en-CA" w:eastAsia="en-CA"/>
              </w:rPr>
              <w:t>)</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right"/>
              <w:rPr>
                <w:color w:val="000000"/>
                <w:sz w:val="20"/>
                <w:lang w:val="en-CA" w:eastAsia="en-CA"/>
              </w:rPr>
            </w:pPr>
            <w:r w:rsidRPr="00D13040">
              <w:rPr>
                <w:b/>
                <w:color w:val="000000"/>
                <w:sz w:val="20"/>
              </w:rPr>
              <w:t>3,249,500</w:t>
            </w:r>
          </w:p>
        </w:tc>
        <w:tc>
          <w:tcPr>
            <w:tcW w:w="881" w:type="pct"/>
            <w:tcBorders>
              <w:top w:val="nil"/>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right"/>
              <w:rPr>
                <w:b/>
                <w:color w:val="000000"/>
                <w:sz w:val="20"/>
                <w:lang w:val="en-CA" w:eastAsia="en-CA"/>
              </w:rPr>
            </w:pPr>
            <w:r w:rsidRPr="00D13040">
              <w:rPr>
                <w:b/>
                <w:color w:val="000000"/>
                <w:sz w:val="20"/>
                <w:lang w:val="en-CA" w:eastAsia="en-CA"/>
              </w:rPr>
              <w:t>2,078,120</w:t>
            </w:r>
          </w:p>
        </w:tc>
      </w:tr>
      <w:tr w:rsidR="007D6CE1" w:rsidRPr="00D13040" w:rsidTr="00F72C91">
        <w:trPr>
          <w:trHeight w:val="227"/>
        </w:trPr>
        <w:tc>
          <w:tcPr>
            <w:tcW w:w="3238" w:type="pct"/>
            <w:tcBorders>
              <w:top w:val="nil"/>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color w:val="000000"/>
                <w:sz w:val="20"/>
                <w:lang w:val="en-CA" w:eastAsia="en-CA"/>
              </w:rPr>
            </w:pPr>
            <w:r w:rsidRPr="00D13040">
              <w:rPr>
                <w:color w:val="000000"/>
                <w:sz w:val="20"/>
                <w:lang w:val="en-CA" w:eastAsia="en-CA"/>
              </w:rPr>
              <w:t>Contingency</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right"/>
              <w:rPr>
                <w:color w:val="000000"/>
                <w:sz w:val="20"/>
                <w:lang w:val="en-CA" w:eastAsia="en-CA"/>
              </w:rPr>
            </w:pPr>
            <w:r w:rsidRPr="00D13040">
              <w:rPr>
                <w:color w:val="000000"/>
                <w:sz w:val="20"/>
              </w:rPr>
              <w:t>324,950</w:t>
            </w:r>
          </w:p>
        </w:tc>
        <w:tc>
          <w:tcPr>
            <w:tcW w:w="881" w:type="pct"/>
            <w:tcBorders>
              <w:top w:val="nil"/>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right"/>
              <w:rPr>
                <w:color w:val="000000"/>
                <w:sz w:val="20"/>
                <w:lang w:val="en-CA" w:eastAsia="en-CA"/>
              </w:rPr>
            </w:pPr>
            <w:r w:rsidRPr="00D13040">
              <w:rPr>
                <w:color w:val="000000"/>
                <w:sz w:val="20"/>
                <w:lang w:val="en-CA" w:eastAsia="en-CA"/>
              </w:rPr>
              <w:t>207,812</w:t>
            </w:r>
          </w:p>
        </w:tc>
      </w:tr>
      <w:tr w:rsidR="007D6CE1" w:rsidRPr="00D13040" w:rsidTr="00F72C91">
        <w:trPr>
          <w:trHeight w:val="227"/>
        </w:trPr>
        <w:tc>
          <w:tcPr>
            <w:tcW w:w="3238" w:type="pct"/>
            <w:tcBorders>
              <w:top w:val="nil"/>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b/>
                <w:color w:val="000000"/>
                <w:sz w:val="20"/>
                <w:lang w:val="en-CA" w:eastAsia="en-CA"/>
              </w:rPr>
            </w:pPr>
            <w:r w:rsidRPr="00D13040">
              <w:rPr>
                <w:b/>
                <w:color w:val="000000"/>
                <w:sz w:val="20"/>
                <w:lang w:val="en-CA" w:eastAsia="en-CA"/>
              </w:rPr>
              <w:t>Total funding for conversion</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right"/>
              <w:rPr>
                <w:b/>
                <w:color w:val="000000"/>
                <w:sz w:val="20"/>
                <w:lang w:val="en-CA" w:eastAsia="en-CA"/>
              </w:rPr>
            </w:pPr>
            <w:r w:rsidRPr="00D13040">
              <w:rPr>
                <w:b/>
                <w:color w:val="000000"/>
                <w:sz w:val="20"/>
              </w:rPr>
              <w:t>3,574,450</w:t>
            </w:r>
          </w:p>
        </w:tc>
        <w:tc>
          <w:tcPr>
            <w:tcW w:w="881" w:type="pct"/>
            <w:tcBorders>
              <w:top w:val="nil"/>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right"/>
              <w:rPr>
                <w:b/>
                <w:color w:val="000000"/>
                <w:sz w:val="20"/>
                <w:lang w:val="en-CA" w:eastAsia="en-CA"/>
              </w:rPr>
            </w:pPr>
            <w:r w:rsidRPr="00D13040">
              <w:rPr>
                <w:b/>
                <w:color w:val="000000"/>
                <w:sz w:val="20"/>
                <w:lang w:val="en-CA" w:eastAsia="en-CA"/>
              </w:rPr>
              <w:t>2,285,932</w:t>
            </w:r>
          </w:p>
        </w:tc>
      </w:tr>
      <w:tr w:rsidR="007D6CE1" w:rsidRPr="00D13040" w:rsidTr="00F72C91">
        <w:trPr>
          <w:trHeight w:val="227"/>
        </w:trPr>
        <w:tc>
          <w:tcPr>
            <w:tcW w:w="3238" w:type="pct"/>
            <w:tcBorders>
              <w:top w:val="nil"/>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b/>
                <w:color w:val="000000"/>
                <w:sz w:val="20"/>
                <w:lang w:val="en-CA" w:eastAsia="en-CA"/>
              </w:rPr>
            </w:pPr>
            <w:r w:rsidRPr="00D13040">
              <w:rPr>
                <w:b/>
                <w:color w:val="000000"/>
                <w:sz w:val="20"/>
                <w:lang w:val="en-CA" w:eastAsia="en-CA"/>
              </w:rPr>
              <w:t>Costs for co-finance by Walton</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right"/>
              <w:rPr>
                <w:b/>
                <w:color w:val="000000"/>
                <w:sz w:val="20"/>
                <w:lang w:val="en-CA" w:eastAsia="en-CA"/>
              </w:rPr>
            </w:pPr>
            <w:r w:rsidRPr="00D13040">
              <w:rPr>
                <w:b/>
                <w:color w:val="000000"/>
                <w:sz w:val="20"/>
              </w:rPr>
              <w:t>1,000,000</w:t>
            </w:r>
          </w:p>
        </w:tc>
        <w:tc>
          <w:tcPr>
            <w:tcW w:w="881" w:type="pct"/>
            <w:tcBorders>
              <w:top w:val="nil"/>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right"/>
              <w:rPr>
                <w:b/>
                <w:color w:val="000000"/>
                <w:sz w:val="20"/>
                <w:lang w:val="en-CA" w:eastAsia="en-CA"/>
              </w:rPr>
            </w:pPr>
            <w:r w:rsidRPr="00D13040">
              <w:rPr>
                <w:b/>
                <w:color w:val="000000"/>
                <w:sz w:val="20"/>
                <w:lang w:val="en-CA" w:eastAsia="en-CA"/>
              </w:rPr>
              <w:t>475,000</w:t>
            </w:r>
          </w:p>
        </w:tc>
      </w:tr>
      <w:tr w:rsidR="007D6CE1" w:rsidRPr="00D13040" w:rsidTr="00F72C91">
        <w:trPr>
          <w:trHeight w:val="227"/>
        </w:trPr>
        <w:tc>
          <w:tcPr>
            <w:tcW w:w="3238" w:type="pct"/>
            <w:tcBorders>
              <w:top w:val="nil"/>
              <w:left w:val="single" w:sz="4" w:space="0" w:color="auto"/>
              <w:bottom w:val="single" w:sz="4" w:space="0" w:color="auto"/>
              <w:right w:val="single" w:sz="4" w:space="0" w:color="auto"/>
            </w:tcBorders>
            <w:shd w:val="clear" w:color="auto" w:fill="auto"/>
            <w:hideMark/>
          </w:tcPr>
          <w:p w:rsidR="007D6CE1" w:rsidRPr="00D13040" w:rsidRDefault="007D6CE1" w:rsidP="004E5419">
            <w:pPr>
              <w:jc w:val="left"/>
              <w:rPr>
                <w:b/>
                <w:color w:val="000000"/>
                <w:sz w:val="20"/>
                <w:lang w:val="en-CA" w:eastAsia="en-CA"/>
              </w:rPr>
            </w:pPr>
            <w:r w:rsidRPr="00D13040">
              <w:rPr>
                <w:b/>
                <w:color w:val="000000"/>
                <w:sz w:val="20"/>
                <w:lang w:val="en-CA" w:eastAsia="en-CA"/>
              </w:rPr>
              <w:t>Funding request to MLF</w:t>
            </w:r>
          </w:p>
        </w:tc>
        <w:tc>
          <w:tcPr>
            <w:tcW w:w="881" w:type="pct"/>
            <w:tcBorders>
              <w:top w:val="single" w:sz="4" w:space="0" w:color="auto"/>
              <w:left w:val="nil"/>
              <w:bottom w:val="single" w:sz="4" w:space="0" w:color="auto"/>
              <w:right w:val="single" w:sz="4" w:space="0" w:color="auto"/>
            </w:tcBorders>
          </w:tcPr>
          <w:p w:rsidR="007D6CE1" w:rsidRPr="00D13040" w:rsidRDefault="007D6CE1" w:rsidP="004E5419">
            <w:pPr>
              <w:jc w:val="right"/>
              <w:rPr>
                <w:b/>
                <w:color w:val="000000"/>
                <w:sz w:val="20"/>
                <w:lang w:val="en-CA" w:eastAsia="en-CA"/>
              </w:rPr>
            </w:pPr>
            <w:r w:rsidRPr="00D13040">
              <w:rPr>
                <w:b/>
                <w:color w:val="000000"/>
                <w:sz w:val="20"/>
                <w:lang w:val="en-CA" w:eastAsia="en-CA"/>
              </w:rPr>
              <w:t>2,574,450</w:t>
            </w:r>
          </w:p>
        </w:tc>
        <w:tc>
          <w:tcPr>
            <w:tcW w:w="881" w:type="pct"/>
            <w:tcBorders>
              <w:top w:val="nil"/>
              <w:left w:val="single" w:sz="4" w:space="0" w:color="auto"/>
              <w:bottom w:val="single" w:sz="4" w:space="0" w:color="auto"/>
              <w:right w:val="single" w:sz="4" w:space="0" w:color="auto"/>
            </w:tcBorders>
            <w:shd w:val="clear" w:color="auto" w:fill="auto"/>
            <w:noWrap/>
            <w:hideMark/>
          </w:tcPr>
          <w:p w:rsidR="007D6CE1" w:rsidRPr="00D13040" w:rsidRDefault="007D6CE1" w:rsidP="004E5419">
            <w:pPr>
              <w:jc w:val="right"/>
              <w:rPr>
                <w:b/>
                <w:color w:val="000000"/>
                <w:sz w:val="20"/>
                <w:lang w:val="en-CA" w:eastAsia="en-CA"/>
              </w:rPr>
            </w:pPr>
            <w:r w:rsidRPr="00D13040">
              <w:rPr>
                <w:b/>
                <w:color w:val="000000"/>
                <w:sz w:val="20"/>
                <w:lang w:val="en-CA" w:eastAsia="en-CA"/>
              </w:rPr>
              <w:t>1,810,932</w:t>
            </w:r>
          </w:p>
        </w:tc>
      </w:tr>
    </w:tbl>
    <w:p w:rsidR="007D6CE1" w:rsidRPr="00D13040" w:rsidRDefault="007D6CE1" w:rsidP="004E5419">
      <w:pPr>
        <w:rPr>
          <w:lang w:val="en-CA"/>
        </w:rPr>
      </w:pPr>
    </w:p>
    <w:p w:rsidR="009A2CC5" w:rsidRPr="00D13040" w:rsidRDefault="007D6CE1" w:rsidP="004E5419">
      <w:pPr>
        <w:keepNext/>
        <w:rPr>
          <w:b/>
          <w:lang w:val="en-CA"/>
        </w:rPr>
      </w:pPr>
      <w:r w:rsidRPr="00D13040">
        <w:rPr>
          <w:b/>
          <w:lang w:val="en-CA"/>
        </w:rPr>
        <w:t>Agreed level of funding</w:t>
      </w:r>
    </w:p>
    <w:p w:rsidR="007D6CE1" w:rsidRPr="00D13040" w:rsidRDefault="007D6CE1" w:rsidP="004E5419">
      <w:pPr>
        <w:keepNext/>
        <w:rPr>
          <w:b/>
          <w:lang w:val="en-CA"/>
        </w:rPr>
      </w:pPr>
    </w:p>
    <w:p w:rsidR="0016014F" w:rsidRPr="00D13040" w:rsidRDefault="0016014F" w:rsidP="004E5419">
      <w:pPr>
        <w:pStyle w:val="Heading1"/>
        <w:rPr>
          <w:lang w:val="en-CA"/>
        </w:rPr>
      </w:pPr>
      <w:r w:rsidRPr="00D13040">
        <w:rPr>
          <w:lang w:val="en-CA"/>
        </w:rPr>
        <w:t>Based on the review of the Secretariat</w:t>
      </w:r>
      <w:r w:rsidR="0033170D" w:rsidRPr="00D13040">
        <w:rPr>
          <w:lang w:val="en-CA"/>
        </w:rPr>
        <w:t>, and</w:t>
      </w:r>
      <w:r w:rsidRPr="00D13040">
        <w:rPr>
          <w:lang w:val="en-CA"/>
        </w:rPr>
        <w:t xml:space="preserve"> discussions and clarifications provided by UNDP, the</w:t>
      </w:r>
      <w:r w:rsidR="00052A7E" w:rsidRPr="00D13040">
        <w:rPr>
          <w:lang w:val="en-CA"/>
        </w:rPr>
        <w:t xml:space="preserve"> proposed incremental cost</w:t>
      </w:r>
      <w:r w:rsidR="00B56167" w:rsidRPr="00D13040">
        <w:rPr>
          <w:lang w:val="en-CA"/>
        </w:rPr>
        <w:t>s</w:t>
      </w:r>
      <w:r w:rsidR="00052A7E" w:rsidRPr="00D13040">
        <w:rPr>
          <w:lang w:val="en-CA"/>
        </w:rPr>
        <w:t xml:space="preserve"> for conversion for the refrigerator manufacturing component of Bangladesh </w:t>
      </w:r>
      <w:r w:rsidR="007D6CE1" w:rsidRPr="00D13040">
        <w:rPr>
          <w:lang w:val="en-CA"/>
        </w:rPr>
        <w:t xml:space="preserve">amounts to US $3,131,610 </w:t>
      </w:r>
      <w:r w:rsidR="00167D05" w:rsidRPr="00D13040">
        <w:rPr>
          <w:lang w:val="en-CA"/>
        </w:rPr>
        <w:t xml:space="preserve">to phase-out </w:t>
      </w:r>
      <w:r w:rsidR="007D6CE1" w:rsidRPr="00D13040">
        <w:rPr>
          <w:lang w:val="en-CA"/>
        </w:rPr>
        <w:t>230.63 mt (329,801 CO</w:t>
      </w:r>
      <w:r w:rsidR="007D6CE1" w:rsidRPr="00D13040">
        <w:rPr>
          <w:vertAlign w:val="subscript"/>
          <w:lang w:val="en-CA"/>
        </w:rPr>
        <w:t>2</w:t>
      </w:r>
      <w:r w:rsidR="00A90E08" w:rsidRPr="00D13040">
        <w:rPr>
          <w:lang w:val="en-CA"/>
        </w:rPr>
        <w:t xml:space="preserve">-equivalent </w:t>
      </w:r>
      <w:r w:rsidR="007D6CE1" w:rsidRPr="00D13040">
        <w:rPr>
          <w:lang w:val="en-CA"/>
        </w:rPr>
        <w:t xml:space="preserve">tonnes) of HFC-134a </w:t>
      </w:r>
      <w:r w:rsidR="00167D05" w:rsidRPr="00D13040">
        <w:rPr>
          <w:lang w:val="en-CA"/>
        </w:rPr>
        <w:t xml:space="preserve">as </w:t>
      </w:r>
      <w:r w:rsidR="007D6CE1" w:rsidRPr="00D13040">
        <w:rPr>
          <w:lang w:val="en-CA"/>
        </w:rPr>
        <w:t>shown in Table 7</w:t>
      </w:r>
      <w:r w:rsidR="004E5419">
        <w:rPr>
          <w:lang w:val="en-CA"/>
        </w:rPr>
        <w:t>, noting that investment projects submitted in line with decision 78/3(g) were intended in part to gain experience in the incremental costs that might be associated with phasing down HFCs in Article 5 countries.</w:t>
      </w:r>
    </w:p>
    <w:p w:rsidR="00383E04" w:rsidRPr="00D13040" w:rsidRDefault="00383E04" w:rsidP="004E5419">
      <w:pPr>
        <w:pStyle w:val="Heading1"/>
        <w:keepNext/>
        <w:numPr>
          <w:ilvl w:val="0"/>
          <w:numId w:val="0"/>
        </w:numPr>
        <w:spacing w:after="0"/>
        <w:rPr>
          <w:lang w:val="en-CA"/>
        </w:rPr>
      </w:pPr>
      <w:proofErr w:type="gramStart"/>
      <w:r w:rsidRPr="00D13040">
        <w:rPr>
          <w:b/>
          <w:lang w:val="en-CA"/>
        </w:rPr>
        <w:t>Table 7.</w:t>
      </w:r>
      <w:proofErr w:type="gramEnd"/>
      <w:r w:rsidRPr="00D13040">
        <w:rPr>
          <w:b/>
          <w:lang w:val="en-CA"/>
        </w:rPr>
        <w:t xml:space="preserve"> Agreed incremental costs for conversion of refrigerator and compressor manufacturing component</w:t>
      </w:r>
      <w:r w:rsidR="00D10017" w:rsidRPr="00D13040">
        <w:rPr>
          <w:b/>
          <w:lang w:val="en-CA"/>
        </w:rPr>
        <w:t>s</w:t>
      </w:r>
    </w:p>
    <w:tbl>
      <w:tblPr>
        <w:tblW w:w="5000" w:type="pct"/>
        <w:tblLook w:val="04A0" w:firstRow="1" w:lastRow="0" w:firstColumn="1" w:lastColumn="0" w:noHBand="0" w:noVBand="1"/>
      </w:tblPr>
      <w:tblGrid>
        <w:gridCol w:w="3963"/>
        <w:gridCol w:w="1215"/>
        <w:gridCol w:w="1671"/>
        <w:gridCol w:w="2727"/>
      </w:tblGrid>
      <w:tr w:rsidR="00052A7E" w:rsidRPr="00D13040" w:rsidTr="00786F7E">
        <w:trPr>
          <w:trHeight w:val="227"/>
          <w:tblHeader/>
        </w:trPr>
        <w:tc>
          <w:tcPr>
            <w:tcW w:w="2148" w:type="pct"/>
            <w:tcBorders>
              <w:top w:val="single" w:sz="4" w:space="0" w:color="auto"/>
              <w:left w:val="single" w:sz="4" w:space="0" w:color="auto"/>
              <w:bottom w:val="single" w:sz="4" w:space="0" w:color="auto"/>
              <w:right w:val="single" w:sz="4" w:space="0" w:color="auto"/>
            </w:tcBorders>
            <w:shd w:val="clear" w:color="auto" w:fill="auto"/>
            <w:noWrap/>
            <w:hideMark/>
          </w:tcPr>
          <w:p w:rsidR="00052A7E" w:rsidRPr="00D13040" w:rsidRDefault="00052A7E" w:rsidP="004E5419">
            <w:pPr>
              <w:keepNext/>
              <w:jc w:val="left"/>
              <w:rPr>
                <w:b/>
                <w:color w:val="000000"/>
                <w:sz w:val="20"/>
                <w:lang w:val="en-CA" w:eastAsia="en-CA"/>
              </w:rPr>
            </w:pPr>
            <w:r w:rsidRPr="00D13040">
              <w:rPr>
                <w:b/>
                <w:color w:val="000000"/>
                <w:sz w:val="20"/>
                <w:lang w:val="en-CA" w:eastAsia="en-CA"/>
              </w:rPr>
              <w:t>Particulars</w:t>
            </w:r>
          </w:p>
        </w:tc>
        <w:tc>
          <w:tcPr>
            <w:tcW w:w="713" w:type="pct"/>
            <w:tcBorders>
              <w:top w:val="single" w:sz="4" w:space="0" w:color="auto"/>
              <w:left w:val="nil"/>
              <w:bottom w:val="single" w:sz="4" w:space="0" w:color="auto"/>
              <w:right w:val="single" w:sz="4" w:space="0" w:color="auto"/>
            </w:tcBorders>
            <w:shd w:val="clear" w:color="auto" w:fill="auto"/>
            <w:noWrap/>
            <w:hideMark/>
          </w:tcPr>
          <w:p w:rsidR="00052A7E" w:rsidRPr="00D13040" w:rsidRDefault="00052A7E" w:rsidP="004E5419">
            <w:pPr>
              <w:keepNext/>
              <w:jc w:val="center"/>
              <w:rPr>
                <w:b/>
                <w:color w:val="000000"/>
                <w:sz w:val="20"/>
                <w:lang w:val="en-CA" w:eastAsia="en-CA"/>
              </w:rPr>
            </w:pPr>
            <w:r w:rsidRPr="00D13040">
              <w:rPr>
                <w:b/>
                <w:color w:val="000000"/>
                <w:sz w:val="20"/>
                <w:lang w:val="en-CA" w:eastAsia="en-CA"/>
              </w:rPr>
              <w:t>US $</w:t>
            </w:r>
          </w:p>
        </w:tc>
        <w:tc>
          <w:tcPr>
            <w:tcW w:w="951" w:type="pct"/>
            <w:tcBorders>
              <w:top w:val="single" w:sz="4" w:space="0" w:color="auto"/>
              <w:left w:val="nil"/>
              <w:bottom w:val="single" w:sz="4" w:space="0" w:color="auto"/>
              <w:right w:val="single" w:sz="4" w:space="0" w:color="auto"/>
            </w:tcBorders>
            <w:shd w:val="clear" w:color="auto" w:fill="auto"/>
            <w:hideMark/>
          </w:tcPr>
          <w:p w:rsidR="00052A7E" w:rsidRPr="00D13040" w:rsidRDefault="00052A7E" w:rsidP="004E5419">
            <w:pPr>
              <w:keepNext/>
              <w:jc w:val="center"/>
              <w:rPr>
                <w:b/>
                <w:color w:val="000000"/>
                <w:sz w:val="20"/>
                <w:lang w:val="en-CA" w:eastAsia="en-CA"/>
              </w:rPr>
            </w:pPr>
            <w:r w:rsidRPr="00D13040">
              <w:rPr>
                <w:b/>
                <w:color w:val="000000"/>
                <w:sz w:val="20"/>
                <w:lang w:val="en-CA" w:eastAsia="en-CA"/>
              </w:rPr>
              <w:t>HFC-134a phase-out (mt)</w:t>
            </w:r>
          </w:p>
        </w:tc>
        <w:tc>
          <w:tcPr>
            <w:tcW w:w="1189" w:type="pct"/>
            <w:tcBorders>
              <w:top w:val="single" w:sz="4" w:space="0" w:color="auto"/>
              <w:left w:val="nil"/>
              <w:bottom w:val="single" w:sz="4" w:space="0" w:color="auto"/>
              <w:right w:val="single" w:sz="4" w:space="0" w:color="auto"/>
            </w:tcBorders>
            <w:shd w:val="clear" w:color="auto" w:fill="auto"/>
            <w:noWrap/>
            <w:hideMark/>
          </w:tcPr>
          <w:p w:rsidR="00052A7E" w:rsidRPr="00D13040" w:rsidRDefault="00052A7E" w:rsidP="004E5419">
            <w:pPr>
              <w:keepNext/>
              <w:jc w:val="center"/>
              <w:rPr>
                <w:b/>
                <w:color w:val="000000"/>
                <w:sz w:val="20"/>
                <w:lang w:val="en-CA" w:eastAsia="en-CA"/>
              </w:rPr>
            </w:pPr>
            <w:r w:rsidRPr="00D13040">
              <w:rPr>
                <w:b/>
                <w:color w:val="000000"/>
                <w:sz w:val="20"/>
                <w:lang w:val="en-CA" w:eastAsia="en-CA"/>
              </w:rPr>
              <w:t>Cost – effectiveness (US $/kg)</w:t>
            </w:r>
          </w:p>
        </w:tc>
      </w:tr>
      <w:tr w:rsidR="00052A7E" w:rsidRPr="00D13040" w:rsidTr="00723436">
        <w:trPr>
          <w:trHeight w:val="227"/>
        </w:trPr>
        <w:tc>
          <w:tcPr>
            <w:tcW w:w="2148" w:type="pct"/>
            <w:tcBorders>
              <w:top w:val="nil"/>
              <w:left w:val="single" w:sz="4" w:space="0" w:color="auto"/>
              <w:bottom w:val="single" w:sz="4" w:space="0" w:color="auto"/>
              <w:right w:val="single" w:sz="4" w:space="0" w:color="auto"/>
            </w:tcBorders>
            <w:shd w:val="clear" w:color="auto" w:fill="auto"/>
            <w:noWrap/>
            <w:hideMark/>
          </w:tcPr>
          <w:p w:rsidR="00052A7E" w:rsidRPr="00D13040" w:rsidRDefault="00052A7E" w:rsidP="004E5419">
            <w:pPr>
              <w:jc w:val="left"/>
              <w:rPr>
                <w:color w:val="000000"/>
                <w:sz w:val="20"/>
                <w:lang w:val="en-CA" w:eastAsia="en-CA"/>
              </w:rPr>
            </w:pPr>
            <w:r w:rsidRPr="00D13040">
              <w:rPr>
                <w:color w:val="000000"/>
                <w:sz w:val="20"/>
                <w:lang w:val="en-CA" w:eastAsia="en-CA"/>
              </w:rPr>
              <w:t>Refrigerator manufacturing</w:t>
            </w:r>
          </w:p>
        </w:tc>
        <w:tc>
          <w:tcPr>
            <w:tcW w:w="713" w:type="pct"/>
            <w:tcBorders>
              <w:top w:val="nil"/>
              <w:left w:val="nil"/>
              <w:bottom w:val="single" w:sz="4" w:space="0" w:color="auto"/>
              <w:right w:val="single" w:sz="4" w:space="0" w:color="auto"/>
            </w:tcBorders>
            <w:shd w:val="clear" w:color="auto" w:fill="auto"/>
            <w:noWrap/>
            <w:hideMark/>
          </w:tcPr>
          <w:p w:rsidR="00052A7E" w:rsidRPr="00D13040" w:rsidRDefault="00052A7E" w:rsidP="004E5419">
            <w:pPr>
              <w:jc w:val="right"/>
              <w:rPr>
                <w:color w:val="000000"/>
                <w:sz w:val="20"/>
                <w:lang w:val="en-CA" w:eastAsia="en-CA"/>
              </w:rPr>
            </w:pPr>
            <w:r w:rsidRPr="00D13040">
              <w:rPr>
                <w:color w:val="000000"/>
                <w:sz w:val="20"/>
                <w:lang w:val="en-CA" w:eastAsia="en-CA"/>
              </w:rPr>
              <w:t>1,160,678</w:t>
            </w:r>
          </w:p>
        </w:tc>
        <w:tc>
          <w:tcPr>
            <w:tcW w:w="951" w:type="pct"/>
            <w:tcBorders>
              <w:top w:val="nil"/>
              <w:left w:val="nil"/>
              <w:bottom w:val="single" w:sz="4" w:space="0" w:color="auto"/>
              <w:right w:val="single" w:sz="4" w:space="0" w:color="auto"/>
            </w:tcBorders>
            <w:shd w:val="clear" w:color="auto" w:fill="auto"/>
            <w:noWrap/>
            <w:hideMark/>
          </w:tcPr>
          <w:p w:rsidR="00052A7E" w:rsidRPr="00D13040" w:rsidRDefault="00052A7E" w:rsidP="004E5419">
            <w:pPr>
              <w:jc w:val="right"/>
              <w:rPr>
                <w:color w:val="000000"/>
                <w:sz w:val="20"/>
                <w:lang w:val="en-CA" w:eastAsia="en-CA"/>
              </w:rPr>
            </w:pPr>
            <w:r w:rsidRPr="00D13040">
              <w:rPr>
                <w:color w:val="000000"/>
                <w:sz w:val="20"/>
                <w:lang w:val="en-CA" w:eastAsia="en-CA"/>
              </w:rPr>
              <w:t>197.30</w:t>
            </w:r>
          </w:p>
        </w:tc>
        <w:tc>
          <w:tcPr>
            <w:tcW w:w="1189" w:type="pct"/>
            <w:tcBorders>
              <w:top w:val="nil"/>
              <w:left w:val="nil"/>
              <w:bottom w:val="single" w:sz="4" w:space="0" w:color="auto"/>
              <w:right w:val="single" w:sz="4" w:space="0" w:color="auto"/>
            </w:tcBorders>
            <w:shd w:val="clear" w:color="auto" w:fill="auto"/>
            <w:noWrap/>
            <w:hideMark/>
          </w:tcPr>
          <w:p w:rsidR="00052A7E" w:rsidRPr="00D13040" w:rsidRDefault="00052A7E" w:rsidP="004E5419">
            <w:pPr>
              <w:jc w:val="right"/>
              <w:rPr>
                <w:color w:val="000000"/>
                <w:sz w:val="20"/>
                <w:lang w:val="en-CA" w:eastAsia="en-CA"/>
              </w:rPr>
            </w:pPr>
            <w:r w:rsidRPr="00D13040">
              <w:rPr>
                <w:color w:val="000000"/>
                <w:sz w:val="20"/>
                <w:lang w:val="en-CA" w:eastAsia="en-CA"/>
              </w:rPr>
              <w:t>5.88</w:t>
            </w:r>
          </w:p>
        </w:tc>
      </w:tr>
      <w:tr w:rsidR="00052A7E" w:rsidRPr="00D13040" w:rsidTr="00723436">
        <w:trPr>
          <w:trHeight w:val="227"/>
        </w:trPr>
        <w:tc>
          <w:tcPr>
            <w:tcW w:w="2148" w:type="pct"/>
            <w:tcBorders>
              <w:top w:val="nil"/>
              <w:left w:val="single" w:sz="4" w:space="0" w:color="auto"/>
              <w:bottom w:val="single" w:sz="4" w:space="0" w:color="auto"/>
              <w:right w:val="single" w:sz="4" w:space="0" w:color="auto"/>
            </w:tcBorders>
            <w:shd w:val="clear" w:color="auto" w:fill="auto"/>
            <w:noWrap/>
            <w:hideMark/>
          </w:tcPr>
          <w:p w:rsidR="00052A7E" w:rsidRPr="00D13040" w:rsidRDefault="00052A7E" w:rsidP="004E5419">
            <w:pPr>
              <w:jc w:val="left"/>
              <w:rPr>
                <w:color w:val="000000"/>
                <w:sz w:val="20"/>
                <w:lang w:val="en-CA" w:eastAsia="en-CA"/>
              </w:rPr>
            </w:pPr>
            <w:r w:rsidRPr="00D13040">
              <w:rPr>
                <w:color w:val="000000"/>
                <w:sz w:val="20"/>
                <w:lang w:val="en-CA" w:eastAsia="en-CA"/>
              </w:rPr>
              <w:t>Compressor manufacturing</w:t>
            </w:r>
          </w:p>
        </w:tc>
        <w:tc>
          <w:tcPr>
            <w:tcW w:w="713" w:type="pct"/>
            <w:tcBorders>
              <w:top w:val="nil"/>
              <w:left w:val="nil"/>
              <w:bottom w:val="single" w:sz="4" w:space="0" w:color="auto"/>
              <w:right w:val="single" w:sz="4" w:space="0" w:color="auto"/>
            </w:tcBorders>
            <w:shd w:val="clear" w:color="auto" w:fill="auto"/>
            <w:noWrap/>
            <w:hideMark/>
          </w:tcPr>
          <w:p w:rsidR="00052A7E" w:rsidRPr="00D13040" w:rsidRDefault="00052A7E" w:rsidP="004E5419">
            <w:pPr>
              <w:jc w:val="right"/>
              <w:rPr>
                <w:color w:val="000000"/>
                <w:sz w:val="20"/>
                <w:lang w:val="en-CA" w:eastAsia="en-CA"/>
              </w:rPr>
            </w:pPr>
            <w:r w:rsidRPr="00D13040">
              <w:rPr>
                <w:color w:val="000000"/>
                <w:sz w:val="20"/>
                <w:lang w:val="en-CA" w:eastAsia="en-CA"/>
              </w:rPr>
              <w:t>1,810,932</w:t>
            </w:r>
          </w:p>
        </w:tc>
        <w:tc>
          <w:tcPr>
            <w:tcW w:w="951" w:type="pct"/>
            <w:tcBorders>
              <w:top w:val="nil"/>
              <w:left w:val="nil"/>
              <w:bottom w:val="single" w:sz="4" w:space="0" w:color="auto"/>
              <w:right w:val="single" w:sz="4" w:space="0" w:color="auto"/>
            </w:tcBorders>
            <w:shd w:val="clear" w:color="auto" w:fill="auto"/>
            <w:noWrap/>
            <w:hideMark/>
          </w:tcPr>
          <w:p w:rsidR="00052A7E" w:rsidRPr="00D13040" w:rsidRDefault="00052A7E" w:rsidP="004E5419">
            <w:pPr>
              <w:jc w:val="right"/>
              <w:rPr>
                <w:color w:val="000000"/>
                <w:sz w:val="20"/>
                <w:lang w:val="en-CA" w:eastAsia="en-CA"/>
              </w:rPr>
            </w:pPr>
          </w:p>
        </w:tc>
        <w:tc>
          <w:tcPr>
            <w:tcW w:w="1189" w:type="pct"/>
            <w:tcBorders>
              <w:top w:val="nil"/>
              <w:left w:val="nil"/>
              <w:bottom w:val="single" w:sz="4" w:space="0" w:color="auto"/>
              <w:right w:val="single" w:sz="4" w:space="0" w:color="auto"/>
            </w:tcBorders>
            <w:shd w:val="clear" w:color="auto" w:fill="auto"/>
            <w:noWrap/>
            <w:hideMark/>
          </w:tcPr>
          <w:p w:rsidR="00052A7E" w:rsidRPr="00D13040" w:rsidRDefault="00052A7E" w:rsidP="004E5419">
            <w:pPr>
              <w:jc w:val="right"/>
              <w:rPr>
                <w:color w:val="000000"/>
                <w:sz w:val="20"/>
                <w:lang w:val="en-CA" w:eastAsia="en-CA"/>
              </w:rPr>
            </w:pPr>
            <w:r w:rsidRPr="00D13040">
              <w:rPr>
                <w:color w:val="000000"/>
                <w:sz w:val="20"/>
                <w:lang w:val="en-CA" w:eastAsia="en-CA"/>
              </w:rPr>
              <w:t>NA</w:t>
            </w:r>
          </w:p>
        </w:tc>
      </w:tr>
      <w:tr w:rsidR="00052A7E" w:rsidRPr="00D13040" w:rsidTr="00723436">
        <w:trPr>
          <w:trHeight w:val="227"/>
        </w:trPr>
        <w:tc>
          <w:tcPr>
            <w:tcW w:w="2148" w:type="pct"/>
            <w:tcBorders>
              <w:top w:val="nil"/>
              <w:left w:val="single" w:sz="4" w:space="0" w:color="auto"/>
              <w:bottom w:val="single" w:sz="4" w:space="0" w:color="auto"/>
              <w:right w:val="single" w:sz="4" w:space="0" w:color="auto"/>
            </w:tcBorders>
            <w:shd w:val="clear" w:color="auto" w:fill="auto"/>
            <w:noWrap/>
          </w:tcPr>
          <w:p w:rsidR="00052A7E" w:rsidRPr="00D13040" w:rsidRDefault="00052A7E" w:rsidP="004E5419">
            <w:pPr>
              <w:jc w:val="left"/>
              <w:rPr>
                <w:color w:val="000000"/>
                <w:sz w:val="20"/>
                <w:lang w:val="en-CA" w:eastAsia="en-CA"/>
              </w:rPr>
            </w:pPr>
            <w:r w:rsidRPr="00D13040">
              <w:rPr>
                <w:color w:val="000000"/>
                <w:sz w:val="20"/>
                <w:lang w:val="en-CA" w:eastAsia="en-CA"/>
              </w:rPr>
              <w:t>Service sector component</w:t>
            </w:r>
            <w:r w:rsidR="006C6917" w:rsidRPr="00D13040">
              <w:rPr>
                <w:color w:val="000000"/>
                <w:sz w:val="20"/>
                <w:lang w:val="en-CA" w:eastAsia="en-CA"/>
              </w:rPr>
              <w:t>*</w:t>
            </w:r>
          </w:p>
        </w:tc>
        <w:tc>
          <w:tcPr>
            <w:tcW w:w="713" w:type="pct"/>
            <w:tcBorders>
              <w:top w:val="nil"/>
              <w:left w:val="nil"/>
              <w:bottom w:val="single" w:sz="4" w:space="0" w:color="auto"/>
              <w:right w:val="single" w:sz="4" w:space="0" w:color="auto"/>
            </w:tcBorders>
            <w:shd w:val="clear" w:color="auto" w:fill="auto"/>
            <w:noWrap/>
          </w:tcPr>
          <w:p w:rsidR="00052A7E" w:rsidRPr="00D13040" w:rsidRDefault="00052A7E" w:rsidP="004E5419">
            <w:pPr>
              <w:jc w:val="right"/>
              <w:rPr>
                <w:color w:val="000000"/>
                <w:sz w:val="20"/>
                <w:lang w:val="en-CA" w:eastAsia="en-CA"/>
              </w:rPr>
            </w:pPr>
            <w:r w:rsidRPr="00D13040">
              <w:rPr>
                <w:color w:val="000000"/>
                <w:sz w:val="20"/>
                <w:lang w:val="en-CA" w:eastAsia="en-CA"/>
              </w:rPr>
              <w:t>1</w:t>
            </w:r>
            <w:r w:rsidR="00CA5473" w:rsidRPr="00D13040">
              <w:rPr>
                <w:color w:val="000000"/>
                <w:sz w:val="20"/>
                <w:lang w:val="en-CA" w:eastAsia="en-CA"/>
              </w:rPr>
              <w:t>6</w:t>
            </w:r>
            <w:r w:rsidRPr="00D13040">
              <w:rPr>
                <w:color w:val="000000"/>
                <w:sz w:val="20"/>
                <w:lang w:val="en-CA" w:eastAsia="en-CA"/>
              </w:rPr>
              <w:t>0,000</w:t>
            </w:r>
          </w:p>
        </w:tc>
        <w:tc>
          <w:tcPr>
            <w:tcW w:w="951" w:type="pct"/>
            <w:tcBorders>
              <w:top w:val="nil"/>
              <w:left w:val="nil"/>
              <w:bottom w:val="single" w:sz="4" w:space="0" w:color="auto"/>
              <w:right w:val="single" w:sz="4" w:space="0" w:color="auto"/>
            </w:tcBorders>
            <w:shd w:val="clear" w:color="auto" w:fill="auto"/>
            <w:noWrap/>
          </w:tcPr>
          <w:p w:rsidR="00052A7E" w:rsidRPr="00D13040" w:rsidRDefault="00CA5473" w:rsidP="004E5419">
            <w:pPr>
              <w:jc w:val="right"/>
              <w:rPr>
                <w:color w:val="000000"/>
                <w:sz w:val="20"/>
                <w:lang w:val="en-CA" w:eastAsia="en-CA"/>
              </w:rPr>
            </w:pPr>
            <w:r w:rsidRPr="00D13040">
              <w:rPr>
                <w:color w:val="000000"/>
                <w:sz w:val="20"/>
                <w:lang w:val="en-CA" w:eastAsia="en-CA"/>
              </w:rPr>
              <w:t>33.33</w:t>
            </w:r>
          </w:p>
        </w:tc>
        <w:tc>
          <w:tcPr>
            <w:tcW w:w="1189" w:type="pct"/>
            <w:tcBorders>
              <w:top w:val="nil"/>
              <w:left w:val="nil"/>
              <w:bottom w:val="single" w:sz="4" w:space="0" w:color="auto"/>
              <w:right w:val="single" w:sz="4" w:space="0" w:color="auto"/>
            </w:tcBorders>
            <w:shd w:val="clear" w:color="auto" w:fill="auto"/>
            <w:noWrap/>
          </w:tcPr>
          <w:p w:rsidR="00052A7E" w:rsidRPr="00D13040" w:rsidRDefault="00052A7E" w:rsidP="004E5419">
            <w:pPr>
              <w:jc w:val="right"/>
              <w:rPr>
                <w:color w:val="000000"/>
                <w:sz w:val="20"/>
                <w:lang w:val="en-CA" w:eastAsia="en-CA"/>
              </w:rPr>
            </w:pPr>
            <w:r w:rsidRPr="00D13040">
              <w:rPr>
                <w:color w:val="000000"/>
                <w:sz w:val="20"/>
                <w:lang w:val="en-CA" w:eastAsia="en-CA"/>
              </w:rPr>
              <w:t>4.80</w:t>
            </w:r>
          </w:p>
        </w:tc>
      </w:tr>
      <w:tr w:rsidR="00052A7E" w:rsidRPr="00D13040" w:rsidTr="00723436">
        <w:trPr>
          <w:trHeight w:val="227"/>
        </w:trPr>
        <w:tc>
          <w:tcPr>
            <w:tcW w:w="2148" w:type="pct"/>
            <w:tcBorders>
              <w:top w:val="nil"/>
              <w:left w:val="single" w:sz="4" w:space="0" w:color="auto"/>
              <w:bottom w:val="single" w:sz="4" w:space="0" w:color="auto"/>
              <w:right w:val="single" w:sz="4" w:space="0" w:color="auto"/>
            </w:tcBorders>
            <w:shd w:val="clear" w:color="auto" w:fill="auto"/>
            <w:noWrap/>
            <w:hideMark/>
          </w:tcPr>
          <w:p w:rsidR="00052A7E" w:rsidRPr="00D13040" w:rsidRDefault="00052A7E" w:rsidP="004E5419">
            <w:pPr>
              <w:jc w:val="left"/>
              <w:rPr>
                <w:b/>
                <w:color w:val="000000"/>
                <w:sz w:val="20"/>
                <w:lang w:val="en-CA" w:eastAsia="en-CA"/>
              </w:rPr>
            </w:pPr>
            <w:r w:rsidRPr="00D13040">
              <w:rPr>
                <w:b/>
                <w:color w:val="000000"/>
                <w:sz w:val="20"/>
                <w:lang w:val="en-CA" w:eastAsia="en-CA"/>
              </w:rPr>
              <w:t>Total</w:t>
            </w:r>
          </w:p>
        </w:tc>
        <w:tc>
          <w:tcPr>
            <w:tcW w:w="713" w:type="pct"/>
            <w:tcBorders>
              <w:top w:val="nil"/>
              <w:left w:val="nil"/>
              <w:bottom w:val="single" w:sz="4" w:space="0" w:color="auto"/>
              <w:right w:val="single" w:sz="4" w:space="0" w:color="auto"/>
            </w:tcBorders>
            <w:shd w:val="clear" w:color="auto" w:fill="auto"/>
            <w:noWrap/>
            <w:hideMark/>
          </w:tcPr>
          <w:p w:rsidR="00052A7E" w:rsidRPr="00D13040" w:rsidRDefault="00052A7E" w:rsidP="004E5419">
            <w:pPr>
              <w:jc w:val="right"/>
              <w:rPr>
                <w:b/>
                <w:color w:val="000000"/>
                <w:sz w:val="20"/>
                <w:lang w:val="en-CA" w:eastAsia="en-CA"/>
              </w:rPr>
            </w:pPr>
            <w:r w:rsidRPr="00D13040">
              <w:rPr>
                <w:b/>
                <w:color w:val="000000"/>
                <w:sz w:val="20"/>
                <w:lang w:val="en-CA" w:eastAsia="en-CA"/>
              </w:rPr>
              <w:fldChar w:fldCharType="begin"/>
            </w:r>
            <w:r w:rsidRPr="00D13040">
              <w:rPr>
                <w:b/>
                <w:color w:val="000000"/>
                <w:sz w:val="20"/>
                <w:lang w:val="en-CA" w:eastAsia="en-CA"/>
              </w:rPr>
              <w:instrText xml:space="preserve"> =SUM(ABOVE) </w:instrText>
            </w:r>
            <w:r w:rsidRPr="00D13040">
              <w:rPr>
                <w:b/>
                <w:color w:val="000000"/>
                <w:sz w:val="20"/>
                <w:lang w:val="en-CA" w:eastAsia="en-CA"/>
              </w:rPr>
              <w:fldChar w:fldCharType="separate"/>
            </w:r>
            <w:r w:rsidR="00CA5473" w:rsidRPr="00D13040">
              <w:rPr>
                <w:b/>
                <w:noProof/>
                <w:color w:val="000000"/>
                <w:sz w:val="20"/>
                <w:lang w:val="en-CA" w:eastAsia="en-CA"/>
              </w:rPr>
              <w:t>3,131,610</w:t>
            </w:r>
            <w:r w:rsidRPr="00D13040">
              <w:rPr>
                <w:b/>
                <w:color w:val="000000"/>
                <w:sz w:val="20"/>
                <w:lang w:val="en-CA" w:eastAsia="en-CA"/>
              </w:rPr>
              <w:fldChar w:fldCharType="end"/>
            </w:r>
          </w:p>
        </w:tc>
        <w:tc>
          <w:tcPr>
            <w:tcW w:w="951" w:type="pct"/>
            <w:tcBorders>
              <w:top w:val="nil"/>
              <w:left w:val="nil"/>
              <w:bottom w:val="single" w:sz="4" w:space="0" w:color="auto"/>
              <w:right w:val="single" w:sz="4" w:space="0" w:color="auto"/>
            </w:tcBorders>
            <w:shd w:val="clear" w:color="auto" w:fill="auto"/>
            <w:noWrap/>
            <w:hideMark/>
          </w:tcPr>
          <w:p w:rsidR="00052A7E" w:rsidRPr="00D13040" w:rsidRDefault="00CA5473" w:rsidP="004E5419">
            <w:pPr>
              <w:jc w:val="right"/>
              <w:rPr>
                <w:b/>
                <w:color w:val="000000"/>
                <w:sz w:val="20"/>
                <w:lang w:val="en-CA" w:eastAsia="en-CA"/>
              </w:rPr>
            </w:pPr>
            <w:r w:rsidRPr="00D13040">
              <w:rPr>
                <w:b/>
                <w:color w:val="000000"/>
                <w:sz w:val="20"/>
                <w:lang w:val="en-CA" w:eastAsia="en-CA"/>
              </w:rPr>
              <w:t>2</w:t>
            </w:r>
            <w:r w:rsidR="00786F7E" w:rsidRPr="00D13040">
              <w:rPr>
                <w:b/>
                <w:color w:val="000000"/>
                <w:sz w:val="20"/>
                <w:lang w:val="en-CA" w:eastAsia="en-CA"/>
              </w:rPr>
              <w:t>30</w:t>
            </w:r>
            <w:r w:rsidRPr="00D13040">
              <w:rPr>
                <w:b/>
                <w:color w:val="000000"/>
                <w:sz w:val="20"/>
                <w:lang w:val="en-CA" w:eastAsia="en-CA"/>
              </w:rPr>
              <w:t>.63</w:t>
            </w:r>
          </w:p>
        </w:tc>
        <w:tc>
          <w:tcPr>
            <w:tcW w:w="1189" w:type="pct"/>
            <w:tcBorders>
              <w:top w:val="nil"/>
              <w:left w:val="nil"/>
              <w:bottom w:val="single" w:sz="4" w:space="0" w:color="auto"/>
              <w:right w:val="single" w:sz="4" w:space="0" w:color="auto"/>
            </w:tcBorders>
            <w:shd w:val="clear" w:color="auto" w:fill="auto"/>
            <w:noWrap/>
            <w:hideMark/>
          </w:tcPr>
          <w:p w:rsidR="00052A7E" w:rsidRPr="00D13040" w:rsidRDefault="00052A7E" w:rsidP="004E5419">
            <w:pPr>
              <w:jc w:val="right"/>
              <w:rPr>
                <w:b/>
                <w:color w:val="000000"/>
                <w:sz w:val="20"/>
                <w:lang w:val="en-CA" w:eastAsia="en-CA"/>
              </w:rPr>
            </w:pPr>
          </w:p>
        </w:tc>
      </w:tr>
    </w:tbl>
    <w:p w:rsidR="00E85409" w:rsidRPr="00D13040" w:rsidRDefault="00052A7E" w:rsidP="004E5419">
      <w:pPr>
        <w:rPr>
          <w:sz w:val="18"/>
          <w:lang w:val="en-CA"/>
        </w:rPr>
      </w:pPr>
      <w:r w:rsidRPr="00D13040">
        <w:rPr>
          <w:sz w:val="18"/>
          <w:lang w:val="en-CA"/>
        </w:rPr>
        <w:t xml:space="preserve">*Decision 74/50 paragraph (c).  </w:t>
      </w:r>
    </w:p>
    <w:p w:rsidR="00167D05" w:rsidRPr="00D13040" w:rsidRDefault="00167D05" w:rsidP="004E5419">
      <w:pPr>
        <w:rPr>
          <w:lang w:val="en-CA"/>
        </w:rPr>
      </w:pPr>
    </w:p>
    <w:p w:rsidR="001E1E76" w:rsidRPr="00D13040" w:rsidRDefault="00A657A1" w:rsidP="004E5419">
      <w:pPr>
        <w:pStyle w:val="Heading1"/>
        <w:rPr>
          <w:lang w:val="en-CA"/>
        </w:rPr>
      </w:pPr>
      <w:r w:rsidRPr="00D13040">
        <w:rPr>
          <w:lang w:val="en-CA"/>
        </w:rPr>
        <w:t>The enterprise has committed</w:t>
      </w:r>
      <w:r w:rsidR="001E1E76" w:rsidRPr="00D13040">
        <w:rPr>
          <w:lang w:val="en-CA"/>
        </w:rPr>
        <w:t xml:space="preserve"> </w:t>
      </w:r>
      <w:r w:rsidRPr="00D13040">
        <w:rPr>
          <w:lang w:val="en-CA"/>
        </w:rPr>
        <w:t xml:space="preserve">that it </w:t>
      </w:r>
      <w:r w:rsidR="001E1E76" w:rsidRPr="00D13040">
        <w:rPr>
          <w:lang w:val="en-CA"/>
        </w:rPr>
        <w:t>will stop using HFC-134a in producing domestic refrigerators upon project completion</w:t>
      </w:r>
      <w:r w:rsidRPr="00D13040">
        <w:rPr>
          <w:lang w:val="en-CA"/>
        </w:rPr>
        <w:t xml:space="preserve"> by December 2019, leading to a reduction of more than 90 per cent of the HFC-134a used in domestic refrigerator manufacturing in the country.</w:t>
      </w:r>
    </w:p>
    <w:p w:rsidR="001E1E76" w:rsidRPr="00D13040" w:rsidRDefault="00086323" w:rsidP="004E5419">
      <w:pPr>
        <w:keepNext/>
        <w:rPr>
          <w:b/>
          <w:lang w:val="en-CA"/>
        </w:rPr>
      </w:pPr>
      <w:r w:rsidRPr="00D13040">
        <w:rPr>
          <w:b/>
          <w:lang w:val="en-CA"/>
        </w:rPr>
        <w:t>2017-2019 Business p</w:t>
      </w:r>
      <w:r w:rsidR="001E1E76" w:rsidRPr="00D13040">
        <w:rPr>
          <w:b/>
          <w:lang w:val="en-CA"/>
        </w:rPr>
        <w:t>lan</w:t>
      </w:r>
    </w:p>
    <w:p w:rsidR="001E1E76" w:rsidRPr="00D13040" w:rsidRDefault="001E1E76" w:rsidP="004E5419">
      <w:pPr>
        <w:keepNext/>
        <w:rPr>
          <w:lang w:val="en-CA"/>
        </w:rPr>
      </w:pPr>
    </w:p>
    <w:p w:rsidR="001E1E76" w:rsidRPr="00D13040" w:rsidRDefault="001E1E76" w:rsidP="004E5419">
      <w:pPr>
        <w:pStyle w:val="Heading1"/>
        <w:keepNext/>
        <w:rPr>
          <w:lang w:val="en-CA"/>
        </w:rPr>
      </w:pPr>
      <w:r w:rsidRPr="00D13040">
        <w:rPr>
          <w:lang w:val="en-CA"/>
        </w:rPr>
        <w:t>This project does not fall under the regular business plans submitted to the Secretariat and presented to the Executive Committee as it falls under the purview of decision 78/3(g).</w:t>
      </w:r>
    </w:p>
    <w:p w:rsidR="00052A7E" w:rsidRPr="00D13040" w:rsidRDefault="00052A7E" w:rsidP="004E5419">
      <w:pPr>
        <w:rPr>
          <w:b/>
          <w:lang w:val="en-CA"/>
        </w:rPr>
      </w:pPr>
      <w:r w:rsidRPr="00D13040">
        <w:rPr>
          <w:b/>
          <w:lang w:val="en-CA"/>
        </w:rPr>
        <w:t>Recommendation</w:t>
      </w:r>
    </w:p>
    <w:p w:rsidR="00E85409" w:rsidRPr="00D13040" w:rsidRDefault="00E85409" w:rsidP="004E5419">
      <w:pPr>
        <w:rPr>
          <w:lang w:val="en-CA"/>
        </w:rPr>
      </w:pPr>
    </w:p>
    <w:p w:rsidR="00E85409" w:rsidRPr="00D13040" w:rsidRDefault="00086323" w:rsidP="004E5419">
      <w:pPr>
        <w:pStyle w:val="Heading1"/>
        <w:rPr>
          <w:lang w:val="en-CA"/>
        </w:rPr>
      </w:pPr>
      <w:r w:rsidRPr="00D13040">
        <w:rPr>
          <w:lang w:val="en-CA"/>
        </w:rPr>
        <w:t xml:space="preserve">The Executive Committee may wish to consider </w:t>
      </w:r>
      <w:r w:rsidR="00167D05" w:rsidRPr="00D13040">
        <w:rPr>
          <w:lang w:val="en-CA"/>
        </w:rPr>
        <w:t>the projects for the conversion of domestic refrigerator manufacturing facility from HFC-134a to isobutane as a refrigerant</w:t>
      </w:r>
      <w:r w:rsidR="00BC45FC">
        <w:rPr>
          <w:lang w:val="en-CA"/>
        </w:rPr>
        <w:t>,</w:t>
      </w:r>
      <w:r w:rsidR="00167D05" w:rsidRPr="00D13040">
        <w:rPr>
          <w:lang w:val="en-CA"/>
        </w:rPr>
        <w:t xml:space="preserve"> and </w:t>
      </w:r>
      <w:r w:rsidR="00BC45FC">
        <w:rPr>
          <w:lang w:val="en-CA"/>
        </w:rPr>
        <w:t xml:space="preserve">the </w:t>
      </w:r>
      <w:r w:rsidR="00167D05" w:rsidRPr="00D13040">
        <w:rPr>
          <w:lang w:val="en-CA"/>
        </w:rPr>
        <w:t xml:space="preserve">conversion of compressor manufacturing facility from HFC-134a-based compressors to isobutane-based compressors at Walton Hitech Industries Limited </w:t>
      </w:r>
      <w:r w:rsidRPr="00D13040">
        <w:rPr>
          <w:lang w:val="en-CA"/>
        </w:rPr>
        <w:t>in the context of its discussion of the proposals for HFC-related projects described in the document on Overview of issues identified during project review (UNEP/</w:t>
      </w:r>
      <w:proofErr w:type="spellStart"/>
      <w:r w:rsidRPr="00D13040">
        <w:rPr>
          <w:lang w:val="en-CA"/>
        </w:rPr>
        <w:t>OzL.Pro</w:t>
      </w:r>
      <w:proofErr w:type="spellEnd"/>
      <w:r w:rsidRPr="00D13040">
        <w:rPr>
          <w:lang w:val="en-CA"/>
        </w:rPr>
        <w:t>/ExCom/79/19)</w:t>
      </w:r>
      <w:r w:rsidR="00052A7E" w:rsidRPr="00D13040">
        <w:rPr>
          <w:lang w:val="en-CA"/>
        </w:rPr>
        <w:t>.</w:t>
      </w:r>
    </w:p>
    <w:p w:rsidR="00E85409" w:rsidRDefault="00E85409" w:rsidP="004E5419">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85409" w:rsidTr="00193754">
        <w:tc>
          <w:tcPr>
            <w:tcW w:w="1915" w:type="dxa"/>
          </w:tcPr>
          <w:p w:rsidR="00E85409" w:rsidRDefault="00E85409" w:rsidP="004E5419"/>
        </w:tc>
        <w:tc>
          <w:tcPr>
            <w:tcW w:w="1915" w:type="dxa"/>
          </w:tcPr>
          <w:p w:rsidR="00E85409" w:rsidRDefault="00E85409" w:rsidP="004E5419"/>
        </w:tc>
        <w:tc>
          <w:tcPr>
            <w:tcW w:w="1915" w:type="dxa"/>
            <w:tcBorders>
              <w:bottom w:val="single" w:sz="4" w:space="0" w:color="auto"/>
            </w:tcBorders>
          </w:tcPr>
          <w:p w:rsidR="00E85409" w:rsidRDefault="00E85409" w:rsidP="004E5419"/>
        </w:tc>
        <w:tc>
          <w:tcPr>
            <w:tcW w:w="1915" w:type="dxa"/>
          </w:tcPr>
          <w:p w:rsidR="00E85409" w:rsidRDefault="00E85409" w:rsidP="004E5419"/>
        </w:tc>
        <w:tc>
          <w:tcPr>
            <w:tcW w:w="1916" w:type="dxa"/>
          </w:tcPr>
          <w:p w:rsidR="00E85409" w:rsidRDefault="00E85409" w:rsidP="004E5419"/>
        </w:tc>
      </w:tr>
    </w:tbl>
    <w:p w:rsidR="00E85409" w:rsidRPr="00B04161" w:rsidRDefault="00E85409" w:rsidP="004E5419">
      <w:pPr>
        <w:rPr>
          <w:lang w:val="en-CA"/>
        </w:rPr>
      </w:pPr>
    </w:p>
    <w:sectPr w:rsidR="00E85409" w:rsidRPr="00B04161" w:rsidSect="007E0ABA">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19" w:rsidRDefault="004E5419" w:rsidP="004A504B">
      <w:r>
        <w:separator/>
      </w:r>
    </w:p>
  </w:endnote>
  <w:endnote w:type="continuationSeparator" w:id="0">
    <w:p w:rsidR="004E5419" w:rsidRDefault="004E541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9" w:rsidRPr="0033525D" w:rsidRDefault="004E5419">
    <w:pPr>
      <w:jc w:val="center"/>
    </w:pPr>
    <w:r>
      <w:fldChar w:fldCharType="begin"/>
    </w:r>
    <w:r>
      <w:instrText xml:space="preserve"> PAGE </w:instrText>
    </w:r>
    <w:r>
      <w:fldChar w:fldCharType="separate"/>
    </w:r>
    <w:r w:rsidR="00C85891">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9" w:rsidRPr="0033525D" w:rsidRDefault="004E5419">
    <w:pPr>
      <w:jc w:val="center"/>
    </w:pPr>
    <w:r>
      <w:fldChar w:fldCharType="begin"/>
    </w:r>
    <w:r>
      <w:instrText xml:space="preserve"> PAGE </w:instrText>
    </w:r>
    <w:r>
      <w:fldChar w:fldCharType="separate"/>
    </w:r>
    <w:r w:rsidR="00C85891">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9" w:rsidRDefault="004E5419"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5419" w:rsidRDefault="004E5419"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19" w:rsidRDefault="004E5419" w:rsidP="004A504B">
      <w:r>
        <w:separator/>
      </w:r>
    </w:p>
  </w:footnote>
  <w:footnote w:type="continuationSeparator" w:id="0">
    <w:p w:rsidR="004E5419" w:rsidRDefault="004E5419" w:rsidP="004A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9" w:rsidRPr="0033525D" w:rsidRDefault="004E5419">
    <w:r>
      <w:fldChar w:fldCharType="begin"/>
    </w:r>
    <w:r>
      <w:instrText xml:space="preserve"> DOCPROPERTY "Document number"  \* MERGEFORMAT </w:instrText>
    </w:r>
    <w:r>
      <w:fldChar w:fldCharType="separate"/>
    </w:r>
    <w:r w:rsidR="00C85891">
      <w:t>UNEP/</w:t>
    </w:r>
    <w:proofErr w:type="spellStart"/>
    <w:r w:rsidR="00C85891">
      <w:t>OzL.Pro</w:t>
    </w:r>
    <w:proofErr w:type="spellEnd"/>
    <w:r w:rsidR="00C85891">
      <w:t>/ExCom/79/28</w:t>
    </w:r>
    <w:r>
      <w:fldChar w:fldCharType="end"/>
    </w:r>
  </w:p>
  <w:p w:rsidR="004E5419" w:rsidRPr="0033525D" w:rsidRDefault="004E5419"/>
  <w:p w:rsidR="004E5419" w:rsidRPr="0033525D" w:rsidRDefault="004E54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9" w:rsidRPr="0033525D" w:rsidRDefault="004E5419">
    <w:pPr>
      <w:jc w:val="right"/>
    </w:pPr>
    <w:r>
      <w:fldChar w:fldCharType="begin"/>
    </w:r>
    <w:r>
      <w:instrText xml:space="preserve"> DOCPROPERTY "Document number"  \* MERGEFORMAT </w:instrText>
    </w:r>
    <w:r>
      <w:fldChar w:fldCharType="separate"/>
    </w:r>
    <w:r w:rsidR="00C85891">
      <w:t>UNEP/</w:t>
    </w:r>
    <w:proofErr w:type="spellStart"/>
    <w:r w:rsidR="00C85891">
      <w:t>OzL.Pro</w:t>
    </w:r>
    <w:proofErr w:type="spellEnd"/>
    <w:r w:rsidR="00C85891">
      <w:t>/ExCom/79/28</w:t>
    </w:r>
    <w:r>
      <w:fldChar w:fldCharType="end"/>
    </w:r>
  </w:p>
  <w:p w:rsidR="004E5419" w:rsidRPr="0033525D" w:rsidRDefault="004E5419"/>
  <w:p w:rsidR="004E5419" w:rsidRPr="0033525D" w:rsidRDefault="004E5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0E882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BC"/>
    <w:rsid w:val="00000FED"/>
    <w:rsid w:val="00002B0E"/>
    <w:rsid w:val="000033C1"/>
    <w:rsid w:val="0000434E"/>
    <w:rsid w:val="00006E22"/>
    <w:rsid w:val="000211A9"/>
    <w:rsid w:val="00031260"/>
    <w:rsid w:val="0003681A"/>
    <w:rsid w:val="00052A7E"/>
    <w:rsid w:val="00061EC2"/>
    <w:rsid w:val="00064E2B"/>
    <w:rsid w:val="00066885"/>
    <w:rsid w:val="00080ED0"/>
    <w:rsid w:val="00085B8F"/>
    <w:rsid w:val="00086323"/>
    <w:rsid w:val="00090481"/>
    <w:rsid w:val="000A6C26"/>
    <w:rsid w:val="000E07BC"/>
    <w:rsid w:val="000E72B6"/>
    <w:rsid w:val="000F1CD4"/>
    <w:rsid w:val="000F4103"/>
    <w:rsid w:val="000F70A7"/>
    <w:rsid w:val="0010138F"/>
    <w:rsid w:val="00116DD0"/>
    <w:rsid w:val="00123390"/>
    <w:rsid w:val="001271E9"/>
    <w:rsid w:val="00134C9D"/>
    <w:rsid w:val="00135980"/>
    <w:rsid w:val="00146F76"/>
    <w:rsid w:val="0016014F"/>
    <w:rsid w:val="00164719"/>
    <w:rsid w:val="00166FC4"/>
    <w:rsid w:val="001677AC"/>
    <w:rsid w:val="00167D05"/>
    <w:rsid w:val="001804EA"/>
    <w:rsid w:val="00190A61"/>
    <w:rsid w:val="00193754"/>
    <w:rsid w:val="001A3342"/>
    <w:rsid w:val="001A3E3D"/>
    <w:rsid w:val="001A7049"/>
    <w:rsid w:val="001B1E40"/>
    <w:rsid w:val="001C764E"/>
    <w:rsid w:val="001D6652"/>
    <w:rsid w:val="001E1052"/>
    <w:rsid w:val="001E1E76"/>
    <w:rsid w:val="001E21B1"/>
    <w:rsid w:val="001E2F93"/>
    <w:rsid w:val="001E61E5"/>
    <w:rsid w:val="001F2159"/>
    <w:rsid w:val="00213C19"/>
    <w:rsid w:val="00214863"/>
    <w:rsid w:val="002156B4"/>
    <w:rsid w:val="00243F57"/>
    <w:rsid w:val="00253222"/>
    <w:rsid w:val="0026033A"/>
    <w:rsid w:val="002626CC"/>
    <w:rsid w:val="00262847"/>
    <w:rsid w:val="0026348F"/>
    <w:rsid w:val="00266978"/>
    <w:rsid w:val="002802F5"/>
    <w:rsid w:val="0028136E"/>
    <w:rsid w:val="00281BB2"/>
    <w:rsid w:val="002852A8"/>
    <w:rsid w:val="00285FF7"/>
    <w:rsid w:val="00286EA1"/>
    <w:rsid w:val="002B72E9"/>
    <w:rsid w:val="002C669F"/>
    <w:rsid w:val="002C7998"/>
    <w:rsid w:val="002F1E53"/>
    <w:rsid w:val="002F2CAA"/>
    <w:rsid w:val="0031399C"/>
    <w:rsid w:val="003306E1"/>
    <w:rsid w:val="0033170D"/>
    <w:rsid w:val="003320E4"/>
    <w:rsid w:val="0033525D"/>
    <w:rsid w:val="003353A2"/>
    <w:rsid w:val="003414F3"/>
    <w:rsid w:val="0035071E"/>
    <w:rsid w:val="0035613E"/>
    <w:rsid w:val="0036394A"/>
    <w:rsid w:val="00363EE9"/>
    <w:rsid w:val="00376128"/>
    <w:rsid w:val="0037742E"/>
    <w:rsid w:val="0038245A"/>
    <w:rsid w:val="00383E04"/>
    <w:rsid w:val="0039337A"/>
    <w:rsid w:val="0039764D"/>
    <w:rsid w:val="003A3189"/>
    <w:rsid w:val="003A3939"/>
    <w:rsid w:val="003B569D"/>
    <w:rsid w:val="003C3C0E"/>
    <w:rsid w:val="003D4FAC"/>
    <w:rsid w:val="003E45DC"/>
    <w:rsid w:val="003E7906"/>
    <w:rsid w:val="003F3C50"/>
    <w:rsid w:val="003F59FF"/>
    <w:rsid w:val="003F76B1"/>
    <w:rsid w:val="00406A6A"/>
    <w:rsid w:val="00406B22"/>
    <w:rsid w:val="0042234C"/>
    <w:rsid w:val="004328A7"/>
    <w:rsid w:val="00434C74"/>
    <w:rsid w:val="00445383"/>
    <w:rsid w:val="00456462"/>
    <w:rsid w:val="00456EB4"/>
    <w:rsid w:val="00463DD4"/>
    <w:rsid w:val="004718F3"/>
    <w:rsid w:val="00475040"/>
    <w:rsid w:val="004901D8"/>
    <w:rsid w:val="004907E8"/>
    <w:rsid w:val="00493D40"/>
    <w:rsid w:val="004967B6"/>
    <w:rsid w:val="004A1B38"/>
    <w:rsid w:val="004A504B"/>
    <w:rsid w:val="004A6911"/>
    <w:rsid w:val="004B54E0"/>
    <w:rsid w:val="004B7384"/>
    <w:rsid w:val="004C4269"/>
    <w:rsid w:val="004D6236"/>
    <w:rsid w:val="004E4DBB"/>
    <w:rsid w:val="004E4E41"/>
    <w:rsid w:val="004E5419"/>
    <w:rsid w:val="004E7F9C"/>
    <w:rsid w:val="004F3493"/>
    <w:rsid w:val="004F5143"/>
    <w:rsid w:val="00500BCE"/>
    <w:rsid w:val="0050390B"/>
    <w:rsid w:val="00512B09"/>
    <w:rsid w:val="005154EC"/>
    <w:rsid w:val="00534343"/>
    <w:rsid w:val="00547B25"/>
    <w:rsid w:val="005511BB"/>
    <w:rsid w:val="00555D75"/>
    <w:rsid w:val="00560DF0"/>
    <w:rsid w:val="0056759C"/>
    <w:rsid w:val="00575D24"/>
    <w:rsid w:val="0059513E"/>
    <w:rsid w:val="005B48FF"/>
    <w:rsid w:val="005C1102"/>
    <w:rsid w:val="005C1713"/>
    <w:rsid w:val="005D7C5D"/>
    <w:rsid w:val="00603680"/>
    <w:rsid w:val="00603DA4"/>
    <w:rsid w:val="00604C15"/>
    <w:rsid w:val="00614D50"/>
    <w:rsid w:val="006158D5"/>
    <w:rsid w:val="00625D83"/>
    <w:rsid w:val="00656009"/>
    <w:rsid w:val="00661691"/>
    <w:rsid w:val="006623E7"/>
    <w:rsid w:val="00662B80"/>
    <w:rsid w:val="00664695"/>
    <w:rsid w:val="006828D0"/>
    <w:rsid w:val="006852C7"/>
    <w:rsid w:val="006C1727"/>
    <w:rsid w:val="006C32FD"/>
    <w:rsid w:val="006C39CE"/>
    <w:rsid w:val="006C6917"/>
    <w:rsid w:val="006D0FCC"/>
    <w:rsid w:val="006D194A"/>
    <w:rsid w:val="006E1FC3"/>
    <w:rsid w:val="006F1380"/>
    <w:rsid w:val="0070616B"/>
    <w:rsid w:val="00706FDA"/>
    <w:rsid w:val="00711F9A"/>
    <w:rsid w:val="00713810"/>
    <w:rsid w:val="00723436"/>
    <w:rsid w:val="007303A5"/>
    <w:rsid w:val="00730B3E"/>
    <w:rsid w:val="0073420B"/>
    <w:rsid w:val="0074760E"/>
    <w:rsid w:val="00754ABA"/>
    <w:rsid w:val="00762300"/>
    <w:rsid w:val="00762A7D"/>
    <w:rsid w:val="0076752F"/>
    <w:rsid w:val="00786F7E"/>
    <w:rsid w:val="007A0B4A"/>
    <w:rsid w:val="007A1546"/>
    <w:rsid w:val="007A228C"/>
    <w:rsid w:val="007A368E"/>
    <w:rsid w:val="007A5868"/>
    <w:rsid w:val="007B04CE"/>
    <w:rsid w:val="007B6871"/>
    <w:rsid w:val="007B7A2F"/>
    <w:rsid w:val="007C3D33"/>
    <w:rsid w:val="007D294A"/>
    <w:rsid w:val="007D47D2"/>
    <w:rsid w:val="007D6CE1"/>
    <w:rsid w:val="007D6EC0"/>
    <w:rsid w:val="007D7E1D"/>
    <w:rsid w:val="007E0ABA"/>
    <w:rsid w:val="00831979"/>
    <w:rsid w:val="00851352"/>
    <w:rsid w:val="00862A02"/>
    <w:rsid w:val="00863230"/>
    <w:rsid w:val="008717D8"/>
    <w:rsid w:val="0087215C"/>
    <w:rsid w:val="008875FE"/>
    <w:rsid w:val="00887F8E"/>
    <w:rsid w:val="00896234"/>
    <w:rsid w:val="00897E43"/>
    <w:rsid w:val="008A08D6"/>
    <w:rsid w:val="008B142E"/>
    <w:rsid w:val="008C22BD"/>
    <w:rsid w:val="008C5738"/>
    <w:rsid w:val="008C7EAD"/>
    <w:rsid w:val="008D0CFE"/>
    <w:rsid w:val="008D1A89"/>
    <w:rsid w:val="008D3BF9"/>
    <w:rsid w:val="008D6152"/>
    <w:rsid w:val="008F0F81"/>
    <w:rsid w:val="008F27BF"/>
    <w:rsid w:val="008F5491"/>
    <w:rsid w:val="009230C5"/>
    <w:rsid w:val="00923540"/>
    <w:rsid w:val="00926767"/>
    <w:rsid w:val="009361D5"/>
    <w:rsid w:val="00937866"/>
    <w:rsid w:val="009428A4"/>
    <w:rsid w:val="0095085F"/>
    <w:rsid w:val="009528B6"/>
    <w:rsid w:val="009659F4"/>
    <w:rsid w:val="00970D60"/>
    <w:rsid w:val="009805F4"/>
    <w:rsid w:val="009960E5"/>
    <w:rsid w:val="009A2CC5"/>
    <w:rsid w:val="009A7ADC"/>
    <w:rsid w:val="009C19B7"/>
    <w:rsid w:val="009D7C51"/>
    <w:rsid w:val="009F2DC5"/>
    <w:rsid w:val="009F36BF"/>
    <w:rsid w:val="00A111B6"/>
    <w:rsid w:val="00A2013C"/>
    <w:rsid w:val="00A26D27"/>
    <w:rsid w:val="00A30194"/>
    <w:rsid w:val="00A376EE"/>
    <w:rsid w:val="00A42A99"/>
    <w:rsid w:val="00A47F92"/>
    <w:rsid w:val="00A5011D"/>
    <w:rsid w:val="00A5151A"/>
    <w:rsid w:val="00A57E0A"/>
    <w:rsid w:val="00A60256"/>
    <w:rsid w:val="00A657A1"/>
    <w:rsid w:val="00A823F6"/>
    <w:rsid w:val="00A90E08"/>
    <w:rsid w:val="00AA0A89"/>
    <w:rsid w:val="00AA1F70"/>
    <w:rsid w:val="00AA6429"/>
    <w:rsid w:val="00AB6D2E"/>
    <w:rsid w:val="00AC01AA"/>
    <w:rsid w:val="00AC4F72"/>
    <w:rsid w:val="00AF741A"/>
    <w:rsid w:val="00AF74CE"/>
    <w:rsid w:val="00B01ADB"/>
    <w:rsid w:val="00B04161"/>
    <w:rsid w:val="00B056F9"/>
    <w:rsid w:val="00B11E3D"/>
    <w:rsid w:val="00B17E82"/>
    <w:rsid w:val="00B4575A"/>
    <w:rsid w:val="00B56167"/>
    <w:rsid w:val="00B575BA"/>
    <w:rsid w:val="00B61ABB"/>
    <w:rsid w:val="00B76429"/>
    <w:rsid w:val="00B85979"/>
    <w:rsid w:val="00B956D4"/>
    <w:rsid w:val="00B97446"/>
    <w:rsid w:val="00B97F7B"/>
    <w:rsid w:val="00BA7432"/>
    <w:rsid w:val="00BB4A8C"/>
    <w:rsid w:val="00BC1AA0"/>
    <w:rsid w:val="00BC2495"/>
    <w:rsid w:val="00BC45FC"/>
    <w:rsid w:val="00BC7EB9"/>
    <w:rsid w:val="00BD0185"/>
    <w:rsid w:val="00BD2643"/>
    <w:rsid w:val="00BD56B1"/>
    <w:rsid w:val="00BD6558"/>
    <w:rsid w:val="00BF3022"/>
    <w:rsid w:val="00BF3214"/>
    <w:rsid w:val="00C00365"/>
    <w:rsid w:val="00C15867"/>
    <w:rsid w:val="00C2296D"/>
    <w:rsid w:val="00C23155"/>
    <w:rsid w:val="00C40C41"/>
    <w:rsid w:val="00C45885"/>
    <w:rsid w:val="00C50F22"/>
    <w:rsid w:val="00C570D7"/>
    <w:rsid w:val="00C57971"/>
    <w:rsid w:val="00C6306A"/>
    <w:rsid w:val="00C639F3"/>
    <w:rsid w:val="00C63C3E"/>
    <w:rsid w:val="00C76BA4"/>
    <w:rsid w:val="00C81127"/>
    <w:rsid w:val="00C83A48"/>
    <w:rsid w:val="00C85865"/>
    <w:rsid w:val="00C85891"/>
    <w:rsid w:val="00C85E85"/>
    <w:rsid w:val="00CA0931"/>
    <w:rsid w:val="00CA2EAE"/>
    <w:rsid w:val="00CA4AC1"/>
    <w:rsid w:val="00CA5473"/>
    <w:rsid w:val="00CA7407"/>
    <w:rsid w:val="00CB0316"/>
    <w:rsid w:val="00CB0B11"/>
    <w:rsid w:val="00CB5354"/>
    <w:rsid w:val="00CC6A14"/>
    <w:rsid w:val="00CC70A3"/>
    <w:rsid w:val="00CD4442"/>
    <w:rsid w:val="00CD53C3"/>
    <w:rsid w:val="00CD574E"/>
    <w:rsid w:val="00CE4C22"/>
    <w:rsid w:val="00CF41EC"/>
    <w:rsid w:val="00CF5D04"/>
    <w:rsid w:val="00D00B0E"/>
    <w:rsid w:val="00D04DE4"/>
    <w:rsid w:val="00D063F1"/>
    <w:rsid w:val="00D06D4B"/>
    <w:rsid w:val="00D10017"/>
    <w:rsid w:val="00D13040"/>
    <w:rsid w:val="00D14F22"/>
    <w:rsid w:val="00D57263"/>
    <w:rsid w:val="00D57918"/>
    <w:rsid w:val="00D704FB"/>
    <w:rsid w:val="00D73DC6"/>
    <w:rsid w:val="00D74C1A"/>
    <w:rsid w:val="00D754C1"/>
    <w:rsid w:val="00D77A35"/>
    <w:rsid w:val="00D81B3E"/>
    <w:rsid w:val="00D90C70"/>
    <w:rsid w:val="00D90E49"/>
    <w:rsid w:val="00DC6A10"/>
    <w:rsid w:val="00DD08A6"/>
    <w:rsid w:val="00DE657E"/>
    <w:rsid w:val="00DF4704"/>
    <w:rsid w:val="00E024AA"/>
    <w:rsid w:val="00E250F1"/>
    <w:rsid w:val="00E3550D"/>
    <w:rsid w:val="00E37F63"/>
    <w:rsid w:val="00E614E0"/>
    <w:rsid w:val="00E73F7F"/>
    <w:rsid w:val="00E8215F"/>
    <w:rsid w:val="00E85409"/>
    <w:rsid w:val="00EA429F"/>
    <w:rsid w:val="00EA4F9E"/>
    <w:rsid w:val="00EA63CA"/>
    <w:rsid w:val="00EA6D3B"/>
    <w:rsid w:val="00EB00AD"/>
    <w:rsid w:val="00EB136C"/>
    <w:rsid w:val="00EB30ED"/>
    <w:rsid w:val="00EB480E"/>
    <w:rsid w:val="00EB4AAA"/>
    <w:rsid w:val="00EB5EC6"/>
    <w:rsid w:val="00EB7FC9"/>
    <w:rsid w:val="00ED27E8"/>
    <w:rsid w:val="00ED7137"/>
    <w:rsid w:val="00EE2893"/>
    <w:rsid w:val="00F21088"/>
    <w:rsid w:val="00F327E7"/>
    <w:rsid w:val="00F35746"/>
    <w:rsid w:val="00F447C7"/>
    <w:rsid w:val="00F554A9"/>
    <w:rsid w:val="00F67DBC"/>
    <w:rsid w:val="00F716FD"/>
    <w:rsid w:val="00F72C91"/>
    <w:rsid w:val="00F80355"/>
    <w:rsid w:val="00F807BE"/>
    <w:rsid w:val="00F878DE"/>
    <w:rsid w:val="00F95B68"/>
    <w:rsid w:val="00FB0264"/>
    <w:rsid w:val="00FB0C81"/>
    <w:rsid w:val="00FC2200"/>
    <w:rsid w:val="00FC2540"/>
    <w:rsid w:val="00FC2A55"/>
    <w:rsid w:val="00FE142B"/>
    <w:rsid w:val="00FF0204"/>
    <w:rsid w:val="00FF3AED"/>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1"/>
      </w:numPr>
      <w:spacing w:after="240"/>
      <w:outlineLvl w:val="1"/>
    </w:pPr>
  </w:style>
  <w:style w:type="paragraph" w:styleId="Heading3">
    <w:name w:val="heading 3"/>
    <w:aliases w:val="Char"/>
    <w:basedOn w:val="Normal"/>
    <w:next w:val="Normal"/>
    <w:qFormat/>
    <w:rsid w:val="0033525D"/>
    <w:pPr>
      <w:widowControl w:val="0"/>
      <w:numPr>
        <w:ilvl w:val="2"/>
        <w:numId w:val="1"/>
      </w:numPr>
      <w:spacing w:after="240"/>
      <w:outlineLvl w:val="2"/>
    </w:pPr>
  </w:style>
  <w:style w:type="paragraph" w:styleId="Heading4">
    <w:name w:val="heading 4"/>
    <w:aliases w:val="Heading 11"/>
    <w:basedOn w:val="Normal"/>
    <w:next w:val="Heading9"/>
    <w:semiHidden/>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762A7D"/>
    <w:rPr>
      <w:sz w:val="20"/>
      <w:szCs w:val="20"/>
    </w:rPr>
  </w:style>
  <w:style w:type="character" w:customStyle="1" w:styleId="FootnoteTextChar">
    <w:name w:val="Footnote Text Char"/>
    <w:basedOn w:val="DefaultParagraphFont"/>
    <w:link w:val="FootnoteText"/>
    <w:uiPriority w:val="99"/>
    <w:semiHidden/>
    <w:rsid w:val="00762A7D"/>
    <w:rPr>
      <w:lang w:val="en-GB"/>
    </w:rPr>
  </w:style>
  <w:style w:type="character" w:styleId="FootnoteReference">
    <w:name w:val="footnote reference"/>
    <w:basedOn w:val="DefaultParagraphFont"/>
    <w:uiPriority w:val="99"/>
    <w:semiHidden/>
    <w:unhideWhenUsed/>
    <w:rsid w:val="00762A7D"/>
    <w:rPr>
      <w:vertAlign w:val="superscript"/>
    </w:rPr>
  </w:style>
  <w:style w:type="paragraph" w:customStyle="1" w:styleId="Footer1">
    <w:name w:val="Footer1"/>
    <w:basedOn w:val="Normal"/>
    <w:rsid w:val="00C570D7"/>
    <w:pPr>
      <w:widowControl w:val="0"/>
      <w:tabs>
        <w:tab w:val="center" w:pos="4320"/>
        <w:tab w:val="right" w:pos="8640"/>
        <w:tab w:val="left" w:pos="9000"/>
      </w:tabs>
      <w:snapToGrid w:val="0"/>
      <w:jc w:val="left"/>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1"/>
      </w:numPr>
      <w:spacing w:after="240"/>
      <w:outlineLvl w:val="1"/>
    </w:pPr>
  </w:style>
  <w:style w:type="paragraph" w:styleId="Heading3">
    <w:name w:val="heading 3"/>
    <w:aliases w:val="Char"/>
    <w:basedOn w:val="Normal"/>
    <w:next w:val="Normal"/>
    <w:qFormat/>
    <w:rsid w:val="0033525D"/>
    <w:pPr>
      <w:widowControl w:val="0"/>
      <w:numPr>
        <w:ilvl w:val="2"/>
        <w:numId w:val="1"/>
      </w:numPr>
      <w:spacing w:after="240"/>
      <w:outlineLvl w:val="2"/>
    </w:pPr>
  </w:style>
  <w:style w:type="paragraph" w:styleId="Heading4">
    <w:name w:val="heading 4"/>
    <w:aliases w:val="Heading 11"/>
    <w:basedOn w:val="Normal"/>
    <w:next w:val="Heading9"/>
    <w:semiHidden/>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762A7D"/>
    <w:rPr>
      <w:sz w:val="20"/>
      <w:szCs w:val="20"/>
    </w:rPr>
  </w:style>
  <w:style w:type="character" w:customStyle="1" w:styleId="FootnoteTextChar">
    <w:name w:val="Footnote Text Char"/>
    <w:basedOn w:val="DefaultParagraphFont"/>
    <w:link w:val="FootnoteText"/>
    <w:uiPriority w:val="99"/>
    <w:semiHidden/>
    <w:rsid w:val="00762A7D"/>
    <w:rPr>
      <w:lang w:val="en-GB"/>
    </w:rPr>
  </w:style>
  <w:style w:type="character" w:styleId="FootnoteReference">
    <w:name w:val="footnote reference"/>
    <w:basedOn w:val="DefaultParagraphFont"/>
    <w:uiPriority w:val="99"/>
    <w:semiHidden/>
    <w:unhideWhenUsed/>
    <w:rsid w:val="00762A7D"/>
    <w:rPr>
      <w:vertAlign w:val="superscript"/>
    </w:rPr>
  </w:style>
  <w:style w:type="paragraph" w:customStyle="1" w:styleId="Footer1">
    <w:name w:val="Footer1"/>
    <w:basedOn w:val="Normal"/>
    <w:rsid w:val="00C570D7"/>
    <w:pPr>
      <w:widowControl w:val="0"/>
      <w:tabs>
        <w:tab w:val="center" w:pos="4320"/>
        <w:tab w:val="right" w:pos="8640"/>
        <w:tab w:val="left" w:pos="9000"/>
      </w:tabs>
      <w:snapToGrid w:val="0"/>
      <w:jc w:val="left"/>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Nanette\79th%20meeting\07%20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UNEP/OzL.Pro/ExCom/79/28</Document_x0020_Number>
    <DocumentType xmlns="64e33b30-101d-41de-b951-961aab25ea29">Pre-session</DocumentType>
    <Format xmlns="bbb7cb92-9812-4460-89bc-37533c3647fb">Word</Format>
  </documentManagement>
</p:properties>
</file>

<file path=customXml/itemProps1.xml><?xml version="1.0" encoding="utf-8"?>
<ds:datastoreItem xmlns:ds="http://schemas.openxmlformats.org/officeDocument/2006/customXml" ds:itemID="{D8E1421C-B646-4A6E-804C-2B3EE48AEACE}"/>
</file>

<file path=customXml/itemProps2.xml><?xml version="1.0" encoding="utf-8"?>
<ds:datastoreItem xmlns:ds="http://schemas.openxmlformats.org/officeDocument/2006/customXml" ds:itemID="{0B2F8462-8CF8-4294-890C-A7C0A6403AB1}"/>
</file>

<file path=customXml/itemProps3.xml><?xml version="1.0" encoding="utf-8"?>
<ds:datastoreItem xmlns:ds="http://schemas.openxmlformats.org/officeDocument/2006/customXml" ds:itemID="{A73817AE-B8AD-4767-BC60-0EA34209C131}"/>
</file>

<file path=customXml/itemProps4.xml><?xml version="1.0" encoding="utf-8"?>
<ds:datastoreItem xmlns:ds="http://schemas.openxmlformats.org/officeDocument/2006/customXml" ds:itemID="{220B7E95-585D-43A2-996D-F2CEE7131F28}"/>
</file>

<file path=docProps/app.xml><?xml version="1.0" encoding="utf-8"?>
<Properties xmlns="http://schemas.openxmlformats.org/officeDocument/2006/extended-properties" xmlns:vt="http://schemas.openxmlformats.org/officeDocument/2006/docPropsVTypes">
  <Template>Eec79G</Template>
  <TotalTime>558</TotalTime>
  <Pages>9</Pages>
  <Words>2924</Words>
  <Characters>18053</Characters>
  <Application>Microsoft Office Word</Application>
  <DocSecurity>0</DocSecurity>
  <Lines>722</Lines>
  <Paragraphs>499</Paragraphs>
  <ScaleCrop>false</ScaleCrop>
  <HeadingPairs>
    <vt:vector size="2" baseType="variant">
      <vt:variant>
        <vt:lpstr>Title</vt:lpstr>
      </vt:variant>
      <vt:variant>
        <vt:i4>1</vt:i4>
      </vt:variant>
    </vt:vector>
  </HeadingPairs>
  <TitlesOfParts>
    <vt:vector size="1" baseType="lpstr">
      <vt:lpstr>Project proposal: Bangladesh: Conversion from HFC-134a to isobutane as refrigerant in manufacturing household refrigerator in Walton hi-Tech Industries Limited</vt:lpstr>
    </vt:vector>
  </TitlesOfParts>
  <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Bangladesh</dc:title>
  <dc:subject>UNEP/OzL.Pro/ExCom/79/28</dc:subject>
  <dc:creator/>
  <cp:lastModifiedBy>Nanette Guerin</cp:lastModifiedBy>
  <cp:revision>20</cp:revision>
  <cp:lastPrinted>2017-06-16T20:42:00Z</cp:lastPrinted>
  <dcterms:created xsi:type="dcterms:W3CDTF">2017-06-13T21:10:00Z</dcterms:created>
  <dcterms:modified xsi:type="dcterms:W3CDTF">2017-06-16T20:46:00Z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UNEP/OzL.Pro/ExCom/79/28</vt:lpwstr>
  </property>
  <property fmtid="{D5CDD505-2E9C-101B-9397-08002B2CF9AE}" pid="3" name="Revision date">
    <vt:lpwstr>16/6/2017</vt:lpwstr>
  </property>
  <property fmtid="{D5CDD505-2E9C-101B-9397-08002B2CF9AE}" pid="4" name="ContentTypeId">
    <vt:lpwstr>0x01010004C6732A9FE91B4FBB477FDF99EB5849</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