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79473E">
        <w:trPr>
          <w:trHeight w:val="720"/>
        </w:trPr>
        <w:tc>
          <w:tcPr>
            <w:tcW w:w="5490" w:type="dxa"/>
            <w:gridSpan w:val="2"/>
            <w:tcBorders>
              <w:bottom w:val="single" w:sz="18" w:space="0" w:color="auto"/>
            </w:tcBorders>
          </w:tcPr>
          <w:p w:rsidR="00C15867" w:rsidRPr="0000434E" w:rsidRDefault="00C15867" w:rsidP="007947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79473E">
            <w:pPr>
              <w:jc w:val="right"/>
              <w:rPr>
                <w:sz w:val="52"/>
                <w:szCs w:val="52"/>
              </w:rPr>
            </w:pPr>
            <w:r>
              <w:rPr>
                <w:rFonts w:ascii="Univers Bold" w:hAnsi="Univers Bold"/>
                <w:b/>
                <w:sz w:val="72"/>
              </w:rPr>
              <w:t>EP</w:t>
            </w:r>
          </w:p>
        </w:tc>
      </w:tr>
      <w:tr w:rsidR="00C15867" w:rsidTr="00794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79473E">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7947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7947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79473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79473E">
            <w:pPr>
              <w:spacing w:before="720"/>
              <w:ind w:left="158"/>
            </w:pPr>
          </w:p>
        </w:tc>
        <w:tc>
          <w:tcPr>
            <w:tcW w:w="4590" w:type="dxa"/>
            <w:tcBorders>
              <w:top w:val="nil"/>
              <w:left w:val="nil"/>
              <w:bottom w:val="single" w:sz="36" w:space="0" w:color="auto"/>
              <w:right w:val="nil"/>
            </w:tcBorders>
          </w:tcPr>
          <w:p w:rsidR="00C15867" w:rsidRPr="0033525D" w:rsidRDefault="00C15867" w:rsidP="0079473E">
            <w:r w:rsidRPr="0033525D">
              <w:t>Distr.</w:t>
            </w:r>
          </w:p>
          <w:p w:rsidR="00923540" w:rsidRPr="0033525D" w:rsidRDefault="00923540" w:rsidP="00923540">
            <w:r w:rsidRPr="0033525D">
              <w:t>GENERAL</w:t>
            </w:r>
          </w:p>
          <w:p w:rsidR="00C15867" w:rsidRPr="0033525D" w:rsidRDefault="00C15867" w:rsidP="0079473E"/>
          <w:p w:rsidR="00C15867" w:rsidRPr="003F73BA" w:rsidRDefault="00C15867" w:rsidP="0079473E"/>
          <w:p w:rsidR="00C15867" w:rsidRPr="003F73BA" w:rsidRDefault="005C026A" w:rsidP="0079473E">
            <w:fldSimple w:instr=" DOCPROPERTY &quot;Document number&quot;  \* MERGEFORMAT ">
              <w:r w:rsidR="001F1577">
                <w:t>UNEP/OzL.Pro/ExCom/79/27</w:t>
              </w:r>
            </w:fldSimple>
          </w:p>
          <w:p w:rsidR="00C15867" w:rsidRPr="003F73BA" w:rsidRDefault="00BC2495" w:rsidP="0079473E">
            <w:r>
              <w:fldChar w:fldCharType="begin"/>
            </w:r>
            <w:r w:rsidR="00851352">
              <w:instrText xml:space="preserve"> DOCPROPERTY "Revision date" \@ "d MMMM YYYY"  \* MERGEFORMAT </w:instrText>
            </w:r>
            <w:r>
              <w:fldChar w:fldCharType="separate"/>
            </w:r>
            <w:r w:rsidR="007E36F3">
              <w:t>14 June 2017</w:t>
            </w:r>
            <w:r>
              <w:fldChar w:fldCharType="end"/>
            </w:r>
          </w:p>
          <w:p w:rsidR="00C15867" w:rsidRPr="00000FED" w:rsidRDefault="00C15867" w:rsidP="0079473E">
            <w:pPr>
              <w:rPr>
                <w:caps/>
              </w:rPr>
            </w:pPr>
          </w:p>
          <w:p w:rsidR="00C15867" w:rsidRDefault="00C15867" w:rsidP="0079473E">
            <w:r w:rsidRPr="0033525D">
              <w:t>ORIGINAL: ENGLISH</w:t>
            </w:r>
          </w:p>
        </w:tc>
      </w:tr>
    </w:tbl>
    <w:p w:rsidR="00BF3022" w:rsidRPr="00612F2F" w:rsidRDefault="00C15867" w:rsidP="00BF3022">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BF3022">
        <w:rPr>
          <w:lang w:val="en-CA"/>
        </w:rPr>
        <w:t>Seventy-</w:t>
      </w:r>
      <w:r w:rsidR="00214863">
        <w:rPr>
          <w:lang w:val="en-CA"/>
        </w:rPr>
        <w:t>nin</w:t>
      </w:r>
      <w:r w:rsidR="00831979">
        <w:rPr>
          <w:lang w:val="en-CA"/>
        </w:rPr>
        <w:t xml:space="preserve">th </w:t>
      </w:r>
      <w:r w:rsidR="00BF3022">
        <w:t>Meeting</w:t>
      </w:r>
    </w:p>
    <w:p w:rsidR="009960E5" w:rsidRPr="006C39CE" w:rsidRDefault="00214863" w:rsidP="00BF3022">
      <w:pPr>
        <w:jc w:val="left"/>
        <w:rPr>
          <w:lang w:val="en-CA"/>
        </w:rPr>
      </w:pPr>
      <w:r>
        <w:rPr>
          <w:lang w:val="en-CA"/>
        </w:rPr>
        <w:t>Bangkok</w:t>
      </w:r>
      <w:r w:rsidR="00BF3022" w:rsidRPr="00042E3E">
        <w:rPr>
          <w:lang w:val="en-CA"/>
        </w:rPr>
        <w:t xml:space="preserve">, </w:t>
      </w:r>
      <w:r>
        <w:rPr>
          <w:lang w:val="en-CA"/>
        </w:rPr>
        <w:t>3</w:t>
      </w:r>
      <w:r w:rsidR="00BF3022" w:rsidRPr="00042E3E">
        <w:rPr>
          <w:lang w:val="en-CA"/>
        </w:rPr>
        <w:t xml:space="preserve">-7 </w:t>
      </w:r>
      <w:r>
        <w:rPr>
          <w:lang w:val="en-CA"/>
        </w:rPr>
        <w:t>July</w:t>
      </w:r>
      <w:r w:rsidR="00BF3022" w:rsidRPr="00042E3E">
        <w:rPr>
          <w:lang w:val="en-CA"/>
        </w:rPr>
        <w:t xml:space="preserve"> 2017 </w:t>
      </w:r>
    </w:p>
    <w:p w:rsidR="00C15867" w:rsidRPr="00765DE4" w:rsidRDefault="00C15867" w:rsidP="009960E5">
      <w:pPr>
        <w:jc w:val="left"/>
        <w:rPr>
          <w:lang w:val="en-US"/>
        </w:rPr>
      </w:pPr>
    </w:p>
    <w:p w:rsidR="00C15867" w:rsidRPr="00765DE4" w:rsidRDefault="00C15867" w:rsidP="00C15867">
      <w:pPr>
        <w:pStyle w:val="Heading3"/>
        <w:numPr>
          <w:ilvl w:val="0"/>
          <w:numId w:val="0"/>
        </w:numPr>
        <w:spacing w:after="0"/>
        <w:rPr>
          <w:lang w:val="en-US"/>
        </w:rPr>
      </w:pPr>
    </w:p>
    <w:p w:rsidR="004E7F9C" w:rsidRDefault="004E7F9C" w:rsidP="004E7F9C">
      <w:pPr>
        <w:pStyle w:val="Title1"/>
      </w:pPr>
    </w:p>
    <w:p w:rsidR="00941710" w:rsidRDefault="00941710" w:rsidP="004E7F9C">
      <w:pPr>
        <w:pStyle w:val="Title1"/>
      </w:pPr>
    </w:p>
    <w:p w:rsidR="004E7F9C" w:rsidRDefault="00941710" w:rsidP="004E7F9C">
      <w:pPr>
        <w:pStyle w:val="Title1"/>
      </w:pPr>
      <w:r w:rsidRPr="00DE365D">
        <w:t>PROJECT PROPOSALs</w:t>
      </w:r>
      <w:r>
        <w:t>: ARGENTINA</w:t>
      </w:r>
    </w:p>
    <w:p w:rsidR="00941710" w:rsidRDefault="00941710" w:rsidP="004E7F9C">
      <w:pPr>
        <w:pStyle w:val="Title1"/>
      </w:pPr>
    </w:p>
    <w:p w:rsidR="00941710" w:rsidRDefault="00941710" w:rsidP="004E7F9C">
      <w:pPr>
        <w:pStyle w:val="Title1"/>
      </w:pPr>
    </w:p>
    <w:p w:rsidR="00941710" w:rsidRPr="005C0619" w:rsidRDefault="00941710" w:rsidP="00941710">
      <w:pPr>
        <w:ind w:firstLine="720"/>
        <w:rPr>
          <w:lang w:val="en-CA"/>
        </w:rPr>
      </w:pPr>
      <w:r w:rsidRPr="005C0619">
        <w:rPr>
          <w:lang w:val="en-CA"/>
        </w:rPr>
        <w:t xml:space="preserve">This </w:t>
      </w:r>
      <w:r w:rsidRPr="00DE365D">
        <w:rPr>
          <w:lang w:val="en-CA"/>
        </w:rPr>
        <w:t>document consists of the comments and recommendations of the Secretariat on the following project proposals:</w:t>
      </w:r>
      <w:r w:rsidRPr="005C0619">
        <w:rPr>
          <w:lang w:val="en-CA"/>
        </w:rPr>
        <w:t xml:space="preserve"> </w:t>
      </w:r>
    </w:p>
    <w:p w:rsidR="00941710" w:rsidRPr="005C0619" w:rsidRDefault="00941710" w:rsidP="00941710">
      <w:pPr>
        <w:rPr>
          <w:lang w:val="en-CA"/>
        </w:rPr>
      </w:pPr>
    </w:p>
    <w:p w:rsidR="00941710" w:rsidRPr="005C0619" w:rsidRDefault="00941710" w:rsidP="00941710">
      <w:pPr>
        <w:rPr>
          <w:u w:val="single"/>
          <w:lang w:val="en-CA"/>
        </w:rPr>
      </w:pPr>
      <w:r w:rsidRPr="005C0619">
        <w:rPr>
          <w:u w:val="single"/>
          <w:lang w:val="en-CA"/>
        </w:rPr>
        <w:t>Phase-out</w:t>
      </w:r>
    </w:p>
    <w:p w:rsidR="00941710" w:rsidRDefault="00941710" w:rsidP="00941710">
      <w:pPr>
        <w:rPr>
          <w:lang w:val="en-CA"/>
        </w:rPr>
      </w:pPr>
    </w:p>
    <w:p w:rsidR="00941710" w:rsidRDefault="00941710" w:rsidP="00941710">
      <w:pPr>
        <w:rPr>
          <w:lang w:val="en-CA"/>
        </w:rPr>
      </w:pPr>
    </w:p>
    <w:tbl>
      <w:tblPr>
        <w:tblW w:w="0" w:type="auto"/>
        <w:tblLook w:val="0000" w:firstRow="0" w:lastRow="0" w:firstColumn="0" w:lastColumn="0" w:noHBand="0" w:noVBand="0"/>
      </w:tblPr>
      <w:tblGrid>
        <w:gridCol w:w="468"/>
        <w:gridCol w:w="5877"/>
        <w:gridCol w:w="3123"/>
      </w:tblGrid>
      <w:tr w:rsidR="00941710" w:rsidRPr="00DE365D" w:rsidTr="0079473E">
        <w:trPr>
          <w:cantSplit/>
        </w:trPr>
        <w:tc>
          <w:tcPr>
            <w:tcW w:w="468" w:type="dxa"/>
          </w:tcPr>
          <w:p w:rsidR="00941710" w:rsidRPr="00DE365D" w:rsidRDefault="00941710" w:rsidP="0079473E">
            <w:pPr>
              <w:numPr>
                <w:ilvl w:val="0"/>
                <w:numId w:val="21"/>
              </w:numPr>
              <w:tabs>
                <w:tab w:val="num" w:pos="360"/>
              </w:tabs>
              <w:ind w:left="360"/>
            </w:pPr>
          </w:p>
        </w:tc>
        <w:tc>
          <w:tcPr>
            <w:tcW w:w="5877" w:type="dxa"/>
          </w:tcPr>
          <w:p w:rsidR="00941710" w:rsidRPr="00DE365D" w:rsidRDefault="00941710" w:rsidP="00941710">
            <w:pPr>
              <w:ind w:right="-18"/>
            </w:pPr>
            <w:r w:rsidRPr="00DE365D">
              <w:t>HCFC phase-out management plan (stage I, third</w:t>
            </w:r>
            <w:r w:rsidR="001F1577" w:rsidRPr="00DE365D">
              <w:t xml:space="preserve"> and final</w:t>
            </w:r>
            <w:r w:rsidRPr="00DE365D">
              <w:t> tranche)</w:t>
            </w:r>
          </w:p>
        </w:tc>
        <w:tc>
          <w:tcPr>
            <w:tcW w:w="3123" w:type="dxa"/>
          </w:tcPr>
          <w:p w:rsidR="00941710" w:rsidRPr="00DE365D" w:rsidRDefault="00941710" w:rsidP="0079473E">
            <w:pPr>
              <w:ind w:left="-558"/>
              <w:jc w:val="right"/>
              <w:rPr>
                <w:snapToGrid w:val="0"/>
                <w:color w:val="000000"/>
              </w:rPr>
            </w:pPr>
            <w:r w:rsidRPr="00DE365D">
              <w:rPr>
                <w:snapToGrid w:val="0"/>
                <w:color w:val="000000"/>
              </w:rPr>
              <w:t>Italy/UNIDO/World Bank</w:t>
            </w:r>
          </w:p>
        </w:tc>
      </w:tr>
    </w:tbl>
    <w:p w:rsidR="00941710" w:rsidRDefault="00941710" w:rsidP="00941710">
      <w:pPr>
        <w:jc w:val="left"/>
        <w:outlineLvl w:val="0"/>
        <w:rPr>
          <w:b/>
          <w:caps/>
          <w:lang w:val="en-CA"/>
        </w:rPr>
      </w:pPr>
    </w:p>
    <w:tbl>
      <w:tblPr>
        <w:tblW w:w="0" w:type="auto"/>
        <w:tblLook w:val="0000" w:firstRow="0" w:lastRow="0" w:firstColumn="0" w:lastColumn="0" w:noHBand="0" w:noVBand="0"/>
      </w:tblPr>
      <w:tblGrid>
        <w:gridCol w:w="468"/>
        <w:gridCol w:w="5877"/>
        <w:gridCol w:w="3123"/>
      </w:tblGrid>
      <w:tr w:rsidR="00941710" w:rsidRPr="005C0619" w:rsidTr="0079473E">
        <w:trPr>
          <w:cantSplit/>
        </w:trPr>
        <w:tc>
          <w:tcPr>
            <w:tcW w:w="468" w:type="dxa"/>
          </w:tcPr>
          <w:p w:rsidR="00941710" w:rsidRPr="005C0619" w:rsidRDefault="00941710" w:rsidP="0079473E">
            <w:pPr>
              <w:numPr>
                <w:ilvl w:val="0"/>
                <w:numId w:val="21"/>
              </w:numPr>
              <w:tabs>
                <w:tab w:val="num" w:pos="360"/>
              </w:tabs>
              <w:ind w:left="360"/>
            </w:pPr>
          </w:p>
        </w:tc>
        <w:tc>
          <w:tcPr>
            <w:tcW w:w="5877" w:type="dxa"/>
          </w:tcPr>
          <w:p w:rsidR="00941710" w:rsidRPr="005C0619" w:rsidRDefault="00941710" w:rsidP="0079473E">
            <w:pPr>
              <w:ind w:right="-18"/>
            </w:pPr>
            <w:r w:rsidRPr="005C0619">
              <w:t>HCFC phase-out management plan (stage II, first tranche)</w:t>
            </w:r>
          </w:p>
        </w:tc>
        <w:tc>
          <w:tcPr>
            <w:tcW w:w="3123" w:type="dxa"/>
          </w:tcPr>
          <w:p w:rsidR="00941710" w:rsidRPr="005C0619" w:rsidRDefault="00317314" w:rsidP="00941710">
            <w:pPr>
              <w:ind w:left="-558"/>
              <w:jc w:val="right"/>
              <w:rPr>
                <w:snapToGrid w:val="0"/>
                <w:color w:val="000000"/>
                <w:highlight w:val="cyan"/>
              </w:rPr>
            </w:pPr>
            <w:r>
              <w:rPr>
                <w:snapToGrid w:val="0"/>
                <w:color w:val="000000"/>
              </w:rPr>
              <w:t>Italy/</w:t>
            </w:r>
            <w:r w:rsidR="00941710" w:rsidRPr="005C0619">
              <w:rPr>
                <w:snapToGrid w:val="0"/>
                <w:color w:val="000000"/>
              </w:rPr>
              <w:t>UNIDO/</w:t>
            </w:r>
            <w:r w:rsidR="00941710">
              <w:rPr>
                <w:snapToGrid w:val="0"/>
                <w:color w:val="000000"/>
              </w:rPr>
              <w:t>World Bank</w:t>
            </w:r>
          </w:p>
        </w:tc>
      </w:tr>
    </w:tbl>
    <w:p w:rsidR="004E7F9C" w:rsidRDefault="004E7F9C" w:rsidP="004E7F9C">
      <w:pPr>
        <w:pStyle w:val="Heading1"/>
        <w:numPr>
          <w:ilvl w:val="0"/>
          <w:numId w:val="0"/>
        </w:numPr>
      </w:pPr>
    </w:p>
    <w:p w:rsidR="008C5738" w:rsidRDefault="008C5738" w:rsidP="004E7F9C">
      <w:pPr>
        <w:pStyle w:val="StyleHeader4Para4Left0Firstline0"/>
        <w:numPr>
          <w:ilvl w:val="0"/>
          <w:numId w:val="0"/>
        </w:numPr>
      </w:pPr>
    </w:p>
    <w:p w:rsidR="008C5738" w:rsidRDefault="004E7F9C" w:rsidP="004E7F9C">
      <w:pPr>
        <w:pStyle w:val="StyleHeader4Para4Left0Firstline0"/>
        <w:numPr>
          <w:ilvl w:val="0"/>
          <w:numId w:val="0"/>
        </w:numPr>
      </w:pPr>
      <w:r>
        <w:br w:type="page"/>
      </w:r>
    </w:p>
    <w:p w:rsidR="00136540" w:rsidRPr="009A6248" w:rsidRDefault="00136540" w:rsidP="00136540">
      <w:pPr>
        <w:jc w:val="center"/>
        <w:rPr>
          <w:b/>
          <w:sz w:val="17"/>
          <w:szCs w:val="17"/>
          <w:lang w:val="en-CA"/>
        </w:rPr>
      </w:pPr>
      <w:r w:rsidRPr="009A6248">
        <w:rPr>
          <w:b/>
          <w:sz w:val="17"/>
          <w:szCs w:val="17"/>
          <w:lang w:val="en-CA"/>
        </w:rPr>
        <w:lastRenderedPageBreak/>
        <w:t>PROJECT EVALUATION SHEET – MULTI-YEAR PROJECTS</w:t>
      </w:r>
    </w:p>
    <w:p w:rsidR="00136540" w:rsidRPr="009A6248" w:rsidRDefault="00136540" w:rsidP="00136540">
      <w:pPr>
        <w:jc w:val="center"/>
        <w:rPr>
          <w:b/>
          <w:sz w:val="17"/>
          <w:szCs w:val="17"/>
          <w:lang w:val="en-CA"/>
        </w:rPr>
      </w:pPr>
      <w:r w:rsidRPr="009A6248">
        <w:rPr>
          <w:b/>
          <w:sz w:val="17"/>
          <w:szCs w:val="17"/>
          <w:lang w:val="en-CA"/>
        </w:rPr>
        <w:t>Argentina</w:t>
      </w:r>
    </w:p>
    <w:p w:rsidR="00136540" w:rsidRPr="009A6248" w:rsidRDefault="00136540" w:rsidP="00136540">
      <w:pPr>
        <w:jc w:val="center"/>
        <w:rPr>
          <w:sz w:val="17"/>
          <w:szCs w:val="17"/>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00"/>
        <w:gridCol w:w="2500"/>
        <w:gridCol w:w="2500"/>
        <w:gridCol w:w="2500"/>
      </w:tblGrid>
      <w:tr w:rsidR="00885322" w:rsidRPr="009A6248" w:rsidTr="00885322">
        <w:trPr>
          <w:trHeight w:val="240"/>
        </w:trPr>
        <w:tc>
          <w:tcPr>
            <w:tcW w:w="2394" w:type="dxa"/>
            <w:shd w:val="clear" w:color="auto" w:fill="auto"/>
          </w:tcPr>
          <w:p w:rsidR="00885322" w:rsidRPr="009A6248" w:rsidRDefault="00885322" w:rsidP="00885322">
            <w:pPr>
              <w:spacing w:after="80"/>
              <w:jc w:val="left"/>
              <w:rPr>
                <w:b/>
                <w:sz w:val="16"/>
                <w:szCs w:val="16"/>
              </w:rPr>
            </w:pPr>
            <w:r w:rsidRPr="009A6248">
              <w:rPr>
                <w:b/>
                <w:sz w:val="16"/>
                <w:szCs w:val="16"/>
              </w:rPr>
              <w:t>(I) PROJECT TITLE</w:t>
            </w:r>
          </w:p>
        </w:tc>
        <w:tc>
          <w:tcPr>
            <w:tcW w:w="2394" w:type="dxa"/>
            <w:shd w:val="clear" w:color="auto" w:fill="auto"/>
          </w:tcPr>
          <w:p w:rsidR="00885322" w:rsidRPr="009A6248" w:rsidRDefault="00885322" w:rsidP="00885322">
            <w:pPr>
              <w:spacing w:after="80"/>
              <w:jc w:val="left"/>
              <w:rPr>
                <w:b/>
                <w:sz w:val="16"/>
                <w:szCs w:val="16"/>
              </w:rPr>
            </w:pPr>
            <w:r w:rsidRPr="009A6248">
              <w:rPr>
                <w:b/>
                <w:sz w:val="16"/>
                <w:szCs w:val="16"/>
              </w:rPr>
              <w:t>AGENCY</w:t>
            </w:r>
          </w:p>
        </w:tc>
        <w:tc>
          <w:tcPr>
            <w:tcW w:w="2394" w:type="dxa"/>
            <w:shd w:val="clear" w:color="auto" w:fill="auto"/>
          </w:tcPr>
          <w:p w:rsidR="00885322" w:rsidRPr="009A6248" w:rsidRDefault="00885322" w:rsidP="00885322">
            <w:pPr>
              <w:spacing w:after="80"/>
              <w:jc w:val="left"/>
              <w:rPr>
                <w:b/>
                <w:sz w:val="16"/>
                <w:szCs w:val="16"/>
              </w:rPr>
            </w:pPr>
            <w:r w:rsidRPr="009A6248">
              <w:rPr>
                <w:b/>
                <w:sz w:val="16"/>
                <w:szCs w:val="16"/>
              </w:rPr>
              <w:t>MEETING APPROVED</w:t>
            </w:r>
          </w:p>
        </w:tc>
        <w:tc>
          <w:tcPr>
            <w:tcW w:w="2394" w:type="dxa"/>
            <w:shd w:val="clear" w:color="auto" w:fill="auto"/>
          </w:tcPr>
          <w:p w:rsidR="00885322" w:rsidRPr="009A6248" w:rsidRDefault="00885322" w:rsidP="00885322">
            <w:pPr>
              <w:spacing w:after="80"/>
              <w:jc w:val="left"/>
              <w:rPr>
                <w:b/>
                <w:sz w:val="16"/>
                <w:szCs w:val="16"/>
              </w:rPr>
            </w:pPr>
            <w:r w:rsidRPr="009A6248">
              <w:rPr>
                <w:b/>
                <w:sz w:val="16"/>
                <w:szCs w:val="16"/>
              </w:rPr>
              <w:t>CONTROL MEASURE</w:t>
            </w:r>
          </w:p>
        </w:tc>
      </w:tr>
      <w:tr w:rsidR="00885322" w:rsidRPr="009A6248" w:rsidTr="00885322">
        <w:trPr>
          <w:trHeight w:val="240"/>
        </w:trPr>
        <w:tc>
          <w:tcPr>
            <w:tcW w:w="2394" w:type="dxa"/>
            <w:shd w:val="clear" w:color="auto" w:fill="auto"/>
          </w:tcPr>
          <w:p w:rsidR="00885322" w:rsidRPr="009A6248" w:rsidRDefault="00885322" w:rsidP="00885322">
            <w:pPr>
              <w:spacing w:after="80"/>
              <w:jc w:val="left"/>
              <w:rPr>
                <w:sz w:val="16"/>
                <w:szCs w:val="16"/>
              </w:rPr>
            </w:pPr>
            <w:r w:rsidRPr="009A6248">
              <w:rPr>
                <w:sz w:val="16"/>
                <w:szCs w:val="16"/>
              </w:rPr>
              <w:t>HCFC phase out plan (Stage I)</w:t>
            </w:r>
          </w:p>
        </w:tc>
        <w:tc>
          <w:tcPr>
            <w:tcW w:w="2394" w:type="dxa"/>
            <w:shd w:val="clear" w:color="auto" w:fill="auto"/>
          </w:tcPr>
          <w:p w:rsidR="00885322" w:rsidRPr="009A6248" w:rsidRDefault="00885322" w:rsidP="00885322">
            <w:pPr>
              <w:spacing w:after="80"/>
              <w:jc w:val="left"/>
              <w:rPr>
                <w:sz w:val="16"/>
                <w:szCs w:val="16"/>
              </w:rPr>
            </w:pPr>
            <w:r w:rsidRPr="009A6248">
              <w:rPr>
                <w:sz w:val="16"/>
                <w:szCs w:val="16"/>
              </w:rPr>
              <w:t>IBRD, Italy, UNIDO (lead)</w:t>
            </w:r>
          </w:p>
        </w:tc>
        <w:tc>
          <w:tcPr>
            <w:tcW w:w="2394" w:type="dxa"/>
            <w:shd w:val="clear" w:color="auto" w:fill="auto"/>
          </w:tcPr>
          <w:p w:rsidR="00885322" w:rsidRPr="009A6248" w:rsidRDefault="00885322" w:rsidP="00885322">
            <w:pPr>
              <w:spacing w:after="80"/>
              <w:jc w:val="left"/>
              <w:rPr>
                <w:sz w:val="16"/>
                <w:szCs w:val="16"/>
              </w:rPr>
            </w:pPr>
            <w:r w:rsidRPr="009A6248">
              <w:rPr>
                <w:sz w:val="16"/>
                <w:szCs w:val="16"/>
              </w:rPr>
              <w:t>66</w:t>
            </w:r>
            <w:r w:rsidRPr="009C73E7">
              <w:rPr>
                <w:sz w:val="16"/>
                <w:szCs w:val="16"/>
                <w:vertAlign w:val="superscript"/>
              </w:rPr>
              <w:t>th</w:t>
            </w:r>
            <w:r w:rsidR="009C73E7">
              <w:rPr>
                <w:sz w:val="16"/>
                <w:szCs w:val="16"/>
              </w:rPr>
              <w:t xml:space="preserve"> </w:t>
            </w:r>
          </w:p>
        </w:tc>
        <w:tc>
          <w:tcPr>
            <w:tcW w:w="2394" w:type="dxa"/>
            <w:shd w:val="clear" w:color="auto" w:fill="auto"/>
          </w:tcPr>
          <w:p w:rsidR="00885322" w:rsidRPr="009A6248" w:rsidRDefault="00885322" w:rsidP="00885322">
            <w:pPr>
              <w:spacing w:after="80"/>
              <w:jc w:val="left"/>
              <w:rPr>
                <w:sz w:val="16"/>
                <w:szCs w:val="16"/>
              </w:rPr>
            </w:pPr>
            <w:r w:rsidRPr="009A6248">
              <w:rPr>
                <w:sz w:val="16"/>
                <w:szCs w:val="16"/>
              </w:rPr>
              <w:t>17.5% by 2017</w:t>
            </w:r>
          </w:p>
        </w:tc>
      </w:tr>
    </w:tbl>
    <w:p w:rsidR="00885322" w:rsidRPr="009A6248" w:rsidRDefault="00885322" w:rsidP="00885322">
      <w:pPr>
        <w:spacing w:after="60"/>
        <w:jc w:val="left"/>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885322" w:rsidRPr="009A6248" w:rsidTr="00885322">
        <w:trPr>
          <w:trHeight w:val="240"/>
        </w:trPr>
        <w:tc>
          <w:tcPr>
            <w:tcW w:w="5200" w:type="dxa"/>
            <w:shd w:val="clear" w:color="auto" w:fill="auto"/>
          </w:tcPr>
          <w:p w:rsidR="00885322" w:rsidRPr="009A6248" w:rsidRDefault="00885322" w:rsidP="00885322">
            <w:pPr>
              <w:spacing w:after="60"/>
              <w:jc w:val="left"/>
              <w:rPr>
                <w:b/>
                <w:sz w:val="16"/>
                <w:szCs w:val="16"/>
              </w:rPr>
            </w:pPr>
            <w:r w:rsidRPr="009A6248">
              <w:rPr>
                <w:b/>
                <w:sz w:val="16"/>
                <w:szCs w:val="16"/>
              </w:rPr>
              <w:t>(II) LATEST ARTICLE 7 DATA (Annex C Group l)</w:t>
            </w:r>
          </w:p>
        </w:tc>
        <w:tc>
          <w:tcPr>
            <w:tcW w:w="2400" w:type="dxa"/>
            <w:shd w:val="clear" w:color="auto" w:fill="auto"/>
          </w:tcPr>
          <w:p w:rsidR="00885322" w:rsidRPr="009A6248" w:rsidRDefault="00885322" w:rsidP="00885322">
            <w:pPr>
              <w:spacing w:after="60"/>
              <w:jc w:val="left"/>
              <w:rPr>
                <w:sz w:val="16"/>
                <w:szCs w:val="16"/>
              </w:rPr>
            </w:pPr>
            <w:r w:rsidRPr="009A6248">
              <w:rPr>
                <w:sz w:val="16"/>
                <w:szCs w:val="16"/>
              </w:rPr>
              <w:t>Year: 2015</w:t>
            </w:r>
          </w:p>
        </w:tc>
        <w:tc>
          <w:tcPr>
            <w:tcW w:w="2400" w:type="dxa"/>
            <w:shd w:val="clear" w:color="auto" w:fill="auto"/>
          </w:tcPr>
          <w:p w:rsidR="00885322" w:rsidRPr="009A6248" w:rsidRDefault="00885322" w:rsidP="00885322">
            <w:pPr>
              <w:spacing w:after="60"/>
              <w:jc w:val="right"/>
              <w:rPr>
                <w:sz w:val="16"/>
                <w:szCs w:val="16"/>
              </w:rPr>
            </w:pPr>
            <w:r w:rsidRPr="009A6248">
              <w:rPr>
                <w:sz w:val="16"/>
                <w:szCs w:val="16"/>
              </w:rPr>
              <w:t>295.4 (ODP tonnes)</w:t>
            </w:r>
          </w:p>
        </w:tc>
      </w:tr>
    </w:tbl>
    <w:p w:rsidR="00885322" w:rsidRPr="009A6248" w:rsidRDefault="00885322" w:rsidP="00885322">
      <w:pPr>
        <w:spacing w:after="60"/>
        <w:jc w:val="left"/>
        <w:rPr>
          <w:b/>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33"/>
        <w:gridCol w:w="589"/>
        <w:gridCol w:w="1035"/>
        <w:gridCol w:w="1183"/>
        <w:gridCol w:w="841"/>
        <w:gridCol w:w="715"/>
        <w:gridCol w:w="1107"/>
        <w:gridCol w:w="729"/>
        <w:gridCol w:w="1868"/>
      </w:tblGrid>
      <w:tr w:rsidR="00885322" w:rsidRPr="009A6248" w:rsidTr="00885322">
        <w:trPr>
          <w:trHeight w:val="240"/>
        </w:trPr>
        <w:tc>
          <w:tcPr>
            <w:tcW w:w="0" w:type="auto"/>
            <w:gridSpan w:val="8"/>
            <w:shd w:val="clear" w:color="auto" w:fill="auto"/>
          </w:tcPr>
          <w:p w:rsidR="00885322" w:rsidRPr="007464D5" w:rsidRDefault="00885322" w:rsidP="00885322">
            <w:pPr>
              <w:spacing w:after="60"/>
              <w:jc w:val="left"/>
              <w:rPr>
                <w:b/>
                <w:sz w:val="16"/>
                <w:szCs w:val="16"/>
              </w:rPr>
            </w:pPr>
            <w:r w:rsidRPr="007464D5">
              <w:rPr>
                <w:b/>
                <w:sz w:val="16"/>
                <w:szCs w:val="16"/>
              </w:rPr>
              <w:t>(III) LATEST COUNTRY PROGRAMME SECTORAL DATA (ODP tonnes)</w:t>
            </w:r>
          </w:p>
        </w:tc>
        <w:tc>
          <w:tcPr>
            <w:tcW w:w="0" w:type="auto"/>
            <w:gridSpan w:val="2"/>
            <w:shd w:val="clear" w:color="auto" w:fill="auto"/>
          </w:tcPr>
          <w:p w:rsidR="00885322" w:rsidRPr="007464D5" w:rsidRDefault="00885322" w:rsidP="000F2A8B">
            <w:pPr>
              <w:spacing w:after="60"/>
              <w:jc w:val="right"/>
              <w:rPr>
                <w:b/>
                <w:sz w:val="16"/>
                <w:szCs w:val="16"/>
              </w:rPr>
            </w:pPr>
            <w:r w:rsidRPr="007464D5">
              <w:rPr>
                <w:b/>
                <w:sz w:val="16"/>
                <w:szCs w:val="16"/>
              </w:rPr>
              <w:t>Year: 201</w:t>
            </w:r>
            <w:r w:rsidR="000F2A8B" w:rsidRPr="007464D5">
              <w:rPr>
                <w:b/>
                <w:sz w:val="16"/>
                <w:szCs w:val="16"/>
              </w:rPr>
              <w:t>6</w:t>
            </w:r>
          </w:p>
        </w:tc>
      </w:tr>
      <w:tr w:rsidR="00885322" w:rsidRPr="009A6248" w:rsidTr="00885322">
        <w:trPr>
          <w:trHeight w:val="240"/>
        </w:trPr>
        <w:tc>
          <w:tcPr>
            <w:tcW w:w="0" w:type="auto"/>
            <w:shd w:val="clear" w:color="auto" w:fill="auto"/>
          </w:tcPr>
          <w:p w:rsidR="00885322" w:rsidRPr="007464D5" w:rsidRDefault="00885322" w:rsidP="00885322">
            <w:pPr>
              <w:spacing w:after="60"/>
              <w:jc w:val="left"/>
              <w:rPr>
                <w:sz w:val="16"/>
                <w:szCs w:val="16"/>
              </w:rPr>
            </w:pPr>
            <w:r w:rsidRPr="007464D5">
              <w:rPr>
                <w:sz w:val="16"/>
                <w:szCs w:val="16"/>
              </w:rPr>
              <w:t>Chemical</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Aerosol</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Foam</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Fire fighting</w:t>
            </w:r>
          </w:p>
        </w:tc>
        <w:tc>
          <w:tcPr>
            <w:tcW w:w="0" w:type="auto"/>
            <w:gridSpan w:val="2"/>
            <w:shd w:val="clear" w:color="auto" w:fill="auto"/>
          </w:tcPr>
          <w:p w:rsidR="00885322" w:rsidRPr="007464D5" w:rsidRDefault="00885322" w:rsidP="00C91DF4">
            <w:pPr>
              <w:spacing w:after="60"/>
              <w:jc w:val="center"/>
              <w:rPr>
                <w:sz w:val="16"/>
                <w:szCs w:val="16"/>
              </w:rPr>
            </w:pPr>
            <w:r w:rsidRPr="007464D5">
              <w:rPr>
                <w:sz w:val="16"/>
                <w:szCs w:val="16"/>
              </w:rPr>
              <w:t>Refrigeration</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Solvent</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Process agent</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Lab use</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Total sector consumption</w:t>
            </w:r>
          </w:p>
        </w:tc>
      </w:tr>
      <w:tr w:rsidR="00885322" w:rsidRPr="009A6248" w:rsidTr="00885322">
        <w:trPr>
          <w:trHeight w:val="240"/>
        </w:trPr>
        <w:tc>
          <w:tcPr>
            <w:tcW w:w="0" w:type="auto"/>
            <w:gridSpan w:val="4"/>
            <w:shd w:val="clear" w:color="auto" w:fill="auto"/>
          </w:tcPr>
          <w:p w:rsidR="00885322" w:rsidRPr="007464D5" w:rsidRDefault="00885322" w:rsidP="00885322">
            <w:pPr>
              <w:spacing w:after="60"/>
              <w:jc w:val="left"/>
              <w:rPr>
                <w:sz w:val="16"/>
                <w:szCs w:val="16"/>
              </w:rPr>
            </w:pPr>
            <w:r w:rsidRPr="007464D5">
              <w:rPr>
                <w:sz w:val="16"/>
                <w:szCs w:val="16"/>
              </w:rPr>
              <w:t xml:space="preserve"> </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Manufacturing</w:t>
            </w:r>
          </w:p>
        </w:tc>
        <w:tc>
          <w:tcPr>
            <w:tcW w:w="0" w:type="auto"/>
            <w:shd w:val="clear" w:color="auto" w:fill="auto"/>
          </w:tcPr>
          <w:p w:rsidR="00885322" w:rsidRPr="007464D5" w:rsidRDefault="00885322" w:rsidP="00885322">
            <w:pPr>
              <w:spacing w:after="60"/>
              <w:jc w:val="left"/>
              <w:rPr>
                <w:sz w:val="16"/>
                <w:szCs w:val="16"/>
              </w:rPr>
            </w:pPr>
            <w:r w:rsidRPr="007464D5">
              <w:rPr>
                <w:sz w:val="16"/>
                <w:szCs w:val="16"/>
              </w:rPr>
              <w:t>Servicing</w:t>
            </w:r>
          </w:p>
        </w:tc>
        <w:tc>
          <w:tcPr>
            <w:tcW w:w="0" w:type="auto"/>
            <w:gridSpan w:val="4"/>
            <w:shd w:val="clear" w:color="auto" w:fill="auto"/>
          </w:tcPr>
          <w:p w:rsidR="00885322" w:rsidRPr="007464D5" w:rsidRDefault="00885322" w:rsidP="00885322">
            <w:pPr>
              <w:spacing w:after="60"/>
              <w:jc w:val="left"/>
              <w:rPr>
                <w:sz w:val="16"/>
                <w:szCs w:val="16"/>
              </w:rPr>
            </w:pPr>
          </w:p>
        </w:tc>
      </w:tr>
      <w:tr w:rsidR="007464D5" w:rsidRPr="009A6248" w:rsidTr="00A13F71">
        <w:trPr>
          <w:trHeight w:val="240"/>
        </w:trPr>
        <w:tc>
          <w:tcPr>
            <w:tcW w:w="1200" w:type="dxa"/>
            <w:shd w:val="clear" w:color="auto" w:fill="auto"/>
          </w:tcPr>
          <w:p w:rsidR="007464D5" w:rsidRPr="007464D5" w:rsidRDefault="007464D5" w:rsidP="000F2A8B">
            <w:pPr>
              <w:spacing w:after="60"/>
              <w:jc w:val="left"/>
              <w:rPr>
                <w:sz w:val="16"/>
                <w:szCs w:val="16"/>
              </w:rPr>
            </w:pPr>
            <w:r w:rsidRPr="007464D5">
              <w:rPr>
                <w:sz w:val="16"/>
                <w:szCs w:val="16"/>
              </w:rPr>
              <w:t>HCFC-22</w:t>
            </w:r>
          </w:p>
        </w:tc>
        <w:tc>
          <w:tcPr>
            <w:tcW w:w="0" w:type="auto"/>
            <w:shd w:val="clear" w:color="auto" w:fill="auto"/>
            <w:vAlign w:val="bottom"/>
          </w:tcPr>
          <w:p w:rsidR="007464D5" w:rsidRPr="007464D5" w:rsidRDefault="007464D5" w:rsidP="007464D5">
            <w:pPr>
              <w:spacing w:after="60"/>
              <w:jc w:val="right"/>
              <w:rPr>
                <w:sz w:val="16"/>
                <w:szCs w:val="16"/>
              </w:rPr>
            </w:pPr>
            <w:r w:rsidRPr="007464D5">
              <w:rPr>
                <w:sz w:val="16"/>
                <w:szCs w:val="16"/>
              </w:rPr>
              <w:t>0.2</w:t>
            </w:r>
            <w:r w:rsidR="003213EB">
              <w:rPr>
                <w:sz w:val="16"/>
                <w:szCs w:val="16"/>
              </w:rPr>
              <w:t>4</w:t>
            </w:r>
          </w:p>
        </w:tc>
        <w:tc>
          <w:tcPr>
            <w:tcW w:w="0" w:type="auto"/>
            <w:shd w:val="clear" w:color="auto" w:fill="auto"/>
            <w:vAlign w:val="bottom"/>
          </w:tcPr>
          <w:p w:rsidR="007464D5" w:rsidRPr="007464D5" w:rsidRDefault="007464D5" w:rsidP="007464D5">
            <w:pPr>
              <w:spacing w:after="60"/>
              <w:jc w:val="right"/>
              <w:rPr>
                <w:sz w:val="16"/>
                <w:szCs w:val="16"/>
              </w:rPr>
            </w:pPr>
            <w:r w:rsidRPr="007464D5">
              <w:rPr>
                <w:sz w:val="16"/>
                <w:szCs w:val="16"/>
              </w:rPr>
              <w:t>1.4</w:t>
            </w:r>
            <w:r w:rsidR="003213EB">
              <w:rPr>
                <w:sz w:val="16"/>
                <w:szCs w:val="16"/>
              </w:rPr>
              <w:t>3</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vAlign w:val="bottom"/>
          </w:tcPr>
          <w:p w:rsidR="007464D5" w:rsidRPr="007464D5" w:rsidRDefault="007464D5" w:rsidP="003213EB">
            <w:pPr>
              <w:spacing w:after="60"/>
              <w:jc w:val="right"/>
              <w:rPr>
                <w:sz w:val="16"/>
                <w:szCs w:val="16"/>
              </w:rPr>
            </w:pPr>
            <w:r w:rsidRPr="007464D5">
              <w:rPr>
                <w:sz w:val="16"/>
                <w:szCs w:val="16"/>
              </w:rPr>
              <w:t>9.</w:t>
            </w:r>
            <w:r w:rsidR="003213EB">
              <w:rPr>
                <w:sz w:val="16"/>
                <w:szCs w:val="16"/>
              </w:rPr>
              <w:t>08</w:t>
            </w:r>
          </w:p>
        </w:tc>
        <w:tc>
          <w:tcPr>
            <w:tcW w:w="0" w:type="auto"/>
            <w:shd w:val="clear" w:color="auto" w:fill="auto"/>
            <w:vAlign w:val="bottom"/>
          </w:tcPr>
          <w:p w:rsidR="007464D5" w:rsidRPr="007464D5" w:rsidRDefault="007464D5" w:rsidP="007464D5">
            <w:pPr>
              <w:spacing w:after="60"/>
              <w:jc w:val="right"/>
              <w:rPr>
                <w:sz w:val="16"/>
                <w:szCs w:val="16"/>
              </w:rPr>
            </w:pPr>
            <w:r w:rsidRPr="007464D5">
              <w:rPr>
                <w:sz w:val="16"/>
                <w:szCs w:val="16"/>
              </w:rPr>
              <w:t>127.</w:t>
            </w:r>
            <w:r w:rsidR="006F56FF">
              <w:rPr>
                <w:sz w:val="16"/>
                <w:szCs w:val="16"/>
              </w:rPr>
              <w:t>39</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138.13</w:t>
            </w:r>
          </w:p>
        </w:tc>
      </w:tr>
      <w:tr w:rsidR="007464D5" w:rsidRPr="009A6248" w:rsidTr="00885322">
        <w:trPr>
          <w:trHeight w:val="240"/>
        </w:trPr>
        <w:tc>
          <w:tcPr>
            <w:tcW w:w="1200" w:type="dxa"/>
            <w:shd w:val="clear" w:color="auto" w:fill="auto"/>
          </w:tcPr>
          <w:p w:rsidR="007464D5" w:rsidRPr="007464D5" w:rsidRDefault="007464D5" w:rsidP="000F2A8B">
            <w:pPr>
              <w:spacing w:after="60"/>
              <w:jc w:val="left"/>
              <w:rPr>
                <w:sz w:val="16"/>
                <w:szCs w:val="16"/>
              </w:rPr>
            </w:pPr>
            <w:r w:rsidRPr="007464D5">
              <w:rPr>
                <w:sz w:val="16"/>
                <w:szCs w:val="16"/>
              </w:rPr>
              <w:t>HCFC-123</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3213EB" w:rsidRDefault="00A13F71" w:rsidP="003213EB">
            <w:pPr>
              <w:spacing w:after="60"/>
              <w:jc w:val="right"/>
              <w:rPr>
                <w:sz w:val="16"/>
                <w:szCs w:val="16"/>
              </w:rPr>
            </w:pPr>
            <w:r w:rsidRPr="003213EB">
              <w:rPr>
                <w:sz w:val="16"/>
                <w:szCs w:val="16"/>
              </w:rPr>
              <w:t>1.6</w:t>
            </w:r>
            <w:r w:rsidR="003213EB">
              <w:rPr>
                <w:sz w:val="16"/>
                <w:szCs w:val="16"/>
              </w:rPr>
              <w:t>4</w:t>
            </w:r>
          </w:p>
        </w:tc>
        <w:tc>
          <w:tcPr>
            <w:tcW w:w="0" w:type="auto"/>
            <w:shd w:val="clear" w:color="auto" w:fill="auto"/>
          </w:tcPr>
          <w:p w:rsidR="007464D5" w:rsidRPr="003213EB" w:rsidRDefault="007464D5" w:rsidP="003213EB">
            <w:pPr>
              <w:spacing w:after="60"/>
              <w:jc w:val="right"/>
              <w:rPr>
                <w:sz w:val="16"/>
                <w:szCs w:val="16"/>
              </w:rPr>
            </w:pPr>
          </w:p>
        </w:tc>
        <w:tc>
          <w:tcPr>
            <w:tcW w:w="0" w:type="auto"/>
            <w:shd w:val="clear" w:color="auto" w:fill="auto"/>
          </w:tcPr>
          <w:p w:rsidR="007464D5" w:rsidRPr="003213EB" w:rsidRDefault="00A13F71" w:rsidP="003213EB">
            <w:pPr>
              <w:spacing w:after="60"/>
              <w:jc w:val="right"/>
              <w:rPr>
                <w:sz w:val="16"/>
                <w:szCs w:val="16"/>
              </w:rPr>
            </w:pPr>
            <w:r w:rsidRPr="003213EB">
              <w:rPr>
                <w:sz w:val="16"/>
                <w:szCs w:val="16"/>
              </w:rPr>
              <w:t>0.</w:t>
            </w:r>
            <w:r w:rsidR="003213EB">
              <w:rPr>
                <w:sz w:val="16"/>
                <w:szCs w:val="16"/>
              </w:rPr>
              <w:t>59</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2.23</w:t>
            </w:r>
          </w:p>
        </w:tc>
      </w:tr>
      <w:tr w:rsidR="007464D5" w:rsidRPr="009A6248" w:rsidTr="00885322">
        <w:trPr>
          <w:trHeight w:val="240"/>
        </w:trPr>
        <w:tc>
          <w:tcPr>
            <w:tcW w:w="1200" w:type="dxa"/>
            <w:shd w:val="clear" w:color="auto" w:fill="auto"/>
          </w:tcPr>
          <w:p w:rsidR="007464D5" w:rsidRPr="007464D5" w:rsidRDefault="007464D5" w:rsidP="00885322">
            <w:pPr>
              <w:spacing w:after="60"/>
              <w:jc w:val="left"/>
              <w:rPr>
                <w:sz w:val="16"/>
                <w:szCs w:val="16"/>
              </w:rPr>
            </w:pPr>
            <w:r w:rsidRPr="007464D5">
              <w:rPr>
                <w:sz w:val="16"/>
                <w:szCs w:val="16"/>
              </w:rPr>
              <w:t>HCFC-124</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3213EB" w:rsidRDefault="007464D5" w:rsidP="007464D5">
            <w:pPr>
              <w:spacing w:after="60"/>
              <w:jc w:val="right"/>
              <w:rPr>
                <w:sz w:val="16"/>
                <w:szCs w:val="16"/>
              </w:rPr>
            </w:pPr>
          </w:p>
        </w:tc>
        <w:tc>
          <w:tcPr>
            <w:tcW w:w="0" w:type="auto"/>
            <w:shd w:val="clear" w:color="auto" w:fill="auto"/>
          </w:tcPr>
          <w:p w:rsidR="007464D5" w:rsidRPr="003213EB" w:rsidRDefault="007464D5" w:rsidP="007464D5">
            <w:pPr>
              <w:spacing w:after="60"/>
              <w:jc w:val="right"/>
              <w:rPr>
                <w:sz w:val="16"/>
                <w:szCs w:val="16"/>
              </w:rPr>
            </w:pPr>
          </w:p>
        </w:tc>
        <w:tc>
          <w:tcPr>
            <w:tcW w:w="0" w:type="auto"/>
            <w:shd w:val="clear" w:color="auto" w:fill="auto"/>
          </w:tcPr>
          <w:p w:rsidR="007464D5" w:rsidRPr="003213EB" w:rsidRDefault="003213EB" w:rsidP="007464D5">
            <w:pPr>
              <w:spacing w:after="60"/>
              <w:jc w:val="right"/>
              <w:rPr>
                <w:sz w:val="16"/>
                <w:szCs w:val="16"/>
              </w:rPr>
            </w:pPr>
            <w:r>
              <w:rPr>
                <w:sz w:val="16"/>
                <w:szCs w:val="16"/>
              </w:rPr>
              <w:t>0.55</w:t>
            </w: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0.55</w:t>
            </w:r>
          </w:p>
        </w:tc>
      </w:tr>
      <w:tr w:rsidR="007464D5" w:rsidRPr="009A6248" w:rsidTr="00885322">
        <w:trPr>
          <w:trHeight w:val="240"/>
        </w:trPr>
        <w:tc>
          <w:tcPr>
            <w:tcW w:w="1200" w:type="dxa"/>
            <w:shd w:val="clear" w:color="auto" w:fill="auto"/>
          </w:tcPr>
          <w:p w:rsidR="007464D5" w:rsidRPr="007464D5" w:rsidRDefault="007464D5" w:rsidP="00A13F71">
            <w:pPr>
              <w:spacing w:after="60"/>
              <w:jc w:val="left"/>
              <w:rPr>
                <w:sz w:val="16"/>
                <w:szCs w:val="16"/>
              </w:rPr>
            </w:pPr>
            <w:r w:rsidRPr="007464D5">
              <w:rPr>
                <w:sz w:val="16"/>
                <w:szCs w:val="16"/>
              </w:rPr>
              <w:t>HCFC-141b</w:t>
            </w: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0.33</w:t>
            </w: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56.50</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12.76</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69.59</w:t>
            </w:r>
          </w:p>
        </w:tc>
      </w:tr>
      <w:tr w:rsidR="007464D5" w:rsidRPr="009A6248" w:rsidTr="00C91DF4">
        <w:trPr>
          <w:trHeight w:val="670"/>
        </w:trPr>
        <w:tc>
          <w:tcPr>
            <w:tcW w:w="1200" w:type="dxa"/>
            <w:shd w:val="clear" w:color="auto" w:fill="auto"/>
          </w:tcPr>
          <w:p w:rsidR="007464D5" w:rsidRPr="007464D5" w:rsidRDefault="007464D5" w:rsidP="006E3017">
            <w:pPr>
              <w:spacing w:after="60"/>
              <w:jc w:val="left"/>
              <w:rPr>
                <w:sz w:val="16"/>
                <w:szCs w:val="16"/>
              </w:rPr>
            </w:pPr>
            <w:r w:rsidRPr="007464D5">
              <w:rPr>
                <w:sz w:val="16"/>
                <w:szCs w:val="16"/>
              </w:rPr>
              <w:t xml:space="preserve">HCFC-141b in </w:t>
            </w:r>
            <w:r w:rsidR="006E3017">
              <w:rPr>
                <w:sz w:val="16"/>
                <w:szCs w:val="16"/>
              </w:rPr>
              <w:t>i</w:t>
            </w:r>
            <w:r w:rsidRPr="007464D5">
              <w:rPr>
                <w:sz w:val="16"/>
                <w:szCs w:val="16"/>
              </w:rPr>
              <w:t xml:space="preserve">mported </w:t>
            </w:r>
            <w:r w:rsidR="006E3017">
              <w:rPr>
                <w:sz w:val="16"/>
                <w:szCs w:val="16"/>
              </w:rPr>
              <w:t>p</w:t>
            </w:r>
            <w:r w:rsidRPr="007464D5">
              <w:rPr>
                <w:sz w:val="16"/>
                <w:szCs w:val="16"/>
              </w:rPr>
              <w:t xml:space="preserve">re-blended </w:t>
            </w:r>
            <w:r w:rsidR="006E3017">
              <w:rPr>
                <w:sz w:val="16"/>
                <w:szCs w:val="16"/>
              </w:rPr>
              <w:t>p</w:t>
            </w:r>
            <w:r w:rsidRPr="007464D5">
              <w:rPr>
                <w:sz w:val="16"/>
                <w:szCs w:val="16"/>
              </w:rPr>
              <w:t>olyol</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25.08</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C91DF4">
            <w:pPr>
              <w:spacing w:after="60"/>
              <w:jc w:val="right"/>
              <w:rPr>
                <w:sz w:val="16"/>
                <w:szCs w:val="16"/>
              </w:rPr>
            </w:pPr>
            <w:r w:rsidRPr="00C91DF4">
              <w:rPr>
                <w:sz w:val="16"/>
                <w:szCs w:val="16"/>
              </w:rPr>
              <w:t>25.08</w:t>
            </w:r>
          </w:p>
        </w:tc>
      </w:tr>
      <w:tr w:rsidR="007464D5" w:rsidRPr="009A6248" w:rsidTr="00885322">
        <w:trPr>
          <w:trHeight w:val="240"/>
        </w:trPr>
        <w:tc>
          <w:tcPr>
            <w:tcW w:w="1200" w:type="dxa"/>
            <w:shd w:val="clear" w:color="auto" w:fill="auto"/>
          </w:tcPr>
          <w:p w:rsidR="007464D5" w:rsidRPr="007464D5" w:rsidRDefault="007464D5" w:rsidP="00885322">
            <w:pPr>
              <w:spacing w:after="60"/>
              <w:jc w:val="left"/>
              <w:rPr>
                <w:sz w:val="16"/>
                <w:szCs w:val="16"/>
              </w:rPr>
            </w:pPr>
            <w:r w:rsidRPr="007464D5">
              <w:rPr>
                <w:sz w:val="16"/>
                <w:szCs w:val="16"/>
              </w:rPr>
              <w:t>HCFC-142b</w:t>
            </w: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0</w:t>
            </w: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1.19</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8.40</w:t>
            </w:r>
          </w:p>
        </w:tc>
        <w:tc>
          <w:tcPr>
            <w:tcW w:w="0" w:type="auto"/>
            <w:shd w:val="clear" w:color="auto" w:fill="auto"/>
          </w:tcPr>
          <w:p w:rsidR="007464D5" w:rsidRPr="00C91DF4" w:rsidRDefault="007464D5" w:rsidP="007464D5">
            <w:pPr>
              <w:spacing w:after="60"/>
              <w:jc w:val="right"/>
              <w:rPr>
                <w:sz w:val="16"/>
                <w:szCs w:val="16"/>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9A6248" w:rsidRDefault="007464D5" w:rsidP="007464D5">
            <w:pPr>
              <w:spacing w:after="60"/>
              <w:jc w:val="right"/>
              <w:rPr>
                <w:sz w:val="16"/>
                <w:szCs w:val="16"/>
                <w:highlight w:val="yellow"/>
              </w:rPr>
            </w:pPr>
          </w:p>
        </w:tc>
        <w:tc>
          <w:tcPr>
            <w:tcW w:w="0" w:type="auto"/>
            <w:shd w:val="clear" w:color="auto" w:fill="auto"/>
          </w:tcPr>
          <w:p w:rsidR="007464D5" w:rsidRPr="00C91DF4" w:rsidRDefault="00C91DF4" w:rsidP="007464D5">
            <w:pPr>
              <w:spacing w:after="60"/>
              <w:jc w:val="right"/>
              <w:rPr>
                <w:sz w:val="16"/>
                <w:szCs w:val="16"/>
              </w:rPr>
            </w:pPr>
            <w:r w:rsidRPr="00C91DF4">
              <w:rPr>
                <w:sz w:val="16"/>
                <w:szCs w:val="16"/>
              </w:rPr>
              <w:t>9.60</w:t>
            </w:r>
          </w:p>
        </w:tc>
      </w:tr>
    </w:tbl>
    <w:p w:rsidR="00885322" w:rsidRPr="009A6248" w:rsidRDefault="00885322" w:rsidP="00885322">
      <w:pPr>
        <w:spacing w:after="60"/>
        <w:jc w:val="left"/>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79"/>
        <w:gridCol w:w="929"/>
        <w:gridCol w:w="5433"/>
        <w:gridCol w:w="1059"/>
      </w:tblGrid>
      <w:tr w:rsidR="00885322" w:rsidRPr="009A6248" w:rsidTr="00885322">
        <w:trPr>
          <w:trHeight w:val="240"/>
        </w:trPr>
        <w:tc>
          <w:tcPr>
            <w:tcW w:w="0" w:type="auto"/>
            <w:gridSpan w:val="4"/>
            <w:shd w:val="clear" w:color="auto" w:fill="auto"/>
          </w:tcPr>
          <w:p w:rsidR="00885322" w:rsidRPr="009A6248" w:rsidRDefault="00885322" w:rsidP="00885322">
            <w:pPr>
              <w:spacing w:after="60"/>
              <w:jc w:val="left"/>
              <w:rPr>
                <w:b/>
                <w:sz w:val="16"/>
                <w:szCs w:val="16"/>
              </w:rPr>
            </w:pPr>
            <w:r w:rsidRPr="009A6248">
              <w:rPr>
                <w:b/>
                <w:sz w:val="16"/>
                <w:szCs w:val="16"/>
              </w:rPr>
              <w:t>(IV) CONSUMPTION DATA (ODP tonnes)</w:t>
            </w:r>
          </w:p>
        </w:tc>
      </w:tr>
      <w:tr w:rsidR="00885322" w:rsidRPr="009A6248" w:rsidTr="00885322">
        <w:trPr>
          <w:trHeight w:val="240"/>
        </w:trPr>
        <w:tc>
          <w:tcPr>
            <w:tcW w:w="0" w:type="auto"/>
            <w:shd w:val="clear" w:color="auto" w:fill="auto"/>
          </w:tcPr>
          <w:p w:rsidR="00885322" w:rsidRPr="009A6248" w:rsidRDefault="00885322" w:rsidP="00885322">
            <w:pPr>
              <w:spacing w:after="60"/>
              <w:jc w:val="left"/>
              <w:rPr>
                <w:sz w:val="16"/>
                <w:szCs w:val="16"/>
              </w:rPr>
            </w:pPr>
            <w:r w:rsidRPr="009A6248">
              <w:rPr>
                <w:sz w:val="16"/>
                <w:szCs w:val="16"/>
              </w:rPr>
              <w:t>2009 - 2010 baseline:</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400.7</w:t>
            </w:r>
          </w:p>
        </w:tc>
        <w:tc>
          <w:tcPr>
            <w:tcW w:w="0" w:type="auto"/>
            <w:shd w:val="clear" w:color="auto" w:fill="auto"/>
          </w:tcPr>
          <w:p w:rsidR="00885322" w:rsidRPr="009A6248" w:rsidRDefault="00885322" w:rsidP="00885322">
            <w:pPr>
              <w:spacing w:after="60"/>
              <w:jc w:val="left"/>
              <w:rPr>
                <w:sz w:val="16"/>
                <w:szCs w:val="16"/>
              </w:rPr>
            </w:pPr>
            <w:r w:rsidRPr="009A6248">
              <w:rPr>
                <w:sz w:val="16"/>
                <w:szCs w:val="16"/>
              </w:rPr>
              <w:t>Starting point for sustained aggregate reductions:</w:t>
            </w:r>
          </w:p>
        </w:tc>
        <w:tc>
          <w:tcPr>
            <w:tcW w:w="0" w:type="auto"/>
            <w:shd w:val="clear" w:color="auto" w:fill="auto"/>
          </w:tcPr>
          <w:p w:rsidR="00885322" w:rsidRPr="009A6248" w:rsidRDefault="00885322" w:rsidP="00885322">
            <w:pPr>
              <w:spacing w:after="60"/>
              <w:jc w:val="right"/>
              <w:rPr>
                <w:b/>
                <w:sz w:val="16"/>
                <w:szCs w:val="16"/>
              </w:rPr>
            </w:pPr>
            <w:r w:rsidRPr="009A6248">
              <w:rPr>
                <w:sz w:val="16"/>
                <w:szCs w:val="16"/>
              </w:rPr>
              <w:t>377</w:t>
            </w:r>
            <w:r w:rsidRPr="009A6248">
              <w:rPr>
                <w:b/>
                <w:sz w:val="16"/>
                <w:szCs w:val="16"/>
              </w:rPr>
              <w:t>.</w:t>
            </w:r>
            <w:r w:rsidRPr="009A6248">
              <w:rPr>
                <w:sz w:val="16"/>
                <w:szCs w:val="16"/>
              </w:rPr>
              <w:t>5</w:t>
            </w:r>
          </w:p>
        </w:tc>
      </w:tr>
      <w:tr w:rsidR="00885322" w:rsidRPr="009A6248" w:rsidTr="00885322">
        <w:trPr>
          <w:trHeight w:val="240"/>
        </w:trPr>
        <w:tc>
          <w:tcPr>
            <w:tcW w:w="0" w:type="auto"/>
            <w:gridSpan w:val="4"/>
            <w:shd w:val="clear" w:color="auto" w:fill="auto"/>
          </w:tcPr>
          <w:p w:rsidR="00885322" w:rsidRPr="009A6248" w:rsidRDefault="00885322" w:rsidP="00885322">
            <w:pPr>
              <w:spacing w:after="60"/>
              <w:jc w:val="left"/>
              <w:rPr>
                <w:b/>
                <w:sz w:val="16"/>
                <w:szCs w:val="16"/>
              </w:rPr>
            </w:pPr>
            <w:r w:rsidRPr="009A6248">
              <w:rPr>
                <w:b/>
                <w:sz w:val="16"/>
                <w:szCs w:val="16"/>
              </w:rPr>
              <w:t>CONSUMPTION ELIGIBLE FOR FUNDING (ODP tonnes)</w:t>
            </w:r>
          </w:p>
        </w:tc>
      </w:tr>
      <w:tr w:rsidR="00885322" w:rsidRPr="009A6248" w:rsidTr="00885322">
        <w:trPr>
          <w:trHeight w:val="240"/>
        </w:trPr>
        <w:tc>
          <w:tcPr>
            <w:tcW w:w="0" w:type="auto"/>
            <w:shd w:val="clear" w:color="auto" w:fill="auto"/>
          </w:tcPr>
          <w:p w:rsidR="00885322" w:rsidRPr="009A6248" w:rsidRDefault="00885322" w:rsidP="00885322">
            <w:pPr>
              <w:spacing w:after="60"/>
              <w:jc w:val="left"/>
              <w:rPr>
                <w:sz w:val="16"/>
                <w:szCs w:val="16"/>
              </w:rPr>
            </w:pPr>
            <w:r w:rsidRPr="009A6248">
              <w:rPr>
                <w:sz w:val="16"/>
                <w:szCs w:val="16"/>
              </w:rPr>
              <w:t>Already approved:</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83.53</w:t>
            </w:r>
          </w:p>
        </w:tc>
        <w:tc>
          <w:tcPr>
            <w:tcW w:w="0" w:type="auto"/>
            <w:shd w:val="clear" w:color="auto" w:fill="auto"/>
          </w:tcPr>
          <w:p w:rsidR="00885322" w:rsidRPr="009A6248" w:rsidRDefault="00885322" w:rsidP="00885322">
            <w:pPr>
              <w:spacing w:after="60"/>
              <w:jc w:val="left"/>
              <w:rPr>
                <w:sz w:val="16"/>
                <w:szCs w:val="16"/>
              </w:rPr>
            </w:pPr>
            <w:r w:rsidRPr="009A6248">
              <w:rPr>
                <w:sz w:val="16"/>
                <w:szCs w:val="16"/>
              </w:rPr>
              <w:t>Remaining:</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293.98</w:t>
            </w:r>
          </w:p>
        </w:tc>
      </w:tr>
    </w:tbl>
    <w:p w:rsidR="00885322" w:rsidRPr="009A6248" w:rsidRDefault="00885322" w:rsidP="00885322">
      <w:pPr>
        <w:spacing w:after="60"/>
        <w:jc w:val="left"/>
        <w:rPr>
          <w:b/>
          <w:sz w:val="16"/>
          <w:szCs w:val="16"/>
        </w:rPr>
      </w:pPr>
    </w:p>
    <w:tbl>
      <w:tblPr>
        <w:tblStyle w:val="TableGrid"/>
        <w:tblW w:w="525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Look w:val="04A0" w:firstRow="1" w:lastRow="0" w:firstColumn="1" w:lastColumn="0" w:noHBand="0" w:noVBand="1"/>
      </w:tblPr>
      <w:tblGrid>
        <w:gridCol w:w="2339"/>
        <w:gridCol w:w="5116"/>
        <w:gridCol w:w="2600"/>
      </w:tblGrid>
      <w:tr w:rsidR="00E16762" w:rsidRPr="009A6248" w:rsidTr="0017198D">
        <w:trPr>
          <w:trHeight w:val="240"/>
        </w:trPr>
        <w:tc>
          <w:tcPr>
            <w:tcW w:w="3707" w:type="pct"/>
            <w:gridSpan w:val="2"/>
            <w:hideMark/>
          </w:tcPr>
          <w:p w:rsidR="00E16762" w:rsidRPr="009A6248" w:rsidRDefault="00E16762" w:rsidP="00885322">
            <w:pPr>
              <w:spacing w:after="60"/>
              <w:jc w:val="left"/>
              <w:rPr>
                <w:b/>
                <w:sz w:val="16"/>
                <w:szCs w:val="16"/>
              </w:rPr>
            </w:pPr>
            <w:r w:rsidRPr="009A6248">
              <w:rPr>
                <w:b/>
                <w:sz w:val="16"/>
                <w:szCs w:val="16"/>
              </w:rPr>
              <w:t>(V) BUSINESS PLAN</w:t>
            </w:r>
          </w:p>
        </w:tc>
        <w:tc>
          <w:tcPr>
            <w:tcW w:w="1293" w:type="pct"/>
          </w:tcPr>
          <w:p w:rsidR="00E16762" w:rsidRPr="009A6248" w:rsidRDefault="00E16762" w:rsidP="00885322">
            <w:pPr>
              <w:spacing w:after="60"/>
              <w:jc w:val="center"/>
              <w:rPr>
                <w:b/>
                <w:sz w:val="16"/>
                <w:szCs w:val="16"/>
              </w:rPr>
            </w:pPr>
            <w:r w:rsidRPr="009A6248">
              <w:rPr>
                <w:b/>
                <w:sz w:val="16"/>
                <w:szCs w:val="16"/>
              </w:rPr>
              <w:t>2017</w:t>
            </w:r>
          </w:p>
        </w:tc>
      </w:tr>
      <w:tr w:rsidR="00E16762" w:rsidRPr="009A6248" w:rsidTr="0017198D">
        <w:trPr>
          <w:trHeight w:val="47"/>
        </w:trPr>
        <w:tc>
          <w:tcPr>
            <w:tcW w:w="1163" w:type="pct"/>
            <w:vMerge w:val="restart"/>
            <w:hideMark/>
          </w:tcPr>
          <w:p w:rsidR="00E16762" w:rsidRPr="009A6248" w:rsidRDefault="00E16762" w:rsidP="00885322">
            <w:pPr>
              <w:spacing w:after="60"/>
              <w:jc w:val="left"/>
              <w:rPr>
                <w:sz w:val="16"/>
                <w:szCs w:val="16"/>
              </w:rPr>
            </w:pPr>
            <w:r w:rsidRPr="009A6248">
              <w:rPr>
                <w:sz w:val="16"/>
                <w:szCs w:val="16"/>
              </w:rPr>
              <w:t>UNIDO</w:t>
            </w:r>
          </w:p>
        </w:tc>
        <w:tc>
          <w:tcPr>
            <w:tcW w:w="2544" w:type="pct"/>
            <w:hideMark/>
          </w:tcPr>
          <w:p w:rsidR="00E16762" w:rsidRPr="009A6248" w:rsidRDefault="00E16762" w:rsidP="00885322">
            <w:pPr>
              <w:spacing w:after="60"/>
              <w:jc w:val="left"/>
              <w:rPr>
                <w:sz w:val="16"/>
                <w:szCs w:val="16"/>
              </w:rPr>
            </w:pPr>
            <w:r w:rsidRPr="009A6248">
              <w:rPr>
                <w:sz w:val="16"/>
                <w:szCs w:val="16"/>
              </w:rPr>
              <w:t>ODS phase-out (ODP tonnes)</w:t>
            </w:r>
          </w:p>
        </w:tc>
        <w:tc>
          <w:tcPr>
            <w:tcW w:w="1293" w:type="pct"/>
          </w:tcPr>
          <w:p w:rsidR="00E16762" w:rsidRPr="009A6248" w:rsidRDefault="00E16762" w:rsidP="00E16762">
            <w:pPr>
              <w:spacing w:after="60"/>
              <w:jc w:val="right"/>
              <w:rPr>
                <w:sz w:val="16"/>
                <w:szCs w:val="16"/>
              </w:rPr>
            </w:pPr>
            <w:r w:rsidRPr="009A6248">
              <w:rPr>
                <w:sz w:val="16"/>
                <w:szCs w:val="16"/>
              </w:rPr>
              <w:t>1.29</w:t>
            </w:r>
          </w:p>
        </w:tc>
      </w:tr>
      <w:tr w:rsidR="00E16762" w:rsidRPr="009A6248" w:rsidTr="0017198D">
        <w:trPr>
          <w:trHeight w:val="47"/>
        </w:trPr>
        <w:tc>
          <w:tcPr>
            <w:tcW w:w="1163" w:type="pct"/>
            <w:vMerge/>
            <w:vAlign w:val="center"/>
            <w:hideMark/>
          </w:tcPr>
          <w:p w:rsidR="00E16762" w:rsidRPr="009A6248" w:rsidRDefault="00E16762" w:rsidP="00885322">
            <w:pPr>
              <w:jc w:val="left"/>
              <w:rPr>
                <w:sz w:val="16"/>
                <w:szCs w:val="16"/>
              </w:rPr>
            </w:pPr>
          </w:p>
        </w:tc>
        <w:tc>
          <w:tcPr>
            <w:tcW w:w="2544" w:type="pct"/>
            <w:hideMark/>
          </w:tcPr>
          <w:p w:rsidR="00E16762" w:rsidRPr="009A6248" w:rsidRDefault="00E16762" w:rsidP="00885322">
            <w:pPr>
              <w:spacing w:after="60"/>
              <w:jc w:val="left"/>
              <w:rPr>
                <w:sz w:val="16"/>
                <w:szCs w:val="16"/>
              </w:rPr>
            </w:pPr>
            <w:r w:rsidRPr="009A6248">
              <w:rPr>
                <w:sz w:val="16"/>
                <w:szCs w:val="16"/>
              </w:rPr>
              <w:t>Funding (</w:t>
            </w:r>
            <w:r w:rsidR="009A3BBD">
              <w:rPr>
                <w:sz w:val="16"/>
                <w:szCs w:val="16"/>
              </w:rPr>
              <w:t>US $</w:t>
            </w:r>
            <w:r w:rsidRPr="009A6248">
              <w:rPr>
                <w:sz w:val="16"/>
                <w:szCs w:val="16"/>
              </w:rPr>
              <w:t>)</w:t>
            </w:r>
          </w:p>
        </w:tc>
        <w:tc>
          <w:tcPr>
            <w:tcW w:w="1293" w:type="pct"/>
          </w:tcPr>
          <w:p w:rsidR="00E16762" w:rsidRPr="009A6248" w:rsidRDefault="00E16762" w:rsidP="00885322">
            <w:pPr>
              <w:spacing w:after="60"/>
              <w:jc w:val="right"/>
              <w:rPr>
                <w:sz w:val="16"/>
                <w:szCs w:val="16"/>
              </w:rPr>
            </w:pPr>
            <w:r w:rsidRPr="009A6248">
              <w:rPr>
                <w:sz w:val="16"/>
                <w:szCs w:val="16"/>
              </w:rPr>
              <w:t>134,000</w:t>
            </w:r>
          </w:p>
        </w:tc>
      </w:tr>
    </w:tbl>
    <w:p w:rsidR="00885322" w:rsidRPr="009A6248" w:rsidRDefault="00885322" w:rsidP="00885322">
      <w:pPr>
        <w:spacing w:after="60"/>
        <w:jc w:val="left"/>
        <w:rPr>
          <w:b/>
          <w:sz w:val="16"/>
          <w:szCs w:val="16"/>
        </w:rPr>
      </w:pPr>
    </w:p>
    <w:tbl>
      <w:tblPr>
        <w:tblStyle w:val="TableGrid"/>
        <w:tblW w:w="1009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11"/>
        <w:gridCol w:w="852"/>
        <w:gridCol w:w="1162"/>
        <w:gridCol w:w="936"/>
        <w:gridCol w:w="536"/>
        <w:gridCol w:w="856"/>
        <w:gridCol w:w="656"/>
        <w:gridCol w:w="736"/>
        <w:gridCol w:w="736"/>
        <w:gridCol w:w="656"/>
        <w:gridCol w:w="736"/>
        <w:gridCol w:w="1025"/>
      </w:tblGrid>
      <w:tr w:rsidR="00885322" w:rsidRPr="009A6248" w:rsidTr="0017198D">
        <w:tc>
          <w:tcPr>
            <w:tcW w:w="0" w:type="auto"/>
            <w:gridSpan w:val="3"/>
            <w:shd w:val="clear" w:color="auto" w:fill="auto"/>
          </w:tcPr>
          <w:p w:rsidR="00885322" w:rsidRPr="009A6248" w:rsidRDefault="00885322" w:rsidP="00885322">
            <w:pPr>
              <w:spacing w:after="60"/>
              <w:jc w:val="left"/>
              <w:rPr>
                <w:b/>
                <w:sz w:val="16"/>
                <w:szCs w:val="16"/>
              </w:rPr>
            </w:pPr>
            <w:r w:rsidRPr="009A6248">
              <w:rPr>
                <w:b/>
                <w:sz w:val="16"/>
                <w:szCs w:val="16"/>
              </w:rPr>
              <w:t>(VI) PROJECT DATA</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2010</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2011</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2012</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2013</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2014</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2015</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2016</w:t>
            </w:r>
          </w:p>
        </w:tc>
        <w:tc>
          <w:tcPr>
            <w:tcW w:w="0" w:type="auto"/>
            <w:shd w:val="clear" w:color="auto" w:fill="auto"/>
          </w:tcPr>
          <w:p w:rsidR="00885322" w:rsidRPr="009A6248" w:rsidRDefault="00885322" w:rsidP="00885322">
            <w:pPr>
              <w:spacing w:after="60"/>
              <w:jc w:val="left"/>
              <w:rPr>
                <w:b/>
                <w:sz w:val="16"/>
                <w:szCs w:val="16"/>
              </w:rPr>
            </w:pPr>
            <w:r w:rsidRPr="009A6248">
              <w:rPr>
                <w:b/>
                <w:sz w:val="16"/>
                <w:szCs w:val="16"/>
              </w:rPr>
              <w:t>2017</w:t>
            </w:r>
          </w:p>
        </w:tc>
        <w:tc>
          <w:tcPr>
            <w:tcW w:w="1034" w:type="dxa"/>
            <w:shd w:val="clear" w:color="auto" w:fill="auto"/>
          </w:tcPr>
          <w:p w:rsidR="00885322" w:rsidRPr="009A6248" w:rsidRDefault="00885322" w:rsidP="00885322">
            <w:pPr>
              <w:spacing w:after="60"/>
              <w:jc w:val="left"/>
              <w:rPr>
                <w:b/>
                <w:sz w:val="16"/>
                <w:szCs w:val="16"/>
              </w:rPr>
            </w:pPr>
            <w:r w:rsidRPr="009A6248">
              <w:rPr>
                <w:b/>
                <w:sz w:val="16"/>
                <w:szCs w:val="16"/>
              </w:rPr>
              <w:t>Total</w:t>
            </w:r>
          </w:p>
        </w:tc>
      </w:tr>
      <w:tr w:rsidR="00885322" w:rsidRPr="009A6248" w:rsidTr="0017198D">
        <w:tc>
          <w:tcPr>
            <w:tcW w:w="0" w:type="auto"/>
            <w:gridSpan w:val="3"/>
            <w:shd w:val="clear" w:color="auto" w:fill="auto"/>
          </w:tcPr>
          <w:p w:rsidR="00885322" w:rsidRPr="009A6248" w:rsidRDefault="00885322" w:rsidP="00885322">
            <w:pPr>
              <w:spacing w:after="60"/>
              <w:jc w:val="left"/>
              <w:rPr>
                <w:sz w:val="16"/>
                <w:szCs w:val="16"/>
              </w:rPr>
            </w:pPr>
            <w:r w:rsidRPr="009A6248">
              <w:rPr>
                <w:sz w:val="16"/>
                <w:szCs w:val="16"/>
              </w:rPr>
              <w:t>Montreal Protocol consumption limits</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400.7</w:t>
            </w:r>
            <w:r w:rsidR="00E16762" w:rsidRPr="009A6248">
              <w:rPr>
                <w:sz w:val="16"/>
                <w:szCs w:val="16"/>
              </w:rPr>
              <w:t>0</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400.7</w:t>
            </w:r>
            <w:r w:rsidR="00E16762" w:rsidRPr="009A6248">
              <w:rPr>
                <w:sz w:val="16"/>
                <w:szCs w:val="16"/>
              </w:rPr>
              <w:t>0</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360.6</w:t>
            </w:r>
            <w:r w:rsidR="00E16762" w:rsidRPr="009A6248">
              <w:rPr>
                <w:sz w:val="16"/>
                <w:szCs w:val="16"/>
              </w:rPr>
              <w:t>3</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360.6</w:t>
            </w:r>
            <w:r w:rsidR="00E16762" w:rsidRPr="009A6248">
              <w:rPr>
                <w:sz w:val="16"/>
                <w:szCs w:val="16"/>
              </w:rPr>
              <w:t>3</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360.6</w:t>
            </w:r>
            <w:r w:rsidR="00E16762" w:rsidRPr="009A6248">
              <w:rPr>
                <w:sz w:val="16"/>
                <w:szCs w:val="16"/>
              </w:rPr>
              <w:t>3</w:t>
            </w:r>
          </w:p>
        </w:tc>
        <w:tc>
          <w:tcPr>
            <w:tcW w:w="1034" w:type="dxa"/>
            <w:shd w:val="clear" w:color="auto" w:fill="auto"/>
          </w:tcPr>
          <w:p w:rsidR="00885322" w:rsidRPr="009A6248" w:rsidRDefault="00885322" w:rsidP="00885322">
            <w:pPr>
              <w:spacing w:after="60"/>
              <w:jc w:val="right"/>
              <w:rPr>
                <w:sz w:val="16"/>
                <w:szCs w:val="16"/>
              </w:rPr>
            </w:pPr>
            <w:r w:rsidRPr="009A6248">
              <w:rPr>
                <w:sz w:val="16"/>
                <w:szCs w:val="16"/>
              </w:rPr>
              <w:t>n/a</w:t>
            </w:r>
          </w:p>
        </w:tc>
      </w:tr>
      <w:tr w:rsidR="00885322" w:rsidRPr="009A6248" w:rsidTr="0017198D">
        <w:tc>
          <w:tcPr>
            <w:tcW w:w="0" w:type="auto"/>
            <w:gridSpan w:val="3"/>
            <w:shd w:val="clear" w:color="auto" w:fill="auto"/>
          </w:tcPr>
          <w:p w:rsidR="00885322" w:rsidRPr="009A6248" w:rsidRDefault="00885322" w:rsidP="00885322">
            <w:pPr>
              <w:spacing w:after="60"/>
              <w:jc w:val="left"/>
              <w:rPr>
                <w:sz w:val="16"/>
                <w:szCs w:val="16"/>
              </w:rPr>
            </w:pPr>
            <w:r w:rsidRPr="009A6248">
              <w:rPr>
                <w:sz w:val="16"/>
                <w:szCs w:val="16"/>
              </w:rPr>
              <w:t>Maximum allowable consumption (ODP tonnes)</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n/a</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400.7</w:t>
            </w:r>
            <w:r w:rsidR="00E16762" w:rsidRPr="009A6248">
              <w:rPr>
                <w:sz w:val="16"/>
                <w:szCs w:val="16"/>
              </w:rPr>
              <w:t>0</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400.7</w:t>
            </w:r>
            <w:r w:rsidR="00E16762" w:rsidRPr="009A6248">
              <w:rPr>
                <w:sz w:val="16"/>
                <w:szCs w:val="16"/>
              </w:rPr>
              <w:t>0</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360.6</w:t>
            </w:r>
            <w:r w:rsidR="00E16762" w:rsidRPr="009A6248">
              <w:rPr>
                <w:sz w:val="16"/>
                <w:szCs w:val="16"/>
              </w:rPr>
              <w:t>3</w:t>
            </w:r>
          </w:p>
        </w:tc>
        <w:tc>
          <w:tcPr>
            <w:tcW w:w="0" w:type="auto"/>
            <w:shd w:val="clear" w:color="auto" w:fill="auto"/>
          </w:tcPr>
          <w:p w:rsidR="00885322" w:rsidRPr="009A6248" w:rsidRDefault="00885322" w:rsidP="00885322">
            <w:pPr>
              <w:spacing w:after="60"/>
              <w:jc w:val="right"/>
              <w:rPr>
                <w:sz w:val="16"/>
                <w:szCs w:val="16"/>
              </w:rPr>
            </w:pPr>
            <w:r w:rsidRPr="009A6248">
              <w:rPr>
                <w:sz w:val="16"/>
                <w:szCs w:val="16"/>
              </w:rPr>
              <w:t>360.6</w:t>
            </w:r>
            <w:r w:rsidR="00E16762" w:rsidRPr="009A6248">
              <w:rPr>
                <w:sz w:val="16"/>
                <w:szCs w:val="16"/>
              </w:rPr>
              <w:t>3</w:t>
            </w:r>
          </w:p>
        </w:tc>
        <w:tc>
          <w:tcPr>
            <w:tcW w:w="0" w:type="auto"/>
            <w:shd w:val="clear" w:color="auto" w:fill="auto"/>
          </w:tcPr>
          <w:p w:rsidR="00885322" w:rsidRPr="009A6248" w:rsidRDefault="00885322" w:rsidP="00E16762">
            <w:pPr>
              <w:spacing w:after="60"/>
              <w:jc w:val="right"/>
              <w:rPr>
                <w:sz w:val="16"/>
                <w:szCs w:val="16"/>
              </w:rPr>
            </w:pPr>
            <w:r w:rsidRPr="009A6248">
              <w:rPr>
                <w:sz w:val="16"/>
                <w:szCs w:val="16"/>
              </w:rPr>
              <w:t>3</w:t>
            </w:r>
            <w:r w:rsidR="00E16762" w:rsidRPr="009A6248">
              <w:rPr>
                <w:sz w:val="16"/>
                <w:szCs w:val="16"/>
              </w:rPr>
              <w:t>3</w:t>
            </w:r>
            <w:r w:rsidRPr="009A6248">
              <w:rPr>
                <w:sz w:val="16"/>
                <w:szCs w:val="16"/>
              </w:rPr>
              <w:t>0.</w:t>
            </w:r>
            <w:r w:rsidR="00E16762" w:rsidRPr="009A6248">
              <w:rPr>
                <w:sz w:val="16"/>
                <w:szCs w:val="16"/>
              </w:rPr>
              <w:t>58</w:t>
            </w:r>
          </w:p>
        </w:tc>
        <w:tc>
          <w:tcPr>
            <w:tcW w:w="1034" w:type="dxa"/>
            <w:shd w:val="clear" w:color="auto" w:fill="auto"/>
          </w:tcPr>
          <w:p w:rsidR="00885322" w:rsidRPr="009A6248" w:rsidRDefault="00885322" w:rsidP="00885322">
            <w:pPr>
              <w:spacing w:after="60"/>
              <w:jc w:val="right"/>
              <w:rPr>
                <w:sz w:val="16"/>
                <w:szCs w:val="16"/>
              </w:rPr>
            </w:pPr>
            <w:r w:rsidRPr="009A6248">
              <w:rPr>
                <w:sz w:val="16"/>
                <w:szCs w:val="16"/>
              </w:rPr>
              <w:t>n/a</w:t>
            </w:r>
          </w:p>
        </w:tc>
      </w:tr>
      <w:tr w:rsidR="00E16762" w:rsidRPr="009A6248" w:rsidTr="0017198D">
        <w:trPr>
          <w:trHeight w:val="134"/>
        </w:trPr>
        <w:tc>
          <w:tcPr>
            <w:tcW w:w="1217" w:type="dxa"/>
            <w:vMerge w:val="restart"/>
            <w:shd w:val="clear" w:color="auto" w:fill="auto"/>
          </w:tcPr>
          <w:p w:rsidR="00E16762" w:rsidRPr="009A6248" w:rsidRDefault="00E16762" w:rsidP="00885322">
            <w:pPr>
              <w:spacing w:after="60"/>
              <w:jc w:val="left"/>
              <w:rPr>
                <w:sz w:val="16"/>
                <w:szCs w:val="16"/>
              </w:rPr>
            </w:pPr>
            <w:r w:rsidRPr="009A6248">
              <w:rPr>
                <w:sz w:val="16"/>
                <w:szCs w:val="16"/>
              </w:rPr>
              <w:t>Agreed funding (US$)</w:t>
            </w:r>
          </w:p>
        </w:tc>
        <w:tc>
          <w:tcPr>
            <w:tcW w:w="834" w:type="dxa"/>
            <w:vMerge w:val="restart"/>
            <w:shd w:val="clear" w:color="auto" w:fill="auto"/>
          </w:tcPr>
          <w:p w:rsidR="00E16762" w:rsidRPr="009A6248" w:rsidRDefault="00E16762" w:rsidP="00885322">
            <w:pPr>
              <w:spacing w:after="60"/>
              <w:jc w:val="left"/>
              <w:rPr>
                <w:sz w:val="16"/>
                <w:szCs w:val="16"/>
              </w:rPr>
            </w:pPr>
            <w:r w:rsidRPr="009A6248">
              <w:rPr>
                <w:sz w:val="16"/>
                <w:szCs w:val="16"/>
              </w:rPr>
              <w:t>IBRD</w:t>
            </w:r>
          </w:p>
        </w:tc>
        <w:tc>
          <w:tcPr>
            <w:tcW w:w="1165" w:type="dxa"/>
            <w:shd w:val="clear" w:color="auto" w:fill="auto"/>
          </w:tcPr>
          <w:p w:rsidR="00E16762" w:rsidRPr="009A6248" w:rsidRDefault="00E16762" w:rsidP="00885322">
            <w:pPr>
              <w:spacing w:after="60"/>
              <w:jc w:val="left"/>
              <w:rPr>
                <w:sz w:val="16"/>
                <w:szCs w:val="16"/>
              </w:rPr>
            </w:pPr>
            <w:r w:rsidRPr="009A6248">
              <w:rPr>
                <w:sz w:val="16"/>
                <w:szCs w:val="16"/>
              </w:rPr>
              <w:t>Project costs</w:t>
            </w:r>
          </w:p>
        </w:tc>
        <w:tc>
          <w:tcPr>
            <w:tcW w:w="0" w:type="auto"/>
            <w:shd w:val="clear" w:color="auto" w:fill="auto"/>
          </w:tcPr>
          <w:p w:rsidR="00E16762" w:rsidRPr="009A6248" w:rsidRDefault="00E16762" w:rsidP="00885322">
            <w:pPr>
              <w:spacing w:after="60"/>
              <w:jc w:val="right"/>
              <w:rPr>
                <w:sz w:val="16"/>
                <w:szCs w:val="16"/>
              </w:rPr>
            </w:pPr>
            <w:r w:rsidRPr="009A6248">
              <w:rPr>
                <w:sz w:val="16"/>
                <w:szCs w:val="16"/>
              </w:rPr>
              <w:t>0</w:t>
            </w:r>
          </w:p>
        </w:tc>
        <w:tc>
          <w:tcPr>
            <w:tcW w:w="0" w:type="auto"/>
            <w:shd w:val="clear" w:color="auto" w:fill="auto"/>
          </w:tcPr>
          <w:p w:rsidR="00E16762" w:rsidRPr="009A6248" w:rsidRDefault="00E16762" w:rsidP="00260AD8">
            <w:pPr>
              <w:spacing w:after="60"/>
              <w:jc w:val="right"/>
              <w:rPr>
                <w:sz w:val="16"/>
                <w:szCs w:val="16"/>
              </w:rPr>
            </w:pPr>
            <w:r w:rsidRPr="009A6248">
              <w:rPr>
                <w:sz w:val="16"/>
                <w:szCs w:val="16"/>
              </w:rPr>
              <w:t>0</w:t>
            </w:r>
          </w:p>
        </w:tc>
        <w:tc>
          <w:tcPr>
            <w:tcW w:w="0" w:type="auto"/>
            <w:shd w:val="clear" w:color="auto" w:fill="auto"/>
          </w:tcPr>
          <w:p w:rsidR="00E16762" w:rsidRPr="009A6248" w:rsidRDefault="00E16762" w:rsidP="00885322">
            <w:pPr>
              <w:spacing w:after="60"/>
              <w:jc w:val="right"/>
              <w:rPr>
                <w:sz w:val="16"/>
                <w:szCs w:val="16"/>
              </w:rPr>
            </w:pPr>
            <w:r w:rsidRPr="009A6248">
              <w:rPr>
                <w:sz w:val="16"/>
                <w:szCs w:val="16"/>
              </w:rPr>
              <w:t>914,612</w:t>
            </w:r>
          </w:p>
        </w:tc>
        <w:tc>
          <w:tcPr>
            <w:tcW w:w="0" w:type="auto"/>
            <w:shd w:val="clear" w:color="auto" w:fill="auto"/>
          </w:tcPr>
          <w:p w:rsidR="00E16762" w:rsidRPr="009A6248" w:rsidRDefault="00E16762" w:rsidP="00260AD8">
            <w:pPr>
              <w:spacing w:after="60"/>
              <w:jc w:val="right"/>
              <w:rPr>
                <w:sz w:val="16"/>
                <w:szCs w:val="16"/>
              </w:rPr>
            </w:pPr>
            <w:r w:rsidRPr="009A6248">
              <w:rPr>
                <w:sz w:val="16"/>
                <w:szCs w:val="16"/>
              </w:rPr>
              <w:t>0</w:t>
            </w:r>
          </w:p>
        </w:tc>
        <w:tc>
          <w:tcPr>
            <w:tcW w:w="0" w:type="auto"/>
            <w:shd w:val="clear" w:color="auto" w:fill="auto"/>
          </w:tcPr>
          <w:p w:rsidR="00E16762" w:rsidRPr="009A6248" w:rsidRDefault="00E16762" w:rsidP="00260AD8">
            <w:pPr>
              <w:spacing w:after="60"/>
              <w:jc w:val="right"/>
              <w:rPr>
                <w:sz w:val="16"/>
                <w:szCs w:val="16"/>
              </w:rPr>
            </w:pPr>
            <w:r w:rsidRPr="009A6248">
              <w:rPr>
                <w:sz w:val="16"/>
                <w:szCs w:val="16"/>
              </w:rPr>
              <w:t>0</w:t>
            </w:r>
          </w:p>
        </w:tc>
        <w:tc>
          <w:tcPr>
            <w:tcW w:w="0" w:type="auto"/>
            <w:shd w:val="clear" w:color="auto" w:fill="auto"/>
          </w:tcPr>
          <w:p w:rsidR="00E16762" w:rsidRPr="009A6248" w:rsidRDefault="00E16762" w:rsidP="00260AD8">
            <w:pPr>
              <w:spacing w:after="60"/>
              <w:jc w:val="right"/>
              <w:rPr>
                <w:sz w:val="16"/>
                <w:szCs w:val="16"/>
              </w:rPr>
            </w:pPr>
            <w:r w:rsidRPr="009A6248">
              <w:rPr>
                <w:sz w:val="16"/>
                <w:szCs w:val="16"/>
              </w:rPr>
              <w:t>0</w:t>
            </w:r>
          </w:p>
        </w:tc>
        <w:tc>
          <w:tcPr>
            <w:tcW w:w="0" w:type="auto"/>
            <w:shd w:val="clear" w:color="auto" w:fill="auto"/>
          </w:tcPr>
          <w:p w:rsidR="00E16762" w:rsidRPr="009A6248" w:rsidRDefault="00E16762" w:rsidP="00260AD8">
            <w:pPr>
              <w:spacing w:after="60"/>
              <w:jc w:val="right"/>
              <w:rPr>
                <w:sz w:val="16"/>
                <w:szCs w:val="16"/>
              </w:rPr>
            </w:pPr>
            <w:r w:rsidRPr="009A6248">
              <w:rPr>
                <w:sz w:val="16"/>
                <w:szCs w:val="16"/>
              </w:rPr>
              <w:t>0</w:t>
            </w:r>
          </w:p>
        </w:tc>
        <w:tc>
          <w:tcPr>
            <w:tcW w:w="0" w:type="auto"/>
            <w:shd w:val="clear" w:color="auto" w:fill="auto"/>
          </w:tcPr>
          <w:p w:rsidR="00E16762" w:rsidRPr="009A6248" w:rsidRDefault="000B3766" w:rsidP="00885322">
            <w:pPr>
              <w:spacing w:after="60"/>
              <w:jc w:val="right"/>
              <w:rPr>
                <w:sz w:val="16"/>
                <w:szCs w:val="16"/>
              </w:rPr>
            </w:pPr>
            <w:r>
              <w:rPr>
                <w:sz w:val="16"/>
                <w:szCs w:val="16"/>
              </w:rPr>
              <w:t>0</w:t>
            </w:r>
          </w:p>
        </w:tc>
        <w:tc>
          <w:tcPr>
            <w:tcW w:w="1034" w:type="dxa"/>
            <w:shd w:val="clear" w:color="auto" w:fill="auto"/>
          </w:tcPr>
          <w:p w:rsidR="00E16762" w:rsidRPr="009A6248" w:rsidRDefault="00E16762" w:rsidP="00885322">
            <w:pPr>
              <w:spacing w:after="60"/>
              <w:jc w:val="right"/>
              <w:rPr>
                <w:sz w:val="16"/>
                <w:szCs w:val="16"/>
              </w:rPr>
            </w:pPr>
            <w:r w:rsidRPr="009A6248">
              <w:rPr>
                <w:sz w:val="16"/>
                <w:szCs w:val="16"/>
              </w:rPr>
              <w:t>914,612</w:t>
            </w:r>
          </w:p>
        </w:tc>
      </w:tr>
      <w:tr w:rsidR="009A6248" w:rsidRPr="009A6248" w:rsidTr="0017198D">
        <w:trPr>
          <w:trHeight w:val="168"/>
        </w:trPr>
        <w:tc>
          <w:tcPr>
            <w:tcW w:w="1217" w:type="dxa"/>
            <w:vMerge/>
            <w:shd w:val="clear" w:color="auto" w:fill="auto"/>
          </w:tcPr>
          <w:p w:rsidR="009A6248" w:rsidRPr="009A6248" w:rsidRDefault="009A6248" w:rsidP="00885322">
            <w:pPr>
              <w:spacing w:after="60"/>
              <w:jc w:val="left"/>
              <w:rPr>
                <w:sz w:val="16"/>
                <w:szCs w:val="16"/>
              </w:rPr>
            </w:pPr>
          </w:p>
        </w:tc>
        <w:tc>
          <w:tcPr>
            <w:tcW w:w="834" w:type="dxa"/>
            <w:vMerge/>
            <w:shd w:val="clear" w:color="auto" w:fill="auto"/>
          </w:tcPr>
          <w:p w:rsidR="009A6248" w:rsidRPr="009A6248" w:rsidRDefault="009A6248" w:rsidP="00885322">
            <w:pPr>
              <w:spacing w:after="60"/>
              <w:jc w:val="left"/>
              <w:rPr>
                <w:sz w:val="16"/>
                <w:szCs w:val="16"/>
              </w:rPr>
            </w:pPr>
          </w:p>
        </w:tc>
        <w:tc>
          <w:tcPr>
            <w:tcW w:w="1165" w:type="dxa"/>
            <w:shd w:val="clear" w:color="auto" w:fill="auto"/>
          </w:tcPr>
          <w:p w:rsidR="009A6248" w:rsidRPr="009A6248" w:rsidRDefault="009A6248" w:rsidP="00885322">
            <w:pPr>
              <w:spacing w:after="60"/>
              <w:jc w:val="left"/>
              <w:rPr>
                <w:sz w:val="16"/>
                <w:szCs w:val="16"/>
              </w:rPr>
            </w:pPr>
            <w:r w:rsidRPr="009A6248">
              <w:rPr>
                <w:sz w:val="16"/>
                <w:szCs w:val="16"/>
              </w:rPr>
              <w:t>Support costs</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68,596</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1034" w:type="dxa"/>
            <w:shd w:val="clear" w:color="auto" w:fill="auto"/>
          </w:tcPr>
          <w:p w:rsidR="009A6248" w:rsidRPr="009A6248" w:rsidRDefault="009A6248" w:rsidP="00885322">
            <w:pPr>
              <w:spacing w:after="60"/>
              <w:jc w:val="right"/>
              <w:rPr>
                <w:sz w:val="16"/>
                <w:szCs w:val="16"/>
              </w:rPr>
            </w:pPr>
            <w:r w:rsidRPr="009A6248">
              <w:rPr>
                <w:sz w:val="16"/>
                <w:szCs w:val="16"/>
              </w:rPr>
              <w:t>68,596</w:t>
            </w:r>
          </w:p>
        </w:tc>
      </w:tr>
      <w:tr w:rsidR="009A6248" w:rsidRPr="009A6248" w:rsidTr="0017198D">
        <w:tc>
          <w:tcPr>
            <w:tcW w:w="1217" w:type="dxa"/>
            <w:vMerge/>
            <w:shd w:val="clear" w:color="auto" w:fill="auto"/>
          </w:tcPr>
          <w:p w:rsidR="009A6248" w:rsidRPr="009A6248" w:rsidRDefault="009A6248" w:rsidP="00885322">
            <w:pPr>
              <w:spacing w:after="60"/>
              <w:jc w:val="left"/>
              <w:rPr>
                <w:sz w:val="16"/>
                <w:szCs w:val="16"/>
              </w:rPr>
            </w:pPr>
          </w:p>
        </w:tc>
        <w:tc>
          <w:tcPr>
            <w:tcW w:w="834" w:type="dxa"/>
            <w:vMerge w:val="restart"/>
            <w:shd w:val="clear" w:color="auto" w:fill="auto"/>
          </w:tcPr>
          <w:p w:rsidR="009A6248" w:rsidRPr="009A6248" w:rsidRDefault="009A6248" w:rsidP="00885322">
            <w:pPr>
              <w:spacing w:after="60"/>
              <w:jc w:val="left"/>
              <w:rPr>
                <w:sz w:val="16"/>
                <w:szCs w:val="16"/>
              </w:rPr>
            </w:pPr>
            <w:r w:rsidRPr="009A6248">
              <w:rPr>
                <w:sz w:val="16"/>
                <w:szCs w:val="16"/>
              </w:rPr>
              <w:t>Italy</w:t>
            </w:r>
          </w:p>
        </w:tc>
        <w:tc>
          <w:tcPr>
            <w:tcW w:w="1165" w:type="dxa"/>
            <w:shd w:val="clear" w:color="auto" w:fill="auto"/>
          </w:tcPr>
          <w:p w:rsidR="009A6248" w:rsidRPr="009A6248" w:rsidRDefault="009A6248" w:rsidP="00885322">
            <w:pPr>
              <w:spacing w:after="60"/>
              <w:jc w:val="left"/>
              <w:rPr>
                <w:sz w:val="16"/>
                <w:szCs w:val="16"/>
              </w:rPr>
            </w:pPr>
            <w:r w:rsidRPr="009A6248">
              <w:rPr>
                <w:sz w:val="16"/>
                <w:szCs w:val="16"/>
              </w:rPr>
              <w:t>Project costs</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300,000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1034" w:type="dxa"/>
            <w:shd w:val="clear" w:color="auto" w:fill="auto"/>
          </w:tcPr>
          <w:p w:rsidR="009A6248" w:rsidRPr="009A6248" w:rsidRDefault="009A6248" w:rsidP="00885322">
            <w:pPr>
              <w:spacing w:after="60"/>
              <w:jc w:val="right"/>
              <w:rPr>
                <w:sz w:val="16"/>
                <w:szCs w:val="16"/>
              </w:rPr>
            </w:pPr>
            <w:r w:rsidRPr="009A6248">
              <w:rPr>
                <w:sz w:val="16"/>
                <w:szCs w:val="16"/>
              </w:rPr>
              <w:t>300,000</w:t>
            </w:r>
          </w:p>
        </w:tc>
      </w:tr>
      <w:tr w:rsidR="009A6248" w:rsidRPr="009A6248" w:rsidTr="0017198D">
        <w:tc>
          <w:tcPr>
            <w:tcW w:w="1217" w:type="dxa"/>
            <w:vMerge/>
            <w:shd w:val="clear" w:color="auto" w:fill="auto"/>
          </w:tcPr>
          <w:p w:rsidR="009A6248" w:rsidRPr="009A6248" w:rsidRDefault="009A6248" w:rsidP="00885322">
            <w:pPr>
              <w:spacing w:after="60"/>
              <w:jc w:val="left"/>
              <w:rPr>
                <w:sz w:val="16"/>
                <w:szCs w:val="16"/>
              </w:rPr>
            </w:pPr>
          </w:p>
        </w:tc>
        <w:tc>
          <w:tcPr>
            <w:tcW w:w="834" w:type="dxa"/>
            <w:vMerge/>
            <w:shd w:val="clear" w:color="auto" w:fill="auto"/>
          </w:tcPr>
          <w:p w:rsidR="009A6248" w:rsidRPr="009A6248" w:rsidRDefault="009A6248" w:rsidP="00885322">
            <w:pPr>
              <w:spacing w:after="60"/>
              <w:jc w:val="left"/>
              <w:rPr>
                <w:sz w:val="16"/>
                <w:szCs w:val="16"/>
              </w:rPr>
            </w:pPr>
          </w:p>
        </w:tc>
        <w:tc>
          <w:tcPr>
            <w:tcW w:w="1165" w:type="dxa"/>
            <w:shd w:val="clear" w:color="auto" w:fill="auto"/>
          </w:tcPr>
          <w:p w:rsidR="009A6248" w:rsidRPr="009A6248" w:rsidRDefault="009A6248" w:rsidP="00885322">
            <w:pPr>
              <w:spacing w:after="60"/>
              <w:jc w:val="left"/>
              <w:rPr>
                <w:sz w:val="16"/>
                <w:szCs w:val="16"/>
              </w:rPr>
            </w:pPr>
            <w:r w:rsidRPr="009A6248">
              <w:rPr>
                <w:sz w:val="16"/>
                <w:szCs w:val="16"/>
              </w:rPr>
              <w:t>Support costs</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39,000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0</w:t>
            </w:r>
          </w:p>
        </w:tc>
        <w:tc>
          <w:tcPr>
            <w:tcW w:w="1034" w:type="dxa"/>
            <w:shd w:val="clear" w:color="auto" w:fill="auto"/>
          </w:tcPr>
          <w:p w:rsidR="009A6248" w:rsidRPr="009A6248" w:rsidRDefault="009A6248" w:rsidP="00885322">
            <w:pPr>
              <w:spacing w:after="60"/>
              <w:jc w:val="right"/>
              <w:rPr>
                <w:sz w:val="16"/>
                <w:szCs w:val="16"/>
              </w:rPr>
            </w:pPr>
            <w:r w:rsidRPr="009A6248">
              <w:rPr>
                <w:sz w:val="16"/>
                <w:szCs w:val="16"/>
              </w:rPr>
              <w:t>39,000</w:t>
            </w:r>
          </w:p>
        </w:tc>
      </w:tr>
      <w:tr w:rsidR="009A6248" w:rsidRPr="009A6248" w:rsidTr="0017198D">
        <w:tc>
          <w:tcPr>
            <w:tcW w:w="1217" w:type="dxa"/>
            <w:vMerge/>
            <w:shd w:val="clear" w:color="auto" w:fill="auto"/>
          </w:tcPr>
          <w:p w:rsidR="009A6248" w:rsidRPr="009A6248" w:rsidRDefault="009A6248" w:rsidP="00885322">
            <w:pPr>
              <w:spacing w:after="60"/>
              <w:jc w:val="left"/>
              <w:rPr>
                <w:sz w:val="16"/>
                <w:szCs w:val="16"/>
              </w:rPr>
            </w:pPr>
          </w:p>
        </w:tc>
        <w:tc>
          <w:tcPr>
            <w:tcW w:w="834" w:type="dxa"/>
            <w:vMerge w:val="restart"/>
            <w:shd w:val="clear" w:color="auto" w:fill="auto"/>
          </w:tcPr>
          <w:p w:rsidR="009A6248" w:rsidRPr="009A6248" w:rsidRDefault="009A6248" w:rsidP="00885322">
            <w:pPr>
              <w:spacing w:after="60"/>
              <w:jc w:val="left"/>
              <w:rPr>
                <w:sz w:val="16"/>
                <w:szCs w:val="16"/>
              </w:rPr>
            </w:pPr>
            <w:r w:rsidRPr="009A6248">
              <w:rPr>
                <w:sz w:val="16"/>
                <w:szCs w:val="16"/>
              </w:rPr>
              <w:t>UNIDO</w:t>
            </w:r>
          </w:p>
        </w:tc>
        <w:tc>
          <w:tcPr>
            <w:tcW w:w="1165" w:type="dxa"/>
            <w:shd w:val="clear" w:color="auto" w:fill="auto"/>
          </w:tcPr>
          <w:p w:rsidR="009A6248" w:rsidRPr="009A6248" w:rsidRDefault="009A6248" w:rsidP="00885322">
            <w:pPr>
              <w:spacing w:after="60"/>
              <w:jc w:val="left"/>
              <w:rPr>
                <w:sz w:val="16"/>
                <w:szCs w:val="16"/>
              </w:rPr>
            </w:pPr>
            <w:r w:rsidRPr="009A6248">
              <w:rPr>
                <w:sz w:val="16"/>
                <w:szCs w:val="16"/>
              </w:rPr>
              <w:t>Project costs</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8,435,542</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685,388</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314,612</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125,000</w:t>
            </w:r>
          </w:p>
        </w:tc>
        <w:tc>
          <w:tcPr>
            <w:tcW w:w="1034" w:type="dxa"/>
            <w:shd w:val="clear" w:color="auto" w:fill="auto"/>
          </w:tcPr>
          <w:p w:rsidR="009A6248" w:rsidRPr="009A6248" w:rsidRDefault="009A6248" w:rsidP="00885322">
            <w:pPr>
              <w:spacing w:after="60"/>
              <w:jc w:val="right"/>
              <w:rPr>
                <w:sz w:val="16"/>
                <w:szCs w:val="16"/>
              </w:rPr>
            </w:pPr>
            <w:r w:rsidRPr="009A6248">
              <w:rPr>
                <w:sz w:val="16"/>
                <w:szCs w:val="16"/>
              </w:rPr>
              <w:t>9,560,542</w:t>
            </w:r>
          </w:p>
        </w:tc>
      </w:tr>
      <w:tr w:rsidR="009A6248" w:rsidRPr="009A6248" w:rsidTr="0017198D">
        <w:tc>
          <w:tcPr>
            <w:tcW w:w="1217" w:type="dxa"/>
            <w:vMerge/>
            <w:shd w:val="clear" w:color="auto" w:fill="auto"/>
          </w:tcPr>
          <w:p w:rsidR="009A6248" w:rsidRPr="009A6248" w:rsidRDefault="009A6248" w:rsidP="00885322">
            <w:pPr>
              <w:spacing w:after="60"/>
              <w:jc w:val="left"/>
              <w:rPr>
                <w:sz w:val="16"/>
                <w:szCs w:val="16"/>
              </w:rPr>
            </w:pPr>
          </w:p>
        </w:tc>
        <w:tc>
          <w:tcPr>
            <w:tcW w:w="834" w:type="dxa"/>
            <w:vMerge/>
            <w:shd w:val="clear" w:color="auto" w:fill="auto"/>
          </w:tcPr>
          <w:p w:rsidR="009A6248" w:rsidRPr="009A6248" w:rsidRDefault="009A6248" w:rsidP="00885322">
            <w:pPr>
              <w:spacing w:after="60"/>
              <w:jc w:val="left"/>
              <w:rPr>
                <w:sz w:val="16"/>
                <w:szCs w:val="16"/>
              </w:rPr>
            </w:pPr>
          </w:p>
        </w:tc>
        <w:tc>
          <w:tcPr>
            <w:tcW w:w="1165" w:type="dxa"/>
            <w:shd w:val="clear" w:color="auto" w:fill="auto"/>
          </w:tcPr>
          <w:p w:rsidR="009A6248" w:rsidRPr="009A6248" w:rsidRDefault="009A6248" w:rsidP="00885322">
            <w:pPr>
              <w:spacing w:after="60"/>
              <w:jc w:val="left"/>
              <w:rPr>
                <w:sz w:val="16"/>
                <w:szCs w:val="16"/>
              </w:rPr>
            </w:pPr>
            <w:r w:rsidRPr="009A6248">
              <w:rPr>
                <w:sz w:val="16"/>
                <w:szCs w:val="16"/>
              </w:rPr>
              <w:t>Support costs</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632,666</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51,404</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22,023</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260AD8">
            <w:pPr>
              <w:spacing w:after="60"/>
              <w:jc w:val="right"/>
              <w:rPr>
                <w:sz w:val="16"/>
                <w:szCs w:val="16"/>
              </w:rPr>
            </w:pPr>
            <w:r w:rsidRPr="009A6248">
              <w:rPr>
                <w:sz w:val="16"/>
                <w:szCs w:val="16"/>
              </w:rPr>
              <w:t>0</w:t>
            </w:r>
          </w:p>
        </w:tc>
        <w:tc>
          <w:tcPr>
            <w:tcW w:w="0" w:type="auto"/>
            <w:shd w:val="clear" w:color="auto" w:fill="auto"/>
          </w:tcPr>
          <w:p w:rsidR="009A6248" w:rsidRPr="009A6248" w:rsidRDefault="009A6248" w:rsidP="00885322">
            <w:pPr>
              <w:spacing w:after="60"/>
              <w:jc w:val="right"/>
              <w:rPr>
                <w:sz w:val="16"/>
                <w:szCs w:val="16"/>
              </w:rPr>
            </w:pPr>
            <w:r w:rsidRPr="009A6248">
              <w:rPr>
                <w:sz w:val="16"/>
                <w:szCs w:val="16"/>
              </w:rPr>
              <w:t>8,750</w:t>
            </w:r>
          </w:p>
        </w:tc>
        <w:tc>
          <w:tcPr>
            <w:tcW w:w="1034" w:type="dxa"/>
            <w:shd w:val="clear" w:color="auto" w:fill="auto"/>
          </w:tcPr>
          <w:p w:rsidR="009A6248" w:rsidRPr="009A6248" w:rsidRDefault="009A6248" w:rsidP="00885322">
            <w:pPr>
              <w:spacing w:after="60"/>
              <w:jc w:val="right"/>
              <w:rPr>
                <w:sz w:val="16"/>
                <w:szCs w:val="16"/>
              </w:rPr>
            </w:pPr>
            <w:r w:rsidRPr="009A6248">
              <w:rPr>
                <w:sz w:val="16"/>
                <w:szCs w:val="16"/>
              </w:rPr>
              <w:t>714,843</w:t>
            </w:r>
          </w:p>
        </w:tc>
      </w:tr>
      <w:tr w:rsidR="006E3017" w:rsidRPr="009A6248" w:rsidTr="0017198D">
        <w:tc>
          <w:tcPr>
            <w:tcW w:w="2051" w:type="dxa"/>
            <w:gridSpan w:val="2"/>
            <w:vMerge w:val="restart"/>
            <w:shd w:val="clear" w:color="auto" w:fill="auto"/>
          </w:tcPr>
          <w:p w:rsidR="006E3017" w:rsidRPr="009A6248" w:rsidRDefault="006E3017" w:rsidP="00885322">
            <w:pPr>
              <w:spacing w:after="60"/>
              <w:jc w:val="left"/>
              <w:rPr>
                <w:sz w:val="16"/>
                <w:szCs w:val="16"/>
              </w:rPr>
            </w:pPr>
            <w:r w:rsidRPr="009A6248">
              <w:rPr>
                <w:sz w:val="16"/>
                <w:szCs w:val="16"/>
              </w:rPr>
              <w:t>Funds approved by ExCom (US$)</w:t>
            </w:r>
          </w:p>
        </w:tc>
        <w:tc>
          <w:tcPr>
            <w:tcW w:w="1165" w:type="dxa"/>
            <w:shd w:val="clear" w:color="auto" w:fill="auto"/>
          </w:tcPr>
          <w:p w:rsidR="006E3017" w:rsidRPr="009A6248" w:rsidRDefault="006E3017" w:rsidP="00885322">
            <w:pPr>
              <w:spacing w:after="60"/>
              <w:jc w:val="left"/>
              <w:rPr>
                <w:sz w:val="16"/>
                <w:szCs w:val="16"/>
              </w:rPr>
            </w:pPr>
            <w:r w:rsidRPr="009A6248">
              <w:rPr>
                <w:sz w:val="16"/>
                <w:szCs w:val="16"/>
              </w:rPr>
              <w:t>Project costs</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8,735,542*</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1,600,000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Pr>
                <w:sz w:val="16"/>
                <w:szCs w:val="16"/>
              </w:rPr>
              <w:t>0</w:t>
            </w:r>
          </w:p>
        </w:tc>
        <w:tc>
          <w:tcPr>
            <w:tcW w:w="0" w:type="auto"/>
            <w:shd w:val="clear" w:color="auto" w:fill="auto"/>
          </w:tcPr>
          <w:p w:rsidR="006E3017" w:rsidRPr="009A6248" w:rsidRDefault="006E3017" w:rsidP="006E3017">
            <w:pPr>
              <w:spacing w:after="60"/>
              <w:jc w:val="right"/>
              <w:rPr>
                <w:sz w:val="16"/>
                <w:szCs w:val="16"/>
              </w:rPr>
            </w:pPr>
            <w:r w:rsidRPr="009A6248">
              <w:rPr>
                <w:sz w:val="16"/>
                <w:szCs w:val="16"/>
              </w:rPr>
              <w:t>314,612</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0.0</w:t>
            </w:r>
          </w:p>
        </w:tc>
        <w:tc>
          <w:tcPr>
            <w:tcW w:w="1034" w:type="dxa"/>
            <w:shd w:val="clear" w:color="auto" w:fill="auto"/>
          </w:tcPr>
          <w:p w:rsidR="006E3017" w:rsidRPr="009A6248" w:rsidRDefault="006E3017" w:rsidP="00885322">
            <w:pPr>
              <w:spacing w:after="60"/>
              <w:jc w:val="right"/>
              <w:rPr>
                <w:sz w:val="16"/>
                <w:szCs w:val="16"/>
              </w:rPr>
            </w:pPr>
            <w:r w:rsidRPr="009A6248">
              <w:rPr>
                <w:sz w:val="16"/>
                <w:szCs w:val="16"/>
              </w:rPr>
              <w:t>10,650,154</w:t>
            </w:r>
          </w:p>
        </w:tc>
      </w:tr>
      <w:tr w:rsidR="006E3017" w:rsidRPr="009A6248" w:rsidTr="0017198D">
        <w:tc>
          <w:tcPr>
            <w:tcW w:w="2051" w:type="dxa"/>
            <w:gridSpan w:val="2"/>
            <w:vMerge/>
            <w:shd w:val="clear" w:color="auto" w:fill="auto"/>
          </w:tcPr>
          <w:p w:rsidR="006E3017" w:rsidRPr="009A6248" w:rsidRDefault="006E3017" w:rsidP="00885322">
            <w:pPr>
              <w:spacing w:after="60"/>
              <w:jc w:val="left"/>
              <w:rPr>
                <w:sz w:val="16"/>
                <w:szCs w:val="16"/>
              </w:rPr>
            </w:pPr>
          </w:p>
        </w:tc>
        <w:tc>
          <w:tcPr>
            <w:tcW w:w="1165" w:type="dxa"/>
            <w:shd w:val="clear" w:color="auto" w:fill="auto"/>
          </w:tcPr>
          <w:p w:rsidR="006E3017" w:rsidRPr="009A6248" w:rsidRDefault="006E3017" w:rsidP="00885322">
            <w:pPr>
              <w:spacing w:after="60"/>
              <w:jc w:val="left"/>
              <w:rPr>
                <w:sz w:val="16"/>
                <w:szCs w:val="16"/>
              </w:rPr>
            </w:pPr>
            <w:r w:rsidRPr="009A6248">
              <w:rPr>
                <w:sz w:val="16"/>
                <w:szCs w:val="16"/>
              </w:rPr>
              <w:t>Support costs</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671,666</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120,000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Pr>
                <w:sz w:val="16"/>
                <w:szCs w:val="16"/>
              </w:rPr>
              <w:t>0</w:t>
            </w:r>
          </w:p>
        </w:tc>
        <w:tc>
          <w:tcPr>
            <w:tcW w:w="0" w:type="auto"/>
            <w:shd w:val="clear" w:color="auto" w:fill="auto"/>
          </w:tcPr>
          <w:p w:rsidR="006E3017" w:rsidRPr="009A6248" w:rsidRDefault="006E3017" w:rsidP="006E3017">
            <w:pPr>
              <w:spacing w:after="60"/>
              <w:jc w:val="right"/>
              <w:rPr>
                <w:sz w:val="16"/>
                <w:szCs w:val="16"/>
              </w:rPr>
            </w:pPr>
            <w:r w:rsidRPr="009A6248">
              <w:rPr>
                <w:sz w:val="16"/>
                <w:szCs w:val="16"/>
              </w:rPr>
              <w:t>22,023</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0.0</w:t>
            </w:r>
          </w:p>
        </w:tc>
        <w:tc>
          <w:tcPr>
            <w:tcW w:w="1034" w:type="dxa"/>
            <w:shd w:val="clear" w:color="auto" w:fill="auto"/>
          </w:tcPr>
          <w:p w:rsidR="006E3017" w:rsidRPr="009A6248" w:rsidRDefault="006E3017" w:rsidP="00885322">
            <w:pPr>
              <w:spacing w:after="60"/>
              <w:jc w:val="right"/>
              <w:rPr>
                <w:sz w:val="16"/>
                <w:szCs w:val="16"/>
              </w:rPr>
            </w:pPr>
            <w:r w:rsidRPr="009A6248">
              <w:rPr>
                <w:sz w:val="16"/>
                <w:szCs w:val="16"/>
              </w:rPr>
              <w:t>813,689</w:t>
            </w:r>
          </w:p>
        </w:tc>
      </w:tr>
      <w:tr w:rsidR="006E3017" w:rsidRPr="009A6248" w:rsidTr="0017198D">
        <w:tc>
          <w:tcPr>
            <w:tcW w:w="2051" w:type="dxa"/>
            <w:gridSpan w:val="2"/>
            <w:vMerge w:val="restart"/>
            <w:shd w:val="clear" w:color="auto" w:fill="auto"/>
          </w:tcPr>
          <w:p w:rsidR="006E3017" w:rsidRPr="009A6248" w:rsidRDefault="006E3017" w:rsidP="00885322">
            <w:pPr>
              <w:spacing w:after="60"/>
              <w:jc w:val="left"/>
              <w:rPr>
                <w:sz w:val="16"/>
                <w:szCs w:val="16"/>
              </w:rPr>
            </w:pPr>
            <w:r w:rsidRPr="009A6248">
              <w:rPr>
                <w:sz w:val="16"/>
                <w:szCs w:val="16"/>
              </w:rPr>
              <w:t>Total funds requested for approval at this meeting (US$)</w:t>
            </w:r>
          </w:p>
        </w:tc>
        <w:tc>
          <w:tcPr>
            <w:tcW w:w="1165" w:type="dxa"/>
            <w:shd w:val="clear" w:color="auto" w:fill="auto"/>
          </w:tcPr>
          <w:p w:rsidR="006E3017" w:rsidRPr="009A6248" w:rsidRDefault="006E3017" w:rsidP="00885322">
            <w:pPr>
              <w:spacing w:after="60"/>
              <w:jc w:val="left"/>
              <w:rPr>
                <w:sz w:val="16"/>
                <w:szCs w:val="16"/>
              </w:rPr>
            </w:pPr>
            <w:r w:rsidRPr="009A6248">
              <w:rPr>
                <w:sz w:val="16"/>
                <w:szCs w:val="16"/>
              </w:rPr>
              <w:t>Project costs</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260AD8">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b/>
                <w:sz w:val="16"/>
                <w:szCs w:val="16"/>
              </w:rPr>
            </w:pPr>
            <w:r w:rsidRPr="009A6248">
              <w:rPr>
                <w:b/>
                <w:sz w:val="16"/>
                <w:szCs w:val="16"/>
              </w:rPr>
              <w:t>125,000</w:t>
            </w:r>
          </w:p>
        </w:tc>
        <w:tc>
          <w:tcPr>
            <w:tcW w:w="1034" w:type="dxa"/>
            <w:shd w:val="clear" w:color="auto" w:fill="auto"/>
          </w:tcPr>
          <w:p w:rsidR="006E3017" w:rsidRPr="009A6248" w:rsidRDefault="006E3017" w:rsidP="00E16762">
            <w:pPr>
              <w:spacing w:after="60"/>
              <w:jc w:val="right"/>
              <w:rPr>
                <w:sz w:val="16"/>
                <w:szCs w:val="16"/>
              </w:rPr>
            </w:pPr>
            <w:r w:rsidRPr="009A6248">
              <w:rPr>
                <w:sz w:val="16"/>
                <w:szCs w:val="16"/>
              </w:rPr>
              <w:t>125,000</w:t>
            </w:r>
          </w:p>
        </w:tc>
      </w:tr>
      <w:tr w:rsidR="006E3017" w:rsidRPr="009A6248" w:rsidTr="0017198D">
        <w:tc>
          <w:tcPr>
            <w:tcW w:w="2051" w:type="dxa"/>
            <w:gridSpan w:val="2"/>
            <w:vMerge/>
            <w:shd w:val="clear" w:color="auto" w:fill="auto"/>
          </w:tcPr>
          <w:p w:rsidR="006E3017" w:rsidRPr="009A6248" w:rsidRDefault="006E3017" w:rsidP="00885322">
            <w:pPr>
              <w:spacing w:after="60"/>
              <w:jc w:val="left"/>
              <w:rPr>
                <w:sz w:val="16"/>
                <w:szCs w:val="16"/>
              </w:rPr>
            </w:pPr>
          </w:p>
        </w:tc>
        <w:tc>
          <w:tcPr>
            <w:tcW w:w="1165" w:type="dxa"/>
            <w:shd w:val="clear" w:color="auto" w:fill="auto"/>
          </w:tcPr>
          <w:p w:rsidR="006E3017" w:rsidRPr="009A6248" w:rsidRDefault="006E3017" w:rsidP="00885322">
            <w:pPr>
              <w:spacing w:after="60"/>
              <w:jc w:val="left"/>
              <w:rPr>
                <w:sz w:val="16"/>
                <w:szCs w:val="16"/>
              </w:rPr>
            </w:pPr>
            <w:r w:rsidRPr="009A6248">
              <w:rPr>
                <w:sz w:val="16"/>
                <w:szCs w:val="16"/>
              </w:rPr>
              <w:t>Support costs</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260AD8">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sz w:val="16"/>
                <w:szCs w:val="16"/>
              </w:rPr>
            </w:pPr>
            <w:r w:rsidRPr="009A6248">
              <w:rPr>
                <w:sz w:val="16"/>
                <w:szCs w:val="16"/>
              </w:rPr>
              <w:t>0</w:t>
            </w:r>
          </w:p>
        </w:tc>
        <w:tc>
          <w:tcPr>
            <w:tcW w:w="0" w:type="auto"/>
            <w:shd w:val="clear" w:color="auto" w:fill="auto"/>
          </w:tcPr>
          <w:p w:rsidR="006E3017" w:rsidRPr="009A6248" w:rsidRDefault="006E3017" w:rsidP="00885322">
            <w:pPr>
              <w:spacing w:after="60"/>
              <w:jc w:val="right"/>
              <w:rPr>
                <w:b/>
                <w:sz w:val="16"/>
                <w:szCs w:val="16"/>
              </w:rPr>
            </w:pPr>
            <w:r w:rsidRPr="009A6248">
              <w:rPr>
                <w:b/>
                <w:sz w:val="16"/>
                <w:szCs w:val="16"/>
              </w:rPr>
              <w:t>8,750</w:t>
            </w:r>
          </w:p>
        </w:tc>
        <w:tc>
          <w:tcPr>
            <w:tcW w:w="1034" w:type="dxa"/>
            <w:shd w:val="clear" w:color="auto" w:fill="auto"/>
          </w:tcPr>
          <w:p w:rsidR="006E3017" w:rsidRPr="009A6248" w:rsidRDefault="006E3017" w:rsidP="00885322">
            <w:pPr>
              <w:spacing w:after="60"/>
              <w:jc w:val="right"/>
              <w:rPr>
                <w:sz w:val="16"/>
                <w:szCs w:val="16"/>
              </w:rPr>
            </w:pPr>
            <w:r w:rsidRPr="009A6248">
              <w:rPr>
                <w:sz w:val="16"/>
                <w:szCs w:val="16"/>
              </w:rPr>
              <w:t>8,750</w:t>
            </w:r>
          </w:p>
        </w:tc>
      </w:tr>
    </w:tbl>
    <w:p w:rsidR="00885322" w:rsidRDefault="009A6248" w:rsidP="009A6248">
      <w:pPr>
        <w:spacing w:after="60"/>
        <w:rPr>
          <w:sz w:val="16"/>
          <w:szCs w:val="16"/>
        </w:rPr>
      </w:pPr>
      <w:r>
        <w:rPr>
          <w:sz w:val="16"/>
          <w:szCs w:val="16"/>
        </w:rPr>
        <w:t>*</w:t>
      </w:r>
      <w:r w:rsidRPr="009A6248">
        <w:rPr>
          <w:sz w:val="16"/>
          <w:szCs w:val="16"/>
        </w:rPr>
        <w:t xml:space="preserve"> </w:t>
      </w:r>
      <w:r>
        <w:rPr>
          <w:sz w:val="16"/>
          <w:szCs w:val="16"/>
        </w:rPr>
        <w:t>Approved at the 61</w:t>
      </w:r>
      <w:r w:rsidRPr="00621A8A">
        <w:rPr>
          <w:sz w:val="16"/>
          <w:szCs w:val="16"/>
          <w:vertAlign w:val="superscript"/>
        </w:rPr>
        <w:t>st</w:t>
      </w:r>
      <w:r>
        <w:rPr>
          <w:sz w:val="16"/>
          <w:szCs w:val="16"/>
        </w:rPr>
        <w:t xml:space="preserve"> Executive Committee meeting.</w:t>
      </w:r>
    </w:p>
    <w:p w:rsidR="009A6248" w:rsidRPr="009A6248" w:rsidRDefault="009A6248" w:rsidP="009A6248">
      <w:pPr>
        <w:spacing w:after="60"/>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885322" w:rsidRPr="009A6248" w:rsidTr="00885322">
        <w:trPr>
          <w:trHeight w:val="240"/>
        </w:trPr>
        <w:tc>
          <w:tcPr>
            <w:tcW w:w="3000" w:type="dxa"/>
            <w:shd w:val="clear" w:color="auto" w:fill="auto"/>
          </w:tcPr>
          <w:p w:rsidR="00885322" w:rsidRPr="009A6248" w:rsidRDefault="00885322" w:rsidP="00885322">
            <w:pPr>
              <w:spacing w:after="60"/>
              <w:jc w:val="left"/>
              <w:rPr>
                <w:sz w:val="16"/>
                <w:szCs w:val="16"/>
              </w:rPr>
            </w:pPr>
            <w:r w:rsidRPr="009A6248">
              <w:rPr>
                <w:sz w:val="16"/>
                <w:szCs w:val="16"/>
              </w:rPr>
              <w:t>Secretariat's recommendation:</w:t>
            </w:r>
          </w:p>
        </w:tc>
        <w:tc>
          <w:tcPr>
            <w:tcW w:w="7000" w:type="dxa"/>
            <w:shd w:val="clear" w:color="auto" w:fill="auto"/>
          </w:tcPr>
          <w:p w:rsidR="00885322" w:rsidRPr="009A6248" w:rsidRDefault="00EA6D8C" w:rsidP="00DE365D">
            <w:pPr>
              <w:spacing w:after="60"/>
              <w:jc w:val="center"/>
              <w:rPr>
                <w:sz w:val="16"/>
                <w:szCs w:val="16"/>
              </w:rPr>
            </w:pPr>
            <w:r w:rsidRPr="006224E3">
              <w:rPr>
                <w:sz w:val="16"/>
                <w:szCs w:val="16"/>
              </w:rPr>
              <w:t>Blanket approval</w:t>
            </w:r>
          </w:p>
        </w:tc>
      </w:tr>
    </w:tbl>
    <w:p w:rsidR="007D3995" w:rsidRDefault="007D3995" w:rsidP="00136540">
      <w:pPr>
        <w:jc w:val="center"/>
        <w:rPr>
          <w:b/>
          <w:lang w:val="en-CA"/>
        </w:rPr>
      </w:pPr>
    </w:p>
    <w:p w:rsidR="007D3995" w:rsidRDefault="007D3995">
      <w:pPr>
        <w:jc w:val="left"/>
        <w:rPr>
          <w:b/>
          <w:lang w:val="en-CA"/>
        </w:rPr>
      </w:pPr>
      <w:r>
        <w:rPr>
          <w:b/>
          <w:lang w:val="en-CA"/>
        </w:rPr>
        <w:br w:type="page"/>
      </w:r>
    </w:p>
    <w:p w:rsidR="001F1577" w:rsidRPr="001F1577" w:rsidRDefault="001F1577" w:rsidP="003C28D3">
      <w:pPr>
        <w:tabs>
          <w:tab w:val="left" w:pos="1164"/>
          <w:tab w:val="center" w:pos="4680"/>
        </w:tabs>
        <w:spacing w:after="240"/>
        <w:jc w:val="center"/>
        <w:outlineLvl w:val="0"/>
        <w:rPr>
          <w:b/>
          <w:lang w:val="en-CA"/>
        </w:rPr>
      </w:pPr>
      <w:r w:rsidRPr="001F1577">
        <w:rPr>
          <w:b/>
          <w:lang w:val="en-CA"/>
        </w:rPr>
        <w:lastRenderedPageBreak/>
        <w:t>PROJECT DESCRIPTION</w:t>
      </w:r>
    </w:p>
    <w:p w:rsidR="001F1577" w:rsidRPr="00A132A5" w:rsidRDefault="001F1577" w:rsidP="001F1577">
      <w:pPr>
        <w:numPr>
          <w:ilvl w:val="0"/>
          <w:numId w:val="1"/>
        </w:numPr>
        <w:spacing w:after="240"/>
        <w:outlineLvl w:val="0"/>
        <w:rPr>
          <w:lang w:val="en-CA"/>
        </w:rPr>
      </w:pPr>
      <w:r w:rsidRPr="00A132A5">
        <w:rPr>
          <w:lang w:val="en-CA"/>
        </w:rPr>
        <w:t>On behalf of the Government of Argentina, UNIDO as the lead implementing agency, has submitted to the 79</w:t>
      </w:r>
      <w:r w:rsidRPr="00A132A5">
        <w:rPr>
          <w:vertAlign w:val="superscript"/>
          <w:lang w:val="en-CA"/>
        </w:rPr>
        <w:t>th</w:t>
      </w:r>
      <w:r w:rsidRPr="00A132A5">
        <w:rPr>
          <w:lang w:val="en-CA"/>
        </w:rPr>
        <w:t xml:space="preserve"> meeting a request for funding for the </w:t>
      </w:r>
      <w:r w:rsidR="006E3017">
        <w:rPr>
          <w:lang w:val="en-CA"/>
        </w:rPr>
        <w:t>third</w:t>
      </w:r>
      <w:r w:rsidRPr="00A132A5">
        <w:rPr>
          <w:lang w:val="en-CA"/>
        </w:rPr>
        <w:t xml:space="preserve"> and final tranche of stage I of the HCFC phase-out management plan (HPMP), at the amount of </w:t>
      </w:r>
      <w:r w:rsidR="009A3BBD">
        <w:rPr>
          <w:lang w:val="en-CA"/>
        </w:rPr>
        <w:t>US $</w:t>
      </w:r>
      <w:r w:rsidRPr="00A132A5">
        <w:rPr>
          <w:lang w:val="en-CA"/>
        </w:rPr>
        <w:t xml:space="preserve">125,000, plus agency support costs of </w:t>
      </w:r>
      <w:r w:rsidR="009A3BBD">
        <w:rPr>
          <w:lang w:val="en-CA"/>
        </w:rPr>
        <w:t>US $</w:t>
      </w:r>
      <w:r w:rsidRPr="00A132A5">
        <w:rPr>
          <w:lang w:val="en-CA"/>
        </w:rPr>
        <w:t>8,750 for UNIDO only</w:t>
      </w:r>
      <w:r>
        <w:rPr>
          <w:rStyle w:val="FootnoteReference"/>
          <w:lang w:val="en-CA"/>
        </w:rPr>
        <w:footnoteReference w:id="1"/>
      </w:r>
      <w:r w:rsidRPr="00A132A5">
        <w:rPr>
          <w:lang w:val="en-CA"/>
        </w:rPr>
        <w:t>. The submission includes a progress report on the implementation of the second tranche, the verification report on HCFC consumption and the tranche implementation plan for 2017 to 2018.</w:t>
      </w:r>
    </w:p>
    <w:p w:rsidR="001F1577" w:rsidRPr="00A132A5" w:rsidRDefault="001F1577" w:rsidP="001F1577">
      <w:pPr>
        <w:rPr>
          <w:u w:val="single"/>
          <w:lang w:val="en-CA"/>
        </w:rPr>
      </w:pPr>
      <w:r w:rsidRPr="00A132A5">
        <w:rPr>
          <w:u w:val="single"/>
          <w:lang w:val="en-CA"/>
        </w:rPr>
        <w:t>Report on HCFC consumption</w:t>
      </w:r>
    </w:p>
    <w:p w:rsidR="001F1577" w:rsidRPr="00A132A5" w:rsidRDefault="001F1577" w:rsidP="001F1577">
      <w:pPr>
        <w:rPr>
          <w:lang w:val="en-CA"/>
        </w:rPr>
      </w:pPr>
    </w:p>
    <w:p w:rsidR="001F1577" w:rsidRPr="00A132A5" w:rsidRDefault="001F1577" w:rsidP="001F1577">
      <w:pPr>
        <w:rPr>
          <w:i/>
          <w:lang w:val="en-CA"/>
        </w:rPr>
      </w:pPr>
      <w:r w:rsidRPr="00A132A5">
        <w:rPr>
          <w:i/>
          <w:lang w:val="en-CA"/>
        </w:rPr>
        <w:t>HCFC consumption</w:t>
      </w:r>
    </w:p>
    <w:p w:rsidR="001F1577" w:rsidRPr="00A132A5" w:rsidRDefault="001F1577" w:rsidP="001F1577">
      <w:pPr>
        <w:rPr>
          <w:lang w:val="en-CA"/>
        </w:rPr>
      </w:pPr>
    </w:p>
    <w:p w:rsidR="001F1577" w:rsidRPr="00A132A5" w:rsidRDefault="001F1577" w:rsidP="001F1577">
      <w:pPr>
        <w:pStyle w:val="Heading1"/>
        <w:rPr>
          <w:lang w:val="en-CA"/>
        </w:rPr>
      </w:pPr>
      <w:r w:rsidRPr="008E5059">
        <w:rPr>
          <w:lang w:val="en-CA"/>
        </w:rPr>
        <w:t>The Government of Argentina reported a consumption of 295.42</w:t>
      </w:r>
      <w:r w:rsidR="00673FC0">
        <w:rPr>
          <w:lang w:val="en-CA"/>
        </w:rPr>
        <w:t> ODP tonnes</w:t>
      </w:r>
      <w:r w:rsidRPr="008E5059">
        <w:rPr>
          <w:lang w:val="en-CA"/>
        </w:rPr>
        <w:t xml:space="preserve"> of HCFC in 2015 and estimated a consumption of </w:t>
      </w:r>
      <w:r w:rsidR="00DD7038">
        <w:rPr>
          <w:lang w:val="en-CA"/>
        </w:rPr>
        <w:t>228.9</w:t>
      </w:r>
      <w:r w:rsidR="00673FC0">
        <w:rPr>
          <w:lang w:val="en-CA"/>
        </w:rPr>
        <w:t> ODP tonnes</w:t>
      </w:r>
      <w:r w:rsidRPr="008E5059">
        <w:rPr>
          <w:lang w:val="en-CA"/>
        </w:rPr>
        <w:t xml:space="preserve"> for 2016.</w:t>
      </w:r>
      <w:r w:rsidRPr="00A132A5">
        <w:rPr>
          <w:lang w:val="en-CA"/>
        </w:rPr>
        <w:t xml:space="preserve"> The 2012-2016 HCFC consumption is shown in Table 1.  </w:t>
      </w:r>
    </w:p>
    <w:p w:rsidR="001F1577" w:rsidRPr="00A132A5" w:rsidRDefault="001F1577" w:rsidP="001F1577">
      <w:pPr>
        <w:keepNext/>
      </w:pPr>
      <w:r w:rsidRPr="00A132A5">
        <w:rPr>
          <w:b/>
        </w:rPr>
        <w:t>Table 1. HCFC consumption in Argentina (2012-2016 Article 7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330"/>
        <w:gridCol w:w="1169"/>
        <w:gridCol w:w="1169"/>
        <w:gridCol w:w="1231"/>
        <w:gridCol w:w="1302"/>
        <w:gridCol w:w="1415"/>
      </w:tblGrid>
      <w:tr w:rsidR="001F1577" w:rsidRPr="00A132A5" w:rsidTr="001F1577">
        <w:trPr>
          <w:trHeight w:val="152"/>
        </w:trPr>
        <w:tc>
          <w:tcPr>
            <w:tcW w:w="1023" w:type="pct"/>
            <w:noWrap/>
            <w:tcMar>
              <w:top w:w="0" w:type="dxa"/>
              <w:left w:w="108" w:type="dxa"/>
              <w:bottom w:w="0" w:type="dxa"/>
              <w:right w:w="108" w:type="dxa"/>
            </w:tcMar>
            <w:hideMark/>
          </w:tcPr>
          <w:p w:rsidR="001F1577" w:rsidRPr="00A132A5" w:rsidRDefault="001F1577" w:rsidP="001F1577">
            <w:pPr>
              <w:keepNext/>
              <w:jc w:val="left"/>
              <w:rPr>
                <w:rFonts w:eastAsiaTheme="minorHAnsi"/>
                <w:b/>
                <w:bCs/>
                <w:color w:val="000000"/>
                <w:sz w:val="20"/>
                <w:szCs w:val="20"/>
              </w:rPr>
            </w:pPr>
            <w:r w:rsidRPr="00A132A5">
              <w:rPr>
                <w:b/>
                <w:bCs/>
                <w:color w:val="000000"/>
                <w:sz w:val="20"/>
                <w:szCs w:val="20"/>
              </w:rPr>
              <w:t>HCFC</w:t>
            </w:r>
          </w:p>
        </w:tc>
        <w:tc>
          <w:tcPr>
            <w:tcW w:w="694" w:type="pct"/>
            <w:noWrap/>
            <w:tcMar>
              <w:top w:w="0" w:type="dxa"/>
              <w:left w:w="108" w:type="dxa"/>
              <w:bottom w:w="0" w:type="dxa"/>
              <w:right w:w="108" w:type="dxa"/>
            </w:tcMar>
            <w:vAlign w:val="bottom"/>
            <w:hideMark/>
          </w:tcPr>
          <w:p w:rsidR="001F1577" w:rsidRPr="00A132A5" w:rsidRDefault="001F1577" w:rsidP="001F1577">
            <w:pPr>
              <w:keepNext/>
              <w:jc w:val="center"/>
              <w:rPr>
                <w:rFonts w:eastAsiaTheme="minorHAnsi"/>
                <w:b/>
                <w:bCs/>
                <w:color w:val="000000"/>
                <w:sz w:val="20"/>
                <w:szCs w:val="20"/>
              </w:rPr>
            </w:pPr>
            <w:r w:rsidRPr="00A132A5">
              <w:rPr>
                <w:b/>
                <w:bCs/>
                <w:color w:val="000000"/>
                <w:sz w:val="20"/>
                <w:szCs w:val="20"/>
              </w:rPr>
              <w:t>2012</w:t>
            </w:r>
          </w:p>
        </w:tc>
        <w:tc>
          <w:tcPr>
            <w:tcW w:w="610" w:type="pct"/>
            <w:noWrap/>
            <w:tcMar>
              <w:top w:w="0" w:type="dxa"/>
              <w:left w:w="108" w:type="dxa"/>
              <w:bottom w:w="0" w:type="dxa"/>
              <w:right w:w="108" w:type="dxa"/>
            </w:tcMar>
            <w:vAlign w:val="bottom"/>
            <w:hideMark/>
          </w:tcPr>
          <w:p w:rsidR="001F1577" w:rsidRPr="00A132A5" w:rsidRDefault="001F1577" w:rsidP="001F1577">
            <w:pPr>
              <w:keepNext/>
              <w:jc w:val="center"/>
              <w:rPr>
                <w:rFonts w:eastAsiaTheme="minorHAnsi"/>
                <w:b/>
                <w:bCs/>
                <w:color w:val="000000"/>
                <w:sz w:val="20"/>
                <w:szCs w:val="20"/>
              </w:rPr>
            </w:pPr>
            <w:r w:rsidRPr="00A132A5">
              <w:rPr>
                <w:b/>
                <w:bCs/>
                <w:color w:val="000000"/>
                <w:sz w:val="20"/>
                <w:szCs w:val="20"/>
              </w:rPr>
              <w:t>2013</w:t>
            </w:r>
          </w:p>
        </w:tc>
        <w:tc>
          <w:tcPr>
            <w:tcW w:w="610" w:type="pct"/>
            <w:noWrap/>
            <w:tcMar>
              <w:top w:w="0" w:type="dxa"/>
              <w:left w:w="108" w:type="dxa"/>
              <w:bottom w:w="0" w:type="dxa"/>
              <w:right w:w="108" w:type="dxa"/>
            </w:tcMar>
            <w:vAlign w:val="bottom"/>
            <w:hideMark/>
          </w:tcPr>
          <w:p w:rsidR="001F1577" w:rsidRPr="00A132A5" w:rsidRDefault="001F1577" w:rsidP="001F1577">
            <w:pPr>
              <w:keepNext/>
              <w:jc w:val="center"/>
              <w:rPr>
                <w:rFonts w:eastAsiaTheme="minorHAnsi"/>
                <w:b/>
                <w:bCs/>
                <w:color w:val="000000"/>
                <w:sz w:val="20"/>
                <w:szCs w:val="20"/>
              </w:rPr>
            </w:pPr>
            <w:r w:rsidRPr="00A132A5">
              <w:rPr>
                <w:b/>
                <w:bCs/>
                <w:color w:val="000000"/>
                <w:sz w:val="20"/>
                <w:szCs w:val="20"/>
              </w:rPr>
              <w:t>2014</w:t>
            </w:r>
          </w:p>
        </w:tc>
        <w:tc>
          <w:tcPr>
            <w:tcW w:w="643" w:type="pct"/>
            <w:shd w:val="clear" w:color="auto" w:fill="auto"/>
          </w:tcPr>
          <w:p w:rsidR="001F1577" w:rsidRPr="00A132A5" w:rsidRDefault="001F1577" w:rsidP="001F1577">
            <w:pPr>
              <w:keepNext/>
              <w:jc w:val="center"/>
              <w:rPr>
                <w:b/>
                <w:bCs/>
                <w:color w:val="000000"/>
                <w:sz w:val="20"/>
                <w:szCs w:val="20"/>
                <w:highlight w:val="cyan"/>
              </w:rPr>
            </w:pPr>
            <w:r w:rsidRPr="00A132A5">
              <w:rPr>
                <w:b/>
                <w:bCs/>
                <w:color w:val="000000"/>
                <w:sz w:val="20"/>
                <w:szCs w:val="20"/>
              </w:rPr>
              <w:t>2015</w:t>
            </w:r>
          </w:p>
        </w:tc>
        <w:tc>
          <w:tcPr>
            <w:tcW w:w="680" w:type="pct"/>
          </w:tcPr>
          <w:p w:rsidR="001F1577" w:rsidRPr="00A132A5" w:rsidRDefault="001F1577" w:rsidP="001F1577">
            <w:pPr>
              <w:keepNext/>
              <w:jc w:val="center"/>
              <w:rPr>
                <w:b/>
                <w:bCs/>
                <w:color w:val="000000"/>
                <w:sz w:val="20"/>
                <w:szCs w:val="20"/>
              </w:rPr>
            </w:pPr>
            <w:r w:rsidRPr="00A132A5">
              <w:rPr>
                <w:b/>
                <w:bCs/>
                <w:color w:val="000000"/>
                <w:sz w:val="20"/>
                <w:szCs w:val="20"/>
              </w:rPr>
              <w:t>2016*</w:t>
            </w:r>
          </w:p>
        </w:tc>
        <w:tc>
          <w:tcPr>
            <w:tcW w:w="739" w:type="pct"/>
            <w:noWrap/>
            <w:tcMar>
              <w:top w:w="0" w:type="dxa"/>
              <w:left w:w="108" w:type="dxa"/>
              <w:bottom w:w="0" w:type="dxa"/>
              <w:right w:w="108" w:type="dxa"/>
            </w:tcMar>
            <w:vAlign w:val="bottom"/>
            <w:hideMark/>
          </w:tcPr>
          <w:p w:rsidR="001F1577" w:rsidRPr="00A132A5" w:rsidRDefault="001F1577" w:rsidP="001F1577">
            <w:pPr>
              <w:keepNext/>
              <w:jc w:val="center"/>
              <w:rPr>
                <w:rFonts w:eastAsiaTheme="minorHAnsi"/>
                <w:b/>
                <w:bCs/>
                <w:color w:val="000000"/>
                <w:sz w:val="20"/>
                <w:szCs w:val="20"/>
              </w:rPr>
            </w:pPr>
            <w:r w:rsidRPr="00A132A5">
              <w:rPr>
                <w:b/>
                <w:bCs/>
                <w:color w:val="000000"/>
                <w:sz w:val="20"/>
                <w:szCs w:val="20"/>
              </w:rPr>
              <w:t>Baseline</w:t>
            </w:r>
          </w:p>
        </w:tc>
      </w:tr>
      <w:tr w:rsidR="001F1577" w:rsidRPr="00A132A5" w:rsidTr="001F1577">
        <w:trPr>
          <w:trHeight w:val="179"/>
        </w:trPr>
        <w:tc>
          <w:tcPr>
            <w:tcW w:w="1023" w:type="pct"/>
            <w:noWrap/>
            <w:tcMar>
              <w:top w:w="0" w:type="dxa"/>
              <w:left w:w="108" w:type="dxa"/>
              <w:bottom w:w="0" w:type="dxa"/>
              <w:right w:w="108" w:type="dxa"/>
            </w:tcMar>
            <w:hideMark/>
          </w:tcPr>
          <w:p w:rsidR="001F1577" w:rsidRPr="00A132A5" w:rsidRDefault="001F1577" w:rsidP="001F1577">
            <w:pPr>
              <w:keepNext/>
              <w:jc w:val="left"/>
              <w:rPr>
                <w:rFonts w:eastAsiaTheme="minorHAnsi"/>
                <w:b/>
                <w:bCs/>
                <w:color w:val="000000"/>
                <w:sz w:val="20"/>
                <w:szCs w:val="20"/>
              </w:rPr>
            </w:pPr>
            <w:r w:rsidRPr="00A132A5">
              <w:rPr>
                <w:b/>
                <w:bCs/>
                <w:color w:val="000000"/>
                <w:sz w:val="20"/>
                <w:szCs w:val="20"/>
              </w:rPr>
              <w:t>Metric tonnes</w:t>
            </w:r>
          </w:p>
        </w:tc>
        <w:tc>
          <w:tcPr>
            <w:tcW w:w="694" w:type="pct"/>
            <w:noWrap/>
            <w:tcMar>
              <w:top w:w="0" w:type="dxa"/>
              <w:left w:w="108" w:type="dxa"/>
              <w:bottom w:w="0" w:type="dxa"/>
              <w:right w:w="108" w:type="dxa"/>
            </w:tcMar>
          </w:tcPr>
          <w:p w:rsidR="001F1577" w:rsidRPr="00A132A5" w:rsidRDefault="001F1577" w:rsidP="001F1577">
            <w:pPr>
              <w:keepNext/>
              <w:jc w:val="right"/>
              <w:rPr>
                <w:rFonts w:eastAsiaTheme="minorHAnsi"/>
                <w:b/>
                <w:bCs/>
                <w:color w:val="000000"/>
                <w:sz w:val="20"/>
                <w:szCs w:val="20"/>
              </w:rPr>
            </w:pPr>
          </w:p>
        </w:tc>
        <w:tc>
          <w:tcPr>
            <w:tcW w:w="610" w:type="pct"/>
            <w:noWrap/>
            <w:tcMar>
              <w:top w:w="0" w:type="dxa"/>
              <w:left w:w="108" w:type="dxa"/>
              <w:bottom w:w="0" w:type="dxa"/>
              <w:right w:w="108" w:type="dxa"/>
            </w:tcMar>
          </w:tcPr>
          <w:p w:rsidR="001F1577" w:rsidRPr="00A132A5" w:rsidRDefault="001F1577" w:rsidP="001F1577">
            <w:pPr>
              <w:keepNext/>
              <w:jc w:val="right"/>
              <w:rPr>
                <w:rFonts w:eastAsiaTheme="minorHAnsi"/>
                <w:b/>
                <w:bCs/>
                <w:color w:val="000000"/>
                <w:sz w:val="20"/>
                <w:szCs w:val="20"/>
              </w:rPr>
            </w:pPr>
          </w:p>
        </w:tc>
        <w:tc>
          <w:tcPr>
            <w:tcW w:w="610" w:type="pct"/>
            <w:noWrap/>
            <w:tcMar>
              <w:top w:w="0" w:type="dxa"/>
              <w:left w:w="108" w:type="dxa"/>
              <w:bottom w:w="0" w:type="dxa"/>
              <w:right w:w="108" w:type="dxa"/>
            </w:tcMar>
          </w:tcPr>
          <w:p w:rsidR="001F1577" w:rsidRPr="00A132A5" w:rsidRDefault="001F1577" w:rsidP="001F1577">
            <w:pPr>
              <w:keepNext/>
              <w:jc w:val="right"/>
              <w:rPr>
                <w:rFonts w:eastAsiaTheme="minorHAnsi"/>
                <w:b/>
                <w:bCs/>
                <w:color w:val="000000"/>
                <w:sz w:val="20"/>
                <w:szCs w:val="20"/>
              </w:rPr>
            </w:pPr>
          </w:p>
        </w:tc>
        <w:tc>
          <w:tcPr>
            <w:tcW w:w="643" w:type="pct"/>
            <w:shd w:val="clear" w:color="auto" w:fill="auto"/>
          </w:tcPr>
          <w:p w:rsidR="001F1577" w:rsidRPr="00A132A5" w:rsidRDefault="001F1577" w:rsidP="001F1577">
            <w:pPr>
              <w:keepNext/>
              <w:jc w:val="right"/>
              <w:rPr>
                <w:rFonts w:eastAsiaTheme="minorHAnsi"/>
                <w:b/>
                <w:bCs/>
                <w:color w:val="000000"/>
                <w:sz w:val="20"/>
                <w:szCs w:val="20"/>
                <w:highlight w:val="cyan"/>
              </w:rPr>
            </w:pPr>
          </w:p>
        </w:tc>
        <w:tc>
          <w:tcPr>
            <w:tcW w:w="680" w:type="pct"/>
          </w:tcPr>
          <w:p w:rsidR="001F1577" w:rsidRPr="00A132A5" w:rsidRDefault="001F1577" w:rsidP="001F1577">
            <w:pPr>
              <w:keepNext/>
              <w:jc w:val="right"/>
              <w:rPr>
                <w:rFonts w:eastAsiaTheme="minorHAnsi"/>
                <w:b/>
                <w:bCs/>
                <w:color w:val="000000"/>
                <w:sz w:val="20"/>
                <w:szCs w:val="20"/>
              </w:rPr>
            </w:pPr>
          </w:p>
        </w:tc>
        <w:tc>
          <w:tcPr>
            <w:tcW w:w="739" w:type="pct"/>
            <w:noWrap/>
            <w:tcMar>
              <w:top w:w="0" w:type="dxa"/>
              <w:left w:w="108" w:type="dxa"/>
              <w:bottom w:w="0" w:type="dxa"/>
              <w:right w:w="108" w:type="dxa"/>
            </w:tcMar>
          </w:tcPr>
          <w:p w:rsidR="001F1577" w:rsidRPr="00A132A5" w:rsidRDefault="001F1577" w:rsidP="001F1577">
            <w:pPr>
              <w:keepNext/>
              <w:jc w:val="right"/>
              <w:rPr>
                <w:rFonts w:eastAsiaTheme="minorHAnsi"/>
                <w:b/>
                <w:bCs/>
                <w:color w:val="000000"/>
                <w:sz w:val="20"/>
                <w:szCs w:val="20"/>
              </w:rPr>
            </w:pPr>
          </w:p>
        </w:tc>
      </w:tr>
      <w:tr w:rsidR="001F1577" w:rsidRPr="00A132A5" w:rsidTr="001F1577">
        <w:trPr>
          <w:trHeight w:val="125"/>
        </w:trPr>
        <w:tc>
          <w:tcPr>
            <w:tcW w:w="1023" w:type="pct"/>
            <w:noWrap/>
            <w:tcMar>
              <w:top w:w="0" w:type="dxa"/>
              <w:left w:w="108" w:type="dxa"/>
              <w:bottom w:w="0" w:type="dxa"/>
              <w:right w:w="108" w:type="dxa"/>
            </w:tcMar>
            <w:hideMark/>
          </w:tcPr>
          <w:p w:rsidR="001F1577" w:rsidRPr="00A132A5" w:rsidRDefault="001F1577" w:rsidP="001F1577">
            <w:pPr>
              <w:keepNext/>
              <w:jc w:val="left"/>
              <w:rPr>
                <w:rFonts w:eastAsiaTheme="minorHAnsi"/>
                <w:color w:val="000000"/>
                <w:sz w:val="20"/>
                <w:szCs w:val="20"/>
              </w:rPr>
            </w:pPr>
            <w:r w:rsidRPr="00A132A5">
              <w:rPr>
                <w:color w:val="000000"/>
                <w:sz w:val="20"/>
                <w:szCs w:val="20"/>
              </w:rPr>
              <w:t>HCFC-22</w:t>
            </w:r>
          </w:p>
        </w:tc>
        <w:tc>
          <w:tcPr>
            <w:tcW w:w="694" w:type="pct"/>
            <w:noWrap/>
            <w:tcMar>
              <w:top w:w="0" w:type="dxa"/>
              <w:left w:w="108" w:type="dxa"/>
              <w:bottom w:w="0" w:type="dxa"/>
              <w:right w:w="108" w:type="dxa"/>
            </w:tcMar>
            <w:vAlign w:val="bottom"/>
          </w:tcPr>
          <w:p w:rsidR="001F1577" w:rsidRPr="00A132A5" w:rsidRDefault="001F1577" w:rsidP="001F1577">
            <w:pPr>
              <w:keepNext/>
              <w:jc w:val="right"/>
              <w:rPr>
                <w:color w:val="000000"/>
                <w:sz w:val="20"/>
                <w:szCs w:val="20"/>
                <w:lang w:val="en-CA" w:eastAsia="en-CA"/>
              </w:rPr>
            </w:pPr>
            <w:r w:rsidRPr="00A132A5">
              <w:rPr>
                <w:color w:val="000000"/>
                <w:sz w:val="20"/>
                <w:szCs w:val="20"/>
                <w:lang w:val="en-CA" w:eastAsia="en-CA"/>
              </w:rPr>
              <w:t>6,528.44</w:t>
            </w:r>
          </w:p>
        </w:tc>
        <w:tc>
          <w:tcPr>
            <w:tcW w:w="610" w:type="pct"/>
            <w:noWrap/>
            <w:tcMar>
              <w:top w:w="0" w:type="dxa"/>
              <w:left w:w="108" w:type="dxa"/>
              <w:bottom w:w="0" w:type="dxa"/>
              <w:right w:w="108" w:type="dxa"/>
            </w:tcMar>
          </w:tcPr>
          <w:p w:rsidR="001F1577" w:rsidRPr="00A132A5" w:rsidRDefault="001F1577" w:rsidP="001F1577">
            <w:pPr>
              <w:keepNext/>
              <w:jc w:val="right"/>
              <w:rPr>
                <w:color w:val="000000"/>
                <w:sz w:val="20"/>
                <w:szCs w:val="20"/>
              </w:rPr>
            </w:pPr>
            <w:r w:rsidRPr="00A132A5">
              <w:rPr>
                <w:color w:val="000000"/>
                <w:sz w:val="20"/>
                <w:szCs w:val="20"/>
              </w:rPr>
              <w:t>2,574.45</w:t>
            </w:r>
          </w:p>
        </w:tc>
        <w:tc>
          <w:tcPr>
            <w:tcW w:w="610" w:type="pct"/>
            <w:noWrap/>
            <w:tcMar>
              <w:top w:w="0" w:type="dxa"/>
              <w:left w:w="108" w:type="dxa"/>
              <w:bottom w:w="0" w:type="dxa"/>
              <w:right w:w="108" w:type="dxa"/>
            </w:tcMar>
            <w:vAlign w:val="center"/>
          </w:tcPr>
          <w:p w:rsidR="001F1577" w:rsidRPr="00A132A5" w:rsidRDefault="001F1577" w:rsidP="001F1577">
            <w:pPr>
              <w:keepNext/>
              <w:jc w:val="right"/>
              <w:rPr>
                <w:color w:val="000000"/>
                <w:sz w:val="20"/>
                <w:szCs w:val="20"/>
              </w:rPr>
            </w:pPr>
            <w:r w:rsidRPr="00A132A5">
              <w:rPr>
                <w:color w:val="000000"/>
                <w:sz w:val="20"/>
                <w:szCs w:val="20"/>
              </w:rPr>
              <w:t>2,904.33</w:t>
            </w:r>
          </w:p>
        </w:tc>
        <w:tc>
          <w:tcPr>
            <w:tcW w:w="643" w:type="pct"/>
            <w:shd w:val="clear" w:color="auto" w:fill="auto"/>
            <w:vAlign w:val="bottom"/>
          </w:tcPr>
          <w:p w:rsidR="001F1577" w:rsidRPr="00A132A5" w:rsidRDefault="001F1577" w:rsidP="001F1577">
            <w:pPr>
              <w:keepNext/>
              <w:jc w:val="right"/>
              <w:rPr>
                <w:color w:val="000000"/>
                <w:sz w:val="20"/>
                <w:szCs w:val="20"/>
              </w:rPr>
            </w:pPr>
            <w:r w:rsidRPr="00A132A5">
              <w:rPr>
                <w:color w:val="000000"/>
                <w:sz w:val="20"/>
                <w:szCs w:val="20"/>
              </w:rPr>
              <w:t>3,043.23</w:t>
            </w:r>
          </w:p>
        </w:tc>
        <w:tc>
          <w:tcPr>
            <w:tcW w:w="680" w:type="pct"/>
            <w:vAlign w:val="center"/>
          </w:tcPr>
          <w:p w:rsidR="001F1577" w:rsidRPr="006224E3" w:rsidRDefault="001F1577" w:rsidP="003D7B32">
            <w:pPr>
              <w:keepNext/>
              <w:jc w:val="right"/>
              <w:rPr>
                <w:color w:val="000000"/>
                <w:sz w:val="20"/>
                <w:szCs w:val="20"/>
              </w:rPr>
            </w:pPr>
            <w:r w:rsidRPr="006224E3">
              <w:rPr>
                <w:color w:val="000000"/>
                <w:sz w:val="20"/>
                <w:szCs w:val="20"/>
              </w:rPr>
              <w:t>2,</w:t>
            </w:r>
            <w:r w:rsidR="003D7B32" w:rsidRPr="006224E3">
              <w:rPr>
                <w:color w:val="000000"/>
                <w:sz w:val="20"/>
                <w:szCs w:val="20"/>
              </w:rPr>
              <w:t>324</w:t>
            </w:r>
            <w:r w:rsidRPr="006224E3">
              <w:rPr>
                <w:color w:val="000000"/>
                <w:sz w:val="20"/>
                <w:szCs w:val="20"/>
              </w:rPr>
              <w:t>.</w:t>
            </w:r>
            <w:r w:rsidR="003D7B32" w:rsidRPr="006224E3">
              <w:rPr>
                <w:color w:val="000000"/>
                <w:sz w:val="20"/>
                <w:szCs w:val="20"/>
              </w:rPr>
              <w:t>6</w:t>
            </w:r>
            <w:r w:rsidRPr="006224E3">
              <w:rPr>
                <w:color w:val="000000"/>
                <w:sz w:val="20"/>
                <w:szCs w:val="20"/>
              </w:rPr>
              <w:t>0</w:t>
            </w:r>
          </w:p>
        </w:tc>
        <w:tc>
          <w:tcPr>
            <w:tcW w:w="739" w:type="pct"/>
            <w:noWrap/>
            <w:tcMar>
              <w:top w:w="0" w:type="dxa"/>
              <w:left w:w="108" w:type="dxa"/>
              <w:bottom w:w="0" w:type="dxa"/>
              <w:right w:w="108" w:type="dxa"/>
            </w:tcMar>
          </w:tcPr>
          <w:p w:rsidR="001F1577" w:rsidRPr="00A132A5" w:rsidRDefault="001F1577" w:rsidP="001F1577">
            <w:pPr>
              <w:keepNext/>
              <w:jc w:val="right"/>
              <w:rPr>
                <w:rFonts w:eastAsiaTheme="minorHAnsi"/>
                <w:color w:val="000000"/>
                <w:sz w:val="20"/>
                <w:szCs w:val="20"/>
              </w:rPr>
            </w:pPr>
            <w:r w:rsidRPr="00A132A5">
              <w:rPr>
                <w:rFonts w:eastAsiaTheme="minorHAnsi"/>
                <w:color w:val="000000"/>
                <w:sz w:val="20"/>
                <w:szCs w:val="20"/>
              </w:rPr>
              <w:t>4,859.5</w:t>
            </w:r>
          </w:p>
        </w:tc>
      </w:tr>
      <w:tr w:rsidR="001F1577" w:rsidRPr="00A132A5" w:rsidTr="001F1577">
        <w:trPr>
          <w:trHeight w:val="62"/>
        </w:trPr>
        <w:tc>
          <w:tcPr>
            <w:tcW w:w="1023" w:type="pct"/>
            <w:noWrap/>
            <w:tcMar>
              <w:top w:w="0" w:type="dxa"/>
              <w:left w:w="108" w:type="dxa"/>
              <w:bottom w:w="0" w:type="dxa"/>
              <w:right w:w="108" w:type="dxa"/>
            </w:tcMar>
            <w:hideMark/>
          </w:tcPr>
          <w:p w:rsidR="001F1577" w:rsidRPr="00A132A5" w:rsidRDefault="001F1577" w:rsidP="001F1577">
            <w:pPr>
              <w:keepNext/>
              <w:jc w:val="left"/>
              <w:rPr>
                <w:rFonts w:eastAsiaTheme="minorHAnsi"/>
                <w:color w:val="000000"/>
                <w:sz w:val="20"/>
                <w:szCs w:val="20"/>
              </w:rPr>
            </w:pPr>
            <w:r w:rsidRPr="00A132A5">
              <w:rPr>
                <w:color w:val="000000"/>
                <w:sz w:val="20"/>
                <w:szCs w:val="20"/>
              </w:rPr>
              <w:t>HCFC-141b</w:t>
            </w:r>
          </w:p>
        </w:tc>
        <w:tc>
          <w:tcPr>
            <w:tcW w:w="694" w:type="pct"/>
            <w:noWrap/>
            <w:tcMar>
              <w:top w:w="0" w:type="dxa"/>
              <w:left w:w="108" w:type="dxa"/>
              <w:bottom w:w="0" w:type="dxa"/>
              <w:right w:w="108" w:type="dxa"/>
            </w:tcMar>
            <w:vAlign w:val="bottom"/>
          </w:tcPr>
          <w:p w:rsidR="001F1577" w:rsidRPr="00A132A5" w:rsidRDefault="001F1577" w:rsidP="001F1577">
            <w:pPr>
              <w:keepNext/>
              <w:jc w:val="right"/>
              <w:rPr>
                <w:sz w:val="20"/>
                <w:szCs w:val="20"/>
              </w:rPr>
            </w:pPr>
            <w:r w:rsidRPr="00A132A5">
              <w:rPr>
                <w:sz w:val="20"/>
                <w:szCs w:val="20"/>
              </w:rPr>
              <w:t>1,693.22</w:t>
            </w:r>
          </w:p>
        </w:tc>
        <w:tc>
          <w:tcPr>
            <w:tcW w:w="610" w:type="pct"/>
            <w:noWrap/>
            <w:tcMar>
              <w:top w:w="0" w:type="dxa"/>
              <w:left w:w="108" w:type="dxa"/>
              <w:bottom w:w="0" w:type="dxa"/>
              <w:right w:w="108" w:type="dxa"/>
            </w:tcMar>
          </w:tcPr>
          <w:p w:rsidR="001F1577" w:rsidRPr="00A132A5" w:rsidRDefault="001F1577" w:rsidP="001F1577">
            <w:pPr>
              <w:keepNext/>
              <w:jc w:val="right"/>
              <w:rPr>
                <w:color w:val="000000"/>
                <w:sz w:val="20"/>
                <w:szCs w:val="20"/>
              </w:rPr>
            </w:pPr>
            <w:r w:rsidRPr="00A132A5">
              <w:rPr>
                <w:color w:val="000000"/>
                <w:sz w:val="20"/>
                <w:szCs w:val="20"/>
              </w:rPr>
              <w:t>827.06</w:t>
            </w:r>
          </w:p>
        </w:tc>
        <w:tc>
          <w:tcPr>
            <w:tcW w:w="610" w:type="pct"/>
            <w:noWrap/>
            <w:tcMar>
              <w:top w:w="0" w:type="dxa"/>
              <w:left w:w="108" w:type="dxa"/>
              <w:bottom w:w="0" w:type="dxa"/>
              <w:right w:w="108" w:type="dxa"/>
            </w:tcMar>
            <w:vAlign w:val="center"/>
          </w:tcPr>
          <w:p w:rsidR="001F1577" w:rsidRPr="00A132A5" w:rsidRDefault="001F1577" w:rsidP="001F1577">
            <w:pPr>
              <w:keepNext/>
              <w:jc w:val="right"/>
              <w:rPr>
                <w:color w:val="000000"/>
                <w:sz w:val="20"/>
                <w:szCs w:val="20"/>
              </w:rPr>
            </w:pPr>
            <w:r w:rsidRPr="00A132A5">
              <w:rPr>
                <w:color w:val="000000"/>
                <w:sz w:val="20"/>
                <w:szCs w:val="20"/>
              </w:rPr>
              <w:t>951.71</w:t>
            </w:r>
          </w:p>
        </w:tc>
        <w:tc>
          <w:tcPr>
            <w:tcW w:w="643" w:type="pct"/>
            <w:shd w:val="clear" w:color="auto" w:fill="auto"/>
            <w:vAlign w:val="bottom"/>
          </w:tcPr>
          <w:p w:rsidR="001F1577" w:rsidRPr="00A132A5" w:rsidRDefault="001F1577" w:rsidP="001F1577">
            <w:pPr>
              <w:keepNext/>
              <w:jc w:val="right"/>
              <w:rPr>
                <w:color w:val="000000"/>
                <w:sz w:val="20"/>
                <w:szCs w:val="20"/>
              </w:rPr>
            </w:pPr>
            <w:r w:rsidRPr="00A132A5">
              <w:rPr>
                <w:color w:val="000000"/>
                <w:sz w:val="20"/>
                <w:szCs w:val="20"/>
              </w:rPr>
              <w:t>978.73</w:t>
            </w:r>
          </w:p>
        </w:tc>
        <w:tc>
          <w:tcPr>
            <w:tcW w:w="680" w:type="pct"/>
            <w:vAlign w:val="center"/>
          </w:tcPr>
          <w:p w:rsidR="001F1577" w:rsidRPr="006224E3" w:rsidRDefault="003D7B32" w:rsidP="003D7B32">
            <w:pPr>
              <w:keepNext/>
              <w:jc w:val="right"/>
              <w:rPr>
                <w:color w:val="000000"/>
                <w:sz w:val="20"/>
                <w:szCs w:val="20"/>
              </w:rPr>
            </w:pPr>
            <w:r w:rsidRPr="006224E3">
              <w:rPr>
                <w:color w:val="000000"/>
                <w:sz w:val="20"/>
                <w:szCs w:val="20"/>
              </w:rPr>
              <w:t>829.54</w:t>
            </w:r>
          </w:p>
        </w:tc>
        <w:tc>
          <w:tcPr>
            <w:tcW w:w="739" w:type="pct"/>
            <w:noWrap/>
            <w:tcMar>
              <w:top w:w="0" w:type="dxa"/>
              <w:left w:w="108" w:type="dxa"/>
              <w:bottom w:w="0" w:type="dxa"/>
              <w:right w:w="108" w:type="dxa"/>
            </w:tcMar>
          </w:tcPr>
          <w:p w:rsidR="001F1577" w:rsidRPr="00A132A5" w:rsidRDefault="001F1577" w:rsidP="001F1577">
            <w:pPr>
              <w:keepNext/>
              <w:jc w:val="right"/>
              <w:rPr>
                <w:rFonts w:eastAsiaTheme="minorHAnsi"/>
                <w:color w:val="000000"/>
                <w:sz w:val="20"/>
                <w:szCs w:val="20"/>
              </w:rPr>
            </w:pPr>
            <w:r w:rsidRPr="00A132A5">
              <w:rPr>
                <w:rFonts w:eastAsiaTheme="minorHAnsi"/>
                <w:color w:val="000000"/>
                <w:sz w:val="20"/>
                <w:szCs w:val="20"/>
              </w:rPr>
              <w:t>1,031.1</w:t>
            </w:r>
          </w:p>
        </w:tc>
      </w:tr>
      <w:tr w:rsidR="003D7B32" w:rsidRPr="00A132A5" w:rsidTr="001F1577">
        <w:trPr>
          <w:trHeight w:val="53"/>
        </w:trPr>
        <w:tc>
          <w:tcPr>
            <w:tcW w:w="1023" w:type="pct"/>
            <w:noWrap/>
            <w:tcMar>
              <w:top w:w="0" w:type="dxa"/>
              <w:left w:w="108" w:type="dxa"/>
              <w:bottom w:w="0" w:type="dxa"/>
              <w:right w:w="108" w:type="dxa"/>
            </w:tcMar>
            <w:hideMark/>
          </w:tcPr>
          <w:p w:rsidR="003D7B32" w:rsidRPr="00A132A5" w:rsidRDefault="003D7B32" w:rsidP="001F1577">
            <w:pPr>
              <w:keepNext/>
              <w:jc w:val="left"/>
              <w:rPr>
                <w:rFonts w:eastAsiaTheme="minorHAnsi"/>
                <w:color w:val="000000"/>
                <w:sz w:val="20"/>
                <w:szCs w:val="20"/>
              </w:rPr>
            </w:pPr>
            <w:r w:rsidRPr="00A132A5">
              <w:rPr>
                <w:color w:val="000000"/>
                <w:sz w:val="20"/>
                <w:szCs w:val="20"/>
              </w:rPr>
              <w:t>HCFC-142b</w:t>
            </w:r>
          </w:p>
        </w:tc>
        <w:tc>
          <w:tcPr>
            <w:tcW w:w="694" w:type="pct"/>
            <w:noWrap/>
            <w:tcMar>
              <w:top w:w="0" w:type="dxa"/>
              <w:left w:w="108" w:type="dxa"/>
              <w:bottom w:w="0" w:type="dxa"/>
              <w:right w:w="108" w:type="dxa"/>
            </w:tcMar>
            <w:vAlign w:val="bottom"/>
          </w:tcPr>
          <w:p w:rsidR="003D7B32" w:rsidRPr="00A132A5" w:rsidRDefault="003D7B32" w:rsidP="001F1577">
            <w:pPr>
              <w:keepNext/>
              <w:jc w:val="right"/>
              <w:rPr>
                <w:sz w:val="20"/>
                <w:szCs w:val="20"/>
              </w:rPr>
            </w:pPr>
            <w:r w:rsidRPr="00A132A5">
              <w:rPr>
                <w:sz w:val="20"/>
                <w:szCs w:val="20"/>
              </w:rPr>
              <w:t>306.22</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170.37</w:t>
            </w:r>
          </w:p>
        </w:tc>
        <w:tc>
          <w:tcPr>
            <w:tcW w:w="610" w:type="pct"/>
            <w:noWrap/>
            <w:tcMar>
              <w:top w:w="0" w:type="dxa"/>
              <w:left w:w="108" w:type="dxa"/>
              <w:bottom w:w="0" w:type="dxa"/>
              <w:right w:w="108" w:type="dxa"/>
            </w:tcMar>
            <w:vAlign w:val="center"/>
          </w:tcPr>
          <w:p w:rsidR="003D7B32" w:rsidRPr="00A132A5" w:rsidRDefault="003D7B32" w:rsidP="001F1577">
            <w:pPr>
              <w:keepNext/>
              <w:jc w:val="right"/>
              <w:rPr>
                <w:color w:val="000000"/>
                <w:sz w:val="20"/>
                <w:szCs w:val="20"/>
              </w:rPr>
            </w:pPr>
            <w:r w:rsidRPr="00A132A5">
              <w:rPr>
                <w:color w:val="000000"/>
                <w:sz w:val="20"/>
                <w:szCs w:val="20"/>
              </w:rPr>
              <w:t>145.82</w:t>
            </w:r>
          </w:p>
        </w:tc>
        <w:tc>
          <w:tcPr>
            <w:tcW w:w="643" w:type="pct"/>
            <w:shd w:val="clear" w:color="auto" w:fill="auto"/>
            <w:vAlign w:val="bottom"/>
          </w:tcPr>
          <w:p w:rsidR="003D7B32" w:rsidRPr="00A132A5" w:rsidRDefault="003D7B32" w:rsidP="001F1577">
            <w:pPr>
              <w:keepNext/>
              <w:jc w:val="right"/>
              <w:rPr>
                <w:color w:val="000000"/>
                <w:sz w:val="20"/>
                <w:szCs w:val="20"/>
              </w:rPr>
            </w:pPr>
            <w:r w:rsidRPr="00A132A5">
              <w:rPr>
                <w:color w:val="000000"/>
                <w:sz w:val="20"/>
                <w:szCs w:val="20"/>
              </w:rPr>
              <w:t>266.25</w:t>
            </w:r>
          </w:p>
        </w:tc>
        <w:tc>
          <w:tcPr>
            <w:tcW w:w="680" w:type="pct"/>
            <w:vAlign w:val="center"/>
          </w:tcPr>
          <w:p w:rsidR="003D7B32" w:rsidRPr="006224E3" w:rsidRDefault="003D7B32" w:rsidP="000C7E98">
            <w:pPr>
              <w:keepNext/>
              <w:jc w:val="right"/>
              <w:rPr>
                <w:color w:val="000000"/>
                <w:sz w:val="20"/>
                <w:szCs w:val="20"/>
              </w:rPr>
            </w:pPr>
            <w:r w:rsidRPr="006224E3">
              <w:rPr>
                <w:color w:val="000000"/>
                <w:sz w:val="20"/>
                <w:szCs w:val="20"/>
              </w:rPr>
              <w:t>111.21</w:t>
            </w:r>
          </w:p>
        </w:tc>
        <w:tc>
          <w:tcPr>
            <w:tcW w:w="739" w:type="pct"/>
            <w:noWrap/>
            <w:tcMar>
              <w:top w:w="0" w:type="dxa"/>
              <w:left w:w="108" w:type="dxa"/>
              <w:bottom w:w="0" w:type="dxa"/>
              <w:right w:w="108" w:type="dxa"/>
            </w:tcMar>
          </w:tcPr>
          <w:p w:rsidR="003D7B32" w:rsidRPr="00A132A5" w:rsidRDefault="003D7B32" w:rsidP="001F1577">
            <w:pPr>
              <w:keepNext/>
              <w:jc w:val="right"/>
              <w:rPr>
                <w:rFonts w:eastAsiaTheme="minorHAnsi"/>
                <w:color w:val="000000"/>
                <w:sz w:val="20"/>
                <w:szCs w:val="20"/>
              </w:rPr>
            </w:pPr>
            <w:r w:rsidRPr="00A132A5">
              <w:rPr>
                <w:rFonts w:eastAsiaTheme="minorHAnsi"/>
                <w:color w:val="000000"/>
                <w:sz w:val="20"/>
                <w:szCs w:val="20"/>
              </w:rPr>
              <w:t>268.1</w:t>
            </w:r>
          </w:p>
        </w:tc>
      </w:tr>
      <w:tr w:rsidR="003D7B32" w:rsidRPr="00A132A5" w:rsidTr="001F1577">
        <w:trPr>
          <w:trHeight w:val="53"/>
        </w:trPr>
        <w:tc>
          <w:tcPr>
            <w:tcW w:w="1023" w:type="pct"/>
            <w:noWrap/>
            <w:tcMar>
              <w:top w:w="0" w:type="dxa"/>
              <w:left w:w="108" w:type="dxa"/>
              <w:bottom w:w="0" w:type="dxa"/>
              <w:right w:w="108" w:type="dxa"/>
            </w:tcMar>
          </w:tcPr>
          <w:p w:rsidR="003D7B32" w:rsidRPr="00A132A5" w:rsidRDefault="003D7B32" w:rsidP="001F1577">
            <w:pPr>
              <w:keepNext/>
              <w:jc w:val="left"/>
              <w:rPr>
                <w:color w:val="000000"/>
                <w:sz w:val="20"/>
                <w:szCs w:val="20"/>
                <w:lang w:val="en-CA" w:eastAsia="en-CA"/>
              </w:rPr>
            </w:pPr>
            <w:r w:rsidRPr="00A132A5">
              <w:rPr>
                <w:color w:val="000000"/>
                <w:sz w:val="20"/>
                <w:szCs w:val="20"/>
                <w:lang w:val="en-CA" w:eastAsia="en-CA"/>
              </w:rPr>
              <w:t>HCFC-123</w:t>
            </w:r>
          </w:p>
        </w:tc>
        <w:tc>
          <w:tcPr>
            <w:tcW w:w="694" w:type="pct"/>
            <w:noWrap/>
            <w:tcMar>
              <w:top w:w="0" w:type="dxa"/>
              <w:left w:w="108" w:type="dxa"/>
              <w:bottom w:w="0" w:type="dxa"/>
              <w:right w:w="108" w:type="dxa"/>
            </w:tcMar>
            <w:vAlign w:val="bottom"/>
          </w:tcPr>
          <w:p w:rsidR="003D7B32" w:rsidRPr="00A132A5" w:rsidRDefault="003D7B32" w:rsidP="001F1577">
            <w:pPr>
              <w:keepNext/>
              <w:jc w:val="right"/>
              <w:rPr>
                <w:sz w:val="20"/>
                <w:szCs w:val="20"/>
              </w:rPr>
            </w:pPr>
            <w:r w:rsidRPr="00A132A5">
              <w:rPr>
                <w:sz w:val="20"/>
                <w:szCs w:val="20"/>
              </w:rPr>
              <w:t>190.57</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71.55</w:t>
            </w:r>
          </w:p>
        </w:tc>
        <w:tc>
          <w:tcPr>
            <w:tcW w:w="610" w:type="pct"/>
            <w:noWrap/>
            <w:tcMar>
              <w:top w:w="0" w:type="dxa"/>
              <w:left w:w="108" w:type="dxa"/>
              <w:bottom w:w="0" w:type="dxa"/>
              <w:right w:w="108" w:type="dxa"/>
            </w:tcMar>
            <w:vAlign w:val="center"/>
          </w:tcPr>
          <w:p w:rsidR="003D7B32" w:rsidRPr="00A132A5" w:rsidRDefault="003D7B32" w:rsidP="001F1577">
            <w:pPr>
              <w:keepNext/>
              <w:jc w:val="right"/>
              <w:rPr>
                <w:color w:val="000000"/>
                <w:sz w:val="20"/>
                <w:szCs w:val="20"/>
              </w:rPr>
            </w:pPr>
            <w:r w:rsidRPr="00A132A5">
              <w:rPr>
                <w:color w:val="000000"/>
                <w:sz w:val="20"/>
                <w:szCs w:val="20"/>
              </w:rPr>
              <w:t>77.96</w:t>
            </w:r>
          </w:p>
        </w:tc>
        <w:tc>
          <w:tcPr>
            <w:tcW w:w="643" w:type="pct"/>
            <w:shd w:val="clear" w:color="auto" w:fill="auto"/>
            <w:vAlign w:val="bottom"/>
          </w:tcPr>
          <w:p w:rsidR="003D7B32" w:rsidRPr="00A132A5" w:rsidRDefault="003D7B32" w:rsidP="001F1577">
            <w:pPr>
              <w:keepNext/>
              <w:jc w:val="right"/>
              <w:rPr>
                <w:color w:val="000000"/>
                <w:sz w:val="20"/>
                <w:szCs w:val="20"/>
              </w:rPr>
            </w:pPr>
            <w:r w:rsidRPr="00A132A5">
              <w:rPr>
                <w:color w:val="000000"/>
                <w:sz w:val="20"/>
                <w:szCs w:val="20"/>
              </w:rPr>
              <w:t>111.38</w:t>
            </w:r>
          </w:p>
        </w:tc>
        <w:tc>
          <w:tcPr>
            <w:tcW w:w="680" w:type="pct"/>
            <w:vAlign w:val="center"/>
          </w:tcPr>
          <w:p w:rsidR="003D7B32" w:rsidRPr="006224E3" w:rsidRDefault="003D7B32" w:rsidP="00655EF4">
            <w:pPr>
              <w:keepNext/>
              <w:jc w:val="right"/>
              <w:rPr>
                <w:color w:val="000000"/>
                <w:sz w:val="20"/>
                <w:szCs w:val="20"/>
              </w:rPr>
            </w:pPr>
            <w:r w:rsidRPr="006224E3">
              <w:rPr>
                <w:color w:val="000000"/>
                <w:sz w:val="20"/>
                <w:szCs w:val="20"/>
              </w:rPr>
              <w:t>1</w:t>
            </w:r>
            <w:r w:rsidR="00655EF4" w:rsidRPr="006224E3">
              <w:rPr>
                <w:color w:val="000000"/>
                <w:sz w:val="20"/>
                <w:szCs w:val="20"/>
              </w:rPr>
              <w:t>09.55</w:t>
            </w:r>
          </w:p>
        </w:tc>
        <w:tc>
          <w:tcPr>
            <w:tcW w:w="739" w:type="pct"/>
            <w:noWrap/>
            <w:tcMar>
              <w:top w:w="0" w:type="dxa"/>
              <w:left w:w="108" w:type="dxa"/>
              <w:bottom w:w="0" w:type="dxa"/>
              <w:right w:w="108" w:type="dxa"/>
            </w:tcMar>
          </w:tcPr>
          <w:p w:rsidR="003D7B32" w:rsidRPr="00A132A5" w:rsidRDefault="003D7B32" w:rsidP="001F1577">
            <w:pPr>
              <w:keepNext/>
              <w:jc w:val="right"/>
              <w:rPr>
                <w:rFonts w:eastAsiaTheme="minorHAnsi"/>
                <w:color w:val="000000"/>
                <w:sz w:val="20"/>
                <w:szCs w:val="20"/>
              </w:rPr>
            </w:pPr>
            <w:r w:rsidRPr="00A132A5">
              <w:rPr>
                <w:rFonts w:eastAsiaTheme="minorHAnsi"/>
                <w:color w:val="000000"/>
                <w:sz w:val="20"/>
                <w:szCs w:val="20"/>
              </w:rPr>
              <w:t>74.7</w:t>
            </w:r>
          </w:p>
        </w:tc>
      </w:tr>
      <w:tr w:rsidR="003D7B32" w:rsidRPr="00A132A5" w:rsidTr="001F1577">
        <w:trPr>
          <w:trHeight w:val="53"/>
        </w:trPr>
        <w:tc>
          <w:tcPr>
            <w:tcW w:w="1023" w:type="pct"/>
            <w:noWrap/>
            <w:tcMar>
              <w:top w:w="0" w:type="dxa"/>
              <w:left w:w="108" w:type="dxa"/>
              <w:bottom w:w="0" w:type="dxa"/>
              <w:right w:w="108" w:type="dxa"/>
            </w:tcMar>
          </w:tcPr>
          <w:p w:rsidR="003D7B32" w:rsidRPr="00A132A5" w:rsidRDefault="003D7B32" w:rsidP="001F1577">
            <w:pPr>
              <w:keepNext/>
              <w:jc w:val="left"/>
              <w:rPr>
                <w:color w:val="000000"/>
                <w:sz w:val="20"/>
                <w:szCs w:val="20"/>
                <w:lang w:val="en-CA" w:eastAsia="en-CA"/>
              </w:rPr>
            </w:pPr>
            <w:r w:rsidRPr="00A132A5">
              <w:rPr>
                <w:color w:val="000000"/>
                <w:sz w:val="20"/>
                <w:szCs w:val="20"/>
                <w:lang w:val="en-CA" w:eastAsia="en-CA"/>
              </w:rPr>
              <w:t>HCFC-124</w:t>
            </w:r>
          </w:p>
        </w:tc>
        <w:tc>
          <w:tcPr>
            <w:tcW w:w="694" w:type="pct"/>
            <w:noWrap/>
            <w:tcMar>
              <w:top w:w="0" w:type="dxa"/>
              <w:left w:w="108" w:type="dxa"/>
              <w:bottom w:w="0" w:type="dxa"/>
              <w:right w:w="108" w:type="dxa"/>
            </w:tcMar>
            <w:vAlign w:val="bottom"/>
          </w:tcPr>
          <w:p w:rsidR="003D7B32" w:rsidRPr="00A132A5" w:rsidRDefault="003D7B32" w:rsidP="001F1577">
            <w:pPr>
              <w:keepNext/>
              <w:jc w:val="right"/>
              <w:rPr>
                <w:sz w:val="20"/>
                <w:szCs w:val="20"/>
              </w:rPr>
            </w:pPr>
            <w:r w:rsidRPr="00A132A5">
              <w:rPr>
                <w:sz w:val="20"/>
                <w:szCs w:val="20"/>
              </w:rPr>
              <w:t>103.10</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51.24</w:t>
            </w:r>
          </w:p>
        </w:tc>
        <w:tc>
          <w:tcPr>
            <w:tcW w:w="610" w:type="pct"/>
            <w:noWrap/>
            <w:tcMar>
              <w:top w:w="0" w:type="dxa"/>
              <w:left w:w="108" w:type="dxa"/>
              <w:bottom w:w="0" w:type="dxa"/>
              <w:right w:w="108" w:type="dxa"/>
            </w:tcMar>
            <w:vAlign w:val="center"/>
          </w:tcPr>
          <w:p w:rsidR="003D7B32" w:rsidRPr="00A132A5" w:rsidRDefault="003D7B32" w:rsidP="001F1577">
            <w:pPr>
              <w:keepNext/>
              <w:jc w:val="right"/>
              <w:rPr>
                <w:color w:val="000000"/>
                <w:sz w:val="20"/>
                <w:szCs w:val="20"/>
              </w:rPr>
            </w:pPr>
            <w:r w:rsidRPr="00A132A5">
              <w:rPr>
                <w:color w:val="000000"/>
                <w:sz w:val="20"/>
                <w:szCs w:val="20"/>
              </w:rPr>
              <w:t>28.56</w:t>
            </w:r>
          </w:p>
        </w:tc>
        <w:tc>
          <w:tcPr>
            <w:tcW w:w="643" w:type="pct"/>
            <w:shd w:val="clear" w:color="auto" w:fill="auto"/>
            <w:vAlign w:val="bottom"/>
          </w:tcPr>
          <w:p w:rsidR="003D7B32" w:rsidRPr="00A132A5" w:rsidRDefault="003D7B32" w:rsidP="001F1577">
            <w:pPr>
              <w:keepNext/>
              <w:jc w:val="right"/>
              <w:rPr>
                <w:color w:val="000000"/>
                <w:sz w:val="20"/>
                <w:szCs w:val="20"/>
              </w:rPr>
            </w:pPr>
            <w:r w:rsidRPr="00A132A5">
              <w:rPr>
                <w:color w:val="000000"/>
                <w:sz w:val="20"/>
                <w:szCs w:val="20"/>
              </w:rPr>
              <w:t>38.66</w:t>
            </w:r>
          </w:p>
        </w:tc>
        <w:tc>
          <w:tcPr>
            <w:tcW w:w="680" w:type="pct"/>
            <w:vAlign w:val="center"/>
          </w:tcPr>
          <w:p w:rsidR="003D7B32" w:rsidRPr="006224E3" w:rsidRDefault="003D7B32" w:rsidP="003D7B32">
            <w:pPr>
              <w:keepNext/>
              <w:jc w:val="right"/>
              <w:rPr>
                <w:color w:val="000000"/>
                <w:sz w:val="20"/>
                <w:szCs w:val="20"/>
              </w:rPr>
            </w:pPr>
            <w:r w:rsidRPr="006224E3">
              <w:rPr>
                <w:color w:val="000000"/>
                <w:sz w:val="20"/>
                <w:szCs w:val="20"/>
              </w:rPr>
              <w:t>21.05</w:t>
            </w:r>
          </w:p>
        </w:tc>
        <w:tc>
          <w:tcPr>
            <w:tcW w:w="739" w:type="pct"/>
            <w:noWrap/>
            <w:tcMar>
              <w:top w:w="0" w:type="dxa"/>
              <w:left w:w="108" w:type="dxa"/>
              <w:bottom w:w="0" w:type="dxa"/>
              <w:right w:w="108" w:type="dxa"/>
            </w:tcMar>
          </w:tcPr>
          <w:p w:rsidR="003D7B32" w:rsidRPr="00A132A5" w:rsidRDefault="003D7B32" w:rsidP="001F1577">
            <w:pPr>
              <w:keepNext/>
              <w:jc w:val="right"/>
              <w:rPr>
                <w:rFonts w:eastAsiaTheme="minorHAnsi"/>
                <w:color w:val="000000"/>
                <w:sz w:val="20"/>
                <w:szCs w:val="20"/>
              </w:rPr>
            </w:pPr>
            <w:r w:rsidRPr="00A132A5">
              <w:rPr>
                <w:rFonts w:eastAsiaTheme="minorHAnsi"/>
                <w:color w:val="000000"/>
                <w:sz w:val="20"/>
                <w:szCs w:val="20"/>
              </w:rPr>
              <w:t>47.9</w:t>
            </w:r>
          </w:p>
        </w:tc>
      </w:tr>
      <w:tr w:rsidR="003D7B32" w:rsidRPr="00A132A5" w:rsidTr="001F1577">
        <w:trPr>
          <w:trHeight w:val="53"/>
        </w:trPr>
        <w:tc>
          <w:tcPr>
            <w:tcW w:w="1023" w:type="pct"/>
            <w:noWrap/>
            <w:tcMar>
              <w:top w:w="0" w:type="dxa"/>
              <w:left w:w="108" w:type="dxa"/>
              <w:bottom w:w="0" w:type="dxa"/>
              <w:right w:w="108" w:type="dxa"/>
            </w:tcMar>
          </w:tcPr>
          <w:p w:rsidR="003D7B32" w:rsidRPr="00A132A5" w:rsidRDefault="003D7B32" w:rsidP="001F1577">
            <w:pPr>
              <w:keepNext/>
              <w:jc w:val="left"/>
              <w:rPr>
                <w:color w:val="000000"/>
                <w:sz w:val="20"/>
                <w:szCs w:val="20"/>
                <w:lang w:val="en-CA" w:eastAsia="en-CA"/>
              </w:rPr>
            </w:pPr>
            <w:r w:rsidRPr="00A132A5">
              <w:rPr>
                <w:color w:val="000000"/>
                <w:sz w:val="20"/>
                <w:szCs w:val="20"/>
                <w:lang w:val="en-CA" w:eastAsia="en-CA"/>
              </w:rPr>
              <w:t>HCFC-21</w:t>
            </w:r>
          </w:p>
        </w:tc>
        <w:tc>
          <w:tcPr>
            <w:tcW w:w="694" w:type="pct"/>
            <w:noWrap/>
            <w:tcMar>
              <w:top w:w="0" w:type="dxa"/>
              <w:left w:w="108" w:type="dxa"/>
              <w:bottom w:w="0" w:type="dxa"/>
              <w:right w:w="108" w:type="dxa"/>
            </w:tcMar>
            <w:vAlign w:val="bottom"/>
          </w:tcPr>
          <w:p w:rsidR="003D7B32" w:rsidRPr="00A132A5" w:rsidRDefault="003D7B32" w:rsidP="001F1577">
            <w:pPr>
              <w:keepNext/>
              <w:jc w:val="right"/>
              <w:rPr>
                <w:sz w:val="20"/>
                <w:szCs w:val="20"/>
              </w:rPr>
            </w:pPr>
            <w:r w:rsidRPr="00A132A5">
              <w:rPr>
                <w:sz w:val="20"/>
                <w:szCs w:val="20"/>
              </w:rPr>
              <w:t>2.31</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0.00</w:t>
            </w:r>
          </w:p>
        </w:tc>
        <w:tc>
          <w:tcPr>
            <w:tcW w:w="610" w:type="pct"/>
            <w:noWrap/>
            <w:tcMar>
              <w:top w:w="0" w:type="dxa"/>
              <w:left w:w="108" w:type="dxa"/>
              <w:bottom w:w="0" w:type="dxa"/>
              <w:right w:w="108" w:type="dxa"/>
            </w:tcMar>
          </w:tcPr>
          <w:p w:rsidR="003D7B32" w:rsidRPr="00A132A5" w:rsidRDefault="003D7B32" w:rsidP="001F1577">
            <w:pPr>
              <w:keepNext/>
              <w:jc w:val="right"/>
              <w:rPr>
                <w:rFonts w:eastAsiaTheme="minorHAnsi"/>
                <w:color w:val="000000"/>
                <w:sz w:val="20"/>
                <w:szCs w:val="20"/>
              </w:rPr>
            </w:pPr>
            <w:r w:rsidRPr="00A132A5">
              <w:rPr>
                <w:rFonts w:eastAsiaTheme="minorHAnsi"/>
                <w:color w:val="000000"/>
                <w:sz w:val="20"/>
                <w:szCs w:val="20"/>
              </w:rPr>
              <w:t>0.00</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0.00</w:t>
            </w:r>
          </w:p>
        </w:tc>
        <w:tc>
          <w:tcPr>
            <w:tcW w:w="680" w:type="pct"/>
          </w:tcPr>
          <w:p w:rsidR="003D7B32" w:rsidRPr="006224E3" w:rsidRDefault="003D7B32" w:rsidP="001F1577">
            <w:pPr>
              <w:keepNext/>
              <w:jc w:val="right"/>
              <w:rPr>
                <w:rFonts w:eastAsiaTheme="minorHAnsi"/>
                <w:color w:val="000000"/>
                <w:sz w:val="20"/>
                <w:szCs w:val="20"/>
              </w:rPr>
            </w:pPr>
            <w:r w:rsidRPr="006224E3">
              <w:rPr>
                <w:rFonts w:eastAsiaTheme="minorHAnsi"/>
                <w:color w:val="000000"/>
                <w:sz w:val="20"/>
                <w:szCs w:val="20"/>
              </w:rPr>
              <w:t>0.00</w:t>
            </w:r>
          </w:p>
        </w:tc>
        <w:tc>
          <w:tcPr>
            <w:tcW w:w="739" w:type="pct"/>
            <w:noWrap/>
            <w:tcMar>
              <w:top w:w="0" w:type="dxa"/>
              <w:left w:w="108" w:type="dxa"/>
              <w:bottom w:w="0" w:type="dxa"/>
              <w:right w:w="108" w:type="dxa"/>
            </w:tcMar>
          </w:tcPr>
          <w:p w:rsidR="003D7B32" w:rsidRPr="00A132A5" w:rsidRDefault="003D7B32" w:rsidP="001F1577">
            <w:pPr>
              <w:keepNext/>
              <w:jc w:val="right"/>
              <w:rPr>
                <w:rFonts w:eastAsiaTheme="minorHAnsi"/>
                <w:color w:val="000000"/>
                <w:sz w:val="20"/>
                <w:szCs w:val="20"/>
              </w:rPr>
            </w:pPr>
            <w:r w:rsidRPr="00A132A5">
              <w:rPr>
                <w:rFonts w:eastAsiaTheme="minorHAnsi"/>
                <w:color w:val="000000"/>
                <w:sz w:val="20"/>
                <w:szCs w:val="20"/>
              </w:rPr>
              <w:t>0.0</w:t>
            </w:r>
          </w:p>
        </w:tc>
      </w:tr>
      <w:tr w:rsidR="003D7B32" w:rsidRPr="00A132A5" w:rsidTr="001F1577">
        <w:trPr>
          <w:trHeight w:val="125"/>
        </w:trPr>
        <w:tc>
          <w:tcPr>
            <w:tcW w:w="1023" w:type="pct"/>
            <w:noWrap/>
            <w:tcMar>
              <w:top w:w="0" w:type="dxa"/>
              <w:left w:w="108" w:type="dxa"/>
              <w:bottom w:w="0" w:type="dxa"/>
              <w:right w:w="108" w:type="dxa"/>
            </w:tcMar>
            <w:hideMark/>
          </w:tcPr>
          <w:p w:rsidR="003D7B32" w:rsidRPr="00A132A5" w:rsidRDefault="003D7B32" w:rsidP="001F1577">
            <w:pPr>
              <w:keepNext/>
              <w:jc w:val="left"/>
              <w:rPr>
                <w:rFonts w:eastAsiaTheme="minorHAnsi"/>
                <w:b/>
                <w:color w:val="000000"/>
                <w:sz w:val="20"/>
                <w:szCs w:val="20"/>
              </w:rPr>
            </w:pPr>
            <w:r w:rsidRPr="00A132A5">
              <w:rPr>
                <w:b/>
                <w:color w:val="000000"/>
                <w:sz w:val="20"/>
                <w:szCs w:val="20"/>
              </w:rPr>
              <w:t>Total (mt)</w:t>
            </w:r>
          </w:p>
        </w:tc>
        <w:tc>
          <w:tcPr>
            <w:tcW w:w="694" w:type="pct"/>
            <w:noWrap/>
            <w:tcMar>
              <w:top w:w="0" w:type="dxa"/>
              <w:left w:w="108" w:type="dxa"/>
              <w:bottom w:w="0" w:type="dxa"/>
              <w:right w:w="108" w:type="dxa"/>
            </w:tcMar>
          </w:tcPr>
          <w:p w:rsidR="003D7B32" w:rsidRPr="00A132A5" w:rsidRDefault="003D7B32" w:rsidP="001F1577">
            <w:pPr>
              <w:keepNext/>
              <w:jc w:val="right"/>
              <w:rPr>
                <w:b/>
                <w:color w:val="000000"/>
                <w:sz w:val="20"/>
                <w:szCs w:val="20"/>
              </w:rPr>
            </w:pPr>
            <w:r w:rsidRPr="00A132A5">
              <w:rPr>
                <w:b/>
                <w:color w:val="000000"/>
                <w:sz w:val="20"/>
                <w:szCs w:val="20"/>
              </w:rPr>
              <w:t>8,823.86</w:t>
            </w:r>
          </w:p>
        </w:tc>
        <w:tc>
          <w:tcPr>
            <w:tcW w:w="610" w:type="pct"/>
            <w:noWrap/>
            <w:tcMar>
              <w:top w:w="0" w:type="dxa"/>
              <w:left w:w="108" w:type="dxa"/>
              <w:bottom w:w="0" w:type="dxa"/>
              <w:right w:w="108" w:type="dxa"/>
            </w:tcMar>
          </w:tcPr>
          <w:p w:rsidR="003D7B32" w:rsidRPr="00A132A5" w:rsidRDefault="003D7B32" w:rsidP="001F1577">
            <w:pPr>
              <w:keepNext/>
              <w:jc w:val="right"/>
              <w:rPr>
                <w:b/>
                <w:color w:val="000000"/>
                <w:sz w:val="20"/>
                <w:szCs w:val="20"/>
              </w:rPr>
            </w:pPr>
            <w:r w:rsidRPr="00A132A5">
              <w:rPr>
                <w:b/>
                <w:color w:val="000000"/>
                <w:sz w:val="20"/>
                <w:szCs w:val="20"/>
              </w:rPr>
              <w:t>3,694.67</w:t>
            </w:r>
          </w:p>
        </w:tc>
        <w:tc>
          <w:tcPr>
            <w:tcW w:w="610" w:type="pct"/>
            <w:noWrap/>
            <w:tcMar>
              <w:top w:w="0" w:type="dxa"/>
              <w:left w:w="108" w:type="dxa"/>
              <w:bottom w:w="0" w:type="dxa"/>
              <w:right w:w="108" w:type="dxa"/>
            </w:tcMar>
          </w:tcPr>
          <w:p w:rsidR="003D7B32" w:rsidRPr="00A132A5" w:rsidRDefault="003D7B32" w:rsidP="001F1577">
            <w:pPr>
              <w:keepNext/>
              <w:jc w:val="right"/>
              <w:rPr>
                <w:rFonts w:eastAsiaTheme="minorHAnsi"/>
                <w:b/>
                <w:color w:val="000000"/>
                <w:sz w:val="20"/>
                <w:szCs w:val="20"/>
              </w:rPr>
            </w:pPr>
            <w:r w:rsidRPr="00A132A5">
              <w:rPr>
                <w:rFonts w:eastAsiaTheme="minorHAnsi"/>
                <w:b/>
                <w:color w:val="000000"/>
                <w:sz w:val="20"/>
                <w:szCs w:val="20"/>
              </w:rPr>
              <w:t>4,108.38</w:t>
            </w:r>
          </w:p>
        </w:tc>
        <w:tc>
          <w:tcPr>
            <w:tcW w:w="643" w:type="pct"/>
            <w:shd w:val="clear" w:color="auto" w:fill="auto"/>
          </w:tcPr>
          <w:p w:rsidR="003D7B32" w:rsidRPr="00A132A5" w:rsidRDefault="003D7B32" w:rsidP="001F1577">
            <w:pPr>
              <w:keepNext/>
              <w:jc w:val="right"/>
              <w:rPr>
                <w:rFonts w:eastAsiaTheme="minorHAnsi"/>
                <w:b/>
                <w:color w:val="000000"/>
                <w:sz w:val="20"/>
                <w:szCs w:val="20"/>
              </w:rPr>
            </w:pPr>
            <w:r w:rsidRPr="00A132A5">
              <w:rPr>
                <w:rFonts w:eastAsiaTheme="minorHAnsi"/>
                <w:b/>
                <w:color w:val="000000"/>
                <w:sz w:val="20"/>
                <w:szCs w:val="20"/>
              </w:rPr>
              <w:t>4,438.25</w:t>
            </w:r>
          </w:p>
        </w:tc>
        <w:tc>
          <w:tcPr>
            <w:tcW w:w="680" w:type="pct"/>
          </w:tcPr>
          <w:p w:rsidR="003D7B32" w:rsidRPr="006224E3" w:rsidRDefault="003D7B32" w:rsidP="00655EF4">
            <w:pPr>
              <w:keepNext/>
              <w:jc w:val="right"/>
              <w:rPr>
                <w:rFonts w:eastAsiaTheme="minorHAnsi"/>
                <w:b/>
                <w:color w:val="000000"/>
                <w:sz w:val="20"/>
                <w:szCs w:val="20"/>
              </w:rPr>
            </w:pPr>
            <w:r w:rsidRPr="006224E3">
              <w:rPr>
                <w:rFonts w:eastAsiaTheme="minorHAnsi"/>
                <w:b/>
                <w:color w:val="000000"/>
                <w:sz w:val="20"/>
                <w:szCs w:val="20"/>
              </w:rPr>
              <w:t>3,39</w:t>
            </w:r>
            <w:r w:rsidR="00655EF4" w:rsidRPr="006224E3">
              <w:rPr>
                <w:rFonts w:eastAsiaTheme="minorHAnsi"/>
                <w:b/>
                <w:color w:val="000000"/>
                <w:sz w:val="20"/>
                <w:szCs w:val="20"/>
              </w:rPr>
              <w:t>5.95</w:t>
            </w:r>
          </w:p>
        </w:tc>
        <w:tc>
          <w:tcPr>
            <w:tcW w:w="739" w:type="pct"/>
            <w:noWrap/>
            <w:tcMar>
              <w:top w:w="0" w:type="dxa"/>
              <w:left w:w="108" w:type="dxa"/>
              <w:bottom w:w="0" w:type="dxa"/>
              <w:right w:w="108" w:type="dxa"/>
            </w:tcMar>
          </w:tcPr>
          <w:p w:rsidR="003D7B32" w:rsidRPr="00A132A5" w:rsidRDefault="003D7B32" w:rsidP="001F1577">
            <w:pPr>
              <w:keepNext/>
              <w:jc w:val="right"/>
              <w:rPr>
                <w:rFonts w:eastAsiaTheme="minorHAnsi"/>
                <w:b/>
                <w:color w:val="000000"/>
                <w:sz w:val="20"/>
                <w:szCs w:val="20"/>
              </w:rPr>
            </w:pPr>
            <w:r w:rsidRPr="00A132A5">
              <w:rPr>
                <w:rFonts w:eastAsiaTheme="minorHAnsi"/>
                <w:b/>
                <w:color w:val="000000"/>
                <w:sz w:val="20"/>
                <w:szCs w:val="20"/>
              </w:rPr>
              <w:t>6,281.3</w:t>
            </w:r>
          </w:p>
        </w:tc>
      </w:tr>
      <w:tr w:rsidR="003D7B32" w:rsidRPr="00A132A5" w:rsidTr="001F1577">
        <w:trPr>
          <w:trHeight w:val="62"/>
        </w:trPr>
        <w:tc>
          <w:tcPr>
            <w:tcW w:w="1023" w:type="pct"/>
            <w:noWrap/>
            <w:tcMar>
              <w:top w:w="0" w:type="dxa"/>
              <w:left w:w="108" w:type="dxa"/>
              <w:bottom w:w="0" w:type="dxa"/>
              <w:right w:w="108" w:type="dxa"/>
            </w:tcMar>
            <w:hideMark/>
          </w:tcPr>
          <w:p w:rsidR="003D7B32" w:rsidRPr="00A132A5" w:rsidRDefault="003D7B32" w:rsidP="001F1577">
            <w:pPr>
              <w:jc w:val="left"/>
              <w:rPr>
                <w:rFonts w:eastAsiaTheme="minorHAnsi"/>
                <w:b/>
                <w:bCs/>
                <w:color w:val="000000"/>
                <w:sz w:val="20"/>
                <w:szCs w:val="20"/>
              </w:rPr>
            </w:pPr>
            <w:r w:rsidRPr="00A132A5">
              <w:rPr>
                <w:b/>
                <w:bCs/>
                <w:color w:val="000000"/>
                <w:sz w:val="20"/>
                <w:szCs w:val="20"/>
              </w:rPr>
              <w:t>ODP tonnes</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rPr>
            </w:pPr>
          </w:p>
        </w:tc>
        <w:tc>
          <w:tcPr>
            <w:tcW w:w="610" w:type="pct"/>
            <w:noWrap/>
            <w:tcMar>
              <w:top w:w="0" w:type="dxa"/>
              <w:left w:w="108" w:type="dxa"/>
              <w:bottom w:w="0" w:type="dxa"/>
              <w:right w:w="108" w:type="dxa"/>
            </w:tcMar>
          </w:tcPr>
          <w:p w:rsidR="003D7B32" w:rsidRPr="00A132A5" w:rsidRDefault="003D7B32" w:rsidP="001F1577">
            <w:pPr>
              <w:jc w:val="right"/>
              <w:rPr>
                <w:color w:val="000000"/>
                <w:sz w:val="20"/>
                <w:szCs w:val="20"/>
              </w:rPr>
            </w:pPr>
          </w:p>
        </w:tc>
        <w:tc>
          <w:tcPr>
            <w:tcW w:w="610" w:type="pct"/>
            <w:noWrap/>
            <w:tcMar>
              <w:top w:w="0" w:type="dxa"/>
              <w:left w:w="108" w:type="dxa"/>
              <w:bottom w:w="0" w:type="dxa"/>
              <w:right w:w="108" w:type="dxa"/>
            </w:tcMar>
          </w:tcPr>
          <w:p w:rsidR="003D7B32" w:rsidRPr="00A132A5" w:rsidRDefault="003D7B32" w:rsidP="001F1577">
            <w:pPr>
              <w:jc w:val="right"/>
              <w:rPr>
                <w:sz w:val="20"/>
                <w:szCs w:val="20"/>
              </w:rPr>
            </w:pPr>
          </w:p>
        </w:tc>
        <w:tc>
          <w:tcPr>
            <w:tcW w:w="643" w:type="pct"/>
            <w:shd w:val="clear" w:color="auto" w:fill="auto"/>
          </w:tcPr>
          <w:p w:rsidR="003D7B32" w:rsidRPr="00A132A5" w:rsidRDefault="003D7B32" w:rsidP="001F1577">
            <w:pPr>
              <w:keepNext/>
              <w:jc w:val="right"/>
              <w:rPr>
                <w:rFonts w:eastAsiaTheme="minorHAnsi"/>
                <w:b/>
                <w:color w:val="000000"/>
                <w:sz w:val="20"/>
                <w:szCs w:val="20"/>
              </w:rPr>
            </w:pPr>
          </w:p>
        </w:tc>
        <w:tc>
          <w:tcPr>
            <w:tcW w:w="680" w:type="pct"/>
          </w:tcPr>
          <w:p w:rsidR="003D7B32" w:rsidRPr="006224E3" w:rsidRDefault="003D7B32" w:rsidP="001F1577">
            <w:pPr>
              <w:keepNext/>
              <w:jc w:val="right"/>
              <w:rPr>
                <w:rFonts w:eastAsiaTheme="minorHAnsi"/>
                <w:b/>
                <w:color w:val="000000"/>
                <w:sz w:val="20"/>
                <w:szCs w:val="20"/>
              </w:rPr>
            </w:pPr>
          </w:p>
        </w:tc>
        <w:tc>
          <w:tcPr>
            <w:tcW w:w="739" w:type="pct"/>
            <w:noWrap/>
            <w:tcMar>
              <w:top w:w="0" w:type="dxa"/>
              <w:left w:w="108" w:type="dxa"/>
              <w:bottom w:w="0" w:type="dxa"/>
              <w:right w:w="108" w:type="dxa"/>
            </w:tcMar>
            <w:hideMark/>
          </w:tcPr>
          <w:p w:rsidR="003D7B32" w:rsidRPr="00A132A5" w:rsidRDefault="003D7B32" w:rsidP="001F1577">
            <w:pPr>
              <w:jc w:val="right"/>
              <w:rPr>
                <w:sz w:val="20"/>
                <w:szCs w:val="20"/>
              </w:rPr>
            </w:pPr>
          </w:p>
        </w:tc>
      </w:tr>
      <w:tr w:rsidR="003D7B32" w:rsidRPr="00A132A5" w:rsidTr="001F1577">
        <w:trPr>
          <w:trHeight w:val="179"/>
        </w:trPr>
        <w:tc>
          <w:tcPr>
            <w:tcW w:w="1023" w:type="pct"/>
            <w:noWrap/>
            <w:tcMar>
              <w:top w:w="0" w:type="dxa"/>
              <w:left w:w="108" w:type="dxa"/>
              <w:bottom w:w="0" w:type="dxa"/>
              <w:right w:w="108" w:type="dxa"/>
            </w:tcMar>
            <w:hideMark/>
          </w:tcPr>
          <w:p w:rsidR="003D7B32" w:rsidRPr="00A132A5" w:rsidRDefault="003D7B32" w:rsidP="001F1577">
            <w:pPr>
              <w:jc w:val="left"/>
              <w:rPr>
                <w:rFonts w:eastAsiaTheme="minorHAnsi"/>
                <w:color w:val="000000"/>
                <w:sz w:val="20"/>
                <w:szCs w:val="20"/>
              </w:rPr>
            </w:pPr>
            <w:r w:rsidRPr="00A132A5">
              <w:rPr>
                <w:color w:val="000000"/>
                <w:sz w:val="20"/>
                <w:szCs w:val="20"/>
              </w:rPr>
              <w:t>HCFC-22</w:t>
            </w:r>
          </w:p>
        </w:tc>
        <w:tc>
          <w:tcPr>
            <w:tcW w:w="694"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color w:val="000000"/>
                <w:sz w:val="20"/>
                <w:szCs w:val="20"/>
                <w:lang w:val="en-CA" w:eastAsia="en-CA"/>
              </w:rPr>
              <w:t>359.06</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141.59</w:t>
            </w:r>
          </w:p>
        </w:tc>
        <w:tc>
          <w:tcPr>
            <w:tcW w:w="610" w:type="pct"/>
            <w:noWrap/>
            <w:tcMar>
              <w:top w:w="0" w:type="dxa"/>
              <w:left w:w="108" w:type="dxa"/>
              <w:bottom w:w="0" w:type="dxa"/>
              <w:right w:w="108" w:type="dxa"/>
            </w:tcMar>
            <w:vAlign w:val="center"/>
          </w:tcPr>
          <w:p w:rsidR="003D7B32" w:rsidRPr="00A132A5" w:rsidRDefault="003D7B32" w:rsidP="001F1577">
            <w:pPr>
              <w:jc w:val="right"/>
              <w:rPr>
                <w:color w:val="000000"/>
                <w:sz w:val="20"/>
                <w:szCs w:val="20"/>
              </w:rPr>
            </w:pPr>
            <w:r w:rsidRPr="00A132A5">
              <w:rPr>
                <w:color w:val="000000"/>
                <w:sz w:val="20"/>
                <w:szCs w:val="20"/>
              </w:rPr>
              <w:t>159.73</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167.38</w:t>
            </w:r>
          </w:p>
        </w:tc>
        <w:tc>
          <w:tcPr>
            <w:tcW w:w="680" w:type="pct"/>
            <w:vAlign w:val="center"/>
          </w:tcPr>
          <w:p w:rsidR="003D7B32" w:rsidRPr="006224E3" w:rsidRDefault="003D7B32" w:rsidP="001F1577">
            <w:pPr>
              <w:keepNext/>
              <w:jc w:val="right"/>
              <w:rPr>
                <w:color w:val="000000"/>
                <w:sz w:val="20"/>
                <w:szCs w:val="20"/>
              </w:rPr>
            </w:pPr>
            <w:r w:rsidRPr="006224E3">
              <w:rPr>
                <w:color w:val="000000"/>
                <w:sz w:val="20"/>
                <w:szCs w:val="20"/>
              </w:rPr>
              <w:t>127.85</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267.3</w:t>
            </w:r>
          </w:p>
        </w:tc>
      </w:tr>
      <w:tr w:rsidR="003D7B32" w:rsidRPr="00A132A5" w:rsidTr="001F1577">
        <w:trPr>
          <w:trHeight w:val="53"/>
        </w:trPr>
        <w:tc>
          <w:tcPr>
            <w:tcW w:w="1023" w:type="pct"/>
            <w:noWrap/>
            <w:tcMar>
              <w:top w:w="0" w:type="dxa"/>
              <w:left w:w="108" w:type="dxa"/>
              <w:bottom w:w="0" w:type="dxa"/>
              <w:right w:w="108" w:type="dxa"/>
            </w:tcMar>
            <w:hideMark/>
          </w:tcPr>
          <w:p w:rsidR="003D7B32" w:rsidRPr="00A132A5" w:rsidRDefault="003D7B32" w:rsidP="001F1577">
            <w:pPr>
              <w:jc w:val="left"/>
              <w:rPr>
                <w:rFonts w:eastAsiaTheme="minorHAnsi"/>
                <w:color w:val="000000"/>
                <w:sz w:val="20"/>
                <w:szCs w:val="20"/>
              </w:rPr>
            </w:pPr>
            <w:r w:rsidRPr="00A132A5">
              <w:rPr>
                <w:color w:val="000000"/>
                <w:sz w:val="20"/>
                <w:szCs w:val="20"/>
              </w:rPr>
              <w:t>HCFC-141b</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lang w:val="en-CA" w:eastAsia="en-CA"/>
              </w:rPr>
            </w:pPr>
            <w:r w:rsidRPr="00A132A5">
              <w:rPr>
                <w:color w:val="000000"/>
                <w:sz w:val="20"/>
                <w:szCs w:val="20"/>
                <w:lang w:val="en-CA" w:eastAsia="en-CA"/>
              </w:rPr>
              <w:t>186.25</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90.98</w:t>
            </w:r>
          </w:p>
        </w:tc>
        <w:tc>
          <w:tcPr>
            <w:tcW w:w="610" w:type="pct"/>
            <w:noWrap/>
            <w:tcMar>
              <w:top w:w="0" w:type="dxa"/>
              <w:left w:w="108" w:type="dxa"/>
              <w:bottom w:w="0" w:type="dxa"/>
              <w:right w:w="108" w:type="dxa"/>
            </w:tcMar>
            <w:vAlign w:val="center"/>
          </w:tcPr>
          <w:p w:rsidR="003D7B32" w:rsidRPr="00A132A5" w:rsidRDefault="003D7B32" w:rsidP="001F1577">
            <w:pPr>
              <w:jc w:val="right"/>
              <w:rPr>
                <w:color w:val="000000"/>
                <w:sz w:val="20"/>
                <w:szCs w:val="20"/>
              </w:rPr>
            </w:pPr>
            <w:r w:rsidRPr="00A132A5">
              <w:rPr>
                <w:color w:val="000000"/>
                <w:sz w:val="20"/>
                <w:szCs w:val="20"/>
              </w:rPr>
              <w:t>104.69</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107.66</w:t>
            </w:r>
          </w:p>
        </w:tc>
        <w:tc>
          <w:tcPr>
            <w:tcW w:w="680" w:type="pct"/>
            <w:vAlign w:val="center"/>
          </w:tcPr>
          <w:p w:rsidR="003D7B32" w:rsidRPr="006224E3" w:rsidRDefault="003D7B32" w:rsidP="003D7B32">
            <w:pPr>
              <w:keepNext/>
              <w:jc w:val="right"/>
              <w:rPr>
                <w:color w:val="000000"/>
                <w:sz w:val="20"/>
                <w:szCs w:val="20"/>
              </w:rPr>
            </w:pPr>
            <w:r w:rsidRPr="006224E3">
              <w:rPr>
                <w:color w:val="000000"/>
                <w:sz w:val="20"/>
                <w:szCs w:val="20"/>
              </w:rPr>
              <w:t>91.25</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113.4</w:t>
            </w:r>
          </w:p>
        </w:tc>
      </w:tr>
      <w:tr w:rsidR="003D7B32" w:rsidRPr="00A132A5" w:rsidTr="001F1577">
        <w:trPr>
          <w:trHeight w:val="53"/>
        </w:trPr>
        <w:tc>
          <w:tcPr>
            <w:tcW w:w="1023" w:type="pct"/>
            <w:noWrap/>
            <w:tcMar>
              <w:top w:w="0" w:type="dxa"/>
              <w:left w:w="108" w:type="dxa"/>
              <w:bottom w:w="0" w:type="dxa"/>
              <w:right w:w="108" w:type="dxa"/>
            </w:tcMar>
            <w:hideMark/>
          </w:tcPr>
          <w:p w:rsidR="003D7B32" w:rsidRPr="00A132A5" w:rsidRDefault="003D7B32" w:rsidP="001F1577">
            <w:pPr>
              <w:jc w:val="left"/>
              <w:rPr>
                <w:rFonts w:eastAsiaTheme="minorHAnsi"/>
                <w:color w:val="000000"/>
                <w:sz w:val="20"/>
                <w:szCs w:val="20"/>
              </w:rPr>
            </w:pPr>
            <w:r w:rsidRPr="00A132A5">
              <w:rPr>
                <w:color w:val="000000"/>
                <w:sz w:val="20"/>
                <w:szCs w:val="20"/>
              </w:rPr>
              <w:t>HCFC-142b</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lang w:val="en-CA" w:eastAsia="en-CA"/>
              </w:rPr>
            </w:pPr>
            <w:r w:rsidRPr="00A132A5">
              <w:rPr>
                <w:color w:val="000000"/>
                <w:sz w:val="20"/>
                <w:szCs w:val="20"/>
                <w:lang w:val="en-CA" w:eastAsia="en-CA"/>
              </w:rPr>
              <w:t>19.90</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11.07</w:t>
            </w:r>
          </w:p>
        </w:tc>
        <w:tc>
          <w:tcPr>
            <w:tcW w:w="610" w:type="pct"/>
            <w:noWrap/>
            <w:tcMar>
              <w:top w:w="0" w:type="dxa"/>
              <w:left w:w="108" w:type="dxa"/>
              <w:bottom w:w="0" w:type="dxa"/>
              <w:right w:w="108" w:type="dxa"/>
            </w:tcMar>
            <w:vAlign w:val="center"/>
          </w:tcPr>
          <w:p w:rsidR="003D7B32" w:rsidRPr="00A132A5" w:rsidRDefault="003D7B32" w:rsidP="001F1577">
            <w:pPr>
              <w:jc w:val="right"/>
              <w:rPr>
                <w:color w:val="000000"/>
                <w:sz w:val="20"/>
                <w:szCs w:val="20"/>
              </w:rPr>
            </w:pPr>
            <w:r w:rsidRPr="00A132A5">
              <w:rPr>
                <w:color w:val="000000"/>
                <w:sz w:val="20"/>
                <w:szCs w:val="20"/>
              </w:rPr>
              <w:t>9.48</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17.31</w:t>
            </w:r>
          </w:p>
        </w:tc>
        <w:tc>
          <w:tcPr>
            <w:tcW w:w="680" w:type="pct"/>
            <w:vAlign w:val="center"/>
          </w:tcPr>
          <w:p w:rsidR="003D7B32" w:rsidRPr="006224E3" w:rsidRDefault="003D7B32" w:rsidP="003D7B32">
            <w:pPr>
              <w:keepNext/>
              <w:jc w:val="right"/>
              <w:rPr>
                <w:color w:val="000000"/>
                <w:sz w:val="20"/>
                <w:szCs w:val="20"/>
              </w:rPr>
            </w:pPr>
            <w:r w:rsidRPr="006224E3">
              <w:rPr>
                <w:color w:val="000000"/>
                <w:sz w:val="20"/>
                <w:szCs w:val="20"/>
              </w:rPr>
              <w:t>7.23</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17.5</w:t>
            </w:r>
          </w:p>
        </w:tc>
      </w:tr>
      <w:tr w:rsidR="003D7B32" w:rsidRPr="00A132A5" w:rsidTr="001F1577">
        <w:trPr>
          <w:trHeight w:val="53"/>
        </w:trPr>
        <w:tc>
          <w:tcPr>
            <w:tcW w:w="1023" w:type="pct"/>
            <w:noWrap/>
            <w:tcMar>
              <w:top w:w="0" w:type="dxa"/>
              <w:left w:w="108" w:type="dxa"/>
              <w:bottom w:w="0" w:type="dxa"/>
              <w:right w:w="108" w:type="dxa"/>
            </w:tcMar>
          </w:tcPr>
          <w:p w:rsidR="003D7B32" w:rsidRPr="00A132A5" w:rsidRDefault="003D7B32" w:rsidP="001F1577">
            <w:pPr>
              <w:jc w:val="left"/>
              <w:rPr>
                <w:color w:val="000000"/>
                <w:sz w:val="20"/>
                <w:szCs w:val="20"/>
                <w:lang w:val="en-CA" w:eastAsia="en-CA"/>
              </w:rPr>
            </w:pPr>
            <w:r w:rsidRPr="00A132A5">
              <w:rPr>
                <w:color w:val="000000"/>
                <w:sz w:val="20"/>
                <w:szCs w:val="20"/>
                <w:lang w:val="en-CA" w:eastAsia="en-CA"/>
              </w:rPr>
              <w:t>HCFC-123</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lang w:val="en-CA" w:eastAsia="en-CA"/>
              </w:rPr>
            </w:pPr>
            <w:r w:rsidRPr="00A132A5">
              <w:rPr>
                <w:color w:val="000000"/>
                <w:sz w:val="20"/>
                <w:szCs w:val="20"/>
                <w:lang w:val="en-CA" w:eastAsia="en-CA"/>
              </w:rPr>
              <w:t>3.81</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1.43</w:t>
            </w:r>
          </w:p>
        </w:tc>
        <w:tc>
          <w:tcPr>
            <w:tcW w:w="610" w:type="pct"/>
            <w:noWrap/>
            <w:tcMar>
              <w:top w:w="0" w:type="dxa"/>
              <w:left w:w="108" w:type="dxa"/>
              <w:bottom w:w="0" w:type="dxa"/>
              <w:right w:w="108" w:type="dxa"/>
            </w:tcMar>
            <w:vAlign w:val="center"/>
          </w:tcPr>
          <w:p w:rsidR="003D7B32" w:rsidRPr="00A132A5" w:rsidRDefault="003D7B32" w:rsidP="001F1577">
            <w:pPr>
              <w:jc w:val="right"/>
              <w:rPr>
                <w:color w:val="000000"/>
                <w:sz w:val="20"/>
                <w:szCs w:val="20"/>
              </w:rPr>
            </w:pPr>
            <w:r w:rsidRPr="00A132A5">
              <w:rPr>
                <w:color w:val="000000"/>
                <w:sz w:val="20"/>
                <w:szCs w:val="20"/>
              </w:rPr>
              <w:t>1.56</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2.23</w:t>
            </w:r>
          </w:p>
        </w:tc>
        <w:tc>
          <w:tcPr>
            <w:tcW w:w="680" w:type="pct"/>
            <w:vAlign w:val="center"/>
          </w:tcPr>
          <w:p w:rsidR="003D7B32" w:rsidRPr="006224E3" w:rsidRDefault="003D7B32" w:rsidP="00224C50">
            <w:pPr>
              <w:jc w:val="right"/>
              <w:rPr>
                <w:color w:val="000000"/>
                <w:sz w:val="20"/>
                <w:szCs w:val="20"/>
              </w:rPr>
            </w:pPr>
            <w:r w:rsidRPr="006224E3">
              <w:rPr>
                <w:color w:val="000000"/>
                <w:sz w:val="20"/>
                <w:szCs w:val="20"/>
              </w:rPr>
              <w:t>2.</w:t>
            </w:r>
            <w:r w:rsidR="00224C50" w:rsidRPr="006224E3">
              <w:rPr>
                <w:color w:val="000000"/>
                <w:sz w:val="20"/>
                <w:szCs w:val="20"/>
              </w:rPr>
              <w:t>19</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1.5</w:t>
            </w:r>
          </w:p>
        </w:tc>
      </w:tr>
      <w:tr w:rsidR="003D7B32" w:rsidRPr="00A132A5" w:rsidTr="001F1577">
        <w:trPr>
          <w:trHeight w:val="53"/>
        </w:trPr>
        <w:tc>
          <w:tcPr>
            <w:tcW w:w="1023" w:type="pct"/>
            <w:noWrap/>
            <w:tcMar>
              <w:top w:w="0" w:type="dxa"/>
              <w:left w:w="108" w:type="dxa"/>
              <w:bottom w:w="0" w:type="dxa"/>
              <w:right w:w="108" w:type="dxa"/>
            </w:tcMar>
          </w:tcPr>
          <w:p w:rsidR="003D7B32" w:rsidRPr="00A132A5" w:rsidRDefault="003D7B32" w:rsidP="001F1577">
            <w:pPr>
              <w:jc w:val="left"/>
              <w:rPr>
                <w:color w:val="000000"/>
                <w:sz w:val="20"/>
                <w:szCs w:val="20"/>
                <w:lang w:val="en-CA" w:eastAsia="en-CA"/>
              </w:rPr>
            </w:pPr>
            <w:r w:rsidRPr="00A132A5">
              <w:rPr>
                <w:color w:val="000000"/>
                <w:sz w:val="20"/>
                <w:szCs w:val="20"/>
                <w:lang w:val="en-CA" w:eastAsia="en-CA"/>
              </w:rPr>
              <w:t>HCFC-124</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rPr>
            </w:pPr>
            <w:r w:rsidRPr="00A132A5">
              <w:rPr>
                <w:color w:val="000000"/>
                <w:sz w:val="20"/>
                <w:szCs w:val="20"/>
              </w:rPr>
              <w:t>2.27</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1.13</w:t>
            </w:r>
          </w:p>
        </w:tc>
        <w:tc>
          <w:tcPr>
            <w:tcW w:w="610" w:type="pct"/>
            <w:noWrap/>
            <w:tcMar>
              <w:top w:w="0" w:type="dxa"/>
              <w:left w:w="108" w:type="dxa"/>
              <w:bottom w:w="0" w:type="dxa"/>
              <w:right w:w="108" w:type="dxa"/>
            </w:tcMar>
            <w:vAlign w:val="center"/>
          </w:tcPr>
          <w:p w:rsidR="003D7B32" w:rsidRPr="00A132A5" w:rsidRDefault="003D7B32" w:rsidP="001F1577">
            <w:pPr>
              <w:jc w:val="right"/>
              <w:rPr>
                <w:color w:val="000000"/>
                <w:sz w:val="20"/>
                <w:szCs w:val="20"/>
              </w:rPr>
            </w:pPr>
            <w:r w:rsidRPr="00A132A5">
              <w:rPr>
                <w:color w:val="000000"/>
                <w:sz w:val="20"/>
                <w:szCs w:val="20"/>
              </w:rPr>
              <w:t>0.63</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0.85</w:t>
            </w:r>
          </w:p>
        </w:tc>
        <w:tc>
          <w:tcPr>
            <w:tcW w:w="680" w:type="pct"/>
            <w:vAlign w:val="center"/>
          </w:tcPr>
          <w:p w:rsidR="003D7B32" w:rsidRPr="006224E3" w:rsidRDefault="003D7B32" w:rsidP="003D7B32">
            <w:pPr>
              <w:jc w:val="right"/>
              <w:rPr>
                <w:color w:val="000000"/>
                <w:sz w:val="20"/>
                <w:szCs w:val="20"/>
              </w:rPr>
            </w:pPr>
            <w:r w:rsidRPr="006224E3">
              <w:rPr>
                <w:color w:val="000000"/>
                <w:sz w:val="20"/>
                <w:szCs w:val="20"/>
              </w:rPr>
              <w:t>0.46</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highlight w:val="cyan"/>
              </w:rPr>
            </w:pPr>
            <w:r w:rsidRPr="00A132A5">
              <w:rPr>
                <w:rFonts w:eastAsiaTheme="minorHAnsi"/>
                <w:color w:val="000000"/>
                <w:sz w:val="20"/>
                <w:szCs w:val="20"/>
              </w:rPr>
              <w:t>1.0</w:t>
            </w:r>
          </w:p>
        </w:tc>
      </w:tr>
      <w:tr w:rsidR="003D7B32" w:rsidRPr="00A132A5" w:rsidTr="001F1577">
        <w:trPr>
          <w:trHeight w:val="170"/>
        </w:trPr>
        <w:tc>
          <w:tcPr>
            <w:tcW w:w="1023" w:type="pct"/>
            <w:noWrap/>
            <w:tcMar>
              <w:top w:w="0" w:type="dxa"/>
              <w:left w:w="108" w:type="dxa"/>
              <w:bottom w:w="0" w:type="dxa"/>
              <w:right w:w="108" w:type="dxa"/>
            </w:tcMar>
          </w:tcPr>
          <w:p w:rsidR="003D7B32" w:rsidRPr="00A132A5" w:rsidRDefault="003D7B32" w:rsidP="001F1577">
            <w:pPr>
              <w:jc w:val="left"/>
              <w:rPr>
                <w:color w:val="000000"/>
                <w:sz w:val="20"/>
                <w:szCs w:val="20"/>
                <w:lang w:val="en-CA" w:eastAsia="en-CA"/>
              </w:rPr>
            </w:pPr>
            <w:r w:rsidRPr="00A132A5">
              <w:rPr>
                <w:color w:val="000000"/>
                <w:sz w:val="20"/>
                <w:szCs w:val="20"/>
                <w:lang w:val="en-CA" w:eastAsia="en-CA"/>
              </w:rPr>
              <w:t>HCFC-21</w:t>
            </w:r>
          </w:p>
        </w:tc>
        <w:tc>
          <w:tcPr>
            <w:tcW w:w="694" w:type="pct"/>
            <w:noWrap/>
            <w:tcMar>
              <w:top w:w="0" w:type="dxa"/>
              <w:left w:w="108" w:type="dxa"/>
              <w:bottom w:w="0" w:type="dxa"/>
              <w:right w:w="108" w:type="dxa"/>
            </w:tcMar>
          </w:tcPr>
          <w:p w:rsidR="003D7B32" w:rsidRPr="00A132A5" w:rsidRDefault="003D7B32" w:rsidP="001F1577">
            <w:pPr>
              <w:jc w:val="right"/>
              <w:rPr>
                <w:color w:val="000000"/>
                <w:sz w:val="20"/>
                <w:szCs w:val="20"/>
              </w:rPr>
            </w:pPr>
            <w:r w:rsidRPr="00A132A5">
              <w:rPr>
                <w:color w:val="000000"/>
                <w:sz w:val="20"/>
                <w:szCs w:val="20"/>
              </w:rPr>
              <w:t>0.10</w:t>
            </w:r>
          </w:p>
        </w:tc>
        <w:tc>
          <w:tcPr>
            <w:tcW w:w="610" w:type="pct"/>
            <w:noWrap/>
            <w:tcMar>
              <w:top w:w="0" w:type="dxa"/>
              <w:left w:w="108" w:type="dxa"/>
              <w:bottom w:w="0" w:type="dxa"/>
              <w:right w:w="108" w:type="dxa"/>
            </w:tcMar>
          </w:tcPr>
          <w:p w:rsidR="003D7B32" w:rsidRPr="00A132A5" w:rsidRDefault="003D7B32" w:rsidP="001F1577">
            <w:pPr>
              <w:keepNext/>
              <w:jc w:val="right"/>
              <w:rPr>
                <w:color w:val="000000"/>
                <w:sz w:val="20"/>
                <w:szCs w:val="20"/>
              </w:rPr>
            </w:pPr>
            <w:r w:rsidRPr="00A132A5">
              <w:rPr>
                <w:color w:val="000000"/>
                <w:sz w:val="20"/>
                <w:szCs w:val="20"/>
              </w:rPr>
              <w:t>0.00</w:t>
            </w:r>
          </w:p>
        </w:tc>
        <w:tc>
          <w:tcPr>
            <w:tcW w:w="610"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0.00</w:t>
            </w:r>
          </w:p>
        </w:tc>
        <w:tc>
          <w:tcPr>
            <w:tcW w:w="643" w:type="pct"/>
            <w:shd w:val="clear" w:color="auto" w:fill="auto"/>
          </w:tcPr>
          <w:p w:rsidR="003D7B32" w:rsidRPr="00A132A5" w:rsidRDefault="003D7B32" w:rsidP="001F1577">
            <w:pPr>
              <w:keepNext/>
              <w:jc w:val="right"/>
              <w:rPr>
                <w:color w:val="000000"/>
                <w:sz w:val="20"/>
                <w:szCs w:val="20"/>
              </w:rPr>
            </w:pPr>
            <w:r w:rsidRPr="00A132A5">
              <w:rPr>
                <w:color w:val="000000"/>
                <w:sz w:val="20"/>
                <w:szCs w:val="20"/>
              </w:rPr>
              <w:t>0.0</w:t>
            </w:r>
          </w:p>
        </w:tc>
        <w:tc>
          <w:tcPr>
            <w:tcW w:w="680" w:type="pct"/>
          </w:tcPr>
          <w:p w:rsidR="003D7B32" w:rsidRPr="006224E3" w:rsidRDefault="003D7B32" w:rsidP="001F1577">
            <w:pPr>
              <w:jc w:val="right"/>
              <w:rPr>
                <w:rFonts w:eastAsiaTheme="minorHAnsi"/>
                <w:color w:val="000000"/>
                <w:sz w:val="20"/>
                <w:szCs w:val="20"/>
              </w:rPr>
            </w:pPr>
            <w:r w:rsidRPr="006224E3">
              <w:rPr>
                <w:rFonts w:eastAsiaTheme="minorHAnsi"/>
                <w:color w:val="000000"/>
                <w:sz w:val="20"/>
                <w:szCs w:val="20"/>
              </w:rPr>
              <w:t>0.00</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color w:val="000000"/>
                <w:sz w:val="20"/>
                <w:szCs w:val="20"/>
              </w:rPr>
            </w:pPr>
            <w:r w:rsidRPr="00A132A5">
              <w:rPr>
                <w:rFonts w:eastAsiaTheme="minorHAnsi"/>
                <w:color w:val="000000"/>
                <w:sz w:val="20"/>
                <w:szCs w:val="20"/>
              </w:rPr>
              <w:t>0.0</w:t>
            </w:r>
          </w:p>
        </w:tc>
      </w:tr>
      <w:tr w:rsidR="003D7B32" w:rsidRPr="00A132A5" w:rsidTr="001F1577">
        <w:trPr>
          <w:trHeight w:val="53"/>
        </w:trPr>
        <w:tc>
          <w:tcPr>
            <w:tcW w:w="1023" w:type="pct"/>
            <w:noWrap/>
            <w:tcMar>
              <w:top w:w="0" w:type="dxa"/>
              <w:left w:w="108" w:type="dxa"/>
              <w:bottom w:w="0" w:type="dxa"/>
              <w:right w:w="108" w:type="dxa"/>
            </w:tcMar>
            <w:hideMark/>
          </w:tcPr>
          <w:p w:rsidR="003D7B32" w:rsidRPr="00A132A5" w:rsidRDefault="003D7B32" w:rsidP="001F1577">
            <w:pPr>
              <w:jc w:val="left"/>
              <w:rPr>
                <w:rFonts w:eastAsiaTheme="minorHAnsi"/>
                <w:b/>
                <w:color w:val="000000"/>
                <w:sz w:val="20"/>
                <w:szCs w:val="20"/>
              </w:rPr>
            </w:pPr>
            <w:r w:rsidRPr="00A132A5">
              <w:rPr>
                <w:b/>
                <w:color w:val="000000"/>
                <w:sz w:val="20"/>
                <w:szCs w:val="20"/>
              </w:rPr>
              <w:t>Total (ODP tonnes)</w:t>
            </w:r>
          </w:p>
        </w:tc>
        <w:tc>
          <w:tcPr>
            <w:tcW w:w="694" w:type="pct"/>
            <w:noWrap/>
            <w:tcMar>
              <w:top w:w="0" w:type="dxa"/>
              <w:left w:w="108" w:type="dxa"/>
              <w:bottom w:w="0" w:type="dxa"/>
              <w:right w:w="108" w:type="dxa"/>
            </w:tcMar>
          </w:tcPr>
          <w:p w:rsidR="003D7B32" w:rsidRPr="00A132A5" w:rsidRDefault="003D7B32" w:rsidP="001F1577">
            <w:pPr>
              <w:jc w:val="right"/>
              <w:rPr>
                <w:rFonts w:eastAsiaTheme="minorHAnsi"/>
                <w:b/>
                <w:color w:val="000000"/>
                <w:sz w:val="20"/>
                <w:szCs w:val="20"/>
              </w:rPr>
            </w:pPr>
            <w:r w:rsidRPr="00A132A5">
              <w:rPr>
                <w:rFonts w:eastAsiaTheme="minorHAnsi"/>
                <w:b/>
                <w:color w:val="000000"/>
                <w:sz w:val="20"/>
                <w:szCs w:val="20"/>
              </w:rPr>
              <w:t>571.39</w:t>
            </w:r>
          </w:p>
        </w:tc>
        <w:tc>
          <w:tcPr>
            <w:tcW w:w="610" w:type="pct"/>
            <w:noWrap/>
            <w:tcMar>
              <w:top w:w="0" w:type="dxa"/>
              <w:left w:w="108" w:type="dxa"/>
              <w:bottom w:w="0" w:type="dxa"/>
              <w:right w:w="108" w:type="dxa"/>
            </w:tcMar>
          </w:tcPr>
          <w:p w:rsidR="003D7B32" w:rsidRPr="00A132A5" w:rsidRDefault="003D7B32" w:rsidP="001F1577">
            <w:pPr>
              <w:jc w:val="right"/>
              <w:rPr>
                <w:b/>
                <w:color w:val="000000"/>
                <w:sz w:val="20"/>
                <w:szCs w:val="20"/>
              </w:rPr>
            </w:pPr>
            <w:r w:rsidRPr="00A132A5">
              <w:rPr>
                <w:b/>
                <w:color w:val="000000"/>
                <w:sz w:val="20"/>
                <w:szCs w:val="20"/>
              </w:rPr>
              <w:t>246.20</w:t>
            </w:r>
          </w:p>
        </w:tc>
        <w:tc>
          <w:tcPr>
            <w:tcW w:w="610" w:type="pct"/>
            <w:noWrap/>
            <w:tcMar>
              <w:top w:w="0" w:type="dxa"/>
              <w:left w:w="108" w:type="dxa"/>
              <w:bottom w:w="0" w:type="dxa"/>
              <w:right w:w="108" w:type="dxa"/>
            </w:tcMar>
          </w:tcPr>
          <w:p w:rsidR="003D7B32" w:rsidRPr="00A132A5" w:rsidRDefault="003D7B32" w:rsidP="001F1577">
            <w:pPr>
              <w:jc w:val="right"/>
              <w:rPr>
                <w:rFonts w:eastAsiaTheme="minorHAnsi"/>
                <w:b/>
                <w:color w:val="000000"/>
                <w:sz w:val="20"/>
                <w:szCs w:val="20"/>
                <w:highlight w:val="cyan"/>
              </w:rPr>
            </w:pPr>
            <w:r w:rsidRPr="00A132A5">
              <w:rPr>
                <w:rFonts w:eastAsiaTheme="minorHAnsi"/>
                <w:b/>
                <w:color w:val="000000"/>
                <w:sz w:val="20"/>
                <w:szCs w:val="20"/>
              </w:rPr>
              <w:t>276.09</w:t>
            </w:r>
          </w:p>
        </w:tc>
        <w:tc>
          <w:tcPr>
            <w:tcW w:w="643" w:type="pct"/>
          </w:tcPr>
          <w:p w:rsidR="003D7B32" w:rsidRPr="00A132A5" w:rsidRDefault="003D7B32" w:rsidP="001F1577">
            <w:pPr>
              <w:jc w:val="right"/>
              <w:rPr>
                <w:b/>
                <w:color w:val="000000"/>
                <w:sz w:val="20"/>
                <w:szCs w:val="20"/>
              </w:rPr>
            </w:pPr>
            <w:r w:rsidRPr="00A132A5">
              <w:rPr>
                <w:b/>
                <w:color w:val="000000"/>
                <w:sz w:val="20"/>
                <w:szCs w:val="20"/>
              </w:rPr>
              <w:t>295.42</w:t>
            </w:r>
          </w:p>
        </w:tc>
        <w:tc>
          <w:tcPr>
            <w:tcW w:w="680" w:type="pct"/>
          </w:tcPr>
          <w:p w:rsidR="003D7B32" w:rsidRPr="006224E3" w:rsidRDefault="003D7B32" w:rsidP="00224C50">
            <w:pPr>
              <w:jc w:val="right"/>
              <w:rPr>
                <w:rFonts w:eastAsiaTheme="minorHAnsi"/>
                <w:b/>
                <w:color w:val="000000"/>
                <w:sz w:val="20"/>
                <w:szCs w:val="20"/>
              </w:rPr>
            </w:pPr>
            <w:r w:rsidRPr="006224E3">
              <w:rPr>
                <w:rFonts w:eastAsiaTheme="minorHAnsi"/>
                <w:b/>
                <w:color w:val="000000"/>
                <w:sz w:val="20"/>
                <w:szCs w:val="20"/>
              </w:rPr>
              <w:t>228.9</w:t>
            </w:r>
            <w:r w:rsidR="00EB3F62" w:rsidRPr="006224E3">
              <w:rPr>
                <w:rFonts w:eastAsiaTheme="minorHAnsi"/>
                <w:b/>
                <w:color w:val="000000"/>
                <w:sz w:val="20"/>
                <w:szCs w:val="20"/>
              </w:rPr>
              <w:t>9</w:t>
            </w:r>
          </w:p>
        </w:tc>
        <w:tc>
          <w:tcPr>
            <w:tcW w:w="739" w:type="pct"/>
            <w:noWrap/>
            <w:tcMar>
              <w:top w:w="0" w:type="dxa"/>
              <w:left w:w="108" w:type="dxa"/>
              <w:bottom w:w="0" w:type="dxa"/>
              <w:right w:w="108" w:type="dxa"/>
            </w:tcMar>
          </w:tcPr>
          <w:p w:rsidR="003D7B32" w:rsidRPr="00A132A5" w:rsidRDefault="003D7B32" w:rsidP="001F1577">
            <w:pPr>
              <w:jc w:val="right"/>
              <w:rPr>
                <w:rFonts w:eastAsiaTheme="minorHAnsi"/>
                <w:b/>
                <w:color w:val="000000"/>
                <w:sz w:val="20"/>
                <w:szCs w:val="20"/>
                <w:highlight w:val="cyan"/>
              </w:rPr>
            </w:pPr>
            <w:r w:rsidRPr="00A132A5">
              <w:rPr>
                <w:rFonts w:eastAsiaTheme="minorHAnsi"/>
                <w:b/>
                <w:color w:val="000000"/>
                <w:sz w:val="20"/>
                <w:szCs w:val="20"/>
              </w:rPr>
              <w:t>400.7</w:t>
            </w:r>
          </w:p>
        </w:tc>
      </w:tr>
    </w:tbl>
    <w:p w:rsidR="001F1577" w:rsidRPr="00EB3F62" w:rsidRDefault="001F1577" w:rsidP="001F1577">
      <w:pPr>
        <w:keepNext/>
        <w:keepLines/>
        <w:rPr>
          <w:sz w:val="18"/>
          <w:szCs w:val="18"/>
        </w:rPr>
      </w:pPr>
      <w:r w:rsidRPr="006224E3">
        <w:rPr>
          <w:sz w:val="18"/>
          <w:szCs w:val="18"/>
        </w:rPr>
        <w:t>*</w:t>
      </w:r>
      <w:r w:rsidR="003D7B32" w:rsidRPr="006224E3">
        <w:rPr>
          <w:sz w:val="18"/>
          <w:szCs w:val="18"/>
        </w:rPr>
        <w:t>As per the independent verification report</w:t>
      </w:r>
      <w:r w:rsidRPr="006224E3">
        <w:rPr>
          <w:sz w:val="18"/>
          <w:szCs w:val="18"/>
        </w:rPr>
        <w:t>.</w:t>
      </w:r>
    </w:p>
    <w:p w:rsidR="001F1577" w:rsidRPr="00A132A5" w:rsidRDefault="001F1577" w:rsidP="001F1577"/>
    <w:p w:rsidR="001F1577" w:rsidRPr="003023CD" w:rsidRDefault="001F1577" w:rsidP="001F1577">
      <w:pPr>
        <w:pStyle w:val="Heading1"/>
        <w:rPr>
          <w:lang w:val="en-CA"/>
        </w:rPr>
      </w:pPr>
      <w:r w:rsidRPr="003023CD">
        <w:rPr>
          <w:lang w:val="en-CA"/>
        </w:rPr>
        <w:t>The consumption of HCFC-22 significantly decreased from 2013</w:t>
      </w:r>
      <w:r>
        <w:rPr>
          <w:lang w:val="en-CA"/>
        </w:rPr>
        <w:t>,</w:t>
      </w:r>
      <w:r w:rsidRPr="003023CD">
        <w:rPr>
          <w:lang w:val="en-CA"/>
        </w:rPr>
        <w:t xml:space="preserve"> primarily because of the conversion of the room air-conditioning (AC) manufacturing sector. HCFC consumption </w:t>
      </w:r>
      <w:r w:rsidR="006E3017">
        <w:rPr>
          <w:lang w:val="en-CA"/>
        </w:rPr>
        <w:t>in</w:t>
      </w:r>
      <w:r w:rsidRPr="003023CD">
        <w:rPr>
          <w:lang w:val="en-CA"/>
        </w:rPr>
        <w:t xml:space="preserve"> 2016 </w:t>
      </w:r>
      <w:r w:rsidR="006E3017">
        <w:rPr>
          <w:lang w:val="en-CA"/>
        </w:rPr>
        <w:t>w</w:t>
      </w:r>
      <w:r w:rsidRPr="003023CD">
        <w:rPr>
          <w:lang w:val="en-CA"/>
        </w:rPr>
        <w:t xml:space="preserve">as </w:t>
      </w:r>
      <w:r w:rsidR="006E3017">
        <w:rPr>
          <w:lang w:val="en-CA"/>
        </w:rPr>
        <w:t>4</w:t>
      </w:r>
      <w:r w:rsidRPr="003023CD">
        <w:rPr>
          <w:lang w:val="en-CA"/>
        </w:rPr>
        <w:t>5</w:t>
      </w:r>
      <w:r w:rsidR="00EB3F62">
        <w:rPr>
          <w:lang w:val="en-CA"/>
        </w:rPr>
        <w:t> </w:t>
      </w:r>
      <w:r w:rsidRPr="003023CD">
        <w:rPr>
          <w:lang w:val="en-CA"/>
        </w:rPr>
        <w:t xml:space="preserve">per cent </w:t>
      </w:r>
      <w:r w:rsidR="006E3017">
        <w:rPr>
          <w:lang w:val="en-CA"/>
        </w:rPr>
        <w:t>below</w:t>
      </w:r>
      <w:r w:rsidRPr="003023CD">
        <w:rPr>
          <w:lang w:val="en-CA"/>
        </w:rPr>
        <w:t xml:space="preserve"> the baseline</w:t>
      </w:r>
      <w:r w:rsidR="006E3017">
        <w:rPr>
          <w:lang w:val="en-CA"/>
        </w:rPr>
        <w:t xml:space="preserve"> for compliance. T</w:t>
      </w:r>
      <w:r>
        <w:rPr>
          <w:lang w:val="en-CA"/>
        </w:rPr>
        <w:t>he low level</w:t>
      </w:r>
      <w:r w:rsidR="006E3017">
        <w:rPr>
          <w:lang w:val="en-CA"/>
        </w:rPr>
        <w:t>s</w:t>
      </w:r>
      <w:r>
        <w:rPr>
          <w:lang w:val="en-CA"/>
        </w:rPr>
        <w:t xml:space="preserve"> of HCFC consumption in recent years ha</w:t>
      </w:r>
      <w:r w:rsidR="00EB3F62">
        <w:rPr>
          <w:lang w:val="en-CA"/>
        </w:rPr>
        <w:t>ve</w:t>
      </w:r>
      <w:r>
        <w:rPr>
          <w:lang w:val="en-CA"/>
        </w:rPr>
        <w:t xml:space="preserve"> </w:t>
      </w:r>
      <w:r w:rsidRPr="003023CD">
        <w:rPr>
          <w:lang w:val="en-CA"/>
        </w:rPr>
        <w:t xml:space="preserve">been largely due to </w:t>
      </w:r>
      <w:r>
        <w:rPr>
          <w:lang w:val="en-CA"/>
        </w:rPr>
        <w:t>a slow-down of the economy, as well as exchange</w:t>
      </w:r>
      <w:r w:rsidR="00BF011F">
        <w:rPr>
          <w:lang w:val="en-CA"/>
        </w:rPr>
        <w:noBreakHyphen/>
      </w:r>
      <w:r>
        <w:rPr>
          <w:lang w:val="en-CA"/>
        </w:rPr>
        <w:t xml:space="preserve">rate control measures that </w:t>
      </w:r>
      <w:r w:rsidR="006E3017">
        <w:rPr>
          <w:lang w:val="en-CA"/>
        </w:rPr>
        <w:t xml:space="preserve">have </w:t>
      </w:r>
      <w:r w:rsidRPr="003E2028">
        <w:rPr>
          <w:lang w:val="en-CA"/>
        </w:rPr>
        <w:t>prevented some importers from fulfilling their entire quota</w:t>
      </w:r>
      <w:r>
        <w:rPr>
          <w:lang w:val="en-CA"/>
        </w:rPr>
        <w:t>. These circumstances, which</w:t>
      </w:r>
      <w:r w:rsidRPr="003023CD">
        <w:rPr>
          <w:lang w:val="en-CA"/>
        </w:rPr>
        <w:t xml:space="preserve"> </w:t>
      </w:r>
      <w:r>
        <w:rPr>
          <w:lang w:val="en-CA"/>
        </w:rPr>
        <w:t>are</w:t>
      </w:r>
      <w:r w:rsidRPr="003023CD">
        <w:rPr>
          <w:lang w:val="en-CA"/>
        </w:rPr>
        <w:t xml:space="preserve"> not related to the need for HCFC in the local market</w:t>
      </w:r>
      <w:r>
        <w:rPr>
          <w:lang w:val="en-CA"/>
        </w:rPr>
        <w:t>, are</w:t>
      </w:r>
      <w:r w:rsidRPr="003023CD">
        <w:rPr>
          <w:lang w:val="en-CA"/>
        </w:rPr>
        <w:t xml:space="preserve"> expected to revert</w:t>
      </w:r>
      <w:r>
        <w:rPr>
          <w:lang w:val="en-CA"/>
        </w:rPr>
        <w:t xml:space="preserve"> to their previous status in the near future</w:t>
      </w:r>
      <w:r w:rsidR="006E3017">
        <w:rPr>
          <w:lang w:val="en-CA"/>
        </w:rPr>
        <w:t>, with a potential increase in the consumption of HCFCs.</w:t>
      </w:r>
    </w:p>
    <w:p w:rsidR="001F1577" w:rsidRPr="00A132A5" w:rsidRDefault="001F1577" w:rsidP="001F1577">
      <w:pPr>
        <w:rPr>
          <w:i/>
          <w:lang w:val="en-CA"/>
        </w:rPr>
      </w:pPr>
      <w:r w:rsidRPr="00A132A5">
        <w:rPr>
          <w:i/>
          <w:lang w:val="en-CA"/>
        </w:rPr>
        <w:t>Verification report</w:t>
      </w:r>
    </w:p>
    <w:p w:rsidR="001F1577" w:rsidRPr="00A132A5" w:rsidRDefault="001F1577" w:rsidP="001F1577">
      <w:pPr>
        <w:rPr>
          <w:lang w:val="en-CA"/>
        </w:rPr>
      </w:pPr>
    </w:p>
    <w:p w:rsidR="001F1577" w:rsidRPr="00086AE0" w:rsidRDefault="001F1577" w:rsidP="001F1577">
      <w:pPr>
        <w:widowControl w:val="0"/>
        <w:numPr>
          <w:ilvl w:val="0"/>
          <w:numId w:val="1"/>
        </w:numPr>
        <w:spacing w:after="240"/>
        <w:outlineLvl w:val="0"/>
        <w:rPr>
          <w:lang w:val="en-CA"/>
        </w:rPr>
      </w:pPr>
      <w:r>
        <w:rPr>
          <w:lang w:val="en-CA"/>
        </w:rPr>
        <w:t xml:space="preserve">An independent </w:t>
      </w:r>
      <w:r w:rsidRPr="00A132A5">
        <w:rPr>
          <w:lang w:val="en-CA"/>
        </w:rPr>
        <w:t xml:space="preserve">verification report </w:t>
      </w:r>
      <w:r>
        <w:rPr>
          <w:lang w:val="en-CA"/>
        </w:rPr>
        <w:t xml:space="preserve">on HCFC consumption for 2015 and 2016 </w:t>
      </w:r>
      <w:r w:rsidRPr="00A132A5">
        <w:rPr>
          <w:lang w:val="en-CA"/>
        </w:rPr>
        <w:t xml:space="preserve">confirmed that the Government </w:t>
      </w:r>
      <w:r>
        <w:rPr>
          <w:lang w:val="en-CA"/>
        </w:rPr>
        <w:t xml:space="preserve">has continued </w:t>
      </w:r>
      <w:r w:rsidRPr="00A132A5">
        <w:rPr>
          <w:lang w:val="en-CA"/>
        </w:rPr>
        <w:t xml:space="preserve">implementing </w:t>
      </w:r>
      <w:r>
        <w:rPr>
          <w:lang w:val="en-CA"/>
        </w:rPr>
        <w:t xml:space="preserve">its </w:t>
      </w:r>
      <w:r w:rsidRPr="00A132A5">
        <w:rPr>
          <w:lang w:val="en-CA"/>
        </w:rPr>
        <w:t>licensing and quota system for HCFC imports and exports and that the total consumption of HCFCs for 201</w:t>
      </w:r>
      <w:r>
        <w:rPr>
          <w:lang w:val="en-CA"/>
        </w:rPr>
        <w:t>5 and 2016</w:t>
      </w:r>
      <w:r w:rsidRPr="00A132A5">
        <w:rPr>
          <w:lang w:val="en-CA"/>
        </w:rPr>
        <w:t xml:space="preserve"> w</w:t>
      </w:r>
      <w:r w:rsidR="006E3017">
        <w:rPr>
          <w:lang w:val="en-CA"/>
        </w:rPr>
        <w:t>as</w:t>
      </w:r>
      <w:r w:rsidRPr="00A132A5">
        <w:rPr>
          <w:lang w:val="en-CA"/>
        </w:rPr>
        <w:t xml:space="preserve"> </w:t>
      </w:r>
      <w:r w:rsidR="00DD7038">
        <w:rPr>
          <w:lang w:val="en-CA"/>
        </w:rPr>
        <w:t xml:space="preserve">295.4 </w:t>
      </w:r>
      <w:r>
        <w:rPr>
          <w:lang w:val="en-CA"/>
        </w:rPr>
        <w:t xml:space="preserve">and </w:t>
      </w:r>
      <w:r w:rsidR="00DD7038">
        <w:rPr>
          <w:lang w:val="en-CA"/>
        </w:rPr>
        <w:t>228.9</w:t>
      </w:r>
      <w:r w:rsidR="00673FC0">
        <w:rPr>
          <w:lang w:val="en-CA"/>
        </w:rPr>
        <w:t> ODP tonnes</w:t>
      </w:r>
      <w:r w:rsidR="006E3017">
        <w:rPr>
          <w:lang w:val="en-CA"/>
        </w:rPr>
        <w:t>, respectively</w:t>
      </w:r>
      <w:r w:rsidRPr="00A132A5">
        <w:rPr>
          <w:lang w:val="en-CA"/>
        </w:rPr>
        <w:t xml:space="preserve">. </w:t>
      </w:r>
      <w:r w:rsidRPr="00BF011F">
        <w:rPr>
          <w:lang w:val="en-CA"/>
        </w:rPr>
        <w:t xml:space="preserve">The verification </w:t>
      </w:r>
      <w:r w:rsidR="006730C0" w:rsidRPr="00BF011F">
        <w:rPr>
          <w:lang w:val="en-CA"/>
        </w:rPr>
        <w:t xml:space="preserve">also </w:t>
      </w:r>
      <w:r w:rsidRPr="00BF011F">
        <w:rPr>
          <w:lang w:val="en-CA"/>
        </w:rPr>
        <w:t xml:space="preserve">concluded </w:t>
      </w:r>
      <w:r w:rsidR="006730C0" w:rsidRPr="00BF011F">
        <w:rPr>
          <w:i/>
          <w:lang w:val="en-CA"/>
        </w:rPr>
        <w:t xml:space="preserve">inter alia </w:t>
      </w:r>
      <w:r w:rsidRPr="00BF011F">
        <w:rPr>
          <w:lang w:val="en-CA"/>
        </w:rPr>
        <w:t xml:space="preserve">that Argentina </w:t>
      </w:r>
      <w:r w:rsidR="006730C0" w:rsidRPr="00BF011F">
        <w:rPr>
          <w:lang w:val="en-CA"/>
        </w:rPr>
        <w:t>ha</w:t>
      </w:r>
      <w:r w:rsidR="00511C12" w:rsidRPr="00BF011F">
        <w:rPr>
          <w:lang w:val="en-CA"/>
        </w:rPr>
        <w:t>d</w:t>
      </w:r>
      <w:r w:rsidR="006730C0" w:rsidRPr="00BF011F">
        <w:rPr>
          <w:lang w:val="en-CA"/>
        </w:rPr>
        <w:t xml:space="preserve"> maintained an exhaustive </w:t>
      </w:r>
      <w:r w:rsidR="006730C0" w:rsidRPr="00BF011F">
        <w:rPr>
          <w:lang w:val="en-CA"/>
        </w:rPr>
        <w:lastRenderedPageBreak/>
        <w:t>control over the level of production and import of HCFCs during 2015 and 2016 allowing consumption for these years to continue declining</w:t>
      </w:r>
      <w:r w:rsidR="00511C12" w:rsidRPr="00BF011F">
        <w:rPr>
          <w:lang w:val="en-CA"/>
        </w:rPr>
        <w:t>, that its</w:t>
      </w:r>
      <w:r w:rsidR="006730C0" w:rsidRPr="00BF011F">
        <w:rPr>
          <w:lang w:val="en-CA"/>
        </w:rPr>
        <w:t xml:space="preserve"> annual consumption of HCFCs was well below the maximum consumption limit allowed for the country, that </w:t>
      </w:r>
      <w:r w:rsidR="00511C12" w:rsidRPr="00BF011F">
        <w:rPr>
          <w:lang w:val="en-CA"/>
        </w:rPr>
        <w:t xml:space="preserve">its legal system </w:t>
      </w:r>
      <w:r w:rsidR="00BF011F" w:rsidRPr="00BF011F">
        <w:rPr>
          <w:lang w:val="en-CA"/>
        </w:rPr>
        <w:t>was</w:t>
      </w:r>
      <w:r w:rsidR="00511C12" w:rsidRPr="00BF011F">
        <w:rPr>
          <w:lang w:val="en-CA"/>
        </w:rPr>
        <w:t xml:space="preserve"> structured in such a way </w:t>
      </w:r>
      <w:r w:rsidR="00511C12" w:rsidRPr="00086AE0">
        <w:rPr>
          <w:lang w:val="en-CA"/>
        </w:rPr>
        <w:t>that it allow</w:t>
      </w:r>
      <w:r w:rsidR="00BF011F" w:rsidRPr="00086AE0">
        <w:rPr>
          <w:lang w:val="en-CA"/>
        </w:rPr>
        <w:t>ed</w:t>
      </w:r>
      <w:r w:rsidR="00511C12" w:rsidRPr="00086AE0">
        <w:rPr>
          <w:lang w:val="en-CA"/>
        </w:rPr>
        <w:t xml:space="preserve"> the </w:t>
      </w:r>
      <w:r w:rsidR="00BF011F" w:rsidRPr="00086AE0">
        <w:rPr>
          <w:lang w:val="en-CA"/>
        </w:rPr>
        <w:t xml:space="preserve">compliance with </w:t>
      </w:r>
      <w:r w:rsidR="00511C12" w:rsidRPr="00086AE0">
        <w:rPr>
          <w:lang w:val="en-CA"/>
        </w:rPr>
        <w:t>the Montreal Protocol</w:t>
      </w:r>
      <w:r w:rsidR="00BF011F" w:rsidRPr="00086AE0">
        <w:rPr>
          <w:lang w:val="en-CA"/>
        </w:rPr>
        <w:t xml:space="preserve"> targets</w:t>
      </w:r>
      <w:r w:rsidR="006E3017" w:rsidRPr="00086AE0">
        <w:rPr>
          <w:lang w:val="en-CA"/>
        </w:rPr>
        <w:t>.</w:t>
      </w:r>
    </w:p>
    <w:p w:rsidR="001F1577" w:rsidRPr="00BF011F" w:rsidRDefault="001F1577" w:rsidP="001F1577">
      <w:pPr>
        <w:keepNext/>
        <w:rPr>
          <w:i/>
          <w:lang w:val="en-CA"/>
        </w:rPr>
      </w:pPr>
      <w:r w:rsidRPr="00BF011F">
        <w:rPr>
          <w:i/>
          <w:lang w:val="en-CA"/>
        </w:rPr>
        <w:t>Country programme (CP) implementation report</w:t>
      </w:r>
    </w:p>
    <w:p w:rsidR="001F1577" w:rsidRPr="00BF011F" w:rsidRDefault="001F1577" w:rsidP="001F1577">
      <w:pPr>
        <w:keepNext/>
        <w:rPr>
          <w:lang w:val="en-CA"/>
        </w:rPr>
      </w:pPr>
    </w:p>
    <w:p w:rsidR="00565F1A" w:rsidRPr="006224E3" w:rsidRDefault="001F1577" w:rsidP="00565F1A">
      <w:pPr>
        <w:pStyle w:val="Heading1"/>
      </w:pPr>
      <w:r w:rsidRPr="00BF011F">
        <w:rPr>
          <w:lang w:val="en-CA"/>
        </w:rPr>
        <w:t xml:space="preserve">The Government of </w:t>
      </w:r>
      <w:r w:rsidRPr="006224E3">
        <w:rPr>
          <w:lang w:val="en-CA"/>
        </w:rPr>
        <w:t xml:space="preserve">Argentina reported </w:t>
      </w:r>
      <w:r w:rsidR="00DC1192" w:rsidRPr="006224E3">
        <w:rPr>
          <w:lang w:val="en-CA"/>
        </w:rPr>
        <w:t xml:space="preserve">data on </w:t>
      </w:r>
      <w:r w:rsidRPr="006224E3">
        <w:rPr>
          <w:lang w:val="en-CA"/>
        </w:rPr>
        <w:t xml:space="preserve">HCFC </w:t>
      </w:r>
      <w:r w:rsidR="00DC1192" w:rsidRPr="006224E3">
        <w:rPr>
          <w:lang w:val="en-CA"/>
        </w:rPr>
        <w:t xml:space="preserve">use by </w:t>
      </w:r>
      <w:r w:rsidRPr="006224E3">
        <w:rPr>
          <w:lang w:val="en-CA"/>
        </w:rPr>
        <w:t xml:space="preserve">sector under the 2016 CP implementation report </w:t>
      </w:r>
      <w:r w:rsidR="003D7B32" w:rsidRPr="006224E3">
        <w:rPr>
          <w:lang w:val="en-CA"/>
        </w:rPr>
        <w:t>(245.17</w:t>
      </w:r>
      <w:r w:rsidR="00673FC0" w:rsidRPr="006224E3">
        <w:rPr>
          <w:lang w:val="en-CA"/>
        </w:rPr>
        <w:t> ODP tonnes</w:t>
      </w:r>
      <w:r w:rsidR="003D7B32" w:rsidRPr="006224E3">
        <w:rPr>
          <w:lang w:val="en-CA"/>
        </w:rPr>
        <w:t xml:space="preserve">) </w:t>
      </w:r>
      <w:r w:rsidRPr="006224E3">
        <w:rPr>
          <w:lang w:val="en-CA"/>
        </w:rPr>
        <w:t xml:space="preserve">that </w:t>
      </w:r>
      <w:r w:rsidR="00DD7038" w:rsidRPr="006224E3">
        <w:rPr>
          <w:lang w:val="en-CA"/>
        </w:rPr>
        <w:t xml:space="preserve">is </w:t>
      </w:r>
      <w:r w:rsidR="006E3017" w:rsidRPr="006224E3">
        <w:rPr>
          <w:lang w:val="en-CA"/>
        </w:rPr>
        <w:t xml:space="preserve">higher </w:t>
      </w:r>
      <w:r w:rsidR="00DD7038" w:rsidRPr="006224E3">
        <w:rPr>
          <w:lang w:val="en-CA"/>
        </w:rPr>
        <w:t>than the consumption data provided in the verification</w:t>
      </w:r>
      <w:r w:rsidR="006E3017" w:rsidRPr="006224E3">
        <w:rPr>
          <w:lang w:val="en-CA"/>
        </w:rPr>
        <w:t xml:space="preserve"> report</w:t>
      </w:r>
      <w:r w:rsidR="003D7B32" w:rsidRPr="006224E3">
        <w:rPr>
          <w:lang w:val="en-CA"/>
        </w:rPr>
        <w:t xml:space="preserve"> (228.9</w:t>
      </w:r>
      <w:r w:rsidR="00673FC0" w:rsidRPr="006224E3">
        <w:rPr>
          <w:lang w:val="en-CA"/>
        </w:rPr>
        <w:t> ODP tonnes</w:t>
      </w:r>
      <w:r w:rsidR="003D7B32" w:rsidRPr="006224E3">
        <w:rPr>
          <w:lang w:val="en-CA"/>
        </w:rPr>
        <w:t>)</w:t>
      </w:r>
      <w:r w:rsidR="00DD7038" w:rsidRPr="006224E3">
        <w:rPr>
          <w:lang w:val="en-CA"/>
        </w:rPr>
        <w:t>. As in other years</w:t>
      </w:r>
      <w:r w:rsidR="00565F1A" w:rsidRPr="006224E3">
        <w:rPr>
          <w:lang w:val="en-CA"/>
        </w:rPr>
        <w:t>, this</w:t>
      </w:r>
      <w:r w:rsidR="00565F1A" w:rsidRPr="006224E3">
        <w:t xml:space="preserve"> is due to the fact that the consuming sectors used stockpiled substances imported in </w:t>
      </w:r>
      <w:r w:rsidR="00BF011F" w:rsidRPr="006224E3">
        <w:t>previous years</w:t>
      </w:r>
      <w:r w:rsidR="00565F1A" w:rsidRPr="006224E3">
        <w:t>.</w:t>
      </w:r>
    </w:p>
    <w:p w:rsidR="001F1577" w:rsidRPr="00A132A5" w:rsidRDefault="001F1577" w:rsidP="001F1577">
      <w:pPr>
        <w:rPr>
          <w:u w:val="single"/>
          <w:lang w:val="en-CA"/>
        </w:rPr>
      </w:pPr>
      <w:r w:rsidRPr="00A132A5">
        <w:rPr>
          <w:u w:val="single"/>
          <w:lang w:val="en-CA"/>
        </w:rPr>
        <w:t>Progress report on the implementation of the second tranche of the HPMP</w:t>
      </w:r>
    </w:p>
    <w:p w:rsidR="001F1577" w:rsidRPr="00A132A5" w:rsidRDefault="001F1577" w:rsidP="001F1577">
      <w:pPr>
        <w:rPr>
          <w:lang w:val="en-CA"/>
        </w:rPr>
      </w:pPr>
    </w:p>
    <w:p w:rsidR="001F1577" w:rsidRPr="00A132A5" w:rsidRDefault="001F1577" w:rsidP="001F1577">
      <w:pPr>
        <w:rPr>
          <w:i/>
          <w:lang w:val="en-CA"/>
        </w:rPr>
      </w:pPr>
      <w:r w:rsidRPr="00A132A5">
        <w:rPr>
          <w:i/>
          <w:lang w:val="en-CA"/>
        </w:rPr>
        <w:t>Legal framework</w:t>
      </w:r>
    </w:p>
    <w:p w:rsidR="001F1577" w:rsidRPr="00A132A5" w:rsidRDefault="001F1577" w:rsidP="001F1577">
      <w:pPr>
        <w:rPr>
          <w:lang w:val="en-CA"/>
        </w:rPr>
      </w:pPr>
    </w:p>
    <w:p w:rsidR="001F1577" w:rsidRPr="001635CB" w:rsidRDefault="001F1577" w:rsidP="001F1577">
      <w:pPr>
        <w:numPr>
          <w:ilvl w:val="0"/>
          <w:numId w:val="1"/>
        </w:numPr>
        <w:spacing w:after="240"/>
        <w:outlineLvl w:val="0"/>
        <w:rPr>
          <w:lang w:val="en-CA"/>
        </w:rPr>
      </w:pPr>
      <w:r w:rsidRPr="001635CB">
        <w:rPr>
          <w:lang w:val="en-CA"/>
        </w:rPr>
        <w:t>The web-based import-export licensing and quota system continues to operate efficiently. Ninety per cent of the import quota is allocated to importers based on historical imports, four per cent</w:t>
      </w:r>
      <w:r>
        <w:rPr>
          <w:lang w:val="en-CA"/>
        </w:rPr>
        <w:t xml:space="preserve"> is used</w:t>
      </w:r>
      <w:r w:rsidRPr="001635CB">
        <w:rPr>
          <w:lang w:val="en-CA"/>
        </w:rPr>
        <w:t xml:space="preserve"> for other enterprises, one per cent is retained for extraordinary cases, and five per cent </w:t>
      </w:r>
      <w:r>
        <w:rPr>
          <w:lang w:val="en-CA"/>
        </w:rPr>
        <w:t xml:space="preserve">is used </w:t>
      </w:r>
      <w:r w:rsidRPr="001635CB">
        <w:rPr>
          <w:lang w:val="en-CA"/>
        </w:rPr>
        <w:t>for cases of occasional</w:t>
      </w:r>
      <w:r w:rsidR="004F54D6">
        <w:rPr>
          <w:lang w:val="en-CA"/>
        </w:rPr>
        <w:t xml:space="preserve"> imports w</w:t>
      </w:r>
      <w:r w:rsidRPr="001635CB">
        <w:rPr>
          <w:lang w:val="en-CA"/>
        </w:rPr>
        <w:t>ith weights slightly higher than those set in the licenses.</w:t>
      </w:r>
    </w:p>
    <w:p w:rsidR="00995BC9" w:rsidRPr="006224E3" w:rsidRDefault="001F1577" w:rsidP="00995BC9">
      <w:pPr>
        <w:widowControl w:val="0"/>
        <w:numPr>
          <w:ilvl w:val="0"/>
          <w:numId w:val="1"/>
        </w:numPr>
        <w:spacing w:after="240"/>
        <w:outlineLvl w:val="0"/>
        <w:rPr>
          <w:lang w:val="en-CA"/>
        </w:rPr>
      </w:pPr>
      <w:r w:rsidRPr="006224E3">
        <w:rPr>
          <w:lang w:val="en-CA"/>
        </w:rPr>
        <w:t>The import and export licensing system was strengthened to cover monitoring of HCFC-22 production by Frío Industrias Argentinas SA (FIASA), the only Argentinian HCFC producer, starting 1 January 2015.</w:t>
      </w:r>
      <w:r w:rsidR="00995BC9" w:rsidRPr="006224E3">
        <w:rPr>
          <w:lang w:val="en-CA"/>
        </w:rPr>
        <w:t xml:space="preserve"> Monitoring has taken place for the year 2015 and the first three quarters of 2016, including review of stocks (i.e., raw material and final product), production, delivery of final product and related services (i.e., maintenance, control room and laboratory). The consolidated 2015 monitoring report concluded that 2,445.97 mt of HCFC-22 were produced (66 per cent of the 3,675.00 mt allowed); FIASA provided all information requested</w:t>
      </w:r>
      <w:r w:rsidR="00F72EE8" w:rsidRPr="006224E3">
        <w:rPr>
          <w:lang w:val="en-CA"/>
        </w:rPr>
        <w:t xml:space="preserve"> and all their </w:t>
      </w:r>
      <w:r w:rsidR="00995BC9" w:rsidRPr="006224E3">
        <w:rPr>
          <w:lang w:val="en-CA"/>
        </w:rPr>
        <w:t xml:space="preserve">records </w:t>
      </w:r>
      <w:r w:rsidR="00F72EE8" w:rsidRPr="006224E3">
        <w:rPr>
          <w:lang w:val="en-CA"/>
        </w:rPr>
        <w:t>were found to be</w:t>
      </w:r>
      <w:r w:rsidR="00995BC9" w:rsidRPr="006224E3">
        <w:rPr>
          <w:lang w:val="en-CA"/>
        </w:rPr>
        <w:t xml:space="preserve"> reliable; and HFC</w:t>
      </w:r>
      <w:r w:rsidR="00995BC9" w:rsidRPr="006224E3">
        <w:rPr>
          <w:lang w:val="en-CA"/>
        </w:rPr>
        <w:noBreakHyphen/>
        <w:t xml:space="preserve">23 originated as a by-product during the production of HCFC-22 is being emitted to the atmosphere. </w:t>
      </w:r>
    </w:p>
    <w:p w:rsidR="00477D61" w:rsidRPr="00EE5836" w:rsidRDefault="00477D61" w:rsidP="00477D61">
      <w:pPr>
        <w:pStyle w:val="Heading1"/>
        <w:rPr>
          <w:lang w:val="en-CA"/>
        </w:rPr>
      </w:pPr>
      <w:r w:rsidRPr="00EE5836">
        <w:rPr>
          <w:lang w:val="en-CA"/>
        </w:rPr>
        <w:t>Other regulations promulgated during stage I include a ban on import and production of room air</w:t>
      </w:r>
      <w:r w:rsidR="00D735C8">
        <w:rPr>
          <w:lang w:val="en-CA"/>
        </w:rPr>
        <w:noBreakHyphen/>
      </w:r>
      <w:r w:rsidRPr="00EE5836">
        <w:rPr>
          <w:lang w:val="en-CA"/>
        </w:rPr>
        <w:t>conditioning (AC) equipment using HCFC-22 by</w:t>
      </w:r>
      <w:r w:rsidR="00EE5836" w:rsidRPr="00EE5836">
        <w:rPr>
          <w:lang w:val="en-CA"/>
        </w:rPr>
        <w:t xml:space="preserve"> 1 January 2013</w:t>
      </w:r>
      <w:r w:rsidR="006E3017">
        <w:rPr>
          <w:lang w:val="en-CA"/>
        </w:rPr>
        <w:t xml:space="preserve"> and</w:t>
      </w:r>
      <w:r w:rsidRPr="00EE5836">
        <w:rPr>
          <w:lang w:val="en-CA"/>
        </w:rPr>
        <w:t xml:space="preserve"> incorporation of </w:t>
      </w:r>
      <w:r w:rsidR="006E3017">
        <w:rPr>
          <w:lang w:val="en-CA"/>
        </w:rPr>
        <w:t xml:space="preserve">information on </w:t>
      </w:r>
      <w:r w:rsidRPr="00EE5836">
        <w:rPr>
          <w:lang w:val="en-CA"/>
        </w:rPr>
        <w:t xml:space="preserve">import </w:t>
      </w:r>
      <w:r w:rsidR="006E3017">
        <w:rPr>
          <w:lang w:val="en-CA"/>
        </w:rPr>
        <w:t xml:space="preserve">of </w:t>
      </w:r>
      <w:r w:rsidRPr="00EE5836">
        <w:rPr>
          <w:lang w:val="en-CA"/>
        </w:rPr>
        <w:t>room AC units in the ODS licensing system. The Kigali Amendment to the Montreal Protocol will be ratified through the corresponding law to be enacted in 2018 or 2019.</w:t>
      </w:r>
    </w:p>
    <w:p w:rsidR="001F1577" w:rsidRPr="00996FD4" w:rsidRDefault="001F1577" w:rsidP="001F1577">
      <w:pPr>
        <w:spacing w:after="240"/>
        <w:outlineLvl w:val="0"/>
        <w:rPr>
          <w:i/>
          <w:lang w:val="en-CA"/>
        </w:rPr>
      </w:pPr>
      <w:r w:rsidRPr="00996FD4">
        <w:rPr>
          <w:i/>
          <w:lang w:val="en-CA"/>
        </w:rPr>
        <w:t>Manufacturing sector</w:t>
      </w:r>
    </w:p>
    <w:p w:rsidR="001F1577" w:rsidRPr="00540120" w:rsidRDefault="001F1577" w:rsidP="001F1577">
      <w:pPr>
        <w:numPr>
          <w:ilvl w:val="0"/>
          <w:numId w:val="1"/>
        </w:numPr>
        <w:spacing w:after="240"/>
        <w:outlineLvl w:val="0"/>
        <w:rPr>
          <w:i/>
          <w:lang w:val="en-CA"/>
        </w:rPr>
      </w:pPr>
      <w:r w:rsidRPr="00996FD4">
        <w:rPr>
          <w:i/>
          <w:lang w:val="en-CA"/>
        </w:rPr>
        <w:t xml:space="preserve">Conversion of HCFC-22 in room and unitary </w:t>
      </w:r>
      <w:r w:rsidR="006E3017">
        <w:rPr>
          <w:i/>
          <w:lang w:val="en-CA"/>
        </w:rPr>
        <w:t>AC</w:t>
      </w:r>
      <w:r w:rsidRPr="00996FD4">
        <w:rPr>
          <w:i/>
          <w:lang w:val="en-CA"/>
        </w:rPr>
        <w:t xml:space="preserve"> equipment (53.5</w:t>
      </w:r>
      <w:r w:rsidR="00673FC0">
        <w:rPr>
          <w:i/>
          <w:lang w:val="en-CA"/>
        </w:rPr>
        <w:t> ODP tonnes</w:t>
      </w:r>
      <w:r w:rsidRPr="00996FD4">
        <w:rPr>
          <w:i/>
          <w:lang w:val="en-CA"/>
        </w:rPr>
        <w:t>):</w:t>
      </w:r>
      <w:r w:rsidRPr="00996FD4">
        <w:rPr>
          <w:lang w:val="en-CA"/>
        </w:rPr>
        <w:t xml:space="preserve"> Out of nine enterprises included in the project, seven were converted to HFC-410A as per the approved project, and two stopped producing HCFC-22-based equipment due to </w:t>
      </w:r>
      <w:r w:rsidRPr="003C3F52">
        <w:rPr>
          <w:lang w:val="en-CA"/>
        </w:rPr>
        <w:t xml:space="preserve">economic difficulties and did not convert. A total balance of </w:t>
      </w:r>
      <w:r w:rsidR="009A3BBD">
        <w:rPr>
          <w:lang w:val="en-CA"/>
        </w:rPr>
        <w:t>US $</w:t>
      </w:r>
      <w:r w:rsidRPr="003C3F52">
        <w:rPr>
          <w:lang w:val="en-CA"/>
        </w:rPr>
        <w:t xml:space="preserve">500,636 associated </w:t>
      </w:r>
      <w:r>
        <w:rPr>
          <w:lang w:val="en-CA"/>
        </w:rPr>
        <w:t>with</w:t>
      </w:r>
      <w:r w:rsidRPr="003C3F52">
        <w:rPr>
          <w:lang w:val="en-CA"/>
        </w:rPr>
        <w:t xml:space="preserve"> these two enterprises is being returned at the 79</w:t>
      </w:r>
      <w:r w:rsidRPr="003C3F52">
        <w:rPr>
          <w:vertAlign w:val="superscript"/>
          <w:lang w:val="en-CA"/>
        </w:rPr>
        <w:t>th</w:t>
      </w:r>
      <w:r w:rsidRPr="003C3F52">
        <w:rPr>
          <w:lang w:val="en-CA"/>
        </w:rPr>
        <w:t xml:space="preserve"> meeting</w:t>
      </w:r>
      <w:r w:rsidRPr="003C3F52">
        <w:rPr>
          <w:rStyle w:val="FootnoteReference"/>
          <w:lang w:val="en-CA"/>
        </w:rPr>
        <w:footnoteReference w:id="2"/>
      </w:r>
      <w:r w:rsidR="004F54D6">
        <w:rPr>
          <w:lang w:val="en-CA"/>
        </w:rPr>
        <w:t>. S</w:t>
      </w:r>
      <w:r w:rsidR="006E3017">
        <w:rPr>
          <w:lang w:val="en-CA"/>
        </w:rPr>
        <w:t xml:space="preserve">ince </w:t>
      </w:r>
      <w:r w:rsidR="004F54D6">
        <w:rPr>
          <w:lang w:val="en-CA"/>
        </w:rPr>
        <w:t>2013 n</w:t>
      </w:r>
      <w:r w:rsidRPr="003C3F52">
        <w:rPr>
          <w:lang w:val="en-CA"/>
        </w:rPr>
        <w:t>o HCFC is being used in the sector and import</w:t>
      </w:r>
      <w:r>
        <w:rPr>
          <w:lang w:val="en-CA"/>
        </w:rPr>
        <w:t>s</w:t>
      </w:r>
      <w:r w:rsidRPr="00540120">
        <w:rPr>
          <w:lang w:val="en-CA"/>
        </w:rPr>
        <w:t xml:space="preserve"> and </w:t>
      </w:r>
      <w:r>
        <w:rPr>
          <w:lang w:val="en-CA"/>
        </w:rPr>
        <w:t>s</w:t>
      </w:r>
      <w:r w:rsidRPr="00540120">
        <w:rPr>
          <w:lang w:val="en-CA"/>
        </w:rPr>
        <w:t>ales of HCFC</w:t>
      </w:r>
      <w:r w:rsidR="00EE67DE">
        <w:rPr>
          <w:lang w:val="en-CA"/>
        </w:rPr>
        <w:noBreakHyphen/>
      </w:r>
      <w:r w:rsidRPr="00540120">
        <w:rPr>
          <w:lang w:val="en-CA"/>
        </w:rPr>
        <w:t>22-based AC equipment have been banned.</w:t>
      </w:r>
    </w:p>
    <w:p w:rsidR="001F1577" w:rsidRPr="00540120" w:rsidRDefault="001F1577" w:rsidP="00BF011F">
      <w:pPr>
        <w:pStyle w:val="Heading1"/>
        <w:widowControl w:val="0"/>
        <w:rPr>
          <w:lang w:val="en-CA"/>
        </w:rPr>
      </w:pPr>
      <w:r w:rsidRPr="00540120">
        <w:rPr>
          <w:i/>
        </w:rPr>
        <w:t>Conversion from HCFC-141b in the manufacture of polyurethane (PU) rigid insulation foam for domestic refrigerators at Mabe (18.46</w:t>
      </w:r>
      <w:r w:rsidR="00673FC0">
        <w:rPr>
          <w:i/>
        </w:rPr>
        <w:t> ODP tonnes</w:t>
      </w:r>
      <w:r w:rsidRPr="00540120">
        <w:rPr>
          <w:i/>
        </w:rPr>
        <w:t>):</w:t>
      </w:r>
      <w:r w:rsidRPr="00540120">
        <w:t xml:space="preserve"> T</w:t>
      </w:r>
      <w:r w:rsidRPr="00540120">
        <w:rPr>
          <w:lang w:val="en-CA"/>
        </w:rPr>
        <w:t>he project was o</w:t>
      </w:r>
      <w:r>
        <w:rPr>
          <w:lang w:val="en-CA"/>
        </w:rPr>
        <w:t>perationally completed in April </w:t>
      </w:r>
      <w:r w:rsidR="006E3017">
        <w:rPr>
          <w:lang w:val="en-CA"/>
        </w:rPr>
        <w:t>2</w:t>
      </w:r>
      <w:r w:rsidRPr="00540120">
        <w:rPr>
          <w:lang w:val="en-CA"/>
        </w:rPr>
        <w:t>015.</w:t>
      </w:r>
    </w:p>
    <w:p w:rsidR="001F1577" w:rsidRPr="00CE2EF8" w:rsidRDefault="001F1577" w:rsidP="00F72EE8">
      <w:pPr>
        <w:keepNext/>
        <w:rPr>
          <w:i/>
          <w:lang w:val="en-CA"/>
        </w:rPr>
      </w:pPr>
      <w:r w:rsidRPr="00CE2EF8">
        <w:rPr>
          <w:i/>
          <w:lang w:val="en-CA"/>
        </w:rPr>
        <w:lastRenderedPageBreak/>
        <w:t>Refrigeration servicing sector</w:t>
      </w:r>
    </w:p>
    <w:p w:rsidR="001F1577" w:rsidRPr="00CE2EF8" w:rsidRDefault="001F1577" w:rsidP="00F72EE8">
      <w:pPr>
        <w:keepNext/>
        <w:rPr>
          <w:lang w:val="en-CA"/>
        </w:rPr>
      </w:pPr>
    </w:p>
    <w:p w:rsidR="001F1577" w:rsidRPr="006224E3" w:rsidRDefault="006E3017" w:rsidP="00F72EE8">
      <w:pPr>
        <w:pStyle w:val="Heading1"/>
        <w:keepNext/>
        <w:rPr>
          <w:lang w:val="en-CA"/>
        </w:rPr>
      </w:pPr>
      <w:r>
        <w:rPr>
          <w:lang w:val="en-CA"/>
        </w:rPr>
        <w:t xml:space="preserve">A </w:t>
      </w:r>
      <w:r w:rsidR="001F1577" w:rsidRPr="00CE2EF8">
        <w:rPr>
          <w:lang w:val="en-CA"/>
        </w:rPr>
        <w:t xml:space="preserve">total of 28 trainers and 850 refrigeration technicians have received training </w:t>
      </w:r>
      <w:r w:rsidR="001F1577">
        <w:rPr>
          <w:lang w:val="en-CA"/>
        </w:rPr>
        <w:t>o</w:t>
      </w:r>
      <w:r w:rsidR="001F1577" w:rsidRPr="00CE2EF8">
        <w:rPr>
          <w:lang w:val="en-CA"/>
        </w:rPr>
        <w:t>n good servic</w:t>
      </w:r>
      <w:r w:rsidR="001F1577">
        <w:rPr>
          <w:lang w:val="en-CA"/>
        </w:rPr>
        <w:t>ing</w:t>
      </w:r>
      <w:r w:rsidR="001F1577" w:rsidRPr="00CE2EF8">
        <w:rPr>
          <w:lang w:val="en-CA"/>
        </w:rPr>
        <w:t xml:space="preserve"> practices in refrigeration and alternatives to HCFCs; and 1,184 technicians have received training on specific related topics (e.g., refrigeration systems in supermarkets, </w:t>
      </w:r>
      <w:r w:rsidR="008C177C">
        <w:rPr>
          <w:lang w:val="en-CA"/>
        </w:rPr>
        <w:t xml:space="preserve">handling of </w:t>
      </w:r>
      <w:r w:rsidR="001F1577" w:rsidRPr="00CE2EF8">
        <w:rPr>
          <w:lang w:val="en-CA"/>
        </w:rPr>
        <w:t>hydrocarbons</w:t>
      </w:r>
      <w:r>
        <w:rPr>
          <w:lang w:val="en-CA"/>
        </w:rPr>
        <w:t xml:space="preserve"> (HC)</w:t>
      </w:r>
      <w:r w:rsidR="001F1577" w:rsidRPr="00CE2EF8">
        <w:rPr>
          <w:lang w:val="en-CA"/>
        </w:rPr>
        <w:t xml:space="preserve"> and other alternative refrigerants)</w:t>
      </w:r>
      <w:r w:rsidR="001F1577">
        <w:rPr>
          <w:lang w:val="en-CA"/>
        </w:rPr>
        <w:t xml:space="preserve">. </w:t>
      </w:r>
      <w:r w:rsidR="001F1577" w:rsidRPr="00CE2EF8">
        <w:rPr>
          <w:lang w:val="en-CA"/>
        </w:rPr>
        <w:t xml:space="preserve">Twelve training </w:t>
      </w:r>
      <w:r w:rsidR="001F1577" w:rsidRPr="006224E3">
        <w:rPr>
          <w:lang w:val="en-CA"/>
        </w:rPr>
        <w:t>kits</w:t>
      </w:r>
      <w:r w:rsidR="00AD64A7" w:rsidRPr="006224E3">
        <w:rPr>
          <w:lang w:val="en-CA"/>
        </w:rPr>
        <w:t xml:space="preserve"> (comprising </w:t>
      </w:r>
      <w:r w:rsidR="00394E3D" w:rsidRPr="006224E3">
        <w:rPr>
          <w:lang w:val="en-CA"/>
        </w:rPr>
        <w:t>R-410A equipment, nitrogen cylinders and tools</w:t>
      </w:r>
      <w:r w:rsidR="00AD64A7" w:rsidRPr="006224E3">
        <w:rPr>
          <w:lang w:val="en-CA"/>
        </w:rPr>
        <w:t>)</w:t>
      </w:r>
      <w:r w:rsidR="001F1577" w:rsidRPr="006224E3">
        <w:rPr>
          <w:lang w:val="en-CA"/>
        </w:rPr>
        <w:t xml:space="preserve"> have been distributed to training centers and 694 out of the 714 tool kits </w:t>
      </w:r>
      <w:r w:rsidR="00F72EE8" w:rsidRPr="006224E3">
        <w:rPr>
          <w:lang w:val="en-CA"/>
        </w:rPr>
        <w:t xml:space="preserve">procured </w:t>
      </w:r>
      <w:r w:rsidR="00AD64A7" w:rsidRPr="006224E3">
        <w:rPr>
          <w:lang w:val="en-CA"/>
        </w:rPr>
        <w:t xml:space="preserve">(comprising </w:t>
      </w:r>
      <w:r w:rsidR="00394E3D" w:rsidRPr="006224E3">
        <w:rPr>
          <w:lang w:val="en-CA"/>
        </w:rPr>
        <w:t>vacuum pumps, leak detectors, R-410A manifold and hoses and manual tools</w:t>
      </w:r>
      <w:r w:rsidR="00AD64A7" w:rsidRPr="006224E3">
        <w:rPr>
          <w:lang w:val="en-CA"/>
        </w:rPr>
        <w:t xml:space="preserve">) </w:t>
      </w:r>
      <w:r w:rsidR="001F1577" w:rsidRPr="006224E3">
        <w:rPr>
          <w:lang w:val="en-CA"/>
        </w:rPr>
        <w:t xml:space="preserve">have been distributed to refrigeration workshops. </w:t>
      </w:r>
    </w:p>
    <w:p w:rsidR="001F1577" w:rsidRPr="00CE2EF8" w:rsidRDefault="001F1577" w:rsidP="006E3017">
      <w:pPr>
        <w:keepNext/>
        <w:numPr>
          <w:ilvl w:val="0"/>
          <w:numId w:val="1"/>
        </w:numPr>
        <w:spacing w:after="240"/>
        <w:outlineLvl w:val="0"/>
        <w:rPr>
          <w:lang w:val="en-CA"/>
        </w:rPr>
      </w:pPr>
      <w:r w:rsidRPr="00CE2EF8">
        <w:rPr>
          <w:lang w:val="en-CA"/>
        </w:rPr>
        <w:t>Training courses on the phase-out of HCFC-141b used as flushing agent by refrigeration servic</w:t>
      </w:r>
      <w:r>
        <w:rPr>
          <w:lang w:val="en-CA"/>
        </w:rPr>
        <w:t>ing</w:t>
      </w:r>
      <w:r w:rsidRPr="00CE2EF8">
        <w:rPr>
          <w:lang w:val="en-CA"/>
        </w:rPr>
        <w:t xml:space="preserve"> technicians started in 2015. </w:t>
      </w:r>
      <w:r>
        <w:rPr>
          <w:lang w:val="en-CA"/>
        </w:rPr>
        <w:t xml:space="preserve">The training will be complemented by a </w:t>
      </w:r>
      <w:r w:rsidRPr="00CE2EF8">
        <w:rPr>
          <w:lang w:val="en-CA"/>
        </w:rPr>
        <w:t xml:space="preserve">demonstration activity to verify the efficiency of newly developed flushing equipment using a special grade of high-performance HFO-1233zd. A total of 20 sets will be distributed among beneficiaries, which will report </w:t>
      </w:r>
      <w:r>
        <w:rPr>
          <w:lang w:val="en-CA"/>
        </w:rPr>
        <w:t xml:space="preserve">on </w:t>
      </w:r>
      <w:r w:rsidRPr="00CE2EF8">
        <w:rPr>
          <w:lang w:val="en-CA"/>
        </w:rPr>
        <w:t xml:space="preserve">the performance of the equipment after a certain time of usage so </w:t>
      </w:r>
      <w:r>
        <w:rPr>
          <w:lang w:val="en-CA"/>
        </w:rPr>
        <w:t xml:space="preserve">that </w:t>
      </w:r>
      <w:r w:rsidRPr="00CE2EF8">
        <w:rPr>
          <w:lang w:val="en-CA"/>
        </w:rPr>
        <w:t>the lessons learnt can be disseminated</w:t>
      </w:r>
      <w:r w:rsidR="00AD64A7">
        <w:rPr>
          <w:lang w:val="en-CA"/>
        </w:rPr>
        <w:t>.</w:t>
      </w:r>
    </w:p>
    <w:p w:rsidR="001F1577" w:rsidRPr="00D05FC0" w:rsidRDefault="001F1577" w:rsidP="001F1577">
      <w:pPr>
        <w:keepNext/>
        <w:spacing w:after="240"/>
        <w:outlineLvl w:val="0"/>
        <w:rPr>
          <w:i/>
          <w:lang w:val="en-CA"/>
        </w:rPr>
      </w:pPr>
      <w:r w:rsidRPr="00D05FC0">
        <w:rPr>
          <w:i/>
          <w:lang w:val="en-CA"/>
        </w:rPr>
        <w:t>Monitoring of HCFC-22 production</w:t>
      </w:r>
    </w:p>
    <w:p w:rsidR="001F1577" w:rsidRPr="00C365CA" w:rsidRDefault="001F1577" w:rsidP="001F1577">
      <w:pPr>
        <w:keepNext/>
        <w:numPr>
          <w:ilvl w:val="0"/>
          <w:numId w:val="1"/>
        </w:numPr>
        <w:spacing w:after="240"/>
        <w:outlineLvl w:val="0"/>
        <w:rPr>
          <w:lang w:val="en-CA"/>
        </w:rPr>
      </w:pPr>
      <w:r w:rsidRPr="00C365CA">
        <w:rPr>
          <w:lang w:val="en-CA"/>
        </w:rPr>
        <w:t>Monitoring of HCFC production has been carried out through quarterly control visits and the production of reports since 2016.</w:t>
      </w:r>
    </w:p>
    <w:p w:rsidR="001F1577" w:rsidRDefault="001F1577" w:rsidP="001F1577">
      <w:pPr>
        <w:keepNext/>
        <w:rPr>
          <w:i/>
          <w:lang w:val="en-CA"/>
        </w:rPr>
      </w:pPr>
      <w:r w:rsidRPr="00CE2EF8">
        <w:rPr>
          <w:i/>
          <w:lang w:val="en-CA"/>
        </w:rPr>
        <w:t>Project implementation and monitoring unit (PMU)</w:t>
      </w:r>
    </w:p>
    <w:p w:rsidR="001F1577" w:rsidRPr="00A132A5" w:rsidRDefault="001F1577" w:rsidP="001F1577">
      <w:pPr>
        <w:keepNext/>
        <w:rPr>
          <w:i/>
          <w:lang w:val="en-CA"/>
        </w:rPr>
      </w:pPr>
    </w:p>
    <w:p w:rsidR="001F1577" w:rsidRPr="00C365CA" w:rsidRDefault="001F1577" w:rsidP="001F1577">
      <w:pPr>
        <w:numPr>
          <w:ilvl w:val="0"/>
          <w:numId w:val="1"/>
        </w:numPr>
        <w:spacing w:after="240"/>
        <w:outlineLvl w:val="0"/>
        <w:rPr>
          <w:lang w:val="en-CA"/>
        </w:rPr>
      </w:pPr>
      <w:r>
        <w:rPr>
          <w:lang w:val="en-CA"/>
        </w:rPr>
        <w:t>A</w:t>
      </w:r>
      <w:r w:rsidRPr="00C365CA">
        <w:rPr>
          <w:lang w:val="en-CA"/>
        </w:rPr>
        <w:t>wareness</w:t>
      </w:r>
      <w:r>
        <w:rPr>
          <w:lang w:val="en-CA"/>
        </w:rPr>
        <w:t>-raising</w:t>
      </w:r>
      <w:r w:rsidRPr="00C365CA">
        <w:rPr>
          <w:lang w:val="en-CA"/>
        </w:rPr>
        <w:t xml:space="preserve"> activities </w:t>
      </w:r>
      <w:r>
        <w:rPr>
          <w:lang w:val="en-CA"/>
        </w:rPr>
        <w:t xml:space="preserve">implemented </w:t>
      </w:r>
      <w:r w:rsidRPr="00C365CA">
        <w:rPr>
          <w:lang w:val="en-CA"/>
        </w:rPr>
        <w:t>includ</w:t>
      </w:r>
      <w:r>
        <w:rPr>
          <w:lang w:val="en-CA"/>
        </w:rPr>
        <w:t>e</w:t>
      </w:r>
      <w:r w:rsidRPr="00C365CA">
        <w:rPr>
          <w:lang w:val="en-CA"/>
        </w:rPr>
        <w:t xml:space="preserve"> a</w:t>
      </w:r>
      <w:r w:rsidR="008C177C">
        <w:rPr>
          <w:lang w:val="en-CA"/>
        </w:rPr>
        <w:t xml:space="preserve"> regional </w:t>
      </w:r>
      <w:r w:rsidRPr="00C365CA">
        <w:rPr>
          <w:lang w:val="en-CA"/>
        </w:rPr>
        <w:t>conference on the phase</w:t>
      </w:r>
      <w:r>
        <w:rPr>
          <w:lang w:val="en-CA"/>
        </w:rPr>
        <w:t>-</w:t>
      </w:r>
      <w:r w:rsidRPr="00C365CA">
        <w:rPr>
          <w:lang w:val="en-CA"/>
        </w:rPr>
        <w:t xml:space="preserve">out of HCFCs in the commercial refrigeration sector </w:t>
      </w:r>
      <w:r>
        <w:rPr>
          <w:lang w:val="en-CA"/>
        </w:rPr>
        <w:t>for 2</w:t>
      </w:r>
      <w:r w:rsidRPr="00C365CA">
        <w:rPr>
          <w:lang w:val="en-CA"/>
        </w:rPr>
        <w:t xml:space="preserve">00 installers, equipment suppliers and supermarket chains from eight countries, </w:t>
      </w:r>
      <w:r>
        <w:rPr>
          <w:lang w:val="en-CA"/>
        </w:rPr>
        <w:t xml:space="preserve">and </w:t>
      </w:r>
      <w:r w:rsidRPr="00C365CA">
        <w:rPr>
          <w:lang w:val="en-CA"/>
        </w:rPr>
        <w:t>the preparation and distribution to refrigeration technicians of 11</w:t>
      </w:r>
      <w:r>
        <w:rPr>
          <w:lang w:val="en-CA"/>
        </w:rPr>
        <w:t xml:space="preserve"> </w:t>
      </w:r>
      <w:r w:rsidRPr="00C365CA">
        <w:rPr>
          <w:lang w:val="en-CA"/>
        </w:rPr>
        <w:t>brochures on</w:t>
      </w:r>
      <w:r>
        <w:rPr>
          <w:lang w:val="en-CA"/>
        </w:rPr>
        <w:t>:</w:t>
      </w:r>
      <w:r w:rsidRPr="00C365CA">
        <w:rPr>
          <w:lang w:val="en-CA"/>
        </w:rPr>
        <w:t xml:space="preserve"> good practices in refrigeration</w:t>
      </w:r>
      <w:r>
        <w:rPr>
          <w:lang w:val="en-CA"/>
        </w:rPr>
        <w:t>;</w:t>
      </w:r>
      <w:r w:rsidRPr="00C365CA">
        <w:rPr>
          <w:lang w:val="en-CA"/>
        </w:rPr>
        <w:t xml:space="preserve"> Montreal Protocol control measures</w:t>
      </w:r>
      <w:r>
        <w:rPr>
          <w:lang w:val="en-CA"/>
        </w:rPr>
        <w:t>;</w:t>
      </w:r>
      <w:r w:rsidRPr="00C365CA">
        <w:rPr>
          <w:lang w:val="en-CA"/>
        </w:rPr>
        <w:t xml:space="preserve"> recovery, recycling and reclamation</w:t>
      </w:r>
      <w:r>
        <w:rPr>
          <w:lang w:val="en-CA"/>
        </w:rPr>
        <w:t>;</w:t>
      </w:r>
      <w:r w:rsidRPr="00C365CA">
        <w:rPr>
          <w:lang w:val="en-CA"/>
        </w:rPr>
        <w:t xml:space="preserve"> safe servicing of HC-based equipment</w:t>
      </w:r>
      <w:r>
        <w:rPr>
          <w:lang w:val="en-CA"/>
        </w:rPr>
        <w:t>;</w:t>
      </w:r>
      <w:r w:rsidRPr="00C365CA">
        <w:rPr>
          <w:lang w:val="en-CA"/>
        </w:rPr>
        <w:t xml:space="preserve"> alternatives to HCFCs</w:t>
      </w:r>
      <w:r>
        <w:rPr>
          <w:lang w:val="en-CA"/>
        </w:rPr>
        <w:t>;</w:t>
      </w:r>
      <w:r w:rsidRPr="00C365CA">
        <w:rPr>
          <w:lang w:val="en-CA"/>
        </w:rPr>
        <w:t xml:space="preserve"> and commercial refrigeration in supermarkets.</w:t>
      </w:r>
    </w:p>
    <w:p w:rsidR="001F1577" w:rsidRPr="00A132A5" w:rsidRDefault="001F1577" w:rsidP="001F1577">
      <w:pPr>
        <w:rPr>
          <w:u w:val="single"/>
          <w:lang w:val="en-CA"/>
        </w:rPr>
      </w:pPr>
      <w:r w:rsidRPr="00A132A5">
        <w:rPr>
          <w:u w:val="single"/>
          <w:lang w:val="en-CA"/>
        </w:rPr>
        <w:t>Level of fund disbursement</w:t>
      </w:r>
    </w:p>
    <w:p w:rsidR="001F1577" w:rsidRPr="00A132A5" w:rsidRDefault="001F1577" w:rsidP="001F1577">
      <w:pPr>
        <w:rPr>
          <w:lang w:val="en-CA"/>
        </w:rPr>
      </w:pPr>
    </w:p>
    <w:p w:rsidR="001F1577" w:rsidRPr="006224E3" w:rsidRDefault="001F1577" w:rsidP="001F1577">
      <w:pPr>
        <w:numPr>
          <w:ilvl w:val="0"/>
          <w:numId w:val="1"/>
        </w:numPr>
        <w:spacing w:after="240"/>
        <w:outlineLvl w:val="0"/>
        <w:rPr>
          <w:lang w:val="en-CA"/>
        </w:rPr>
      </w:pPr>
      <w:r w:rsidRPr="00DD7038">
        <w:rPr>
          <w:lang w:val="en-CA"/>
        </w:rPr>
        <w:t xml:space="preserve">As of May 2017, of </w:t>
      </w:r>
      <w:r w:rsidRPr="006224E3">
        <w:rPr>
          <w:lang w:val="en-CA"/>
        </w:rPr>
        <w:t xml:space="preserve">the </w:t>
      </w:r>
      <w:r w:rsidR="009A3BBD" w:rsidRPr="006224E3">
        <w:rPr>
          <w:lang w:val="en-CA"/>
        </w:rPr>
        <w:t>US $</w:t>
      </w:r>
      <w:r w:rsidRPr="006224E3">
        <w:rPr>
          <w:lang w:val="en-CA"/>
        </w:rPr>
        <w:t>10,</w:t>
      </w:r>
      <w:r w:rsidR="007C20F5" w:rsidRPr="006224E3">
        <w:rPr>
          <w:lang w:val="en-CA"/>
        </w:rPr>
        <w:t>949</w:t>
      </w:r>
      <w:r w:rsidRPr="006224E3">
        <w:rPr>
          <w:lang w:val="en-CA"/>
        </w:rPr>
        <w:t xml:space="preserve">,518 so far approved, </w:t>
      </w:r>
      <w:r w:rsidR="009A3BBD" w:rsidRPr="006224E3">
        <w:rPr>
          <w:lang w:val="en-CA"/>
        </w:rPr>
        <w:t>US $</w:t>
      </w:r>
      <w:r w:rsidR="00C34F67" w:rsidRPr="006224E3">
        <w:rPr>
          <w:lang w:val="en-CA"/>
        </w:rPr>
        <w:t>10,</w:t>
      </w:r>
      <w:r w:rsidR="007C20F5" w:rsidRPr="006224E3">
        <w:rPr>
          <w:lang w:val="en-CA"/>
        </w:rPr>
        <w:t>576</w:t>
      </w:r>
      <w:r w:rsidR="00C34F67" w:rsidRPr="006224E3">
        <w:rPr>
          <w:lang w:val="en-CA"/>
        </w:rPr>
        <w:t>,</w:t>
      </w:r>
      <w:r w:rsidR="007C20F5" w:rsidRPr="006224E3">
        <w:rPr>
          <w:lang w:val="en-CA"/>
        </w:rPr>
        <w:t>8</w:t>
      </w:r>
      <w:r w:rsidR="0014469B" w:rsidRPr="006224E3">
        <w:rPr>
          <w:lang w:val="en-CA"/>
        </w:rPr>
        <w:t>6</w:t>
      </w:r>
      <w:r w:rsidR="007C20F5" w:rsidRPr="006224E3">
        <w:rPr>
          <w:lang w:val="en-CA"/>
        </w:rPr>
        <w:t>2</w:t>
      </w:r>
      <w:r w:rsidRPr="006224E3">
        <w:rPr>
          <w:lang w:val="en-CA"/>
        </w:rPr>
        <w:t xml:space="preserve"> had been disbursed (</w:t>
      </w:r>
      <w:r w:rsidR="009A3BBD" w:rsidRPr="006224E3">
        <w:rPr>
          <w:lang w:val="en-CA"/>
        </w:rPr>
        <w:t>US $</w:t>
      </w:r>
      <w:r w:rsidR="00001B4A" w:rsidRPr="006224E3">
        <w:rPr>
          <w:lang w:val="en-CA"/>
        </w:rPr>
        <w:t>9,7</w:t>
      </w:r>
      <w:r w:rsidR="007C20F5" w:rsidRPr="006224E3">
        <w:rPr>
          <w:lang w:val="en-CA"/>
        </w:rPr>
        <w:t>38,250</w:t>
      </w:r>
      <w:r w:rsidRPr="006224E3">
        <w:rPr>
          <w:lang w:val="en-CA"/>
        </w:rPr>
        <w:t xml:space="preserve"> for UNIDO and </w:t>
      </w:r>
      <w:r w:rsidR="009A3BBD" w:rsidRPr="006224E3">
        <w:rPr>
          <w:lang w:val="en-CA"/>
        </w:rPr>
        <w:t>US $</w:t>
      </w:r>
      <w:r w:rsidR="007C20F5" w:rsidRPr="006224E3">
        <w:rPr>
          <w:lang w:val="en-CA"/>
        </w:rPr>
        <w:t>838,612</w:t>
      </w:r>
      <w:r w:rsidRPr="006224E3">
        <w:rPr>
          <w:lang w:val="en-CA"/>
        </w:rPr>
        <w:t xml:space="preserve"> for the World Bank)</w:t>
      </w:r>
      <w:r w:rsidR="00AD64A7" w:rsidRPr="006224E3">
        <w:rPr>
          <w:lang w:val="en-CA"/>
        </w:rPr>
        <w:t xml:space="preserve"> a</w:t>
      </w:r>
      <w:r w:rsidR="00937B78" w:rsidRPr="006224E3">
        <w:rPr>
          <w:lang w:val="en-CA"/>
        </w:rPr>
        <w:t>s</w:t>
      </w:r>
      <w:r w:rsidR="00AD64A7" w:rsidRPr="006224E3">
        <w:rPr>
          <w:lang w:val="en-CA"/>
        </w:rPr>
        <w:t xml:space="preserve"> shown in Table 2</w:t>
      </w:r>
      <w:r w:rsidRPr="006224E3">
        <w:rPr>
          <w:lang w:val="en-CA"/>
        </w:rPr>
        <w:t xml:space="preserve">. The balance of </w:t>
      </w:r>
      <w:r w:rsidR="009A3BBD" w:rsidRPr="006224E3">
        <w:rPr>
          <w:lang w:val="en-CA"/>
        </w:rPr>
        <w:t>US $</w:t>
      </w:r>
      <w:r w:rsidR="007C20F5" w:rsidRPr="006224E3">
        <w:rPr>
          <w:lang w:val="en-CA"/>
        </w:rPr>
        <w:t>372,656</w:t>
      </w:r>
      <w:r w:rsidRPr="006224E3">
        <w:rPr>
          <w:lang w:val="en-CA"/>
        </w:rPr>
        <w:t xml:space="preserve"> will be disbursed in 2017 and 2018.</w:t>
      </w:r>
    </w:p>
    <w:p w:rsidR="001F1577" w:rsidRPr="006224E3" w:rsidRDefault="001F1577" w:rsidP="001F1577">
      <w:pPr>
        <w:rPr>
          <w:b/>
          <w:lang w:val="en-CA"/>
        </w:rPr>
      </w:pPr>
      <w:r w:rsidRPr="006224E3">
        <w:rPr>
          <w:b/>
          <w:lang w:val="en-CA"/>
        </w:rPr>
        <w:t>Table 2. Financial report of stage I of the HPMP for Argentina (</w:t>
      </w:r>
      <w:r w:rsidR="009A3BBD" w:rsidRPr="006224E3">
        <w:rPr>
          <w:b/>
          <w:lang w:val="en-CA"/>
        </w:rPr>
        <w:t>US $</w:t>
      </w:r>
      <w:r w:rsidRPr="006224E3">
        <w:rPr>
          <w:b/>
          <w:lang w:val="en-CA"/>
        </w:rPr>
        <w:t>)</w:t>
      </w:r>
    </w:p>
    <w:tbl>
      <w:tblPr>
        <w:tblStyle w:val="TableGrid"/>
        <w:tblW w:w="0" w:type="auto"/>
        <w:tblLook w:val="04A0" w:firstRow="1" w:lastRow="0" w:firstColumn="1" w:lastColumn="0" w:noHBand="0" w:noVBand="1"/>
      </w:tblPr>
      <w:tblGrid>
        <w:gridCol w:w="2216"/>
        <w:gridCol w:w="1116"/>
        <w:gridCol w:w="1595"/>
        <w:gridCol w:w="1096"/>
        <w:gridCol w:w="1173"/>
        <w:gridCol w:w="1189"/>
        <w:gridCol w:w="1191"/>
      </w:tblGrid>
      <w:tr w:rsidR="001F1577" w:rsidRPr="006224E3" w:rsidTr="00430979">
        <w:tc>
          <w:tcPr>
            <w:tcW w:w="2216" w:type="dxa"/>
            <w:vMerge w:val="restart"/>
          </w:tcPr>
          <w:p w:rsidR="001F1577" w:rsidRPr="006224E3" w:rsidRDefault="001F1577" w:rsidP="001F1577">
            <w:pPr>
              <w:jc w:val="center"/>
              <w:rPr>
                <w:b/>
                <w:sz w:val="20"/>
                <w:szCs w:val="20"/>
                <w:lang w:val="en-CA"/>
              </w:rPr>
            </w:pPr>
            <w:r w:rsidRPr="006224E3">
              <w:rPr>
                <w:b/>
                <w:sz w:val="20"/>
                <w:szCs w:val="20"/>
                <w:lang w:val="en-CA"/>
              </w:rPr>
              <w:t>Agency</w:t>
            </w:r>
          </w:p>
        </w:tc>
        <w:tc>
          <w:tcPr>
            <w:tcW w:w="2711" w:type="dxa"/>
            <w:gridSpan w:val="2"/>
          </w:tcPr>
          <w:p w:rsidR="001F1577" w:rsidRPr="006224E3" w:rsidRDefault="001F1577" w:rsidP="001F1577">
            <w:pPr>
              <w:jc w:val="center"/>
              <w:rPr>
                <w:b/>
                <w:sz w:val="20"/>
                <w:szCs w:val="20"/>
                <w:lang w:val="en-CA"/>
              </w:rPr>
            </w:pPr>
            <w:r w:rsidRPr="006224E3">
              <w:rPr>
                <w:b/>
                <w:sz w:val="20"/>
                <w:szCs w:val="20"/>
                <w:lang w:val="en-CA"/>
              </w:rPr>
              <w:t>First tranche</w:t>
            </w:r>
          </w:p>
        </w:tc>
        <w:tc>
          <w:tcPr>
            <w:tcW w:w="2269" w:type="dxa"/>
            <w:gridSpan w:val="2"/>
          </w:tcPr>
          <w:p w:rsidR="001F1577" w:rsidRPr="006224E3" w:rsidRDefault="001F1577" w:rsidP="001F1577">
            <w:pPr>
              <w:jc w:val="center"/>
              <w:rPr>
                <w:b/>
                <w:sz w:val="20"/>
                <w:szCs w:val="20"/>
                <w:lang w:val="en-CA"/>
              </w:rPr>
            </w:pPr>
            <w:r w:rsidRPr="006224E3">
              <w:rPr>
                <w:b/>
                <w:sz w:val="20"/>
                <w:szCs w:val="20"/>
                <w:lang w:val="en-CA"/>
              </w:rPr>
              <w:t>Second tranche</w:t>
            </w:r>
          </w:p>
        </w:tc>
        <w:tc>
          <w:tcPr>
            <w:tcW w:w="2380" w:type="dxa"/>
            <w:gridSpan w:val="2"/>
          </w:tcPr>
          <w:p w:rsidR="001F1577" w:rsidRPr="006224E3" w:rsidRDefault="001F1577" w:rsidP="00AD64A7">
            <w:pPr>
              <w:jc w:val="center"/>
              <w:rPr>
                <w:b/>
                <w:sz w:val="20"/>
                <w:szCs w:val="20"/>
                <w:lang w:val="en-CA"/>
              </w:rPr>
            </w:pPr>
            <w:r w:rsidRPr="006224E3">
              <w:rPr>
                <w:b/>
                <w:sz w:val="20"/>
                <w:szCs w:val="20"/>
                <w:lang w:val="en-CA"/>
              </w:rPr>
              <w:t>Total</w:t>
            </w:r>
          </w:p>
        </w:tc>
      </w:tr>
      <w:tr w:rsidR="001F1577" w:rsidRPr="006224E3" w:rsidTr="00430979">
        <w:tc>
          <w:tcPr>
            <w:tcW w:w="2216" w:type="dxa"/>
            <w:vMerge/>
          </w:tcPr>
          <w:p w:rsidR="001F1577" w:rsidRPr="006224E3" w:rsidRDefault="001F1577" w:rsidP="001F1577">
            <w:pPr>
              <w:jc w:val="center"/>
              <w:rPr>
                <w:b/>
                <w:sz w:val="20"/>
                <w:szCs w:val="20"/>
                <w:lang w:val="en-CA"/>
              </w:rPr>
            </w:pPr>
          </w:p>
        </w:tc>
        <w:tc>
          <w:tcPr>
            <w:tcW w:w="1116" w:type="dxa"/>
          </w:tcPr>
          <w:p w:rsidR="001F1577" w:rsidRPr="006224E3" w:rsidRDefault="001F1577" w:rsidP="001F1577">
            <w:pPr>
              <w:jc w:val="center"/>
              <w:rPr>
                <w:b/>
                <w:sz w:val="20"/>
                <w:szCs w:val="20"/>
                <w:lang w:val="en-CA"/>
              </w:rPr>
            </w:pPr>
            <w:r w:rsidRPr="006224E3">
              <w:rPr>
                <w:b/>
                <w:sz w:val="20"/>
                <w:szCs w:val="20"/>
                <w:lang w:val="en-CA"/>
              </w:rPr>
              <w:t>Approved</w:t>
            </w:r>
          </w:p>
        </w:tc>
        <w:tc>
          <w:tcPr>
            <w:tcW w:w="1595" w:type="dxa"/>
          </w:tcPr>
          <w:p w:rsidR="001F1577" w:rsidRPr="006224E3" w:rsidRDefault="001F1577" w:rsidP="001F1577">
            <w:pPr>
              <w:jc w:val="center"/>
              <w:rPr>
                <w:b/>
                <w:sz w:val="20"/>
                <w:szCs w:val="20"/>
                <w:lang w:val="en-CA"/>
              </w:rPr>
            </w:pPr>
            <w:r w:rsidRPr="006224E3">
              <w:rPr>
                <w:b/>
                <w:sz w:val="20"/>
                <w:szCs w:val="20"/>
                <w:lang w:val="en-CA"/>
              </w:rPr>
              <w:t>Disbursed</w:t>
            </w:r>
          </w:p>
        </w:tc>
        <w:tc>
          <w:tcPr>
            <w:tcW w:w="1096" w:type="dxa"/>
          </w:tcPr>
          <w:p w:rsidR="001F1577" w:rsidRPr="006224E3" w:rsidRDefault="001F1577" w:rsidP="001F1577">
            <w:pPr>
              <w:jc w:val="center"/>
              <w:rPr>
                <w:b/>
                <w:sz w:val="20"/>
                <w:szCs w:val="20"/>
                <w:lang w:val="en-CA"/>
              </w:rPr>
            </w:pPr>
            <w:r w:rsidRPr="006224E3">
              <w:rPr>
                <w:b/>
                <w:sz w:val="20"/>
                <w:szCs w:val="20"/>
                <w:lang w:val="en-CA"/>
              </w:rPr>
              <w:t>Approved</w:t>
            </w:r>
          </w:p>
        </w:tc>
        <w:tc>
          <w:tcPr>
            <w:tcW w:w="1173" w:type="dxa"/>
          </w:tcPr>
          <w:p w:rsidR="001F1577" w:rsidRPr="006224E3" w:rsidRDefault="001F1577" w:rsidP="001F1577">
            <w:pPr>
              <w:jc w:val="center"/>
              <w:rPr>
                <w:b/>
                <w:sz w:val="20"/>
                <w:szCs w:val="20"/>
                <w:lang w:val="en-CA"/>
              </w:rPr>
            </w:pPr>
            <w:r w:rsidRPr="006224E3">
              <w:rPr>
                <w:b/>
                <w:sz w:val="20"/>
                <w:szCs w:val="20"/>
                <w:lang w:val="en-CA"/>
              </w:rPr>
              <w:t>Disbursed</w:t>
            </w:r>
          </w:p>
        </w:tc>
        <w:tc>
          <w:tcPr>
            <w:tcW w:w="1189" w:type="dxa"/>
          </w:tcPr>
          <w:p w:rsidR="001F1577" w:rsidRPr="006224E3" w:rsidRDefault="001F1577" w:rsidP="001F1577">
            <w:pPr>
              <w:jc w:val="center"/>
              <w:rPr>
                <w:b/>
                <w:sz w:val="20"/>
                <w:szCs w:val="20"/>
                <w:lang w:val="en-CA"/>
              </w:rPr>
            </w:pPr>
            <w:r w:rsidRPr="006224E3">
              <w:rPr>
                <w:b/>
                <w:sz w:val="20"/>
                <w:szCs w:val="20"/>
                <w:lang w:val="en-CA"/>
              </w:rPr>
              <w:t>Approved</w:t>
            </w:r>
          </w:p>
        </w:tc>
        <w:tc>
          <w:tcPr>
            <w:tcW w:w="1191" w:type="dxa"/>
          </w:tcPr>
          <w:p w:rsidR="001F1577" w:rsidRPr="006224E3" w:rsidRDefault="001F1577" w:rsidP="001F1577">
            <w:pPr>
              <w:jc w:val="center"/>
              <w:rPr>
                <w:b/>
                <w:sz w:val="20"/>
                <w:szCs w:val="20"/>
                <w:lang w:val="en-CA"/>
              </w:rPr>
            </w:pPr>
            <w:r w:rsidRPr="006224E3">
              <w:rPr>
                <w:b/>
                <w:sz w:val="20"/>
                <w:szCs w:val="20"/>
                <w:lang w:val="en-CA"/>
              </w:rPr>
              <w:t>Disbursed</w:t>
            </w:r>
          </w:p>
        </w:tc>
      </w:tr>
      <w:tr w:rsidR="001F1577" w:rsidRPr="006224E3" w:rsidTr="00430979">
        <w:tc>
          <w:tcPr>
            <w:tcW w:w="2216" w:type="dxa"/>
          </w:tcPr>
          <w:p w:rsidR="001F1577" w:rsidRPr="006224E3" w:rsidRDefault="001F1577" w:rsidP="001F1577">
            <w:pPr>
              <w:rPr>
                <w:sz w:val="20"/>
                <w:szCs w:val="20"/>
                <w:lang w:val="en-CA"/>
              </w:rPr>
            </w:pPr>
            <w:r w:rsidRPr="006224E3">
              <w:rPr>
                <w:sz w:val="20"/>
                <w:szCs w:val="20"/>
                <w:lang w:val="en-CA"/>
              </w:rPr>
              <w:t>UNIDO (balance of the NPP)*</w:t>
            </w:r>
          </w:p>
        </w:tc>
        <w:tc>
          <w:tcPr>
            <w:tcW w:w="1116" w:type="dxa"/>
          </w:tcPr>
          <w:p w:rsidR="001F1577" w:rsidRPr="006224E3" w:rsidRDefault="001F1577" w:rsidP="001F1577">
            <w:pPr>
              <w:jc w:val="right"/>
              <w:rPr>
                <w:sz w:val="20"/>
                <w:szCs w:val="20"/>
                <w:lang w:val="en-CA"/>
              </w:rPr>
            </w:pPr>
            <w:r w:rsidRPr="006224E3">
              <w:rPr>
                <w:sz w:val="20"/>
                <w:szCs w:val="20"/>
                <w:lang w:val="en-CA"/>
              </w:rPr>
              <w:t>800,000</w:t>
            </w:r>
          </w:p>
        </w:tc>
        <w:tc>
          <w:tcPr>
            <w:tcW w:w="1595" w:type="dxa"/>
          </w:tcPr>
          <w:p w:rsidR="001F1577" w:rsidRPr="006224E3" w:rsidRDefault="001F1577" w:rsidP="001F1577">
            <w:pPr>
              <w:jc w:val="right"/>
              <w:rPr>
                <w:sz w:val="20"/>
                <w:szCs w:val="20"/>
                <w:lang w:val="en-CA"/>
              </w:rPr>
            </w:pPr>
            <w:r w:rsidRPr="006224E3">
              <w:rPr>
                <w:sz w:val="20"/>
                <w:szCs w:val="20"/>
                <w:lang w:val="en-CA"/>
              </w:rPr>
              <w:t>800,000</w:t>
            </w:r>
          </w:p>
        </w:tc>
        <w:tc>
          <w:tcPr>
            <w:tcW w:w="1096" w:type="dxa"/>
          </w:tcPr>
          <w:p w:rsidR="001F1577" w:rsidRPr="006224E3" w:rsidRDefault="001F1577" w:rsidP="001F1577">
            <w:pPr>
              <w:jc w:val="right"/>
              <w:rPr>
                <w:sz w:val="20"/>
                <w:szCs w:val="20"/>
                <w:lang w:val="en-CA"/>
              </w:rPr>
            </w:pPr>
            <w:r w:rsidRPr="006224E3">
              <w:rPr>
                <w:sz w:val="20"/>
                <w:szCs w:val="20"/>
                <w:lang w:val="en-CA"/>
              </w:rPr>
              <w:t>0</w:t>
            </w:r>
          </w:p>
        </w:tc>
        <w:tc>
          <w:tcPr>
            <w:tcW w:w="1173" w:type="dxa"/>
          </w:tcPr>
          <w:p w:rsidR="001F1577" w:rsidRPr="006224E3" w:rsidRDefault="001F1577" w:rsidP="001F1577">
            <w:pPr>
              <w:jc w:val="right"/>
              <w:rPr>
                <w:sz w:val="20"/>
                <w:szCs w:val="20"/>
                <w:lang w:val="en-CA"/>
              </w:rPr>
            </w:pPr>
            <w:r w:rsidRPr="006224E3">
              <w:rPr>
                <w:sz w:val="20"/>
                <w:szCs w:val="20"/>
                <w:lang w:val="en-CA"/>
              </w:rPr>
              <w:t>0</w:t>
            </w:r>
          </w:p>
        </w:tc>
        <w:tc>
          <w:tcPr>
            <w:tcW w:w="1189" w:type="dxa"/>
          </w:tcPr>
          <w:p w:rsidR="001F1577" w:rsidRPr="006224E3" w:rsidRDefault="001F1577" w:rsidP="001F1577">
            <w:pPr>
              <w:jc w:val="right"/>
              <w:rPr>
                <w:sz w:val="20"/>
                <w:szCs w:val="20"/>
                <w:lang w:val="en-CA"/>
              </w:rPr>
            </w:pPr>
            <w:r w:rsidRPr="006224E3">
              <w:rPr>
                <w:sz w:val="20"/>
                <w:szCs w:val="20"/>
                <w:lang w:val="en-CA"/>
              </w:rPr>
              <w:t>800,000</w:t>
            </w:r>
          </w:p>
        </w:tc>
        <w:tc>
          <w:tcPr>
            <w:tcW w:w="1191" w:type="dxa"/>
          </w:tcPr>
          <w:p w:rsidR="001F1577" w:rsidRPr="006224E3" w:rsidRDefault="001F1577" w:rsidP="001F1577">
            <w:pPr>
              <w:jc w:val="right"/>
              <w:rPr>
                <w:sz w:val="20"/>
                <w:szCs w:val="20"/>
                <w:lang w:val="en-CA"/>
              </w:rPr>
            </w:pPr>
            <w:r w:rsidRPr="006224E3">
              <w:rPr>
                <w:sz w:val="20"/>
                <w:szCs w:val="20"/>
                <w:lang w:val="en-CA"/>
              </w:rPr>
              <w:t>800,000</w:t>
            </w:r>
          </w:p>
        </w:tc>
      </w:tr>
      <w:tr w:rsidR="001F1577" w:rsidRPr="006224E3" w:rsidTr="00430979">
        <w:tc>
          <w:tcPr>
            <w:tcW w:w="2216" w:type="dxa"/>
          </w:tcPr>
          <w:p w:rsidR="001F1577" w:rsidRPr="006224E3" w:rsidRDefault="001F1577" w:rsidP="001F1577">
            <w:pPr>
              <w:rPr>
                <w:sz w:val="20"/>
                <w:szCs w:val="20"/>
                <w:lang w:val="en-CA"/>
              </w:rPr>
            </w:pPr>
            <w:r w:rsidRPr="006224E3">
              <w:rPr>
                <w:sz w:val="20"/>
                <w:szCs w:val="20"/>
                <w:lang w:val="en-CA"/>
              </w:rPr>
              <w:t>UNIDO</w:t>
            </w:r>
          </w:p>
        </w:tc>
        <w:tc>
          <w:tcPr>
            <w:tcW w:w="1116" w:type="dxa"/>
          </w:tcPr>
          <w:p w:rsidR="001F1577" w:rsidRPr="006224E3" w:rsidRDefault="001F1577" w:rsidP="001F1577">
            <w:pPr>
              <w:jc w:val="right"/>
              <w:rPr>
                <w:sz w:val="20"/>
                <w:szCs w:val="20"/>
                <w:lang w:val="en-CA"/>
              </w:rPr>
            </w:pPr>
            <w:r w:rsidRPr="006224E3">
              <w:rPr>
                <w:sz w:val="20"/>
                <w:szCs w:val="20"/>
                <w:lang w:val="en-CA"/>
              </w:rPr>
              <w:t>685,388</w:t>
            </w:r>
          </w:p>
        </w:tc>
        <w:tc>
          <w:tcPr>
            <w:tcW w:w="1595" w:type="dxa"/>
          </w:tcPr>
          <w:p w:rsidR="001F1577" w:rsidRPr="006224E3" w:rsidRDefault="001F1577" w:rsidP="001F1577">
            <w:pPr>
              <w:jc w:val="right"/>
              <w:rPr>
                <w:sz w:val="20"/>
                <w:szCs w:val="20"/>
                <w:lang w:val="en-CA"/>
              </w:rPr>
            </w:pPr>
            <w:r w:rsidRPr="006224E3">
              <w:rPr>
                <w:sz w:val="20"/>
                <w:szCs w:val="20"/>
                <w:lang w:val="en-CA"/>
              </w:rPr>
              <w:t>629,024</w:t>
            </w:r>
          </w:p>
        </w:tc>
        <w:tc>
          <w:tcPr>
            <w:tcW w:w="1096" w:type="dxa"/>
          </w:tcPr>
          <w:p w:rsidR="001F1577" w:rsidRPr="006224E3" w:rsidRDefault="001F1577" w:rsidP="001F1577">
            <w:pPr>
              <w:jc w:val="right"/>
              <w:rPr>
                <w:sz w:val="20"/>
                <w:szCs w:val="20"/>
                <w:lang w:val="en-CA"/>
              </w:rPr>
            </w:pPr>
            <w:r w:rsidRPr="006224E3">
              <w:rPr>
                <w:sz w:val="20"/>
                <w:szCs w:val="20"/>
                <w:lang w:val="en-CA"/>
              </w:rPr>
              <w:t>314,612</w:t>
            </w:r>
          </w:p>
        </w:tc>
        <w:tc>
          <w:tcPr>
            <w:tcW w:w="1173" w:type="dxa"/>
          </w:tcPr>
          <w:p w:rsidR="001F1577" w:rsidRPr="006224E3" w:rsidRDefault="00937B78" w:rsidP="00937B78">
            <w:pPr>
              <w:jc w:val="right"/>
              <w:rPr>
                <w:sz w:val="20"/>
                <w:szCs w:val="20"/>
                <w:lang w:val="en-CA"/>
              </w:rPr>
            </w:pPr>
            <w:r w:rsidRPr="006224E3">
              <w:rPr>
                <w:sz w:val="20"/>
                <w:szCs w:val="20"/>
                <w:lang w:val="en-CA"/>
              </w:rPr>
              <w:t>74</w:t>
            </w:r>
            <w:r w:rsidR="001F1577" w:rsidRPr="006224E3">
              <w:rPr>
                <w:sz w:val="20"/>
                <w:szCs w:val="20"/>
                <w:lang w:val="en-CA"/>
              </w:rPr>
              <w:t>,</w:t>
            </w:r>
            <w:r w:rsidRPr="006224E3">
              <w:rPr>
                <w:sz w:val="20"/>
                <w:szCs w:val="20"/>
                <w:lang w:val="en-CA"/>
              </w:rPr>
              <w:t>320</w:t>
            </w:r>
          </w:p>
        </w:tc>
        <w:tc>
          <w:tcPr>
            <w:tcW w:w="1189" w:type="dxa"/>
          </w:tcPr>
          <w:p w:rsidR="001F1577" w:rsidRPr="006224E3" w:rsidRDefault="001F1577" w:rsidP="001F1577">
            <w:pPr>
              <w:jc w:val="right"/>
              <w:rPr>
                <w:sz w:val="20"/>
                <w:szCs w:val="20"/>
                <w:lang w:val="en-CA"/>
              </w:rPr>
            </w:pPr>
            <w:r w:rsidRPr="006224E3">
              <w:rPr>
                <w:sz w:val="20"/>
                <w:szCs w:val="20"/>
                <w:lang w:val="en-CA"/>
              </w:rPr>
              <w:t>1,000,000</w:t>
            </w:r>
          </w:p>
        </w:tc>
        <w:tc>
          <w:tcPr>
            <w:tcW w:w="1191" w:type="dxa"/>
          </w:tcPr>
          <w:p w:rsidR="001F1577" w:rsidRPr="006224E3" w:rsidRDefault="00937B78" w:rsidP="00D735C8">
            <w:pPr>
              <w:jc w:val="right"/>
              <w:rPr>
                <w:sz w:val="20"/>
                <w:szCs w:val="20"/>
                <w:lang w:val="en-CA"/>
              </w:rPr>
            </w:pPr>
            <w:r w:rsidRPr="006224E3">
              <w:rPr>
                <w:sz w:val="20"/>
                <w:szCs w:val="20"/>
                <w:lang w:val="en-CA"/>
              </w:rPr>
              <w:t>703,3</w:t>
            </w:r>
            <w:r w:rsidR="00D735C8" w:rsidRPr="006224E3">
              <w:rPr>
                <w:sz w:val="20"/>
                <w:szCs w:val="20"/>
                <w:lang w:val="en-CA"/>
              </w:rPr>
              <w:t>4</w:t>
            </w:r>
            <w:r w:rsidRPr="006224E3">
              <w:rPr>
                <w:sz w:val="20"/>
                <w:szCs w:val="20"/>
                <w:lang w:val="en-CA"/>
              </w:rPr>
              <w:t>4</w:t>
            </w:r>
          </w:p>
        </w:tc>
      </w:tr>
      <w:tr w:rsidR="001F1577" w:rsidRPr="006224E3" w:rsidTr="00430979">
        <w:tc>
          <w:tcPr>
            <w:tcW w:w="2216" w:type="dxa"/>
          </w:tcPr>
          <w:p w:rsidR="001F1577" w:rsidRPr="006224E3" w:rsidRDefault="001F1577" w:rsidP="001F1577">
            <w:pPr>
              <w:rPr>
                <w:sz w:val="20"/>
                <w:szCs w:val="20"/>
                <w:lang w:val="en-CA"/>
              </w:rPr>
            </w:pPr>
            <w:r w:rsidRPr="006224E3">
              <w:rPr>
                <w:sz w:val="20"/>
                <w:szCs w:val="20"/>
                <w:lang w:val="en-CA"/>
              </w:rPr>
              <w:t>World Bank</w:t>
            </w:r>
          </w:p>
        </w:tc>
        <w:tc>
          <w:tcPr>
            <w:tcW w:w="1116" w:type="dxa"/>
          </w:tcPr>
          <w:p w:rsidR="001F1577" w:rsidRPr="006224E3" w:rsidRDefault="001F1577" w:rsidP="001F1577">
            <w:pPr>
              <w:jc w:val="right"/>
              <w:rPr>
                <w:sz w:val="20"/>
                <w:szCs w:val="20"/>
                <w:lang w:val="en-CA"/>
              </w:rPr>
            </w:pPr>
            <w:r w:rsidRPr="006224E3">
              <w:rPr>
                <w:sz w:val="20"/>
                <w:szCs w:val="20"/>
                <w:lang w:val="en-CA"/>
              </w:rPr>
              <w:t>914,612</w:t>
            </w:r>
          </w:p>
        </w:tc>
        <w:tc>
          <w:tcPr>
            <w:tcW w:w="1595" w:type="dxa"/>
          </w:tcPr>
          <w:p w:rsidR="001F1577" w:rsidRPr="006224E3" w:rsidRDefault="00937B78" w:rsidP="00937B78">
            <w:pPr>
              <w:jc w:val="right"/>
              <w:rPr>
                <w:sz w:val="20"/>
                <w:szCs w:val="20"/>
                <w:lang w:val="en-CA"/>
              </w:rPr>
            </w:pPr>
            <w:r w:rsidRPr="006224E3">
              <w:rPr>
                <w:sz w:val="20"/>
                <w:szCs w:val="20"/>
                <w:lang w:val="en-CA"/>
              </w:rPr>
              <w:t>838,612</w:t>
            </w:r>
          </w:p>
        </w:tc>
        <w:tc>
          <w:tcPr>
            <w:tcW w:w="1096" w:type="dxa"/>
          </w:tcPr>
          <w:p w:rsidR="001F1577" w:rsidRPr="006224E3" w:rsidRDefault="001F1577" w:rsidP="001F1577">
            <w:pPr>
              <w:jc w:val="right"/>
              <w:rPr>
                <w:sz w:val="20"/>
                <w:szCs w:val="20"/>
                <w:lang w:val="en-CA"/>
              </w:rPr>
            </w:pPr>
            <w:r w:rsidRPr="006224E3">
              <w:rPr>
                <w:sz w:val="20"/>
                <w:szCs w:val="20"/>
                <w:lang w:val="en-CA"/>
              </w:rPr>
              <w:t>0</w:t>
            </w:r>
          </w:p>
        </w:tc>
        <w:tc>
          <w:tcPr>
            <w:tcW w:w="1173" w:type="dxa"/>
          </w:tcPr>
          <w:p w:rsidR="001F1577" w:rsidRPr="006224E3" w:rsidRDefault="001F1577" w:rsidP="001F1577">
            <w:pPr>
              <w:jc w:val="right"/>
              <w:rPr>
                <w:sz w:val="20"/>
                <w:szCs w:val="20"/>
                <w:lang w:val="en-CA"/>
              </w:rPr>
            </w:pPr>
            <w:r w:rsidRPr="006224E3">
              <w:rPr>
                <w:sz w:val="20"/>
                <w:szCs w:val="20"/>
                <w:lang w:val="en-CA"/>
              </w:rPr>
              <w:t>0</w:t>
            </w:r>
          </w:p>
        </w:tc>
        <w:tc>
          <w:tcPr>
            <w:tcW w:w="1189" w:type="dxa"/>
          </w:tcPr>
          <w:p w:rsidR="001F1577" w:rsidRPr="006224E3" w:rsidRDefault="001F1577" w:rsidP="001F1577">
            <w:pPr>
              <w:jc w:val="right"/>
              <w:rPr>
                <w:sz w:val="20"/>
                <w:szCs w:val="20"/>
                <w:lang w:val="en-CA"/>
              </w:rPr>
            </w:pPr>
            <w:r w:rsidRPr="006224E3">
              <w:rPr>
                <w:sz w:val="20"/>
                <w:szCs w:val="20"/>
                <w:lang w:val="en-CA"/>
              </w:rPr>
              <w:t>914,612</w:t>
            </w:r>
          </w:p>
        </w:tc>
        <w:tc>
          <w:tcPr>
            <w:tcW w:w="1191" w:type="dxa"/>
          </w:tcPr>
          <w:p w:rsidR="001F1577" w:rsidRPr="006224E3" w:rsidRDefault="00F72EE8" w:rsidP="00F72EE8">
            <w:pPr>
              <w:jc w:val="right"/>
              <w:rPr>
                <w:sz w:val="20"/>
                <w:szCs w:val="20"/>
                <w:lang w:val="en-CA"/>
              </w:rPr>
            </w:pPr>
            <w:r w:rsidRPr="006224E3">
              <w:rPr>
                <w:sz w:val="20"/>
                <w:szCs w:val="20"/>
                <w:lang w:val="en-CA"/>
              </w:rPr>
              <w:t>838,612</w:t>
            </w:r>
          </w:p>
        </w:tc>
      </w:tr>
      <w:tr w:rsidR="001F1577" w:rsidRPr="006224E3" w:rsidTr="00430979">
        <w:tc>
          <w:tcPr>
            <w:tcW w:w="2216" w:type="dxa"/>
          </w:tcPr>
          <w:p w:rsidR="001F1577" w:rsidRPr="006224E3" w:rsidRDefault="001F1577" w:rsidP="001F1577">
            <w:pPr>
              <w:rPr>
                <w:b/>
                <w:sz w:val="20"/>
                <w:szCs w:val="20"/>
                <w:lang w:val="en-CA"/>
              </w:rPr>
            </w:pPr>
            <w:r w:rsidRPr="006224E3">
              <w:rPr>
                <w:b/>
                <w:sz w:val="20"/>
                <w:szCs w:val="20"/>
                <w:lang w:val="en-CA"/>
              </w:rPr>
              <w:t>Subtotal</w:t>
            </w:r>
          </w:p>
        </w:tc>
        <w:tc>
          <w:tcPr>
            <w:tcW w:w="1116" w:type="dxa"/>
          </w:tcPr>
          <w:p w:rsidR="001F1577" w:rsidRPr="006224E3" w:rsidRDefault="001F1577" w:rsidP="001F1577">
            <w:pPr>
              <w:jc w:val="right"/>
              <w:rPr>
                <w:b/>
                <w:sz w:val="20"/>
                <w:szCs w:val="20"/>
                <w:lang w:val="en-CA"/>
              </w:rPr>
            </w:pPr>
            <w:r w:rsidRPr="006224E3">
              <w:rPr>
                <w:b/>
                <w:sz w:val="20"/>
                <w:szCs w:val="20"/>
                <w:lang w:val="en-CA"/>
              </w:rPr>
              <w:t>2,400,000</w:t>
            </w:r>
          </w:p>
        </w:tc>
        <w:tc>
          <w:tcPr>
            <w:tcW w:w="1595" w:type="dxa"/>
          </w:tcPr>
          <w:p w:rsidR="001F1577" w:rsidRPr="006224E3" w:rsidRDefault="001F1577" w:rsidP="00937B78">
            <w:pPr>
              <w:jc w:val="right"/>
              <w:rPr>
                <w:b/>
                <w:sz w:val="20"/>
                <w:szCs w:val="20"/>
                <w:lang w:val="en-CA"/>
              </w:rPr>
            </w:pPr>
            <w:r w:rsidRPr="006224E3">
              <w:rPr>
                <w:b/>
                <w:sz w:val="20"/>
                <w:szCs w:val="20"/>
                <w:lang w:val="en-CA"/>
              </w:rPr>
              <w:t>2,</w:t>
            </w:r>
            <w:r w:rsidR="00937B78" w:rsidRPr="006224E3">
              <w:rPr>
                <w:b/>
                <w:sz w:val="20"/>
                <w:szCs w:val="20"/>
                <w:lang w:val="en-CA"/>
              </w:rPr>
              <w:t>267</w:t>
            </w:r>
            <w:r w:rsidRPr="006224E3">
              <w:rPr>
                <w:b/>
                <w:sz w:val="20"/>
                <w:szCs w:val="20"/>
                <w:lang w:val="en-CA"/>
              </w:rPr>
              <w:t>,</w:t>
            </w:r>
            <w:r w:rsidR="00937B78" w:rsidRPr="006224E3">
              <w:rPr>
                <w:b/>
                <w:sz w:val="20"/>
                <w:szCs w:val="20"/>
                <w:lang w:val="en-CA"/>
              </w:rPr>
              <w:t>636</w:t>
            </w:r>
          </w:p>
        </w:tc>
        <w:tc>
          <w:tcPr>
            <w:tcW w:w="1096" w:type="dxa"/>
          </w:tcPr>
          <w:p w:rsidR="001F1577" w:rsidRPr="006224E3" w:rsidRDefault="001F1577" w:rsidP="001F1577">
            <w:pPr>
              <w:jc w:val="right"/>
              <w:rPr>
                <w:b/>
                <w:sz w:val="20"/>
                <w:szCs w:val="20"/>
                <w:lang w:val="en-CA"/>
              </w:rPr>
            </w:pPr>
            <w:r w:rsidRPr="006224E3">
              <w:rPr>
                <w:b/>
                <w:sz w:val="20"/>
                <w:szCs w:val="20"/>
                <w:lang w:val="en-CA"/>
              </w:rPr>
              <w:t>314,612</w:t>
            </w:r>
          </w:p>
        </w:tc>
        <w:tc>
          <w:tcPr>
            <w:tcW w:w="1173" w:type="dxa"/>
          </w:tcPr>
          <w:p w:rsidR="001F1577" w:rsidRPr="006224E3" w:rsidRDefault="00937B78" w:rsidP="00937B78">
            <w:pPr>
              <w:jc w:val="right"/>
              <w:rPr>
                <w:b/>
                <w:sz w:val="20"/>
                <w:szCs w:val="20"/>
                <w:lang w:val="en-CA"/>
              </w:rPr>
            </w:pPr>
            <w:r w:rsidRPr="006224E3">
              <w:rPr>
                <w:b/>
                <w:sz w:val="20"/>
                <w:szCs w:val="20"/>
                <w:lang w:val="en-CA"/>
              </w:rPr>
              <w:t>74</w:t>
            </w:r>
            <w:r w:rsidR="001F1577" w:rsidRPr="006224E3">
              <w:rPr>
                <w:b/>
                <w:sz w:val="20"/>
                <w:szCs w:val="20"/>
                <w:lang w:val="en-CA"/>
              </w:rPr>
              <w:t>,</w:t>
            </w:r>
            <w:r w:rsidRPr="006224E3">
              <w:rPr>
                <w:b/>
                <w:sz w:val="20"/>
                <w:szCs w:val="20"/>
                <w:lang w:val="en-CA"/>
              </w:rPr>
              <w:t>320</w:t>
            </w:r>
          </w:p>
        </w:tc>
        <w:tc>
          <w:tcPr>
            <w:tcW w:w="1189" w:type="dxa"/>
          </w:tcPr>
          <w:p w:rsidR="001F1577" w:rsidRPr="006224E3" w:rsidRDefault="001F1577" w:rsidP="001F1577">
            <w:pPr>
              <w:jc w:val="right"/>
              <w:rPr>
                <w:b/>
                <w:sz w:val="20"/>
                <w:szCs w:val="20"/>
                <w:lang w:val="en-CA"/>
              </w:rPr>
            </w:pPr>
            <w:r w:rsidRPr="006224E3">
              <w:rPr>
                <w:b/>
                <w:sz w:val="20"/>
                <w:szCs w:val="20"/>
                <w:lang w:val="en-CA"/>
              </w:rPr>
              <w:t>2,714,612</w:t>
            </w:r>
          </w:p>
        </w:tc>
        <w:tc>
          <w:tcPr>
            <w:tcW w:w="1191" w:type="dxa"/>
          </w:tcPr>
          <w:p w:rsidR="001F1577" w:rsidRPr="006224E3" w:rsidRDefault="001F1577" w:rsidP="00937B78">
            <w:pPr>
              <w:jc w:val="right"/>
              <w:rPr>
                <w:b/>
                <w:sz w:val="20"/>
                <w:szCs w:val="20"/>
                <w:lang w:val="en-CA"/>
              </w:rPr>
            </w:pPr>
            <w:r w:rsidRPr="006224E3">
              <w:rPr>
                <w:b/>
                <w:sz w:val="20"/>
                <w:szCs w:val="20"/>
                <w:lang w:val="en-CA"/>
              </w:rPr>
              <w:t>2,3</w:t>
            </w:r>
            <w:r w:rsidR="00937B78" w:rsidRPr="006224E3">
              <w:rPr>
                <w:b/>
                <w:sz w:val="20"/>
                <w:szCs w:val="20"/>
                <w:lang w:val="en-CA"/>
              </w:rPr>
              <w:t>41</w:t>
            </w:r>
            <w:r w:rsidRPr="006224E3">
              <w:rPr>
                <w:b/>
                <w:sz w:val="20"/>
                <w:szCs w:val="20"/>
                <w:lang w:val="en-CA"/>
              </w:rPr>
              <w:t>,</w:t>
            </w:r>
            <w:r w:rsidR="00937B78" w:rsidRPr="006224E3">
              <w:rPr>
                <w:b/>
                <w:sz w:val="20"/>
                <w:szCs w:val="20"/>
                <w:lang w:val="en-CA"/>
              </w:rPr>
              <w:t>956</w:t>
            </w:r>
          </w:p>
        </w:tc>
      </w:tr>
      <w:tr w:rsidR="00430979" w:rsidRPr="006224E3" w:rsidTr="006631D1">
        <w:tc>
          <w:tcPr>
            <w:tcW w:w="2216" w:type="dxa"/>
          </w:tcPr>
          <w:p w:rsidR="00430979" w:rsidRPr="006224E3" w:rsidRDefault="00430979" w:rsidP="001F1577">
            <w:pPr>
              <w:rPr>
                <w:b/>
                <w:sz w:val="20"/>
                <w:szCs w:val="20"/>
                <w:lang w:val="en-CA"/>
              </w:rPr>
            </w:pPr>
            <w:r w:rsidRPr="006224E3">
              <w:rPr>
                <w:b/>
                <w:sz w:val="20"/>
                <w:szCs w:val="20"/>
                <w:lang w:val="en-CA"/>
              </w:rPr>
              <w:t>Disbursement rate</w:t>
            </w:r>
            <w:r w:rsidR="00BF011F" w:rsidRPr="006224E3">
              <w:rPr>
                <w:b/>
                <w:sz w:val="20"/>
                <w:szCs w:val="20"/>
                <w:lang w:val="en-CA"/>
              </w:rPr>
              <w:t xml:space="preserve"> (%)</w:t>
            </w:r>
          </w:p>
        </w:tc>
        <w:tc>
          <w:tcPr>
            <w:tcW w:w="2711" w:type="dxa"/>
            <w:gridSpan w:val="2"/>
          </w:tcPr>
          <w:p w:rsidR="00430979" w:rsidRPr="006224E3" w:rsidRDefault="00430979" w:rsidP="00937B78">
            <w:pPr>
              <w:jc w:val="right"/>
              <w:rPr>
                <w:sz w:val="20"/>
                <w:szCs w:val="20"/>
                <w:lang w:val="en-CA"/>
              </w:rPr>
            </w:pPr>
            <w:r w:rsidRPr="006224E3">
              <w:rPr>
                <w:sz w:val="20"/>
                <w:szCs w:val="20"/>
                <w:lang w:val="en-CA"/>
              </w:rPr>
              <w:t>9</w:t>
            </w:r>
            <w:r w:rsidR="00937B78" w:rsidRPr="006224E3">
              <w:rPr>
                <w:sz w:val="20"/>
                <w:szCs w:val="20"/>
                <w:lang w:val="en-CA"/>
              </w:rPr>
              <w:t>4.5</w:t>
            </w:r>
          </w:p>
        </w:tc>
        <w:tc>
          <w:tcPr>
            <w:tcW w:w="2269" w:type="dxa"/>
            <w:gridSpan w:val="2"/>
          </w:tcPr>
          <w:p w:rsidR="00430979" w:rsidRPr="006224E3" w:rsidRDefault="00937B78" w:rsidP="00080702">
            <w:pPr>
              <w:jc w:val="right"/>
              <w:rPr>
                <w:sz w:val="20"/>
                <w:szCs w:val="20"/>
                <w:lang w:val="en-CA"/>
              </w:rPr>
            </w:pPr>
            <w:r w:rsidRPr="006224E3">
              <w:rPr>
                <w:sz w:val="20"/>
                <w:szCs w:val="20"/>
                <w:lang w:val="en-CA"/>
              </w:rPr>
              <w:t>23.6</w:t>
            </w:r>
          </w:p>
        </w:tc>
        <w:tc>
          <w:tcPr>
            <w:tcW w:w="2380" w:type="dxa"/>
            <w:gridSpan w:val="2"/>
          </w:tcPr>
          <w:p w:rsidR="00430979" w:rsidRPr="006224E3" w:rsidRDefault="00430979" w:rsidP="00937B78">
            <w:pPr>
              <w:jc w:val="right"/>
              <w:rPr>
                <w:sz w:val="20"/>
                <w:szCs w:val="20"/>
                <w:lang w:val="en-CA"/>
              </w:rPr>
            </w:pPr>
            <w:r w:rsidRPr="006224E3">
              <w:rPr>
                <w:sz w:val="20"/>
                <w:szCs w:val="20"/>
                <w:lang w:val="en-CA"/>
              </w:rPr>
              <w:t>8</w:t>
            </w:r>
            <w:r w:rsidR="00937B78" w:rsidRPr="006224E3">
              <w:rPr>
                <w:sz w:val="20"/>
                <w:szCs w:val="20"/>
                <w:lang w:val="en-CA"/>
              </w:rPr>
              <w:t>6.3</w:t>
            </w:r>
          </w:p>
        </w:tc>
      </w:tr>
      <w:tr w:rsidR="001F1577" w:rsidRPr="006224E3" w:rsidTr="00430979">
        <w:tc>
          <w:tcPr>
            <w:tcW w:w="2216" w:type="dxa"/>
          </w:tcPr>
          <w:p w:rsidR="001F1577" w:rsidRPr="006224E3" w:rsidRDefault="001F1577" w:rsidP="001F1577">
            <w:pPr>
              <w:rPr>
                <w:sz w:val="20"/>
                <w:szCs w:val="20"/>
                <w:lang w:val="en-CA"/>
              </w:rPr>
            </w:pPr>
            <w:r w:rsidRPr="006224E3">
              <w:rPr>
                <w:sz w:val="20"/>
                <w:szCs w:val="20"/>
                <w:lang w:val="en-CA"/>
              </w:rPr>
              <w:t>Project on domestic AC manufacturing sector (Italy/UNIDO)**</w:t>
            </w:r>
          </w:p>
        </w:tc>
        <w:tc>
          <w:tcPr>
            <w:tcW w:w="1116" w:type="dxa"/>
          </w:tcPr>
          <w:p w:rsidR="001F1577" w:rsidRPr="006224E3" w:rsidRDefault="001F1577" w:rsidP="001F1577">
            <w:pPr>
              <w:jc w:val="right"/>
              <w:rPr>
                <w:sz w:val="20"/>
                <w:szCs w:val="20"/>
                <w:lang w:val="en-CA"/>
              </w:rPr>
            </w:pPr>
            <w:r w:rsidRPr="006224E3">
              <w:rPr>
                <w:sz w:val="20"/>
                <w:szCs w:val="20"/>
                <w:lang w:val="en-CA"/>
              </w:rPr>
              <w:t>8,234,906</w:t>
            </w:r>
          </w:p>
        </w:tc>
        <w:tc>
          <w:tcPr>
            <w:tcW w:w="1595" w:type="dxa"/>
          </w:tcPr>
          <w:p w:rsidR="001F1577" w:rsidRPr="006224E3" w:rsidRDefault="001F1577" w:rsidP="001F1577">
            <w:pPr>
              <w:jc w:val="right"/>
              <w:rPr>
                <w:sz w:val="20"/>
                <w:szCs w:val="20"/>
                <w:lang w:val="en-CA"/>
              </w:rPr>
            </w:pPr>
            <w:r w:rsidRPr="006224E3">
              <w:rPr>
                <w:sz w:val="20"/>
                <w:szCs w:val="20"/>
                <w:lang w:val="en-CA"/>
              </w:rPr>
              <w:t>8,234,906</w:t>
            </w:r>
          </w:p>
        </w:tc>
        <w:tc>
          <w:tcPr>
            <w:tcW w:w="1096" w:type="dxa"/>
          </w:tcPr>
          <w:p w:rsidR="001F1577" w:rsidRPr="006224E3" w:rsidRDefault="001F1577" w:rsidP="001F1577">
            <w:pPr>
              <w:jc w:val="right"/>
              <w:rPr>
                <w:sz w:val="20"/>
                <w:szCs w:val="20"/>
                <w:lang w:val="en-CA"/>
              </w:rPr>
            </w:pPr>
            <w:r w:rsidRPr="006224E3">
              <w:rPr>
                <w:sz w:val="20"/>
                <w:szCs w:val="20"/>
                <w:lang w:val="en-CA"/>
              </w:rPr>
              <w:t>0</w:t>
            </w:r>
          </w:p>
        </w:tc>
        <w:tc>
          <w:tcPr>
            <w:tcW w:w="1173" w:type="dxa"/>
          </w:tcPr>
          <w:p w:rsidR="001F1577" w:rsidRPr="006224E3" w:rsidRDefault="001F1577" w:rsidP="001F1577">
            <w:pPr>
              <w:jc w:val="right"/>
              <w:rPr>
                <w:sz w:val="20"/>
                <w:szCs w:val="20"/>
                <w:lang w:val="en-CA"/>
              </w:rPr>
            </w:pPr>
            <w:r w:rsidRPr="006224E3">
              <w:rPr>
                <w:sz w:val="20"/>
                <w:szCs w:val="20"/>
                <w:lang w:val="en-CA"/>
              </w:rPr>
              <w:t>0</w:t>
            </w:r>
          </w:p>
        </w:tc>
        <w:tc>
          <w:tcPr>
            <w:tcW w:w="1189" w:type="dxa"/>
          </w:tcPr>
          <w:p w:rsidR="001F1577" w:rsidRPr="006224E3" w:rsidRDefault="001F1577" w:rsidP="001F1577">
            <w:pPr>
              <w:jc w:val="right"/>
              <w:rPr>
                <w:sz w:val="20"/>
                <w:szCs w:val="20"/>
                <w:lang w:val="en-CA"/>
              </w:rPr>
            </w:pPr>
            <w:r w:rsidRPr="006224E3">
              <w:rPr>
                <w:sz w:val="20"/>
                <w:szCs w:val="20"/>
                <w:lang w:val="en-CA"/>
              </w:rPr>
              <w:t>8,234,906</w:t>
            </w:r>
          </w:p>
        </w:tc>
        <w:tc>
          <w:tcPr>
            <w:tcW w:w="1191" w:type="dxa"/>
          </w:tcPr>
          <w:p w:rsidR="001F1577" w:rsidRPr="006224E3" w:rsidRDefault="001F1577" w:rsidP="001F1577">
            <w:pPr>
              <w:jc w:val="right"/>
              <w:rPr>
                <w:sz w:val="20"/>
                <w:szCs w:val="20"/>
                <w:lang w:val="en-CA"/>
              </w:rPr>
            </w:pPr>
            <w:r w:rsidRPr="006224E3">
              <w:rPr>
                <w:sz w:val="20"/>
                <w:szCs w:val="20"/>
                <w:lang w:val="en-CA"/>
              </w:rPr>
              <w:t>8,234,906</w:t>
            </w:r>
          </w:p>
        </w:tc>
      </w:tr>
      <w:tr w:rsidR="001F1577" w:rsidRPr="006224E3" w:rsidTr="00430979">
        <w:tc>
          <w:tcPr>
            <w:tcW w:w="2216" w:type="dxa"/>
          </w:tcPr>
          <w:p w:rsidR="001F1577" w:rsidRPr="006224E3" w:rsidRDefault="001F1577" w:rsidP="001F1577">
            <w:pPr>
              <w:rPr>
                <w:b/>
                <w:sz w:val="20"/>
                <w:szCs w:val="20"/>
                <w:lang w:val="en-CA"/>
              </w:rPr>
            </w:pPr>
            <w:r w:rsidRPr="006224E3">
              <w:rPr>
                <w:b/>
                <w:sz w:val="20"/>
                <w:szCs w:val="20"/>
                <w:lang w:val="en-CA"/>
              </w:rPr>
              <w:t>Total</w:t>
            </w:r>
          </w:p>
        </w:tc>
        <w:tc>
          <w:tcPr>
            <w:tcW w:w="1116" w:type="dxa"/>
          </w:tcPr>
          <w:p w:rsidR="001F1577" w:rsidRPr="006224E3" w:rsidRDefault="001F1577" w:rsidP="001F1577">
            <w:pPr>
              <w:jc w:val="right"/>
              <w:rPr>
                <w:b/>
                <w:sz w:val="20"/>
                <w:szCs w:val="20"/>
                <w:lang w:val="en-CA"/>
              </w:rPr>
            </w:pPr>
            <w:r w:rsidRPr="006224E3">
              <w:rPr>
                <w:b/>
                <w:sz w:val="20"/>
                <w:szCs w:val="20"/>
                <w:lang w:val="en-CA"/>
              </w:rPr>
              <w:t>10,634,906</w:t>
            </w:r>
          </w:p>
        </w:tc>
        <w:tc>
          <w:tcPr>
            <w:tcW w:w="1595" w:type="dxa"/>
          </w:tcPr>
          <w:p w:rsidR="001F1577" w:rsidRPr="006224E3" w:rsidRDefault="001F1577" w:rsidP="00937B78">
            <w:pPr>
              <w:jc w:val="right"/>
              <w:rPr>
                <w:b/>
                <w:sz w:val="20"/>
                <w:szCs w:val="20"/>
                <w:lang w:val="en-CA"/>
              </w:rPr>
            </w:pPr>
            <w:r w:rsidRPr="006224E3">
              <w:rPr>
                <w:b/>
                <w:sz w:val="20"/>
                <w:szCs w:val="20"/>
                <w:lang w:val="en-CA"/>
              </w:rPr>
              <w:t>10,5</w:t>
            </w:r>
            <w:r w:rsidR="00937B78" w:rsidRPr="006224E3">
              <w:rPr>
                <w:b/>
                <w:sz w:val="20"/>
                <w:szCs w:val="20"/>
                <w:lang w:val="en-CA"/>
              </w:rPr>
              <w:t>02</w:t>
            </w:r>
            <w:r w:rsidRPr="006224E3">
              <w:rPr>
                <w:b/>
                <w:sz w:val="20"/>
                <w:szCs w:val="20"/>
                <w:lang w:val="en-CA"/>
              </w:rPr>
              <w:t>,542</w:t>
            </w:r>
          </w:p>
        </w:tc>
        <w:tc>
          <w:tcPr>
            <w:tcW w:w="1096" w:type="dxa"/>
          </w:tcPr>
          <w:p w:rsidR="001F1577" w:rsidRPr="006224E3" w:rsidRDefault="001F1577" w:rsidP="001F1577">
            <w:pPr>
              <w:jc w:val="right"/>
              <w:rPr>
                <w:b/>
                <w:sz w:val="20"/>
                <w:szCs w:val="20"/>
                <w:lang w:val="en-CA"/>
              </w:rPr>
            </w:pPr>
            <w:r w:rsidRPr="006224E3">
              <w:rPr>
                <w:b/>
                <w:sz w:val="20"/>
                <w:szCs w:val="20"/>
                <w:lang w:val="en-CA"/>
              </w:rPr>
              <w:t>314,612</w:t>
            </w:r>
          </w:p>
        </w:tc>
        <w:tc>
          <w:tcPr>
            <w:tcW w:w="1173" w:type="dxa"/>
          </w:tcPr>
          <w:p w:rsidR="001F1577" w:rsidRPr="006224E3" w:rsidRDefault="00937B78" w:rsidP="00937B78">
            <w:pPr>
              <w:jc w:val="right"/>
              <w:rPr>
                <w:b/>
                <w:sz w:val="20"/>
                <w:szCs w:val="20"/>
                <w:lang w:val="en-CA"/>
              </w:rPr>
            </w:pPr>
            <w:r w:rsidRPr="006224E3">
              <w:rPr>
                <w:b/>
                <w:sz w:val="20"/>
                <w:szCs w:val="20"/>
                <w:lang w:val="en-CA"/>
              </w:rPr>
              <w:t>74,320</w:t>
            </w:r>
          </w:p>
        </w:tc>
        <w:tc>
          <w:tcPr>
            <w:tcW w:w="1189" w:type="dxa"/>
          </w:tcPr>
          <w:p w:rsidR="001F1577" w:rsidRPr="006224E3" w:rsidRDefault="001F1577" w:rsidP="001F1577">
            <w:pPr>
              <w:jc w:val="right"/>
              <w:rPr>
                <w:b/>
                <w:sz w:val="20"/>
                <w:szCs w:val="20"/>
                <w:lang w:val="en-CA"/>
              </w:rPr>
            </w:pPr>
            <w:r w:rsidRPr="006224E3">
              <w:rPr>
                <w:b/>
                <w:sz w:val="20"/>
                <w:szCs w:val="20"/>
                <w:lang w:val="en-CA"/>
              </w:rPr>
              <w:t>10,949,518</w:t>
            </w:r>
          </w:p>
        </w:tc>
        <w:tc>
          <w:tcPr>
            <w:tcW w:w="1191" w:type="dxa"/>
          </w:tcPr>
          <w:p w:rsidR="001F1577" w:rsidRPr="006224E3" w:rsidRDefault="001F1577" w:rsidP="00F72EE8">
            <w:pPr>
              <w:jc w:val="right"/>
              <w:rPr>
                <w:b/>
                <w:sz w:val="20"/>
                <w:szCs w:val="20"/>
                <w:lang w:val="en-CA"/>
              </w:rPr>
            </w:pPr>
            <w:r w:rsidRPr="006224E3">
              <w:rPr>
                <w:b/>
                <w:sz w:val="20"/>
                <w:szCs w:val="20"/>
                <w:lang w:val="en-CA"/>
              </w:rPr>
              <w:t>10,</w:t>
            </w:r>
            <w:r w:rsidR="00937B78" w:rsidRPr="006224E3">
              <w:rPr>
                <w:b/>
                <w:sz w:val="20"/>
                <w:szCs w:val="20"/>
                <w:lang w:val="en-CA"/>
              </w:rPr>
              <w:t>576</w:t>
            </w:r>
            <w:r w:rsidRPr="006224E3">
              <w:rPr>
                <w:b/>
                <w:sz w:val="20"/>
                <w:szCs w:val="20"/>
                <w:lang w:val="en-CA"/>
              </w:rPr>
              <w:t>,</w:t>
            </w:r>
            <w:r w:rsidR="00937B78" w:rsidRPr="006224E3">
              <w:rPr>
                <w:b/>
                <w:sz w:val="20"/>
                <w:szCs w:val="20"/>
                <w:lang w:val="en-CA"/>
              </w:rPr>
              <w:t>862</w:t>
            </w:r>
          </w:p>
        </w:tc>
      </w:tr>
      <w:tr w:rsidR="001F1577" w:rsidRPr="006224E3" w:rsidTr="00430979">
        <w:tc>
          <w:tcPr>
            <w:tcW w:w="2216" w:type="dxa"/>
          </w:tcPr>
          <w:p w:rsidR="001F1577" w:rsidRPr="006224E3" w:rsidRDefault="001F1577" w:rsidP="001F1577">
            <w:pPr>
              <w:rPr>
                <w:b/>
                <w:sz w:val="20"/>
                <w:szCs w:val="20"/>
                <w:lang w:val="en-CA"/>
              </w:rPr>
            </w:pPr>
            <w:r w:rsidRPr="006224E3">
              <w:rPr>
                <w:b/>
                <w:sz w:val="20"/>
                <w:szCs w:val="20"/>
                <w:lang w:val="en-CA"/>
              </w:rPr>
              <w:t xml:space="preserve">Disbursement rate </w:t>
            </w:r>
            <w:r w:rsidR="00BF011F" w:rsidRPr="006224E3">
              <w:rPr>
                <w:b/>
                <w:sz w:val="20"/>
                <w:szCs w:val="20"/>
                <w:lang w:val="en-CA"/>
              </w:rPr>
              <w:t>(%)</w:t>
            </w:r>
          </w:p>
        </w:tc>
        <w:tc>
          <w:tcPr>
            <w:tcW w:w="2711" w:type="dxa"/>
            <w:gridSpan w:val="2"/>
          </w:tcPr>
          <w:p w:rsidR="001F1577" w:rsidRPr="006224E3" w:rsidRDefault="001F1577" w:rsidP="00937B78">
            <w:pPr>
              <w:jc w:val="right"/>
              <w:rPr>
                <w:sz w:val="20"/>
                <w:szCs w:val="20"/>
                <w:lang w:val="en-CA"/>
              </w:rPr>
            </w:pPr>
            <w:r w:rsidRPr="006224E3">
              <w:rPr>
                <w:sz w:val="20"/>
                <w:szCs w:val="20"/>
                <w:lang w:val="en-CA"/>
              </w:rPr>
              <w:t>9</w:t>
            </w:r>
            <w:r w:rsidR="00937B78" w:rsidRPr="006224E3">
              <w:rPr>
                <w:sz w:val="20"/>
                <w:szCs w:val="20"/>
                <w:lang w:val="en-CA"/>
              </w:rPr>
              <w:t>8.8</w:t>
            </w:r>
          </w:p>
        </w:tc>
        <w:tc>
          <w:tcPr>
            <w:tcW w:w="2269" w:type="dxa"/>
            <w:gridSpan w:val="2"/>
          </w:tcPr>
          <w:p w:rsidR="001F1577" w:rsidRPr="006224E3" w:rsidRDefault="00937B78" w:rsidP="00080702">
            <w:pPr>
              <w:jc w:val="right"/>
              <w:rPr>
                <w:sz w:val="20"/>
                <w:szCs w:val="20"/>
                <w:lang w:val="en-CA"/>
              </w:rPr>
            </w:pPr>
            <w:r w:rsidRPr="006224E3">
              <w:rPr>
                <w:sz w:val="20"/>
                <w:szCs w:val="20"/>
                <w:lang w:val="en-CA"/>
              </w:rPr>
              <w:t>23.6</w:t>
            </w:r>
          </w:p>
        </w:tc>
        <w:tc>
          <w:tcPr>
            <w:tcW w:w="2380" w:type="dxa"/>
            <w:gridSpan w:val="2"/>
          </w:tcPr>
          <w:p w:rsidR="001F1577" w:rsidRPr="006224E3" w:rsidRDefault="001F1577" w:rsidP="00937B78">
            <w:pPr>
              <w:jc w:val="right"/>
              <w:rPr>
                <w:sz w:val="20"/>
                <w:szCs w:val="20"/>
                <w:lang w:val="en-CA"/>
              </w:rPr>
            </w:pPr>
            <w:r w:rsidRPr="006224E3">
              <w:rPr>
                <w:sz w:val="20"/>
                <w:szCs w:val="20"/>
                <w:lang w:val="en-CA"/>
              </w:rPr>
              <w:t>9</w:t>
            </w:r>
            <w:r w:rsidR="00937B78" w:rsidRPr="006224E3">
              <w:rPr>
                <w:sz w:val="20"/>
                <w:szCs w:val="20"/>
                <w:lang w:val="en-CA"/>
              </w:rPr>
              <w:t>6.6</w:t>
            </w:r>
          </w:p>
        </w:tc>
      </w:tr>
    </w:tbl>
    <w:p w:rsidR="001F1577" w:rsidRPr="006224E3" w:rsidRDefault="001F1577" w:rsidP="001F1577">
      <w:pPr>
        <w:rPr>
          <w:sz w:val="18"/>
          <w:szCs w:val="18"/>
        </w:rPr>
      </w:pPr>
      <w:r w:rsidRPr="006224E3">
        <w:rPr>
          <w:sz w:val="18"/>
          <w:szCs w:val="18"/>
        </w:rPr>
        <w:t>*Balance from the national phase-out plan relocated for activities in the servicing sector as per decision 66/42(h).</w:t>
      </w:r>
    </w:p>
    <w:p w:rsidR="001F1577" w:rsidRPr="00A132A5" w:rsidRDefault="001F1577" w:rsidP="001F1577">
      <w:pPr>
        <w:rPr>
          <w:sz w:val="18"/>
          <w:szCs w:val="18"/>
        </w:rPr>
      </w:pPr>
      <w:r w:rsidRPr="006224E3">
        <w:rPr>
          <w:sz w:val="18"/>
          <w:szCs w:val="18"/>
        </w:rPr>
        <w:t>**Investment project approved at the 61</w:t>
      </w:r>
      <w:r w:rsidRPr="006224E3">
        <w:rPr>
          <w:sz w:val="18"/>
          <w:szCs w:val="18"/>
          <w:vertAlign w:val="superscript"/>
        </w:rPr>
        <w:t>st</w:t>
      </w:r>
      <w:r w:rsidRPr="006224E3">
        <w:rPr>
          <w:sz w:val="18"/>
          <w:szCs w:val="18"/>
        </w:rPr>
        <w:t xml:space="preserve"> meeting and subsumed in the HPMP</w:t>
      </w:r>
      <w:r w:rsidR="00AD64A7" w:rsidRPr="006224E3">
        <w:rPr>
          <w:sz w:val="18"/>
          <w:szCs w:val="18"/>
        </w:rPr>
        <w:t>, at</w:t>
      </w:r>
      <w:r w:rsidRPr="006224E3">
        <w:rPr>
          <w:sz w:val="18"/>
          <w:szCs w:val="18"/>
        </w:rPr>
        <w:t xml:space="preserve"> </w:t>
      </w:r>
      <w:r w:rsidR="009A3BBD" w:rsidRPr="006224E3">
        <w:rPr>
          <w:sz w:val="18"/>
          <w:szCs w:val="18"/>
        </w:rPr>
        <w:t>US $</w:t>
      </w:r>
      <w:r w:rsidRPr="006224E3">
        <w:rPr>
          <w:sz w:val="18"/>
          <w:szCs w:val="18"/>
        </w:rPr>
        <w:t>8,735,542</w:t>
      </w:r>
      <w:r w:rsidR="00AD64A7" w:rsidRPr="006224E3">
        <w:rPr>
          <w:sz w:val="18"/>
          <w:szCs w:val="18"/>
        </w:rPr>
        <w:t>.</w:t>
      </w:r>
      <w:r w:rsidRPr="006224E3">
        <w:rPr>
          <w:sz w:val="18"/>
          <w:szCs w:val="18"/>
        </w:rPr>
        <w:t xml:space="preserve"> </w:t>
      </w:r>
      <w:r w:rsidR="00AD64A7" w:rsidRPr="006224E3">
        <w:rPr>
          <w:sz w:val="18"/>
          <w:szCs w:val="18"/>
        </w:rPr>
        <w:t>B</w:t>
      </w:r>
      <w:r w:rsidR="00C52A48" w:rsidRPr="006224E3">
        <w:rPr>
          <w:sz w:val="18"/>
          <w:szCs w:val="18"/>
        </w:rPr>
        <w:t xml:space="preserve">alance of </w:t>
      </w:r>
      <w:r w:rsidR="009A3BBD" w:rsidRPr="006224E3">
        <w:rPr>
          <w:sz w:val="18"/>
          <w:szCs w:val="18"/>
        </w:rPr>
        <w:t>US $</w:t>
      </w:r>
      <w:r w:rsidR="00C52A48" w:rsidRPr="006224E3">
        <w:rPr>
          <w:sz w:val="18"/>
          <w:szCs w:val="18"/>
        </w:rPr>
        <w:t>500,636 plus</w:t>
      </w:r>
      <w:r w:rsidR="00C52A48" w:rsidRPr="00F329A3">
        <w:rPr>
          <w:sz w:val="18"/>
          <w:szCs w:val="18"/>
        </w:rPr>
        <w:t xml:space="preserve"> agency support costs of</w:t>
      </w:r>
      <w:r w:rsidR="00C34F67" w:rsidRPr="00F329A3">
        <w:rPr>
          <w:sz w:val="18"/>
          <w:szCs w:val="18"/>
        </w:rPr>
        <w:t xml:space="preserve"> </w:t>
      </w:r>
      <w:r w:rsidR="009A3BBD">
        <w:rPr>
          <w:sz w:val="18"/>
          <w:szCs w:val="18"/>
        </w:rPr>
        <w:t>US $</w:t>
      </w:r>
      <w:r w:rsidR="00C34F67" w:rsidRPr="00F329A3">
        <w:rPr>
          <w:sz w:val="18"/>
          <w:szCs w:val="18"/>
        </w:rPr>
        <w:t>47,337</w:t>
      </w:r>
      <w:r w:rsidR="00C52A48" w:rsidRPr="00F329A3">
        <w:rPr>
          <w:sz w:val="18"/>
          <w:szCs w:val="18"/>
        </w:rPr>
        <w:t xml:space="preserve"> is</w:t>
      </w:r>
      <w:r w:rsidRPr="00F329A3">
        <w:rPr>
          <w:sz w:val="18"/>
          <w:szCs w:val="18"/>
        </w:rPr>
        <w:t xml:space="preserve"> being returned to the 79</w:t>
      </w:r>
      <w:r w:rsidRPr="00F329A3">
        <w:rPr>
          <w:sz w:val="18"/>
          <w:szCs w:val="18"/>
          <w:vertAlign w:val="superscript"/>
        </w:rPr>
        <w:t>th</w:t>
      </w:r>
      <w:r w:rsidR="00001B4A" w:rsidRPr="00F329A3">
        <w:rPr>
          <w:sz w:val="18"/>
          <w:szCs w:val="18"/>
          <w:vertAlign w:val="superscript"/>
        </w:rPr>
        <w:t> </w:t>
      </w:r>
      <w:r w:rsidRPr="00F329A3">
        <w:rPr>
          <w:sz w:val="18"/>
          <w:szCs w:val="18"/>
        </w:rPr>
        <w:t>meeting (decision</w:t>
      </w:r>
      <w:r w:rsidR="00C34F67" w:rsidRPr="00F329A3">
        <w:rPr>
          <w:sz w:val="18"/>
          <w:szCs w:val="18"/>
        </w:rPr>
        <w:t> </w:t>
      </w:r>
      <w:r w:rsidRPr="00F329A3">
        <w:rPr>
          <w:sz w:val="18"/>
          <w:szCs w:val="18"/>
        </w:rPr>
        <w:t>77/</w:t>
      </w:r>
      <w:r w:rsidR="00C52A48" w:rsidRPr="00F329A3">
        <w:rPr>
          <w:sz w:val="18"/>
          <w:szCs w:val="18"/>
        </w:rPr>
        <w:t>17</w:t>
      </w:r>
      <w:r w:rsidRPr="00F329A3">
        <w:rPr>
          <w:sz w:val="18"/>
          <w:szCs w:val="18"/>
        </w:rPr>
        <w:t>)</w:t>
      </w:r>
      <w:r w:rsidR="00C34F67" w:rsidRPr="00F329A3">
        <w:rPr>
          <w:sz w:val="18"/>
          <w:szCs w:val="18"/>
        </w:rPr>
        <w:t>.</w:t>
      </w:r>
    </w:p>
    <w:p w:rsidR="001F1577" w:rsidRPr="00A132A5" w:rsidRDefault="001F1577" w:rsidP="001F1577"/>
    <w:p w:rsidR="001F1577" w:rsidRPr="00A132A5" w:rsidRDefault="001F1577" w:rsidP="00BF011F">
      <w:pPr>
        <w:keepNext/>
        <w:rPr>
          <w:u w:val="single"/>
          <w:lang w:val="en-CA"/>
        </w:rPr>
      </w:pPr>
      <w:r w:rsidRPr="00A132A5">
        <w:rPr>
          <w:u w:val="single"/>
          <w:lang w:val="en-CA"/>
        </w:rPr>
        <w:lastRenderedPageBreak/>
        <w:t>Implementation plan for the third tranche of the HPMP</w:t>
      </w:r>
    </w:p>
    <w:p w:rsidR="001F1577" w:rsidRPr="00A132A5" w:rsidRDefault="001F1577" w:rsidP="00BF011F">
      <w:pPr>
        <w:keepNext/>
        <w:rPr>
          <w:u w:val="single"/>
          <w:lang w:val="en-CA"/>
        </w:rPr>
      </w:pPr>
    </w:p>
    <w:p w:rsidR="001F1577" w:rsidRPr="007104B0" w:rsidRDefault="00AD64A7" w:rsidP="00BF011F">
      <w:pPr>
        <w:keepNext/>
        <w:numPr>
          <w:ilvl w:val="0"/>
          <w:numId w:val="1"/>
        </w:numPr>
        <w:spacing w:after="240"/>
        <w:outlineLvl w:val="0"/>
        <w:rPr>
          <w:lang w:val="en-CA"/>
        </w:rPr>
      </w:pPr>
      <w:r>
        <w:rPr>
          <w:lang w:val="en-CA"/>
        </w:rPr>
        <w:t>T</w:t>
      </w:r>
      <w:r w:rsidRPr="007104B0">
        <w:rPr>
          <w:lang w:val="en-CA"/>
        </w:rPr>
        <w:t xml:space="preserve">he following activities </w:t>
      </w:r>
      <w:r w:rsidR="001F1577" w:rsidRPr="007104B0">
        <w:rPr>
          <w:lang w:val="en-CA"/>
        </w:rPr>
        <w:t>will be implemented between August 2017 and December 2018:</w:t>
      </w:r>
    </w:p>
    <w:p w:rsidR="001F1577" w:rsidRPr="006224E3" w:rsidRDefault="001F1577" w:rsidP="001F1577">
      <w:pPr>
        <w:pStyle w:val="Heading2"/>
        <w:rPr>
          <w:lang w:val="en-CA"/>
        </w:rPr>
      </w:pPr>
      <w:r w:rsidRPr="004748F3">
        <w:rPr>
          <w:i/>
        </w:rPr>
        <w:t>Refrigeration servicing sector (UNIDO)</w:t>
      </w:r>
      <w:r w:rsidR="00AD64A7" w:rsidRPr="004748F3">
        <w:rPr>
          <w:i/>
        </w:rPr>
        <w:t xml:space="preserve"> </w:t>
      </w:r>
      <w:r w:rsidRPr="004748F3">
        <w:rPr>
          <w:i/>
        </w:rPr>
        <w:t>(</w:t>
      </w:r>
      <w:r w:rsidR="009A3BBD" w:rsidRPr="004748F3">
        <w:rPr>
          <w:i/>
        </w:rPr>
        <w:t>US $</w:t>
      </w:r>
      <w:r w:rsidRPr="004748F3">
        <w:rPr>
          <w:i/>
        </w:rPr>
        <w:t xml:space="preserve">110,000): </w:t>
      </w:r>
      <w:r w:rsidRPr="007104B0">
        <w:t xml:space="preserve">Continuation of technical assistance to reduce the use of HCFC-141b in flushing during </w:t>
      </w:r>
      <w:r w:rsidRPr="006224E3">
        <w:t>servicing</w:t>
      </w:r>
      <w:r w:rsidR="002A2C4F" w:rsidRPr="006224E3">
        <w:t xml:space="preserve"> including the demonstration of </w:t>
      </w:r>
      <w:r w:rsidR="006224E3" w:rsidRPr="006224E3">
        <w:t>using HFO-1233zd in</w:t>
      </w:r>
      <w:r w:rsidR="002A2C4F" w:rsidRPr="006224E3">
        <w:t xml:space="preserve"> flushing equipment</w:t>
      </w:r>
      <w:r w:rsidRPr="006224E3">
        <w:t>; continuation of the training o</w:t>
      </w:r>
      <w:r w:rsidR="00AD64A7" w:rsidRPr="006224E3">
        <w:t>f</w:t>
      </w:r>
      <w:r w:rsidRPr="006224E3">
        <w:t xml:space="preserve"> trainers on natural alternatives to HCFCs through six training sessions</w:t>
      </w:r>
      <w:r w:rsidR="004748F3" w:rsidRPr="006224E3">
        <w:t xml:space="preserve"> and a technical and economic study on the introduction of new alternatives;</w:t>
      </w:r>
      <w:r w:rsidRPr="006224E3">
        <w:t xml:space="preserve"> </w:t>
      </w:r>
      <w:r w:rsidR="004748F3" w:rsidRPr="006224E3">
        <w:t xml:space="preserve">two additional workshops for the commercial refrigeration sector; </w:t>
      </w:r>
      <w:r w:rsidRPr="006224E3">
        <w:t>and continuation of activities to facilitate the introduction of CO</w:t>
      </w:r>
      <w:r w:rsidRPr="006224E3">
        <w:rPr>
          <w:vertAlign w:val="subscript"/>
        </w:rPr>
        <w:t>2</w:t>
      </w:r>
      <w:r w:rsidRPr="006224E3">
        <w:t xml:space="preserve"> and HC refrigerants, including workshops on the availability and advantages or disadvantages of such alternatives, and </w:t>
      </w:r>
      <w:r w:rsidR="002A2C4F" w:rsidRPr="006224E3">
        <w:t>promotion of these alternatives in Argentina in cooperation with te</w:t>
      </w:r>
      <w:r w:rsidRPr="006224E3">
        <w:t>chnology providers</w:t>
      </w:r>
      <w:r w:rsidR="002A2C4F" w:rsidRPr="006224E3">
        <w:t xml:space="preserve"> from countries where such alternatives are currently being produced and used</w:t>
      </w:r>
      <w:r w:rsidRPr="006224E3">
        <w:t>; and</w:t>
      </w:r>
    </w:p>
    <w:p w:rsidR="001F1577" w:rsidRPr="007104B0" w:rsidRDefault="001F1577" w:rsidP="001F1577">
      <w:pPr>
        <w:pStyle w:val="Heading2"/>
        <w:rPr>
          <w:lang w:val="en-CA"/>
        </w:rPr>
      </w:pPr>
      <w:r w:rsidRPr="007104B0">
        <w:rPr>
          <w:i/>
        </w:rPr>
        <w:t>Project coordination and monitoring strategy (UNIDO)(</w:t>
      </w:r>
      <w:r w:rsidR="009A3BBD">
        <w:rPr>
          <w:i/>
        </w:rPr>
        <w:t>US $</w:t>
      </w:r>
      <w:r w:rsidRPr="007104B0">
        <w:rPr>
          <w:i/>
        </w:rPr>
        <w:t xml:space="preserve">15,000): </w:t>
      </w:r>
      <w:r w:rsidRPr="007104B0">
        <w:t xml:space="preserve">Continuation of monitoring of the production, imports and exports of HCFCs, the consumption in the different sectors, implementation of overarching strategy, and coordination of all activities related to the third tranche </w:t>
      </w:r>
      <w:r>
        <w:t xml:space="preserve">of the </w:t>
      </w:r>
      <w:r w:rsidRPr="007104B0">
        <w:t>HPMP.</w:t>
      </w:r>
    </w:p>
    <w:p w:rsidR="001F1577" w:rsidRDefault="001F1577" w:rsidP="001F1577">
      <w:pPr>
        <w:jc w:val="center"/>
        <w:rPr>
          <w:b/>
          <w:lang w:val="en-CA"/>
        </w:rPr>
      </w:pPr>
    </w:p>
    <w:p w:rsidR="001F1577" w:rsidRPr="00A132A5" w:rsidRDefault="001F1577" w:rsidP="001F1577">
      <w:pPr>
        <w:jc w:val="center"/>
        <w:rPr>
          <w:b/>
          <w:lang w:val="en-CA"/>
        </w:rPr>
      </w:pPr>
      <w:r w:rsidRPr="00A132A5">
        <w:rPr>
          <w:b/>
          <w:lang w:val="en-CA"/>
        </w:rPr>
        <w:t>SECRETARIAT’S COMMENTS AND RECOMMENDATION</w:t>
      </w:r>
    </w:p>
    <w:p w:rsidR="001F1577" w:rsidRPr="00A132A5" w:rsidRDefault="001F1577" w:rsidP="001F1577">
      <w:pPr>
        <w:jc w:val="center"/>
        <w:rPr>
          <w:b/>
          <w:lang w:val="en-CA"/>
        </w:rPr>
      </w:pPr>
    </w:p>
    <w:p w:rsidR="001F1577" w:rsidRPr="00A132A5" w:rsidRDefault="001F1577" w:rsidP="001F1577">
      <w:pPr>
        <w:rPr>
          <w:b/>
          <w:lang w:val="en-CA"/>
        </w:rPr>
      </w:pPr>
      <w:r w:rsidRPr="00A132A5">
        <w:rPr>
          <w:b/>
          <w:lang w:val="en-CA"/>
        </w:rPr>
        <w:t>COMMENTS</w:t>
      </w:r>
    </w:p>
    <w:p w:rsidR="001F1577" w:rsidRPr="00A132A5" w:rsidRDefault="001F1577" w:rsidP="001F1577">
      <w:pPr>
        <w:rPr>
          <w:lang w:val="en-CA"/>
        </w:rPr>
      </w:pPr>
    </w:p>
    <w:p w:rsidR="001F1577" w:rsidRPr="00A132A5" w:rsidRDefault="001F1577" w:rsidP="001F1577">
      <w:pPr>
        <w:rPr>
          <w:u w:val="single"/>
          <w:lang w:val="en-CA"/>
        </w:rPr>
      </w:pPr>
      <w:r w:rsidRPr="00A132A5">
        <w:rPr>
          <w:u w:val="single"/>
          <w:lang w:val="en-CA"/>
        </w:rPr>
        <w:t>Progress report on the implementation of the second tranche of the HPMP</w:t>
      </w:r>
    </w:p>
    <w:p w:rsidR="001F1577" w:rsidRPr="00A132A5" w:rsidRDefault="001F1577" w:rsidP="001F1577">
      <w:pPr>
        <w:rPr>
          <w:lang w:val="en-CA"/>
        </w:rPr>
      </w:pPr>
    </w:p>
    <w:p w:rsidR="001F1577" w:rsidRPr="00A132A5" w:rsidRDefault="001F1577" w:rsidP="001F1577">
      <w:pPr>
        <w:rPr>
          <w:i/>
          <w:lang w:val="en-CA"/>
        </w:rPr>
      </w:pPr>
      <w:r w:rsidRPr="00A132A5">
        <w:rPr>
          <w:i/>
          <w:lang w:val="en-CA"/>
        </w:rPr>
        <w:t>Legal framework</w:t>
      </w:r>
    </w:p>
    <w:p w:rsidR="001F1577" w:rsidRPr="00A132A5" w:rsidRDefault="001F1577" w:rsidP="001F1577">
      <w:pPr>
        <w:rPr>
          <w:lang w:val="en-CA"/>
        </w:rPr>
      </w:pPr>
    </w:p>
    <w:p w:rsidR="001F1577" w:rsidRPr="006224E3" w:rsidRDefault="001F1577" w:rsidP="001F1577">
      <w:pPr>
        <w:numPr>
          <w:ilvl w:val="0"/>
          <w:numId w:val="1"/>
        </w:numPr>
        <w:spacing w:after="240"/>
        <w:outlineLvl w:val="0"/>
        <w:rPr>
          <w:lang w:val="en-CA"/>
        </w:rPr>
      </w:pPr>
      <w:r w:rsidRPr="006224E3">
        <w:rPr>
          <w:lang w:val="en-CA"/>
        </w:rPr>
        <w:t>The Government of Argentina has already issued HCFC import quotas for 2017</w:t>
      </w:r>
      <w:r w:rsidR="00AD64A7" w:rsidRPr="006224E3">
        <w:rPr>
          <w:lang w:val="en-CA"/>
        </w:rPr>
        <w:t xml:space="preserve">, at </w:t>
      </w:r>
      <w:r w:rsidR="00AD7FF2" w:rsidRPr="006224E3">
        <w:rPr>
          <w:lang w:val="en-CA"/>
        </w:rPr>
        <w:t>147.93</w:t>
      </w:r>
      <w:r w:rsidR="00673FC0" w:rsidRPr="006224E3">
        <w:rPr>
          <w:lang w:val="en-CA"/>
        </w:rPr>
        <w:t> ODP tonnes</w:t>
      </w:r>
      <w:r w:rsidR="00AD64A7" w:rsidRPr="006224E3">
        <w:rPr>
          <w:lang w:val="en-CA"/>
        </w:rPr>
        <w:t xml:space="preserve">, </w:t>
      </w:r>
      <w:r w:rsidRPr="006224E3">
        <w:rPr>
          <w:lang w:val="en-CA"/>
        </w:rPr>
        <w:t xml:space="preserve">which </w:t>
      </w:r>
      <w:r w:rsidR="00AD64A7" w:rsidRPr="006224E3">
        <w:rPr>
          <w:lang w:val="en-CA"/>
        </w:rPr>
        <w:t>is</w:t>
      </w:r>
      <w:r w:rsidRPr="006224E3">
        <w:rPr>
          <w:lang w:val="en-CA"/>
        </w:rPr>
        <w:t xml:space="preserve"> lower than the consumption levels allowed under the Montreal Protocol</w:t>
      </w:r>
      <w:r w:rsidR="00FC2360" w:rsidRPr="006224E3">
        <w:rPr>
          <w:lang w:val="en-CA"/>
        </w:rPr>
        <w:t xml:space="preserve"> and lower than the expected</w:t>
      </w:r>
      <w:r w:rsidR="00F6731A" w:rsidRPr="006224E3">
        <w:rPr>
          <w:lang w:val="en-CA"/>
        </w:rPr>
        <w:t xml:space="preserve"> HCFC</w:t>
      </w:r>
      <w:r w:rsidR="00FC2360" w:rsidRPr="006224E3">
        <w:rPr>
          <w:lang w:val="en-CA"/>
        </w:rPr>
        <w:t xml:space="preserve"> consumption for the year as </w:t>
      </w:r>
      <w:r w:rsidR="00AD7FF2" w:rsidRPr="006224E3">
        <w:rPr>
          <w:lang w:val="en-CA"/>
        </w:rPr>
        <w:t xml:space="preserve">Argentina </w:t>
      </w:r>
      <w:r w:rsidR="00FC2360" w:rsidRPr="006224E3">
        <w:rPr>
          <w:lang w:val="en-CA"/>
        </w:rPr>
        <w:t xml:space="preserve">also </w:t>
      </w:r>
      <w:r w:rsidR="00AD7FF2" w:rsidRPr="006224E3">
        <w:rPr>
          <w:lang w:val="en-CA"/>
        </w:rPr>
        <w:t>produce</w:t>
      </w:r>
      <w:r w:rsidR="009B7C34" w:rsidRPr="006224E3">
        <w:rPr>
          <w:lang w:val="en-CA"/>
        </w:rPr>
        <w:t>s</w:t>
      </w:r>
      <w:r w:rsidR="00AD7FF2" w:rsidRPr="006224E3">
        <w:rPr>
          <w:lang w:val="en-CA"/>
        </w:rPr>
        <w:t xml:space="preserve"> HCFC-22.</w:t>
      </w:r>
    </w:p>
    <w:p w:rsidR="001F1577" w:rsidRPr="00A132A5" w:rsidRDefault="001F1577" w:rsidP="001F1577">
      <w:pPr>
        <w:rPr>
          <w:i/>
          <w:lang w:val="en-CA"/>
        </w:rPr>
      </w:pPr>
      <w:r w:rsidRPr="00A132A5">
        <w:rPr>
          <w:i/>
          <w:lang w:val="en-CA"/>
        </w:rPr>
        <w:t>Refrigeration servicing sector</w:t>
      </w:r>
    </w:p>
    <w:p w:rsidR="001F1577" w:rsidRPr="00A132A5" w:rsidRDefault="001F1577" w:rsidP="001F1577">
      <w:pPr>
        <w:rPr>
          <w:lang w:val="en-CA"/>
        </w:rPr>
      </w:pPr>
    </w:p>
    <w:p w:rsidR="004748F3" w:rsidRDefault="001F1577" w:rsidP="001F1577">
      <w:pPr>
        <w:pStyle w:val="Heading1"/>
        <w:rPr>
          <w:lang w:val="en-CA"/>
        </w:rPr>
      </w:pPr>
      <w:r w:rsidRPr="004748F3">
        <w:rPr>
          <w:lang w:val="en-CA"/>
        </w:rPr>
        <w:t xml:space="preserve">The Secretariat noted that the target of 2,000 technicians to be trained in stage I was surpassed and additional technicians </w:t>
      </w:r>
      <w:r w:rsidR="00AD64A7" w:rsidRPr="004748F3">
        <w:rPr>
          <w:lang w:val="en-CA"/>
        </w:rPr>
        <w:t xml:space="preserve">will </w:t>
      </w:r>
      <w:r w:rsidRPr="004748F3">
        <w:rPr>
          <w:lang w:val="en-CA"/>
        </w:rPr>
        <w:t xml:space="preserve">continue to be trained </w:t>
      </w:r>
      <w:r w:rsidR="00AD64A7" w:rsidRPr="004748F3">
        <w:rPr>
          <w:lang w:val="en-CA"/>
        </w:rPr>
        <w:t>in</w:t>
      </w:r>
      <w:r w:rsidRPr="004748F3">
        <w:rPr>
          <w:lang w:val="en-CA"/>
        </w:rPr>
        <w:t xml:space="preserve"> 2017 and 2018. With regard to customs training, UNIDO confirmed that the ten workshops for 206 officers in seven cities included in the last report was the final target for the stage</w:t>
      </w:r>
      <w:r w:rsidR="00AD64A7" w:rsidRPr="004748F3">
        <w:rPr>
          <w:lang w:val="en-CA"/>
        </w:rPr>
        <w:t xml:space="preserve"> I of the HPMP</w:t>
      </w:r>
      <w:r w:rsidRPr="004748F3">
        <w:rPr>
          <w:lang w:val="en-CA"/>
        </w:rPr>
        <w:t xml:space="preserve">. </w:t>
      </w:r>
    </w:p>
    <w:p w:rsidR="001F1577" w:rsidRPr="004748F3" w:rsidRDefault="001F1577" w:rsidP="001F1577">
      <w:pPr>
        <w:pStyle w:val="Heading1"/>
        <w:rPr>
          <w:lang w:val="en-CA"/>
        </w:rPr>
      </w:pPr>
      <w:r w:rsidRPr="004748F3">
        <w:rPr>
          <w:lang w:val="en-CA"/>
        </w:rPr>
        <w:t xml:space="preserve">On the availability of alternatives to HCFC, UNIDO referred to the results of the ODS </w:t>
      </w:r>
      <w:r w:rsidR="00AD64A7" w:rsidRPr="004748F3">
        <w:rPr>
          <w:lang w:val="en-CA"/>
        </w:rPr>
        <w:t xml:space="preserve">alternatives </w:t>
      </w:r>
      <w:r w:rsidRPr="004748F3">
        <w:rPr>
          <w:lang w:val="en-CA"/>
        </w:rPr>
        <w:t xml:space="preserve">surveys, which provided a comprehensive overview of </w:t>
      </w:r>
      <w:r w:rsidR="00AD64A7" w:rsidRPr="004748F3">
        <w:rPr>
          <w:lang w:val="en-CA"/>
        </w:rPr>
        <w:t xml:space="preserve">alternatives in </w:t>
      </w:r>
      <w:r w:rsidRPr="004748F3">
        <w:rPr>
          <w:lang w:val="en-CA"/>
        </w:rPr>
        <w:t>the local market. According to the survey, the main barriers to a more widespread use of HC and CO</w:t>
      </w:r>
      <w:r w:rsidRPr="004748F3">
        <w:rPr>
          <w:vertAlign w:val="subscript"/>
          <w:lang w:val="en-CA"/>
        </w:rPr>
        <w:t>2</w:t>
      </w:r>
      <w:r w:rsidRPr="004748F3">
        <w:rPr>
          <w:lang w:val="en-CA"/>
        </w:rPr>
        <w:t xml:space="preserve"> in commercial refrigeration appliances </w:t>
      </w:r>
      <w:r w:rsidR="00AD64A7" w:rsidRPr="004748F3">
        <w:rPr>
          <w:lang w:val="en-CA"/>
        </w:rPr>
        <w:t>we</w:t>
      </w:r>
      <w:r w:rsidRPr="004748F3">
        <w:rPr>
          <w:lang w:val="en-CA"/>
        </w:rPr>
        <w:t>re the cost of conversion due to safety requirements (HC), increased capital costs, and the need for technicians with better skills (CO</w:t>
      </w:r>
      <w:r w:rsidRPr="004748F3">
        <w:rPr>
          <w:vertAlign w:val="subscript"/>
          <w:lang w:val="en-CA"/>
        </w:rPr>
        <w:t>2</w:t>
      </w:r>
      <w:r w:rsidRPr="004748F3">
        <w:rPr>
          <w:lang w:val="en-CA"/>
        </w:rPr>
        <w:t>).</w:t>
      </w:r>
      <w:r w:rsidR="004748F3" w:rsidRPr="004748F3">
        <w:rPr>
          <w:lang w:val="en-CA"/>
        </w:rPr>
        <w:t xml:space="preserve"> </w:t>
      </w:r>
      <w:r w:rsidRPr="004748F3">
        <w:rPr>
          <w:lang w:val="en-CA"/>
        </w:rPr>
        <w:t>Ammonia/CO</w:t>
      </w:r>
      <w:r w:rsidRPr="004748F3">
        <w:rPr>
          <w:vertAlign w:val="subscript"/>
          <w:lang w:val="en-CA"/>
        </w:rPr>
        <w:t>2</w:t>
      </w:r>
      <w:r w:rsidRPr="004748F3">
        <w:rPr>
          <w:lang w:val="en-CA"/>
        </w:rPr>
        <w:t xml:space="preserve"> systems are considered a possible option in industrial refrigeration to reduce the charge of ammonia and decrease toxicity risk. </w:t>
      </w:r>
      <w:r w:rsidR="004748F3" w:rsidRPr="004748F3">
        <w:rPr>
          <w:lang w:val="en-CA"/>
        </w:rPr>
        <w:t>A Multilateral Fund project to demonstrate trans-critical CO</w:t>
      </w:r>
      <w:r w:rsidR="004748F3" w:rsidRPr="004748F3">
        <w:rPr>
          <w:vertAlign w:val="subscript"/>
          <w:lang w:val="en-CA"/>
        </w:rPr>
        <w:t>2</w:t>
      </w:r>
      <w:r w:rsidR="004748F3" w:rsidRPr="004748F3">
        <w:rPr>
          <w:lang w:val="en-CA"/>
        </w:rPr>
        <w:t xml:space="preserve"> is currently being implemented. </w:t>
      </w:r>
      <w:r w:rsidRPr="004748F3">
        <w:rPr>
          <w:lang w:val="en-CA"/>
        </w:rPr>
        <w:t xml:space="preserve">The new synthetic low-GWP refrigerants are not yet commercially available in Argentina. </w:t>
      </w:r>
      <w:r w:rsidR="004748F3">
        <w:rPr>
          <w:lang w:val="en-CA"/>
        </w:rPr>
        <w:t xml:space="preserve"> </w:t>
      </w:r>
    </w:p>
    <w:p w:rsidR="001F1577" w:rsidRPr="00EA6D8C" w:rsidRDefault="001F1577" w:rsidP="00F72EE8">
      <w:pPr>
        <w:keepNext/>
        <w:rPr>
          <w:i/>
          <w:lang w:val="en-CA"/>
        </w:rPr>
      </w:pPr>
      <w:r w:rsidRPr="00EA6D8C">
        <w:rPr>
          <w:i/>
          <w:lang w:val="en-CA"/>
        </w:rPr>
        <w:t>Plan of action for the final tranche and date of completion of stage I</w:t>
      </w:r>
    </w:p>
    <w:p w:rsidR="001F1577" w:rsidRPr="00EA6D8C" w:rsidRDefault="001F1577" w:rsidP="00F72EE8">
      <w:pPr>
        <w:keepNext/>
        <w:rPr>
          <w:i/>
          <w:lang w:val="en-CA"/>
        </w:rPr>
      </w:pPr>
    </w:p>
    <w:p w:rsidR="001F1577" w:rsidRPr="006224E3" w:rsidRDefault="001F1577" w:rsidP="00F72EE8">
      <w:pPr>
        <w:pStyle w:val="Heading1"/>
        <w:keepNext/>
        <w:rPr>
          <w:lang w:val="en-CA"/>
        </w:rPr>
      </w:pPr>
      <w:r w:rsidRPr="00EA6D8C">
        <w:rPr>
          <w:lang w:val="en-CA"/>
        </w:rPr>
        <w:t xml:space="preserve">The Government of Argentina has confirmed through UNIDO that the date of completion of stage I </w:t>
      </w:r>
      <w:proofErr w:type="gramStart"/>
      <w:r w:rsidRPr="00EA6D8C">
        <w:rPr>
          <w:lang w:val="en-CA"/>
        </w:rPr>
        <w:t>continues</w:t>
      </w:r>
      <w:proofErr w:type="gramEnd"/>
      <w:r w:rsidRPr="00EA6D8C">
        <w:rPr>
          <w:lang w:val="en-CA"/>
        </w:rPr>
        <w:t xml:space="preserve"> to be </w:t>
      </w:r>
      <w:r w:rsidR="00D735C8">
        <w:rPr>
          <w:lang w:val="en-CA"/>
        </w:rPr>
        <w:t>31 </w:t>
      </w:r>
      <w:r w:rsidRPr="00EA6D8C">
        <w:rPr>
          <w:lang w:val="en-CA"/>
        </w:rPr>
        <w:t>December</w:t>
      </w:r>
      <w:r w:rsidR="00D735C8">
        <w:rPr>
          <w:lang w:val="en-CA"/>
        </w:rPr>
        <w:t> </w:t>
      </w:r>
      <w:r w:rsidRPr="00EA6D8C">
        <w:rPr>
          <w:lang w:val="en-CA"/>
        </w:rPr>
        <w:t xml:space="preserve">2018, as per paragraph 14 of the Agreement between the </w:t>
      </w:r>
      <w:r w:rsidRPr="00EA6D8C">
        <w:rPr>
          <w:lang w:val="en-CA"/>
        </w:rPr>
        <w:lastRenderedPageBreak/>
        <w:t>Government and the Executive Committee</w:t>
      </w:r>
      <w:r w:rsidRPr="006224E3">
        <w:rPr>
          <w:lang w:val="en-CA"/>
        </w:rPr>
        <w:t>.</w:t>
      </w:r>
      <w:r w:rsidR="00EA6D8C" w:rsidRPr="006224E3">
        <w:rPr>
          <w:lang w:val="en-CA"/>
        </w:rPr>
        <w:t xml:space="preserve"> Stage II of the HPMP </w:t>
      </w:r>
      <w:r w:rsidR="00F72EE8" w:rsidRPr="006224E3">
        <w:rPr>
          <w:lang w:val="en-CA"/>
        </w:rPr>
        <w:t>ha</w:t>
      </w:r>
      <w:r w:rsidR="007C1F6C" w:rsidRPr="006224E3">
        <w:rPr>
          <w:lang w:val="en-CA"/>
        </w:rPr>
        <w:t>s</w:t>
      </w:r>
      <w:r w:rsidR="00F72EE8" w:rsidRPr="006224E3">
        <w:rPr>
          <w:lang w:val="en-CA"/>
        </w:rPr>
        <w:t xml:space="preserve"> been</w:t>
      </w:r>
      <w:r w:rsidR="00EA6D8C" w:rsidRPr="006224E3">
        <w:rPr>
          <w:lang w:val="en-CA"/>
        </w:rPr>
        <w:t xml:space="preserve"> submitted for consideration t</w:t>
      </w:r>
      <w:r w:rsidR="00F72EE8" w:rsidRPr="006224E3">
        <w:rPr>
          <w:lang w:val="en-CA"/>
        </w:rPr>
        <w:t>o</w:t>
      </w:r>
      <w:r w:rsidR="00EA6D8C" w:rsidRPr="006224E3">
        <w:rPr>
          <w:lang w:val="en-CA"/>
        </w:rPr>
        <w:t xml:space="preserve"> the 79</w:t>
      </w:r>
      <w:r w:rsidR="00EA6D8C" w:rsidRPr="006224E3">
        <w:rPr>
          <w:vertAlign w:val="superscript"/>
          <w:lang w:val="en-CA"/>
        </w:rPr>
        <w:t>th</w:t>
      </w:r>
      <w:r w:rsidR="00F72EE8" w:rsidRPr="006224E3">
        <w:rPr>
          <w:lang w:val="en-CA"/>
        </w:rPr>
        <w:t> </w:t>
      </w:r>
      <w:r w:rsidR="00EA6D8C" w:rsidRPr="006224E3">
        <w:rPr>
          <w:lang w:val="en-CA"/>
        </w:rPr>
        <w:t xml:space="preserve">meeting. </w:t>
      </w:r>
    </w:p>
    <w:p w:rsidR="00774F2D" w:rsidRPr="006224E3" w:rsidRDefault="00774F2D" w:rsidP="00774F2D">
      <w:pPr>
        <w:rPr>
          <w:u w:val="single"/>
          <w:lang w:val="en-CA"/>
        </w:rPr>
      </w:pPr>
      <w:r w:rsidRPr="006224E3">
        <w:rPr>
          <w:u w:val="single"/>
          <w:lang w:val="en-CA"/>
        </w:rPr>
        <w:t>Conclusion</w:t>
      </w:r>
    </w:p>
    <w:p w:rsidR="00774F2D" w:rsidRPr="006224E3" w:rsidRDefault="00774F2D" w:rsidP="00774F2D">
      <w:pPr>
        <w:rPr>
          <w:lang w:val="en-CA"/>
        </w:rPr>
      </w:pPr>
    </w:p>
    <w:p w:rsidR="000A09A6" w:rsidRPr="006224E3" w:rsidRDefault="006224E3" w:rsidP="000A09A6">
      <w:pPr>
        <w:pStyle w:val="Heading1"/>
        <w:rPr>
          <w:lang w:val="en-CA"/>
        </w:rPr>
      </w:pPr>
      <w:r w:rsidRPr="006224E3">
        <w:rPr>
          <w:lang w:val="en-CA"/>
        </w:rPr>
        <w:t xml:space="preserve">The Government of </w:t>
      </w:r>
      <w:r w:rsidR="000A09A6" w:rsidRPr="006224E3">
        <w:rPr>
          <w:lang w:val="en-CA"/>
        </w:rPr>
        <w:t xml:space="preserve">Argentina continued implementing its HCFC import and export licensing and quota system. </w:t>
      </w:r>
      <w:r w:rsidRPr="006224E3">
        <w:rPr>
          <w:lang w:val="en-CA"/>
        </w:rPr>
        <w:t xml:space="preserve">The </w:t>
      </w:r>
      <w:r w:rsidR="000A09A6" w:rsidRPr="006224E3">
        <w:rPr>
          <w:lang w:val="en-CA"/>
        </w:rPr>
        <w:t xml:space="preserve">HCFC consumption levels in 2015 and 2016 </w:t>
      </w:r>
      <w:r w:rsidRPr="006224E3">
        <w:rPr>
          <w:lang w:val="en-CA"/>
        </w:rPr>
        <w:t>we</w:t>
      </w:r>
      <w:r w:rsidR="000A09A6" w:rsidRPr="006224E3">
        <w:rPr>
          <w:lang w:val="en-CA"/>
        </w:rPr>
        <w:t xml:space="preserve">re below the 10 per cent control measure in 2015 as corroborated by the independent verification reports. The level of HCFC-22 production is also in compliance with the established target for 2015 as indicated in the HCFC-22 production monitoring report. </w:t>
      </w:r>
      <w:r w:rsidRPr="006224E3">
        <w:rPr>
          <w:lang w:val="en-CA"/>
        </w:rPr>
        <w:t xml:space="preserve"> The country</w:t>
      </w:r>
      <w:r w:rsidR="000A09A6" w:rsidRPr="006224E3">
        <w:rPr>
          <w:lang w:val="en-CA"/>
        </w:rPr>
        <w:t xml:space="preserve"> completed the conversion of the room AC manufacturi</w:t>
      </w:r>
      <w:r w:rsidR="007C1F6C" w:rsidRPr="006224E3">
        <w:rPr>
          <w:lang w:val="en-CA"/>
        </w:rPr>
        <w:t>ng sector, phasing out 53.5 ODP </w:t>
      </w:r>
      <w:r w:rsidR="000A09A6" w:rsidRPr="006224E3">
        <w:rPr>
          <w:lang w:val="en-CA"/>
        </w:rPr>
        <w:t>tonnes of HCFC-22 and the conversion of one PU foam manufacturing enterprise, phasing out 18.46</w:t>
      </w:r>
      <w:r w:rsidR="007C1F6C" w:rsidRPr="006224E3">
        <w:rPr>
          <w:lang w:val="en-CA"/>
        </w:rPr>
        <w:t> </w:t>
      </w:r>
      <w:r w:rsidR="000A09A6" w:rsidRPr="006224E3">
        <w:rPr>
          <w:lang w:val="en-CA"/>
        </w:rPr>
        <w:t>ODP</w:t>
      </w:r>
      <w:r w:rsidR="007C1F6C" w:rsidRPr="006224E3">
        <w:rPr>
          <w:lang w:val="en-CA"/>
        </w:rPr>
        <w:t> </w:t>
      </w:r>
      <w:r w:rsidR="000A09A6" w:rsidRPr="006224E3">
        <w:rPr>
          <w:lang w:val="en-CA"/>
        </w:rPr>
        <w:t>tonnes of HCFC-141b</w:t>
      </w:r>
      <w:r w:rsidRPr="006224E3">
        <w:rPr>
          <w:lang w:val="en-CA"/>
        </w:rPr>
        <w:t>,</w:t>
      </w:r>
      <w:r w:rsidR="000A09A6" w:rsidRPr="006224E3">
        <w:rPr>
          <w:lang w:val="en-CA"/>
        </w:rPr>
        <w:t xml:space="preserve"> a</w:t>
      </w:r>
      <w:r w:rsidRPr="006224E3">
        <w:rPr>
          <w:lang w:val="en-CA"/>
        </w:rPr>
        <w:t>nd</w:t>
      </w:r>
      <w:r w:rsidR="000A09A6" w:rsidRPr="006224E3">
        <w:rPr>
          <w:lang w:val="en-CA"/>
        </w:rPr>
        <w:t xml:space="preserve"> continued the implementation of activities in the refrigeration servicing sector, with an emphasis on technician training. UNIDO, the World Bank and the Government of Italy have disbursed 96.6 per cent of the approved funds.</w:t>
      </w:r>
    </w:p>
    <w:p w:rsidR="00EE67DE" w:rsidRPr="003747F5" w:rsidRDefault="00EE67DE" w:rsidP="00EE67DE">
      <w:pPr>
        <w:pStyle w:val="Heading1"/>
        <w:numPr>
          <w:ilvl w:val="0"/>
          <w:numId w:val="0"/>
        </w:numPr>
        <w:rPr>
          <w:b/>
          <w:lang w:val="en-CA"/>
        </w:rPr>
      </w:pPr>
      <w:r w:rsidRPr="003747F5">
        <w:rPr>
          <w:b/>
          <w:lang w:val="en-CA"/>
        </w:rPr>
        <w:t>RECOMMENDATION</w:t>
      </w:r>
    </w:p>
    <w:p w:rsidR="00BB2763" w:rsidRDefault="00BB2763" w:rsidP="00F72EE8">
      <w:pPr>
        <w:pStyle w:val="Heading1"/>
        <w:rPr>
          <w:lang w:val="en-CA"/>
        </w:rPr>
      </w:pPr>
      <w:r>
        <w:rPr>
          <w:lang w:val="en-CA"/>
        </w:rPr>
        <w:t xml:space="preserve">The Fund Secretariat recommends that the Executive Committee: </w:t>
      </w:r>
    </w:p>
    <w:p w:rsidR="00BB2763" w:rsidRDefault="00BB2763" w:rsidP="00BB2763">
      <w:pPr>
        <w:pStyle w:val="Heading2"/>
        <w:numPr>
          <w:ilvl w:val="1"/>
          <w:numId w:val="31"/>
        </w:numPr>
        <w:rPr>
          <w:lang w:val="en-CA"/>
        </w:rPr>
      </w:pPr>
      <w:r>
        <w:rPr>
          <w:lang w:val="en-CA"/>
        </w:rPr>
        <w:t xml:space="preserve">Takes note of the progress report on the implementation of the </w:t>
      </w:r>
      <w:r w:rsidR="002472EB">
        <w:rPr>
          <w:lang w:val="en-CA"/>
        </w:rPr>
        <w:t xml:space="preserve">second </w:t>
      </w:r>
      <w:r>
        <w:rPr>
          <w:lang w:val="en-CA"/>
        </w:rPr>
        <w:t>tranche of stage I of the HCFC phase-out management plan of (HPMP) for Argentina; and</w:t>
      </w:r>
    </w:p>
    <w:p w:rsidR="00BB2763" w:rsidRDefault="00BB2763" w:rsidP="00BB2763">
      <w:pPr>
        <w:pStyle w:val="Heading2"/>
        <w:numPr>
          <w:ilvl w:val="1"/>
          <w:numId w:val="31"/>
        </w:numPr>
        <w:rPr>
          <w:lang w:val="en-CA"/>
        </w:rPr>
      </w:pPr>
      <w:proofErr w:type="gramStart"/>
      <w:r>
        <w:rPr>
          <w:lang w:val="en-CA"/>
        </w:rPr>
        <w:t>Requests the Government of Argentina, UNIDO and the World Bank to submit the project completion report to the second meeting of the Executive Committee in 2019.</w:t>
      </w:r>
      <w:proofErr w:type="gramEnd"/>
      <w:r>
        <w:rPr>
          <w:lang w:val="en-CA"/>
        </w:rPr>
        <w:t xml:space="preserve"> </w:t>
      </w:r>
    </w:p>
    <w:p w:rsidR="00BB2763" w:rsidRDefault="00BB2763" w:rsidP="00F72EE8">
      <w:pPr>
        <w:pStyle w:val="Heading1"/>
        <w:rPr>
          <w:lang w:val="en-CA"/>
        </w:rPr>
      </w:pPr>
      <w:r>
        <w:rPr>
          <w:lang w:val="en-CA"/>
        </w:rPr>
        <w:t>The Fund Secretariat further recommends blanket approval of the third and final tranche of stage I of the HPMP for Argentina, and the corresponding 2017-2018 tranche implementation plan, at the funding level shown in the table below:</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3"/>
        <w:gridCol w:w="1621"/>
        <w:gridCol w:w="1381"/>
        <w:gridCol w:w="1591"/>
      </w:tblGrid>
      <w:tr w:rsidR="00BB2763" w:rsidTr="00BB2763">
        <w:tc>
          <w:tcPr>
            <w:tcW w:w="540" w:type="dxa"/>
            <w:tcBorders>
              <w:top w:val="single" w:sz="4" w:space="0" w:color="auto"/>
              <w:left w:val="single" w:sz="4" w:space="0" w:color="auto"/>
              <w:bottom w:val="single" w:sz="4" w:space="0" w:color="auto"/>
              <w:right w:val="single" w:sz="4" w:space="0" w:color="auto"/>
            </w:tcBorders>
          </w:tcPr>
          <w:p w:rsidR="00BB2763" w:rsidRDefault="00BB2763">
            <w:pPr>
              <w:jc w:val="center"/>
              <w:rPr>
                <w:b/>
                <w:bCs/>
                <w:sz w:val="20"/>
                <w:szCs w:val="20"/>
                <w:lang w:val="en-CA"/>
              </w:rPr>
            </w:pPr>
          </w:p>
        </w:tc>
        <w:tc>
          <w:tcPr>
            <w:tcW w:w="4320" w:type="dxa"/>
            <w:tcBorders>
              <w:top w:val="single" w:sz="4" w:space="0" w:color="auto"/>
              <w:left w:val="single" w:sz="4" w:space="0" w:color="auto"/>
              <w:bottom w:val="single" w:sz="4" w:space="0" w:color="auto"/>
              <w:right w:val="single" w:sz="4" w:space="0" w:color="auto"/>
            </w:tcBorders>
            <w:hideMark/>
          </w:tcPr>
          <w:p w:rsidR="00BB2763" w:rsidRDefault="00BB2763">
            <w:pPr>
              <w:jc w:val="center"/>
              <w:rPr>
                <w:b/>
                <w:bCs/>
                <w:sz w:val="20"/>
                <w:szCs w:val="20"/>
                <w:lang w:val="en-CA"/>
              </w:rPr>
            </w:pPr>
            <w:r>
              <w:rPr>
                <w:b/>
                <w:bCs/>
                <w:sz w:val="20"/>
                <w:szCs w:val="20"/>
                <w:lang w:val="en-CA"/>
              </w:rPr>
              <w:t>Project title</w:t>
            </w:r>
          </w:p>
        </w:tc>
        <w:tc>
          <w:tcPr>
            <w:tcW w:w="16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BB2763" w:rsidRDefault="00BB2763">
            <w:pPr>
              <w:jc w:val="center"/>
              <w:rPr>
                <w:b/>
                <w:bCs/>
                <w:sz w:val="20"/>
                <w:szCs w:val="20"/>
                <w:lang w:val="en-CA"/>
              </w:rPr>
            </w:pPr>
            <w:r>
              <w:rPr>
                <w:b/>
                <w:bCs/>
                <w:sz w:val="20"/>
                <w:szCs w:val="20"/>
                <w:lang w:val="en-CA"/>
              </w:rPr>
              <w:t>Project funding (US $)</w:t>
            </w:r>
          </w:p>
        </w:tc>
        <w:tc>
          <w:tcPr>
            <w:tcW w:w="13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BB2763" w:rsidRDefault="00BB2763">
            <w:pPr>
              <w:jc w:val="center"/>
              <w:rPr>
                <w:b/>
                <w:bCs/>
                <w:sz w:val="20"/>
                <w:szCs w:val="20"/>
                <w:lang w:val="en-CA"/>
              </w:rPr>
            </w:pPr>
            <w:r>
              <w:rPr>
                <w:b/>
                <w:bCs/>
                <w:sz w:val="20"/>
                <w:szCs w:val="20"/>
                <w:lang w:val="en-CA"/>
              </w:rPr>
              <w:t>Support cost (US $)</w:t>
            </w:r>
          </w:p>
        </w:tc>
        <w:tc>
          <w:tcPr>
            <w:tcW w:w="15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BB2763" w:rsidRDefault="00BB2763">
            <w:pPr>
              <w:jc w:val="center"/>
              <w:rPr>
                <w:b/>
                <w:bCs/>
                <w:sz w:val="20"/>
                <w:szCs w:val="20"/>
                <w:lang w:val="en-CA"/>
              </w:rPr>
            </w:pPr>
            <w:r>
              <w:rPr>
                <w:b/>
                <w:bCs/>
                <w:sz w:val="20"/>
                <w:szCs w:val="20"/>
                <w:lang w:val="en-CA"/>
              </w:rPr>
              <w:t>Implementing agency</w:t>
            </w:r>
          </w:p>
        </w:tc>
      </w:tr>
      <w:tr w:rsidR="00BB2763" w:rsidTr="00BB2763">
        <w:tc>
          <w:tcPr>
            <w:tcW w:w="540" w:type="dxa"/>
            <w:tcBorders>
              <w:top w:val="single" w:sz="4" w:space="0" w:color="auto"/>
              <w:left w:val="single" w:sz="4" w:space="0" w:color="auto"/>
              <w:bottom w:val="single" w:sz="4" w:space="0" w:color="auto"/>
              <w:right w:val="single" w:sz="4" w:space="0" w:color="auto"/>
            </w:tcBorders>
            <w:hideMark/>
          </w:tcPr>
          <w:p w:rsidR="00BB2763" w:rsidRDefault="00BB2763">
            <w:pPr>
              <w:rPr>
                <w:sz w:val="20"/>
                <w:szCs w:val="20"/>
                <w:lang w:val="en-CA"/>
              </w:rPr>
            </w:pPr>
            <w:r>
              <w:rPr>
                <w:sz w:val="20"/>
                <w:szCs w:val="20"/>
                <w:lang w:val="en-CA"/>
              </w:rPr>
              <w:t>(a)</w:t>
            </w:r>
          </w:p>
        </w:tc>
        <w:tc>
          <w:tcPr>
            <w:tcW w:w="4320" w:type="dxa"/>
            <w:tcBorders>
              <w:top w:val="single" w:sz="4" w:space="0" w:color="auto"/>
              <w:left w:val="single" w:sz="4" w:space="0" w:color="auto"/>
              <w:bottom w:val="single" w:sz="4" w:space="0" w:color="auto"/>
              <w:right w:val="single" w:sz="4" w:space="0" w:color="auto"/>
            </w:tcBorders>
            <w:hideMark/>
          </w:tcPr>
          <w:p w:rsidR="00BB2763" w:rsidRDefault="00BB2763">
            <w:pPr>
              <w:rPr>
                <w:sz w:val="20"/>
                <w:szCs w:val="20"/>
                <w:lang w:val="en-CA"/>
              </w:rPr>
            </w:pPr>
            <w:r>
              <w:rPr>
                <w:sz w:val="20"/>
                <w:szCs w:val="20"/>
                <w:lang w:val="en-CA"/>
              </w:rPr>
              <w:t>HCFC phase-out management plan (stage I, third and final tranche)</w:t>
            </w:r>
          </w:p>
        </w:tc>
        <w:tc>
          <w:tcPr>
            <w:tcW w:w="1620" w:type="dxa"/>
            <w:tcBorders>
              <w:top w:val="single" w:sz="4" w:space="0" w:color="auto"/>
              <w:left w:val="single" w:sz="4" w:space="0" w:color="auto"/>
              <w:bottom w:val="single" w:sz="4" w:space="0" w:color="auto"/>
              <w:right w:val="single" w:sz="4" w:space="0" w:color="auto"/>
            </w:tcBorders>
            <w:hideMark/>
          </w:tcPr>
          <w:p w:rsidR="00BB2763" w:rsidRDefault="00BB2763">
            <w:pPr>
              <w:jc w:val="right"/>
              <w:rPr>
                <w:sz w:val="20"/>
                <w:szCs w:val="20"/>
                <w:lang w:val="en-CA"/>
              </w:rPr>
            </w:pPr>
            <w:r>
              <w:rPr>
                <w:sz w:val="20"/>
                <w:szCs w:val="20"/>
                <w:lang w:val="en-CA"/>
              </w:rPr>
              <w:t>125,000</w:t>
            </w:r>
          </w:p>
        </w:tc>
        <w:tc>
          <w:tcPr>
            <w:tcW w:w="1380" w:type="dxa"/>
            <w:tcBorders>
              <w:top w:val="single" w:sz="4" w:space="0" w:color="auto"/>
              <w:left w:val="single" w:sz="4" w:space="0" w:color="auto"/>
              <w:bottom w:val="single" w:sz="4" w:space="0" w:color="auto"/>
              <w:right w:val="single" w:sz="4" w:space="0" w:color="auto"/>
            </w:tcBorders>
            <w:hideMark/>
          </w:tcPr>
          <w:p w:rsidR="00BB2763" w:rsidRDefault="00BB2763">
            <w:pPr>
              <w:jc w:val="right"/>
              <w:rPr>
                <w:lang w:val="en-CA"/>
              </w:rPr>
            </w:pPr>
            <w:r>
              <w:rPr>
                <w:lang w:val="en-CA"/>
              </w:rPr>
              <w:t>8,750</w:t>
            </w:r>
          </w:p>
        </w:tc>
        <w:tc>
          <w:tcPr>
            <w:tcW w:w="1590" w:type="dxa"/>
            <w:tcBorders>
              <w:top w:val="single" w:sz="4" w:space="0" w:color="auto"/>
              <w:left w:val="single" w:sz="4" w:space="0" w:color="auto"/>
              <w:bottom w:val="single" w:sz="4" w:space="0" w:color="auto"/>
              <w:right w:val="single" w:sz="4" w:space="0" w:color="auto"/>
            </w:tcBorders>
            <w:hideMark/>
          </w:tcPr>
          <w:p w:rsidR="00BB2763" w:rsidRDefault="00BB2763">
            <w:pPr>
              <w:jc w:val="center"/>
              <w:rPr>
                <w:sz w:val="20"/>
                <w:szCs w:val="20"/>
                <w:lang w:val="en-CA"/>
              </w:rPr>
            </w:pPr>
            <w:r>
              <w:rPr>
                <w:sz w:val="20"/>
                <w:szCs w:val="20"/>
                <w:lang w:val="en-CA"/>
              </w:rPr>
              <w:t>UNIDO</w:t>
            </w:r>
          </w:p>
        </w:tc>
      </w:tr>
    </w:tbl>
    <w:p w:rsidR="00BB2763" w:rsidRDefault="00BB2763" w:rsidP="00BB2763">
      <w:pPr>
        <w:jc w:val="left"/>
        <w:rPr>
          <w:b/>
        </w:rPr>
      </w:pPr>
    </w:p>
    <w:p w:rsidR="00774F2D" w:rsidRPr="00572436" w:rsidRDefault="00774F2D" w:rsidP="00774F2D">
      <w:pPr>
        <w:rPr>
          <w:lang w:val="en-CA"/>
        </w:rPr>
      </w:pPr>
    </w:p>
    <w:p w:rsidR="00774F2D" w:rsidRPr="001F368D" w:rsidRDefault="00774F2D" w:rsidP="00774F2D">
      <w:pPr>
        <w:pStyle w:val="Heading3"/>
        <w:numPr>
          <w:ilvl w:val="0"/>
          <w:numId w:val="0"/>
        </w:numPr>
        <w:spacing w:after="0"/>
        <w:rPr>
          <w:lang w:val="en-CA"/>
        </w:rPr>
      </w:pPr>
    </w:p>
    <w:p w:rsidR="001F1577" w:rsidRDefault="001F1577">
      <w:pPr>
        <w:jc w:val="left"/>
        <w:rPr>
          <w:b/>
          <w:lang w:val="en-CA"/>
        </w:rPr>
      </w:pPr>
      <w:r>
        <w:rPr>
          <w:b/>
          <w:lang w:val="en-CA"/>
        </w:rPr>
        <w:br w:type="page"/>
      </w:r>
    </w:p>
    <w:p w:rsidR="00136540" w:rsidRDefault="00136540">
      <w:pPr>
        <w:jc w:val="left"/>
        <w:rPr>
          <w:lang w:val="en-CA"/>
        </w:rPr>
      </w:pPr>
    </w:p>
    <w:p w:rsidR="008D5781" w:rsidRPr="009A6248" w:rsidRDefault="008D5781" w:rsidP="008D5781">
      <w:pPr>
        <w:jc w:val="center"/>
        <w:rPr>
          <w:b/>
          <w:sz w:val="17"/>
          <w:szCs w:val="17"/>
          <w:lang w:val="en-CA"/>
        </w:rPr>
      </w:pPr>
      <w:r w:rsidRPr="009A6248">
        <w:rPr>
          <w:b/>
          <w:sz w:val="17"/>
          <w:szCs w:val="17"/>
          <w:lang w:val="en-CA"/>
        </w:rPr>
        <w:t>PROJECT EVALUATION SHEET – MULTI-YEAR PROJECTS</w:t>
      </w:r>
    </w:p>
    <w:p w:rsidR="008D5781" w:rsidRPr="009A6248" w:rsidRDefault="008D5781" w:rsidP="008D5781">
      <w:pPr>
        <w:jc w:val="center"/>
        <w:rPr>
          <w:b/>
          <w:sz w:val="17"/>
          <w:szCs w:val="17"/>
          <w:lang w:val="en-CA"/>
        </w:rPr>
      </w:pPr>
      <w:r w:rsidRPr="009A6248">
        <w:rPr>
          <w:b/>
          <w:sz w:val="17"/>
          <w:szCs w:val="17"/>
          <w:lang w:val="en-CA"/>
        </w:rPr>
        <w:t>Argentina</w:t>
      </w:r>
    </w:p>
    <w:p w:rsidR="008D5781" w:rsidRPr="009A6248" w:rsidRDefault="008D5781" w:rsidP="008D5781">
      <w:pPr>
        <w:jc w:val="center"/>
        <w:rPr>
          <w:sz w:val="17"/>
          <w:szCs w:val="17"/>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763"/>
        <w:gridCol w:w="4813"/>
      </w:tblGrid>
      <w:tr w:rsidR="006C2706" w:rsidRPr="00477601" w:rsidTr="00873C07">
        <w:trPr>
          <w:trHeight w:val="240"/>
        </w:trPr>
        <w:tc>
          <w:tcPr>
            <w:tcW w:w="2487" w:type="pct"/>
            <w:tcBorders>
              <w:top w:val="single" w:sz="4" w:space="0" w:color="666699"/>
              <w:left w:val="single" w:sz="4" w:space="0" w:color="666699"/>
              <w:bottom w:val="single" w:sz="4" w:space="0" w:color="666699"/>
              <w:right w:val="single" w:sz="4" w:space="0" w:color="666699"/>
            </w:tcBorders>
            <w:hideMark/>
          </w:tcPr>
          <w:p w:rsidR="006C2706" w:rsidRPr="00477601" w:rsidRDefault="006C2706" w:rsidP="0008710F">
            <w:pPr>
              <w:spacing w:after="80"/>
              <w:jc w:val="left"/>
              <w:rPr>
                <w:b/>
                <w:sz w:val="14"/>
                <w:szCs w:val="14"/>
              </w:rPr>
            </w:pPr>
            <w:r w:rsidRPr="00477601">
              <w:rPr>
                <w:b/>
                <w:sz w:val="14"/>
                <w:szCs w:val="14"/>
              </w:rPr>
              <w:t>(I) PROJECT TITLE</w:t>
            </w:r>
          </w:p>
        </w:tc>
        <w:tc>
          <w:tcPr>
            <w:tcW w:w="2513" w:type="pct"/>
            <w:tcBorders>
              <w:top w:val="single" w:sz="4" w:space="0" w:color="666699"/>
              <w:left w:val="single" w:sz="4" w:space="0" w:color="666699"/>
              <w:bottom w:val="single" w:sz="4" w:space="0" w:color="666699"/>
              <w:right w:val="single" w:sz="4" w:space="0" w:color="666699"/>
            </w:tcBorders>
            <w:hideMark/>
          </w:tcPr>
          <w:p w:rsidR="006C2706" w:rsidRPr="00477601" w:rsidRDefault="006C2706" w:rsidP="0008710F">
            <w:pPr>
              <w:spacing w:after="80"/>
              <w:jc w:val="center"/>
              <w:rPr>
                <w:b/>
                <w:sz w:val="14"/>
                <w:szCs w:val="14"/>
              </w:rPr>
            </w:pPr>
            <w:r w:rsidRPr="00477601">
              <w:rPr>
                <w:b/>
                <w:sz w:val="14"/>
                <w:szCs w:val="14"/>
              </w:rPr>
              <w:t>AGENCY</w:t>
            </w:r>
          </w:p>
        </w:tc>
      </w:tr>
      <w:tr w:rsidR="006C2706" w:rsidRPr="00477601" w:rsidTr="00873C07">
        <w:trPr>
          <w:trHeight w:val="240"/>
        </w:trPr>
        <w:tc>
          <w:tcPr>
            <w:tcW w:w="2487" w:type="pct"/>
            <w:tcBorders>
              <w:top w:val="single" w:sz="4" w:space="0" w:color="666699"/>
              <w:left w:val="single" w:sz="4" w:space="0" w:color="666699"/>
              <w:bottom w:val="single" w:sz="4" w:space="0" w:color="666699"/>
              <w:right w:val="single" w:sz="4" w:space="0" w:color="666699"/>
            </w:tcBorders>
            <w:hideMark/>
          </w:tcPr>
          <w:p w:rsidR="006C2706" w:rsidRPr="00477601" w:rsidRDefault="006C2706" w:rsidP="0008710F">
            <w:pPr>
              <w:spacing w:after="80"/>
              <w:jc w:val="center"/>
              <w:rPr>
                <w:sz w:val="14"/>
                <w:szCs w:val="14"/>
              </w:rPr>
            </w:pPr>
            <w:r w:rsidRPr="00477601">
              <w:rPr>
                <w:sz w:val="14"/>
                <w:szCs w:val="14"/>
              </w:rPr>
              <w:t>HCFC phase</w:t>
            </w:r>
            <w:r>
              <w:rPr>
                <w:sz w:val="14"/>
                <w:szCs w:val="14"/>
              </w:rPr>
              <w:t>-</w:t>
            </w:r>
            <w:r w:rsidRPr="00477601">
              <w:rPr>
                <w:sz w:val="14"/>
                <w:szCs w:val="14"/>
              </w:rPr>
              <w:t>out plan (Stage II)</w:t>
            </w:r>
          </w:p>
        </w:tc>
        <w:tc>
          <w:tcPr>
            <w:tcW w:w="2513" w:type="pct"/>
            <w:tcBorders>
              <w:top w:val="single" w:sz="4" w:space="0" w:color="666699"/>
              <w:left w:val="single" w:sz="4" w:space="0" w:color="666699"/>
              <w:bottom w:val="single" w:sz="4" w:space="0" w:color="666699"/>
              <w:right w:val="single" w:sz="4" w:space="0" w:color="666699"/>
            </w:tcBorders>
            <w:hideMark/>
          </w:tcPr>
          <w:p w:rsidR="006C2706" w:rsidRPr="00477601" w:rsidRDefault="006C2706" w:rsidP="004836D4">
            <w:pPr>
              <w:spacing w:after="80"/>
              <w:jc w:val="center"/>
              <w:rPr>
                <w:sz w:val="14"/>
                <w:szCs w:val="14"/>
              </w:rPr>
            </w:pPr>
            <w:r w:rsidRPr="00477601">
              <w:rPr>
                <w:sz w:val="14"/>
                <w:szCs w:val="14"/>
              </w:rPr>
              <w:t>UN</w:t>
            </w:r>
            <w:r>
              <w:rPr>
                <w:sz w:val="14"/>
                <w:szCs w:val="14"/>
              </w:rPr>
              <w:t>IDO (lead)/World Bank</w:t>
            </w:r>
            <w:r w:rsidR="004836D4">
              <w:rPr>
                <w:sz w:val="14"/>
                <w:szCs w:val="14"/>
              </w:rPr>
              <w:t>/Italy</w:t>
            </w:r>
          </w:p>
        </w:tc>
      </w:tr>
    </w:tbl>
    <w:p w:rsidR="006C2706" w:rsidRPr="009A6248" w:rsidRDefault="006C2706" w:rsidP="008D5781">
      <w:pPr>
        <w:spacing w:after="60"/>
        <w:jc w:val="left"/>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80"/>
        <w:gridCol w:w="2298"/>
        <w:gridCol w:w="2298"/>
      </w:tblGrid>
      <w:tr w:rsidR="008D5781" w:rsidRPr="009A6248" w:rsidTr="00873C07">
        <w:trPr>
          <w:trHeight w:val="240"/>
        </w:trPr>
        <w:tc>
          <w:tcPr>
            <w:tcW w:w="2600" w:type="pct"/>
            <w:shd w:val="clear" w:color="auto" w:fill="auto"/>
          </w:tcPr>
          <w:p w:rsidR="008D5781" w:rsidRPr="009A6248" w:rsidRDefault="008D5781" w:rsidP="0008710F">
            <w:pPr>
              <w:spacing w:after="60"/>
              <w:jc w:val="left"/>
              <w:rPr>
                <w:b/>
                <w:sz w:val="16"/>
                <w:szCs w:val="16"/>
              </w:rPr>
            </w:pPr>
            <w:r w:rsidRPr="009A6248">
              <w:rPr>
                <w:b/>
                <w:sz w:val="16"/>
                <w:szCs w:val="16"/>
              </w:rPr>
              <w:t>(II) LATEST ARTICLE 7 DATA (Annex C Group l)</w:t>
            </w:r>
          </w:p>
        </w:tc>
        <w:tc>
          <w:tcPr>
            <w:tcW w:w="1200" w:type="pct"/>
            <w:shd w:val="clear" w:color="auto" w:fill="auto"/>
          </w:tcPr>
          <w:p w:rsidR="008D5781" w:rsidRPr="009A6248" w:rsidRDefault="008D5781" w:rsidP="0008710F">
            <w:pPr>
              <w:spacing w:after="60"/>
              <w:jc w:val="left"/>
              <w:rPr>
                <w:sz w:val="16"/>
                <w:szCs w:val="16"/>
              </w:rPr>
            </w:pPr>
            <w:r w:rsidRPr="009A6248">
              <w:rPr>
                <w:sz w:val="16"/>
                <w:szCs w:val="16"/>
              </w:rPr>
              <w:t>Year: 2015</w:t>
            </w:r>
          </w:p>
        </w:tc>
        <w:tc>
          <w:tcPr>
            <w:tcW w:w="1200" w:type="pct"/>
            <w:shd w:val="clear" w:color="auto" w:fill="auto"/>
          </w:tcPr>
          <w:p w:rsidR="008D5781" w:rsidRPr="009A6248" w:rsidRDefault="008D5781" w:rsidP="0008710F">
            <w:pPr>
              <w:spacing w:after="60"/>
              <w:jc w:val="right"/>
              <w:rPr>
                <w:sz w:val="16"/>
                <w:szCs w:val="16"/>
              </w:rPr>
            </w:pPr>
            <w:r w:rsidRPr="009A6248">
              <w:rPr>
                <w:sz w:val="16"/>
                <w:szCs w:val="16"/>
              </w:rPr>
              <w:t>295.4 (ODP tonnes)</w:t>
            </w:r>
          </w:p>
        </w:tc>
      </w:tr>
    </w:tbl>
    <w:p w:rsidR="008D5781" w:rsidRPr="009A6248" w:rsidRDefault="008D5781" w:rsidP="008D5781">
      <w:pPr>
        <w:spacing w:after="60"/>
        <w:jc w:val="left"/>
        <w:rPr>
          <w:b/>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67"/>
        <w:gridCol w:w="860"/>
        <w:gridCol w:w="581"/>
        <w:gridCol w:w="812"/>
        <w:gridCol w:w="1170"/>
        <w:gridCol w:w="990"/>
        <w:gridCol w:w="808"/>
        <w:gridCol w:w="902"/>
        <w:gridCol w:w="900"/>
        <w:gridCol w:w="1186"/>
      </w:tblGrid>
      <w:tr w:rsidR="008D5781" w:rsidRPr="009A6248" w:rsidTr="00873C07">
        <w:trPr>
          <w:trHeight w:val="240"/>
        </w:trPr>
        <w:tc>
          <w:tcPr>
            <w:tcW w:w="3911" w:type="pct"/>
            <w:gridSpan w:val="8"/>
            <w:shd w:val="clear" w:color="auto" w:fill="auto"/>
          </w:tcPr>
          <w:p w:rsidR="008D5781" w:rsidRPr="007464D5" w:rsidRDefault="008D5781" w:rsidP="0008710F">
            <w:pPr>
              <w:spacing w:after="60"/>
              <w:jc w:val="left"/>
              <w:rPr>
                <w:b/>
                <w:sz w:val="16"/>
                <w:szCs w:val="16"/>
              </w:rPr>
            </w:pPr>
            <w:r w:rsidRPr="007464D5">
              <w:rPr>
                <w:b/>
                <w:sz w:val="16"/>
                <w:szCs w:val="16"/>
              </w:rPr>
              <w:t>(III) LATEST COUNTRY PROGRAMME SECTORAL DATA (ODP tonnes)</w:t>
            </w:r>
          </w:p>
        </w:tc>
        <w:tc>
          <w:tcPr>
            <w:tcW w:w="1089" w:type="pct"/>
            <w:gridSpan w:val="2"/>
            <w:shd w:val="clear" w:color="auto" w:fill="auto"/>
          </w:tcPr>
          <w:p w:rsidR="008D5781" w:rsidRPr="007464D5" w:rsidRDefault="008D5781" w:rsidP="0008710F">
            <w:pPr>
              <w:spacing w:after="60"/>
              <w:jc w:val="right"/>
              <w:rPr>
                <w:b/>
                <w:sz w:val="16"/>
                <w:szCs w:val="16"/>
              </w:rPr>
            </w:pPr>
            <w:r w:rsidRPr="007464D5">
              <w:rPr>
                <w:b/>
                <w:sz w:val="16"/>
                <w:szCs w:val="16"/>
              </w:rPr>
              <w:t>Year: 2016</w:t>
            </w: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Chemical</w:t>
            </w:r>
          </w:p>
        </w:tc>
        <w:tc>
          <w:tcPr>
            <w:tcW w:w="449" w:type="pct"/>
            <w:shd w:val="clear" w:color="auto" w:fill="auto"/>
          </w:tcPr>
          <w:p w:rsidR="008D5781" w:rsidRPr="007464D5" w:rsidRDefault="008D5781" w:rsidP="0008710F">
            <w:pPr>
              <w:spacing w:after="60"/>
              <w:jc w:val="left"/>
              <w:rPr>
                <w:sz w:val="16"/>
                <w:szCs w:val="16"/>
              </w:rPr>
            </w:pPr>
            <w:r w:rsidRPr="007464D5">
              <w:rPr>
                <w:sz w:val="16"/>
                <w:szCs w:val="16"/>
              </w:rPr>
              <w:t>Aerosol</w:t>
            </w:r>
          </w:p>
        </w:tc>
        <w:tc>
          <w:tcPr>
            <w:tcW w:w="303" w:type="pct"/>
            <w:shd w:val="clear" w:color="auto" w:fill="auto"/>
          </w:tcPr>
          <w:p w:rsidR="008D5781" w:rsidRPr="007464D5" w:rsidRDefault="008D5781" w:rsidP="0008710F">
            <w:pPr>
              <w:spacing w:after="60"/>
              <w:jc w:val="left"/>
              <w:rPr>
                <w:sz w:val="16"/>
                <w:szCs w:val="16"/>
              </w:rPr>
            </w:pPr>
            <w:r w:rsidRPr="007464D5">
              <w:rPr>
                <w:sz w:val="16"/>
                <w:szCs w:val="16"/>
              </w:rPr>
              <w:t>Foam</w:t>
            </w:r>
          </w:p>
        </w:tc>
        <w:tc>
          <w:tcPr>
            <w:tcW w:w="424" w:type="pct"/>
            <w:shd w:val="clear" w:color="auto" w:fill="auto"/>
          </w:tcPr>
          <w:p w:rsidR="008D5781" w:rsidRPr="007464D5" w:rsidRDefault="008D5781" w:rsidP="0008710F">
            <w:pPr>
              <w:spacing w:after="60"/>
              <w:jc w:val="left"/>
              <w:rPr>
                <w:sz w:val="16"/>
                <w:szCs w:val="16"/>
              </w:rPr>
            </w:pPr>
            <w:r w:rsidRPr="007464D5">
              <w:rPr>
                <w:sz w:val="16"/>
                <w:szCs w:val="16"/>
              </w:rPr>
              <w:t>Fire fighting</w:t>
            </w:r>
          </w:p>
        </w:tc>
        <w:tc>
          <w:tcPr>
            <w:tcW w:w="1128" w:type="pct"/>
            <w:gridSpan w:val="2"/>
            <w:shd w:val="clear" w:color="auto" w:fill="auto"/>
          </w:tcPr>
          <w:p w:rsidR="008D5781" w:rsidRPr="007464D5" w:rsidRDefault="008D5781" w:rsidP="0008710F">
            <w:pPr>
              <w:spacing w:after="60"/>
              <w:jc w:val="center"/>
              <w:rPr>
                <w:sz w:val="16"/>
                <w:szCs w:val="16"/>
              </w:rPr>
            </w:pPr>
            <w:r w:rsidRPr="007464D5">
              <w:rPr>
                <w:sz w:val="16"/>
                <w:szCs w:val="16"/>
              </w:rPr>
              <w:t>Refrigeration</w:t>
            </w:r>
          </w:p>
        </w:tc>
        <w:tc>
          <w:tcPr>
            <w:tcW w:w="422" w:type="pct"/>
            <w:shd w:val="clear" w:color="auto" w:fill="auto"/>
          </w:tcPr>
          <w:p w:rsidR="008D5781" w:rsidRPr="007464D5" w:rsidRDefault="008D5781" w:rsidP="0008710F">
            <w:pPr>
              <w:spacing w:after="60"/>
              <w:jc w:val="left"/>
              <w:rPr>
                <w:sz w:val="16"/>
                <w:szCs w:val="16"/>
              </w:rPr>
            </w:pPr>
            <w:r w:rsidRPr="007464D5">
              <w:rPr>
                <w:sz w:val="16"/>
                <w:szCs w:val="16"/>
              </w:rPr>
              <w:t>Solvent</w:t>
            </w:r>
          </w:p>
        </w:tc>
        <w:tc>
          <w:tcPr>
            <w:tcW w:w="471" w:type="pct"/>
            <w:shd w:val="clear" w:color="auto" w:fill="auto"/>
          </w:tcPr>
          <w:p w:rsidR="008D5781" w:rsidRPr="007464D5" w:rsidRDefault="008D5781" w:rsidP="0008710F">
            <w:pPr>
              <w:spacing w:after="60"/>
              <w:jc w:val="left"/>
              <w:rPr>
                <w:sz w:val="16"/>
                <w:szCs w:val="16"/>
              </w:rPr>
            </w:pPr>
            <w:r w:rsidRPr="007464D5">
              <w:rPr>
                <w:sz w:val="16"/>
                <w:szCs w:val="16"/>
              </w:rPr>
              <w:t>Process agent</w:t>
            </w:r>
          </w:p>
        </w:tc>
        <w:tc>
          <w:tcPr>
            <w:tcW w:w="470" w:type="pct"/>
            <w:shd w:val="clear" w:color="auto" w:fill="auto"/>
          </w:tcPr>
          <w:p w:rsidR="008D5781" w:rsidRPr="007464D5" w:rsidRDefault="008D5781" w:rsidP="0008710F">
            <w:pPr>
              <w:spacing w:after="60"/>
              <w:jc w:val="left"/>
              <w:rPr>
                <w:sz w:val="16"/>
                <w:szCs w:val="16"/>
              </w:rPr>
            </w:pPr>
            <w:r w:rsidRPr="007464D5">
              <w:rPr>
                <w:sz w:val="16"/>
                <w:szCs w:val="16"/>
              </w:rPr>
              <w:t>Lab use</w:t>
            </w:r>
          </w:p>
        </w:tc>
        <w:tc>
          <w:tcPr>
            <w:tcW w:w="619" w:type="pct"/>
            <w:shd w:val="clear" w:color="auto" w:fill="auto"/>
          </w:tcPr>
          <w:p w:rsidR="008D5781" w:rsidRPr="007464D5" w:rsidRDefault="008D5781" w:rsidP="0008710F">
            <w:pPr>
              <w:spacing w:after="60"/>
              <w:jc w:val="left"/>
              <w:rPr>
                <w:sz w:val="16"/>
                <w:szCs w:val="16"/>
              </w:rPr>
            </w:pPr>
            <w:r w:rsidRPr="007464D5">
              <w:rPr>
                <w:sz w:val="16"/>
                <w:szCs w:val="16"/>
              </w:rPr>
              <w:t>Total sector consumption</w:t>
            </w:r>
          </w:p>
        </w:tc>
      </w:tr>
      <w:tr w:rsidR="008D5781" w:rsidRPr="009A6248" w:rsidTr="00873C07">
        <w:trPr>
          <w:trHeight w:val="240"/>
        </w:trPr>
        <w:tc>
          <w:tcPr>
            <w:tcW w:w="1890" w:type="pct"/>
            <w:gridSpan w:val="4"/>
            <w:shd w:val="clear" w:color="auto" w:fill="auto"/>
          </w:tcPr>
          <w:p w:rsidR="008D5781" w:rsidRPr="007464D5" w:rsidRDefault="008D5781" w:rsidP="0008710F">
            <w:pPr>
              <w:spacing w:after="60"/>
              <w:jc w:val="left"/>
              <w:rPr>
                <w:sz w:val="16"/>
                <w:szCs w:val="16"/>
              </w:rPr>
            </w:pPr>
            <w:r w:rsidRPr="007464D5">
              <w:rPr>
                <w:sz w:val="16"/>
                <w:szCs w:val="16"/>
              </w:rPr>
              <w:t xml:space="preserve"> </w:t>
            </w:r>
          </w:p>
        </w:tc>
        <w:tc>
          <w:tcPr>
            <w:tcW w:w="611" w:type="pct"/>
            <w:shd w:val="clear" w:color="auto" w:fill="auto"/>
          </w:tcPr>
          <w:p w:rsidR="008D5781" w:rsidRPr="007464D5" w:rsidRDefault="008D5781" w:rsidP="0008710F">
            <w:pPr>
              <w:spacing w:after="60"/>
              <w:jc w:val="left"/>
              <w:rPr>
                <w:sz w:val="16"/>
                <w:szCs w:val="16"/>
              </w:rPr>
            </w:pPr>
            <w:r w:rsidRPr="007464D5">
              <w:rPr>
                <w:sz w:val="16"/>
                <w:szCs w:val="16"/>
              </w:rPr>
              <w:t>Manufacturing</w:t>
            </w:r>
          </w:p>
        </w:tc>
        <w:tc>
          <w:tcPr>
            <w:tcW w:w="517" w:type="pct"/>
            <w:shd w:val="clear" w:color="auto" w:fill="auto"/>
          </w:tcPr>
          <w:p w:rsidR="008D5781" w:rsidRPr="007464D5" w:rsidRDefault="008D5781" w:rsidP="0008710F">
            <w:pPr>
              <w:spacing w:after="60"/>
              <w:jc w:val="left"/>
              <w:rPr>
                <w:sz w:val="16"/>
                <w:szCs w:val="16"/>
              </w:rPr>
            </w:pPr>
            <w:r w:rsidRPr="007464D5">
              <w:rPr>
                <w:sz w:val="16"/>
                <w:szCs w:val="16"/>
              </w:rPr>
              <w:t>Servicing</w:t>
            </w:r>
          </w:p>
        </w:tc>
        <w:tc>
          <w:tcPr>
            <w:tcW w:w="1982" w:type="pct"/>
            <w:gridSpan w:val="4"/>
            <w:shd w:val="clear" w:color="auto" w:fill="auto"/>
          </w:tcPr>
          <w:p w:rsidR="008D5781" w:rsidRPr="007464D5" w:rsidRDefault="008D5781" w:rsidP="0008710F">
            <w:pPr>
              <w:spacing w:after="60"/>
              <w:jc w:val="left"/>
              <w:rPr>
                <w:sz w:val="16"/>
                <w:szCs w:val="16"/>
              </w:rPr>
            </w:pP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HCFC-22</w:t>
            </w:r>
          </w:p>
        </w:tc>
        <w:tc>
          <w:tcPr>
            <w:tcW w:w="449" w:type="pct"/>
            <w:shd w:val="clear" w:color="auto" w:fill="auto"/>
            <w:vAlign w:val="bottom"/>
          </w:tcPr>
          <w:p w:rsidR="008D5781" w:rsidRPr="007464D5" w:rsidRDefault="008D5781" w:rsidP="0008710F">
            <w:pPr>
              <w:spacing w:after="60"/>
              <w:jc w:val="right"/>
              <w:rPr>
                <w:sz w:val="16"/>
                <w:szCs w:val="16"/>
              </w:rPr>
            </w:pPr>
            <w:r w:rsidRPr="007464D5">
              <w:rPr>
                <w:sz w:val="16"/>
                <w:szCs w:val="16"/>
              </w:rPr>
              <w:t>0.2</w:t>
            </w:r>
            <w:r>
              <w:rPr>
                <w:sz w:val="16"/>
                <w:szCs w:val="16"/>
              </w:rPr>
              <w:t>4</w:t>
            </w:r>
          </w:p>
        </w:tc>
        <w:tc>
          <w:tcPr>
            <w:tcW w:w="303" w:type="pct"/>
            <w:shd w:val="clear" w:color="auto" w:fill="auto"/>
            <w:vAlign w:val="bottom"/>
          </w:tcPr>
          <w:p w:rsidR="008D5781" w:rsidRPr="007464D5" w:rsidRDefault="008D5781" w:rsidP="0008710F">
            <w:pPr>
              <w:spacing w:after="60"/>
              <w:jc w:val="right"/>
              <w:rPr>
                <w:sz w:val="16"/>
                <w:szCs w:val="16"/>
              </w:rPr>
            </w:pPr>
            <w:r w:rsidRPr="007464D5">
              <w:rPr>
                <w:sz w:val="16"/>
                <w:szCs w:val="16"/>
              </w:rPr>
              <w:t>1.4</w:t>
            </w:r>
            <w:r>
              <w:rPr>
                <w:sz w:val="16"/>
                <w:szCs w:val="16"/>
              </w:rPr>
              <w:t>3</w:t>
            </w:r>
          </w:p>
        </w:tc>
        <w:tc>
          <w:tcPr>
            <w:tcW w:w="424" w:type="pct"/>
            <w:shd w:val="clear" w:color="auto" w:fill="auto"/>
          </w:tcPr>
          <w:p w:rsidR="008D5781" w:rsidRPr="009A6248" w:rsidRDefault="008D5781" w:rsidP="0008710F">
            <w:pPr>
              <w:spacing w:after="60"/>
              <w:jc w:val="right"/>
              <w:rPr>
                <w:sz w:val="16"/>
                <w:szCs w:val="16"/>
                <w:highlight w:val="yellow"/>
              </w:rPr>
            </w:pPr>
          </w:p>
        </w:tc>
        <w:tc>
          <w:tcPr>
            <w:tcW w:w="611" w:type="pct"/>
            <w:shd w:val="clear" w:color="auto" w:fill="auto"/>
            <w:vAlign w:val="bottom"/>
          </w:tcPr>
          <w:p w:rsidR="008D5781" w:rsidRPr="007464D5" w:rsidRDefault="008D5781" w:rsidP="0008710F">
            <w:pPr>
              <w:spacing w:after="60"/>
              <w:jc w:val="right"/>
              <w:rPr>
                <w:sz w:val="16"/>
                <w:szCs w:val="16"/>
              </w:rPr>
            </w:pPr>
            <w:r w:rsidRPr="007464D5">
              <w:rPr>
                <w:sz w:val="16"/>
                <w:szCs w:val="16"/>
              </w:rPr>
              <w:t>9.</w:t>
            </w:r>
            <w:r>
              <w:rPr>
                <w:sz w:val="16"/>
                <w:szCs w:val="16"/>
              </w:rPr>
              <w:t>08</w:t>
            </w:r>
          </w:p>
        </w:tc>
        <w:tc>
          <w:tcPr>
            <w:tcW w:w="517" w:type="pct"/>
            <w:shd w:val="clear" w:color="auto" w:fill="auto"/>
            <w:vAlign w:val="bottom"/>
          </w:tcPr>
          <w:p w:rsidR="008D5781" w:rsidRPr="007464D5" w:rsidRDefault="008D5781" w:rsidP="00A22928">
            <w:pPr>
              <w:spacing w:after="60"/>
              <w:jc w:val="right"/>
              <w:rPr>
                <w:sz w:val="16"/>
                <w:szCs w:val="16"/>
              </w:rPr>
            </w:pPr>
            <w:r w:rsidRPr="007464D5">
              <w:rPr>
                <w:sz w:val="16"/>
                <w:szCs w:val="16"/>
              </w:rPr>
              <w:t>127.</w:t>
            </w:r>
            <w:r w:rsidR="00A22928">
              <w:rPr>
                <w:sz w:val="16"/>
                <w:szCs w:val="16"/>
              </w:rPr>
              <w:t>39</w:t>
            </w:r>
          </w:p>
        </w:tc>
        <w:tc>
          <w:tcPr>
            <w:tcW w:w="422" w:type="pct"/>
            <w:shd w:val="clear" w:color="auto" w:fill="auto"/>
          </w:tcPr>
          <w:p w:rsidR="008D5781" w:rsidRPr="009A6248" w:rsidRDefault="008D5781" w:rsidP="0008710F">
            <w:pPr>
              <w:spacing w:after="60"/>
              <w:jc w:val="right"/>
              <w:rPr>
                <w:sz w:val="16"/>
                <w:szCs w:val="16"/>
                <w:highlight w:val="yellow"/>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138.13</w:t>
            </w: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HCFC-123</w:t>
            </w:r>
          </w:p>
        </w:tc>
        <w:tc>
          <w:tcPr>
            <w:tcW w:w="449" w:type="pct"/>
            <w:shd w:val="clear" w:color="auto" w:fill="auto"/>
          </w:tcPr>
          <w:p w:rsidR="008D5781" w:rsidRPr="009A6248" w:rsidRDefault="008D5781" w:rsidP="0008710F">
            <w:pPr>
              <w:spacing w:after="60"/>
              <w:jc w:val="right"/>
              <w:rPr>
                <w:sz w:val="16"/>
                <w:szCs w:val="16"/>
                <w:highlight w:val="yellow"/>
              </w:rPr>
            </w:pPr>
          </w:p>
        </w:tc>
        <w:tc>
          <w:tcPr>
            <w:tcW w:w="303" w:type="pct"/>
            <w:shd w:val="clear" w:color="auto" w:fill="auto"/>
          </w:tcPr>
          <w:p w:rsidR="008D5781" w:rsidRPr="009A6248" w:rsidRDefault="008D5781" w:rsidP="0008710F">
            <w:pPr>
              <w:spacing w:after="60"/>
              <w:jc w:val="right"/>
              <w:rPr>
                <w:sz w:val="16"/>
                <w:szCs w:val="16"/>
                <w:highlight w:val="yellow"/>
              </w:rPr>
            </w:pPr>
          </w:p>
        </w:tc>
        <w:tc>
          <w:tcPr>
            <w:tcW w:w="424" w:type="pct"/>
            <w:shd w:val="clear" w:color="auto" w:fill="auto"/>
          </w:tcPr>
          <w:p w:rsidR="008D5781" w:rsidRPr="003213EB" w:rsidRDefault="008D5781" w:rsidP="0008710F">
            <w:pPr>
              <w:spacing w:after="60"/>
              <w:jc w:val="right"/>
              <w:rPr>
                <w:sz w:val="16"/>
                <w:szCs w:val="16"/>
              </w:rPr>
            </w:pPr>
            <w:r w:rsidRPr="003213EB">
              <w:rPr>
                <w:sz w:val="16"/>
                <w:szCs w:val="16"/>
              </w:rPr>
              <w:t>1.6</w:t>
            </w:r>
            <w:r>
              <w:rPr>
                <w:sz w:val="16"/>
                <w:szCs w:val="16"/>
              </w:rPr>
              <w:t>4</w:t>
            </w:r>
          </w:p>
        </w:tc>
        <w:tc>
          <w:tcPr>
            <w:tcW w:w="611" w:type="pct"/>
            <w:shd w:val="clear" w:color="auto" w:fill="auto"/>
          </w:tcPr>
          <w:p w:rsidR="008D5781" w:rsidRPr="003213EB" w:rsidRDefault="008D5781" w:rsidP="0008710F">
            <w:pPr>
              <w:spacing w:after="60"/>
              <w:jc w:val="right"/>
              <w:rPr>
                <w:sz w:val="16"/>
                <w:szCs w:val="16"/>
              </w:rPr>
            </w:pPr>
          </w:p>
        </w:tc>
        <w:tc>
          <w:tcPr>
            <w:tcW w:w="517" w:type="pct"/>
            <w:shd w:val="clear" w:color="auto" w:fill="auto"/>
          </w:tcPr>
          <w:p w:rsidR="008D5781" w:rsidRPr="003213EB" w:rsidRDefault="008D5781" w:rsidP="0008710F">
            <w:pPr>
              <w:spacing w:after="60"/>
              <w:jc w:val="right"/>
              <w:rPr>
                <w:sz w:val="16"/>
                <w:szCs w:val="16"/>
              </w:rPr>
            </w:pPr>
            <w:r w:rsidRPr="003213EB">
              <w:rPr>
                <w:sz w:val="16"/>
                <w:szCs w:val="16"/>
              </w:rPr>
              <w:t>0.</w:t>
            </w:r>
            <w:r>
              <w:rPr>
                <w:sz w:val="16"/>
                <w:szCs w:val="16"/>
              </w:rPr>
              <w:t>59</w:t>
            </w:r>
          </w:p>
        </w:tc>
        <w:tc>
          <w:tcPr>
            <w:tcW w:w="422" w:type="pct"/>
            <w:shd w:val="clear" w:color="auto" w:fill="auto"/>
          </w:tcPr>
          <w:p w:rsidR="008D5781" w:rsidRPr="009A6248" w:rsidRDefault="008D5781" w:rsidP="0008710F">
            <w:pPr>
              <w:spacing w:after="60"/>
              <w:jc w:val="right"/>
              <w:rPr>
                <w:sz w:val="16"/>
                <w:szCs w:val="16"/>
                <w:highlight w:val="yellow"/>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2.23</w:t>
            </w: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HCFC-124</w:t>
            </w:r>
          </w:p>
        </w:tc>
        <w:tc>
          <w:tcPr>
            <w:tcW w:w="449" w:type="pct"/>
            <w:shd w:val="clear" w:color="auto" w:fill="auto"/>
          </w:tcPr>
          <w:p w:rsidR="008D5781" w:rsidRPr="009A6248" w:rsidRDefault="008D5781" w:rsidP="0008710F">
            <w:pPr>
              <w:spacing w:after="60"/>
              <w:jc w:val="right"/>
              <w:rPr>
                <w:sz w:val="16"/>
                <w:szCs w:val="16"/>
                <w:highlight w:val="yellow"/>
              </w:rPr>
            </w:pPr>
          </w:p>
        </w:tc>
        <w:tc>
          <w:tcPr>
            <w:tcW w:w="303" w:type="pct"/>
            <w:shd w:val="clear" w:color="auto" w:fill="auto"/>
          </w:tcPr>
          <w:p w:rsidR="008D5781" w:rsidRPr="009A6248" w:rsidRDefault="008D5781" w:rsidP="0008710F">
            <w:pPr>
              <w:spacing w:after="60"/>
              <w:jc w:val="right"/>
              <w:rPr>
                <w:sz w:val="16"/>
                <w:szCs w:val="16"/>
                <w:highlight w:val="yellow"/>
              </w:rPr>
            </w:pPr>
          </w:p>
        </w:tc>
        <w:tc>
          <w:tcPr>
            <w:tcW w:w="424" w:type="pct"/>
            <w:shd w:val="clear" w:color="auto" w:fill="auto"/>
          </w:tcPr>
          <w:p w:rsidR="008D5781" w:rsidRPr="003213EB" w:rsidRDefault="008D5781" w:rsidP="0008710F">
            <w:pPr>
              <w:spacing w:after="60"/>
              <w:jc w:val="right"/>
              <w:rPr>
                <w:sz w:val="16"/>
                <w:szCs w:val="16"/>
              </w:rPr>
            </w:pPr>
          </w:p>
        </w:tc>
        <w:tc>
          <w:tcPr>
            <w:tcW w:w="611" w:type="pct"/>
            <w:shd w:val="clear" w:color="auto" w:fill="auto"/>
          </w:tcPr>
          <w:p w:rsidR="008D5781" w:rsidRPr="003213EB" w:rsidRDefault="008D5781" w:rsidP="0008710F">
            <w:pPr>
              <w:spacing w:after="60"/>
              <w:jc w:val="right"/>
              <w:rPr>
                <w:sz w:val="16"/>
                <w:szCs w:val="16"/>
              </w:rPr>
            </w:pPr>
          </w:p>
        </w:tc>
        <w:tc>
          <w:tcPr>
            <w:tcW w:w="517" w:type="pct"/>
            <w:shd w:val="clear" w:color="auto" w:fill="auto"/>
          </w:tcPr>
          <w:p w:rsidR="008D5781" w:rsidRPr="003213EB" w:rsidRDefault="008D5781" w:rsidP="0008710F">
            <w:pPr>
              <w:spacing w:after="60"/>
              <w:jc w:val="right"/>
              <w:rPr>
                <w:sz w:val="16"/>
                <w:szCs w:val="16"/>
              </w:rPr>
            </w:pPr>
            <w:r>
              <w:rPr>
                <w:sz w:val="16"/>
                <w:szCs w:val="16"/>
              </w:rPr>
              <w:t>0.55</w:t>
            </w:r>
          </w:p>
        </w:tc>
        <w:tc>
          <w:tcPr>
            <w:tcW w:w="422" w:type="pct"/>
            <w:shd w:val="clear" w:color="auto" w:fill="auto"/>
          </w:tcPr>
          <w:p w:rsidR="008D5781" w:rsidRPr="009A6248" w:rsidRDefault="008D5781" w:rsidP="0008710F">
            <w:pPr>
              <w:spacing w:after="60"/>
              <w:jc w:val="right"/>
              <w:rPr>
                <w:sz w:val="16"/>
                <w:szCs w:val="16"/>
                <w:highlight w:val="yellow"/>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0.55</w:t>
            </w: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HCFC-141b</w:t>
            </w:r>
          </w:p>
        </w:tc>
        <w:tc>
          <w:tcPr>
            <w:tcW w:w="449" w:type="pct"/>
            <w:shd w:val="clear" w:color="auto" w:fill="auto"/>
          </w:tcPr>
          <w:p w:rsidR="008D5781" w:rsidRPr="00C91DF4" w:rsidRDefault="008D5781" w:rsidP="0008710F">
            <w:pPr>
              <w:spacing w:after="60"/>
              <w:jc w:val="right"/>
              <w:rPr>
                <w:sz w:val="16"/>
                <w:szCs w:val="16"/>
              </w:rPr>
            </w:pPr>
            <w:r w:rsidRPr="00C91DF4">
              <w:rPr>
                <w:sz w:val="16"/>
                <w:szCs w:val="16"/>
              </w:rPr>
              <w:t>0.33</w:t>
            </w:r>
          </w:p>
        </w:tc>
        <w:tc>
          <w:tcPr>
            <w:tcW w:w="303" w:type="pct"/>
            <w:shd w:val="clear" w:color="auto" w:fill="auto"/>
          </w:tcPr>
          <w:p w:rsidR="008D5781" w:rsidRPr="00C91DF4" w:rsidRDefault="008D5781" w:rsidP="0008710F">
            <w:pPr>
              <w:spacing w:after="60"/>
              <w:jc w:val="right"/>
              <w:rPr>
                <w:sz w:val="16"/>
                <w:szCs w:val="16"/>
              </w:rPr>
            </w:pPr>
            <w:r w:rsidRPr="00C91DF4">
              <w:rPr>
                <w:sz w:val="16"/>
                <w:szCs w:val="16"/>
              </w:rPr>
              <w:t>56.50</w:t>
            </w:r>
          </w:p>
        </w:tc>
        <w:tc>
          <w:tcPr>
            <w:tcW w:w="424" w:type="pct"/>
            <w:shd w:val="clear" w:color="auto" w:fill="auto"/>
          </w:tcPr>
          <w:p w:rsidR="008D5781" w:rsidRPr="00C91DF4" w:rsidRDefault="008D5781" w:rsidP="0008710F">
            <w:pPr>
              <w:spacing w:after="60"/>
              <w:jc w:val="right"/>
              <w:rPr>
                <w:sz w:val="16"/>
                <w:szCs w:val="16"/>
              </w:rPr>
            </w:pPr>
          </w:p>
        </w:tc>
        <w:tc>
          <w:tcPr>
            <w:tcW w:w="611" w:type="pct"/>
            <w:shd w:val="clear" w:color="auto" w:fill="auto"/>
          </w:tcPr>
          <w:p w:rsidR="008D5781" w:rsidRPr="00C91DF4" w:rsidRDefault="008D5781" w:rsidP="0008710F">
            <w:pPr>
              <w:spacing w:after="60"/>
              <w:jc w:val="right"/>
              <w:rPr>
                <w:sz w:val="16"/>
                <w:szCs w:val="16"/>
              </w:rPr>
            </w:pPr>
          </w:p>
        </w:tc>
        <w:tc>
          <w:tcPr>
            <w:tcW w:w="517" w:type="pct"/>
            <w:shd w:val="clear" w:color="auto" w:fill="auto"/>
          </w:tcPr>
          <w:p w:rsidR="008D5781" w:rsidRPr="00C91DF4" w:rsidRDefault="008D5781" w:rsidP="0008710F">
            <w:pPr>
              <w:spacing w:after="60"/>
              <w:jc w:val="right"/>
              <w:rPr>
                <w:sz w:val="16"/>
                <w:szCs w:val="16"/>
              </w:rPr>
            </w:pPr>
            <w:r w:rsidRPr="00C91DF4">
              <w:rPr>
                <w:sz w:val="16"/>
                <w:szCs w:val="16"/>
              </w:rPr>
              <w:t>12.76</w:t>
            </w:r>
          </w:p>
        </w:tc>
        <w:tc>
          <w:tcPr>
            <w:tcW w:w="422" w:type="pct"/>
            <w:shd w:val="clear" w:color="auto" w:fill="auto"/>
          </w:tcPr>
          <w:p w:rsidR="008D5781" w:rsidRPr="00C91DF4" w:rsidRDefault="008D5781" w:rsidP="0008710F">
            <w:pPr>
              <w:spacing w:after="60"/>
              <w:jc w:val="right"/>
              <w:rPr>
                <w:sz w:val="16"/>
                <w:szCs w:val="16"/>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69.59</w:t>
            </w:r>
          </w:p>
        </w:tc>
      </w:tr>
      <w:tr w:rsidR="00873C07" w:rsidRPr="009A6248" w:rsidTr="00873C07">
        <w:trPr>
          <w:trHeight w:val="449"/>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HCFC-141b in Imported Pre-blended Polyol</w:t>
            </w:r>
          </w:p>
        </w:tc>
        <w:tc>
          <w:tcPr>
            <w:tcW w:w="449" w:type="pct"/>
            <w:shd w:val="clear" w:color="auto" w:fill="auto"/>
          </w:tcPr>
          <w:p w:rsidR="008D5781" w:rsidRPr="00C91DF4" w:rsidRDefault="008D5781" w:rsidP="0008710F">
            <w:pPr>
              <w:spacing w:after="60"/>
              <w:jc w:val="right"/>
              <w:rPr>
                <w:sz w:val="16"/>
                <w:szCs w:val="16"/>
              </w:rPr>
            </w:pPr>
          </w:p>
        </w:tc>
        <w:tc>
          <w:tcPr>
            <w:tcW w:w="303" w:type="pct"/>
            <w:shd w:val="clear" w:color="auto" w:fill="auto"/>
          </w:tcPr>
          <w:p w:rsidR="008D5781" w:rsidRPr="00C91DF4" w:rsidRDefault="008D5781" w:rsidP="0008710F">
            <w:pPr>
              <w:spacing w:after="60"/>
              <w:jc w:val="right"/>
              <w:rPr>
                <w:sz w:val="16"/>
                <w:szCs w:val="16"/>
              </w:rPr>
            </w:pPr>
            <w:r w:rsidRPr="00C91DF4">
              <w:rPr>
                <w:sz w:val="16"/>
                <w:szCs w:val="16"/>
              </w:rPr>
              <w:t>25.08</w:t>
            </w:r>
          </w:p>
        </w:tc>
        <w:tc>
          <w:tcPr>
            <w:tcW w:w="424" w:type="pct"/>
            <w:shd w:val="clear" w:color="auto" w:fill="auto"/>
          </w:tcPr>
          <w:p w:rsidR="008D5781" w:rsidRPr="00C91DF4" w:rsidRDefault="008D5781" w:rsidP="0008710F">
            <w:pPr>
              <w:spacing w:after="60"/>
              <w:jc w:val="right"/>
              <w:rPr>
                <w:sz w:val="16"/>
                <w:szCs w:val="16"/>
              </w:rPr>
            </w:pPr>
          </w:p>
        </w:tc>
        <w:tc>
          <w:tcPr>
            <w:tcW w:w="611" w:type="pct"/>
            <w:shd w:val="clear" w:color="auto" w:fill="auto"/>
          </w:tcPr>
          <w:p w:rsidR="008D5781" w:rsidRPr="00C91DF4" w:rsidRDefault="008D5781" w:rsidP="0008710F">
            <w:pPr>
              <w:spacing w:after="60"/>
              <w:jc w:val="right"/>
              <w:rPr>
                <w:sz w:val="16"/>
                <w:szCs w:val="16"/>
              </w:rPr>
            </w:pPr>
          </w:p>
        </w:tc>
        <w:tc>
          <w:tcPr>
            <w:tcW w:w="517" w:type="pct"/>
            <w:shd w:val="clear" w:color="auto" w:fill="auto"/>
          </w:tcPr>
          <w:p w:rsidR="008D5781" w:rsidRPr="00C91DF4" w:rsidRDefault="008D5781" w:rsidP="0008710F">
            <w:pPr>
              <w:spacing w:after="60"/>
              <w:jc w:val="right"/>
              <w:rPr>
                <w:sz w:val="16"/>
                <w:szCs w:val="16"/>
              </w:rPr>
            </w:pPr>
          </w:p>
        </w:tc>
        <w:tc>
          <w:tcPr>
            <w:tcW w:w="422" w:type="pct"/>
            <w:shd w:val="clear" w:color="auto" w:fill="auto"/>
          </w:tcPr>
          <w:p w:rsidR="008D5781" w:rsidRPr="00C91DF4" w:rsidRDefault="008D5781" w:rsidP="0008710F">
            <w:pPr>
              <w:spacing w:after="60"/>
              <w:jc w:val="right"/>
              <w:rPr>
                <w:sz w:val="16"/>
                <w:szCs w:val="16"/>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25.08</w:t>
            </w:r>
          </w:p>
        </w:tc>
      </w:tr>
      <w:tr w:rsidR="00873C07" w:rsidRPr="009A6248" w:rsidTr="00873C07">
        <w:trPr>
          <w:trHeight w:val="240"/>
        </w:trPr>
        <w:tc>
          <w:tcPr>
            <w:tcW w:w="714" w:type="pct"/>
            <w:shd w:val="clear" w:color="auto" w:fill="auto"/>
          </w:tcPr>
          <w:p w:rsidR="008D5781" w:rsidRPr="007464D5" w:rsidRDefault="008D5781" w:rsidP="0008710F">
            <w:pPr>
              <w:spacing w:after="60"/>
              <w:jc w:val="left"/>
              <w:rPr>
                <w:sz w:val="16"/>
                <w:szCs w:val="16"/>
              </w:rPr>
            </w:pPr>
            <w:r w:rsidRPr="007464D5">
              <w:rPr>
                <w:sz w:val="16"/>
                <w:szCs w:val="16"/>
              </w:rPr>
              <w:t>HCFC-142b</w:t>
            </w:r>
          </w:p>
        </w:tc>
        <w:tc>
          <w:tcPr>
            <w:tcW w:w="449" w:type="pct"/>
            <w:shd w:val="clear" w:color="auto" w:fill="auto"/>
          </w:tcPr>
          <w:p w:rsidR="008D5781" w:rsidRPr="00C91DF4" w:rsidRDefault="008D5781" w:rsidP="0008710F">
            <w:pPr>
              <w:spacing w:after="60"/>
              <w:jc w:val="right"/>
              <w:rPr>
                <w:sz w:val="16"/>
                <w:szCs w:val="16"/>
              </w:rPr>
            </w:pPr>
            <w:r w:rsidRPr="00C91DF4">
              <w:rPr>
                <w:sz w:val="16"/>
                <w:szCs w:val="16"/>
              </w:rPr>
              <w:t>0</w:t>
            </w:r>
          </w:p>
        </w:tc>
        <w:tc>
          <w:tcPr>
            <w:tcW w:w="303" w:type="pct"/>
            <w:shd w:val="clear" w:color="auto" w:fill="auto"/>
          </w:tcPr>
          <w:p w:rsidR="008D5781" w:rsidRPr="00C91DF4" w:rsidRDefault="008D5781" w:rsidP="0008710F">
            <w:pPr>
              <w:spacing w:after="60"/>
              <w:jc w:val="right"/>
              <w:rPr>
                <w:sz w:val="16"/>
                <w:szCs w:val="16"/>
              </w:rPr>
            </w:pPr>
            <w:r w:rsidRPr="00C91DF4">
              <w:rPr>
                <w:sz w:val="16"/>
                <w:szCs w:val="16"/>
              </w:rPr>
              <w:t>1.19</w:t>
            </w:r>
          </w:p>
        </w:tc>
        <w:tc>
          <w:tcPr>
            <w:tcW w:w="424" w:type="pct"/>
            <w:shd w:val="clear" w:color="auto" w:fill="auto"/>
          </w:tcPr>
          <w:p w:rsidR="008D5781" w:rsidRPr="00C91DF4" w:rsidRDefault="008D5781" w:rsidP="0008710F">
            <w:pPr>
              <w:spacing w:after="60"/>
              <w:jc w:val="right"/>
              <w:rPr>
                <w:sz w:val="16"/>
                <w:szCs w:val="16"/>
              </w:rPr>
            </w:pPr>
          </w:p>
        </w:tc>
        <w:tc>
          <w:tcPr>
            <w:tcW w:w="611" w:type="pct"/>
            <w:shd w:val="clear" w:color="auto" w:fill="auto"/>
          </w:tcPr>
          <w:p w:rsidR="008D5781" w:rsidRPr="00C91DF4" w:rsidRDefault="008D5781" w:rsidP="0008710F">
            <w:pPr>
              <w:spacing w:after="60"/>
              <w:jc w:val="right"/>
              <w:rPr>
                <w:sz w:val="16"/>
                <w:szCs w:val="16"/>
              </w:rPr>
            </w:pPr>
          </w:p>
        </w:tc>
        <w:tc>
          <w:tcPr>
            <w:tcW w:w="517" w:type="pct"/>
            <w:shd w:val="clear" w:color="auto" w:fill="auto"/>
          </w:tcPr>
          <w:p w:rsidR="008D5781" w:rsidRPr="00C91DF4" w:rsidRDefault="008D5781" w:rsidP="0008710F">
            <w:pPr>
              <w:spacing w:after="60"/>
              <w:jc w:val="right"/>
              <w:rPr>
                <w:sz w:val="16"/>
                <w:szCs w:val="16"/>
              </w:rPr>
            </w:pPr>
            <w:r w:rsidRPr="00C91DF4">
              <w:rPr>
                <w:sz w:val="16"/>
                <w:szCs w:val="16"/>
              </w:rPr>
              <w:t>8.40</w:t>
            </w:r>
          </w:p>
        </w:tc>
        <w:tc>
          <w:tcPr>
            <w:tcW w:w="422" w:type="pct"/>
            <w:shd w:val="clear" w:color="auto" w:fill="auto"/>
          </w:tcPr>
          <w:p w:rsidR="008D5781" w:rsidRPr="00C91DF4" w:rsidRDefault="008D5781" w:rsidP="0008710F">
            <w:pPr>
              <w:spacing w:after="60"/>
              <w:jc w:val="right"/>
              <w:rPr>
                <w:sz w:val="16"/>
                <w:szCs w:val="16"/>
              </w:rPr>
            </w:pPr>
          </w:p>
        </w:tc>
        <w:tc>
          <w:tcPr>
            <w:tcW w:w="471" w:type="pct"/>
            <w:shd w:val="clear" w:color="auto" w:fill="auto"/>
          </w:tcPr>
          <w:p w:rsidR="008D5781" w:rsidRPr="009A6248" w:rsidRDefault="008D5781" w:rsidP="0008710F">
            <w:pPr>
              <w:spacing w:after="60"/>
              <w:jc w:val="right"/>
              <w:rPr>
                <w:sz w:val="16"/>
                <w:szCs w:val="16"/>
                <w:highlight w:val="yellow"/>
              </w:rPr>
            </w:pPr>
          </w:p>
        </w:tc>
        <w:tc>
          <w:tcPr>
            <w:tcW w:w="470" w:type="pct"/>
            <w:shd w:val="clear" w:color="auto" w:fill="auto"/>
          </w:tcPr>
          <w:p w:rsidR="008D5781" w:rsidRPr="009A6248" w:rsidRDefault="008D5781" w:rsidP="0008710F">
            <w:pPr>
              <w:spacing w:after="60"/>
              <w:jc w:val="right"/>
              <w:rPr>
                <w:sz w:val="16"/>
                <w:szCs w:val="16"/>
                <w:highlight w:val="yellow"/>
              </w:rPr>
            </w:pPr>
          </w:p>
        </w:tc>
        <w:tc>
          <w:tcPr>
            <w:tcW w:w="619" w:type="pct"/>
            <w:shd w:val="clear" w:color="auto" w:fill="auto"/>
          </w:tcPr>
          <w:p w:rsidR="008D5781" w:rsidRPr="00C91DF4" w:rsidRDefault="008D5781" w:rsidP="0008710F">
            <w:pPr>
              <w:spacing w:after="60"/>
              <w:jc w:val="right"/>
              <w:rPr>
                <w:sz w:val="16"/>
                <w:szCs w:val="16"/>
              </w:rPr>
            </w:pPr>
            <w:r w:rsidRPr="00C91DF4">
              <w:rPr>
                <w:sz w:val="16"/>
                <w:szCs w:val="16"/>
              </w:rPr>
              <w:t>9.60</w:t>
            </w:r>
          </w:p>
        </w:tc>
      </w:tr>
    </w:tbl>
    <w:p w:rsidR="008D5781" w:rsidRPr="009A6248" w:rsidRDefault="008D5781" w:rsidP="008D5781">
      <w:pPr>
        <w:spacing w:after="60"/>
        <w:jc w:val="left"/>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30"/>
        <w:gridCol w:w="636"/>
        <w:gridCol w:w="6537"/>
        <w:gridCol w:w="973"/>
      </w:tblGrid>
      <w:tr w:rsidR="00486E25" w:rsidRPr="00477601" w:rsidTr="00873C07">
        <w:trPr>
          <w:trHeight w:val="240"/>
        </w:trPr>
        <w:tc>
          <w:tcPr>
            <w:tcW w:w="5000" w:type="pct"/>
            <w:gridSpan w:val="4"/>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left"/>
              <w:rPr>
                <w:b/>
                <w:sz w:val="14"/>
                <w:szCs w:val="14"/>
              </w:rPr>
            </w:pPr>
            <w:r w:rsidRPr="00477601">
              <w:rPr>
                <w:b/>
                <w:sz w:val="14"/>
                <w:szCs w:val="14"/>
              </w:rPr>
              <w:t xml:space="preserve"> (IV) CONSUMPTION DATA (ODP tonnes)</w:t>
            </w:r>
          </w:p>
        </w:tc>
      </w:tr>
      <w:tr w:rsidR="00486E25" w:rsidRPr="001C3E23" w:rsidTr="00873C07">
        <w:trPr>
          <w:trHeight w:val="240"/>
        </w:trPr>
        <w:tc>
          <w:tcPr>
            <w:tcW w:w="747" w:type="pct"/>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center"/>
              <w:rPr>
                <w:sz w:val="14"/>
                <w:szCs w:val="14"/>
              </w:rPr>
            </w:pPr>
            <w:r w:rsidRPr="00477601">
              <w:rPr>
                <w:sz w:val="14"/>
                <w:szCs w:val="14"/>
              </w:rPr>
              <w:t>2009 - 2010 baseline:</w:t>
            </w:r>
          </w:p>
        </w:tc>
        <w:tc>
          <w:tcPr>
            <w:tcW w:w="332" w:type="pct"/>
            <w:tcBorders>
              <w:top w:val="single" w:sz="4" w:space="0" w:color="666699"/>
              <w:left w:val="single" w:sz="4" w:space="0" w:color="666699"/>
              <w:bottom w:val="single" w:sz="4" w:space="0" w:color="666699"/>
              <w:right w:val="single" w:sz="4" w:space="0" w:color="666699"/>
            </w:tcBorders>
            <w:hideMark/>
          </w:tcPr>
          <w:p w:rsidR="00486E25" w:rsidRPr="00477601" w:rsidRDefault="004D384A" w:rsidP="0079473E">
            <w:pPr>
              <w:spacing w:after="60"/>
              <w:jc w:val="right"/>
              <w:rPr>
                <w:sz w:val="14"/>
                <w:szCs w:val="14"/>
              </w:rPr>
            </w:pPr>
            <w:r>
              <w:rPr>
                <w:sz w:val="14"/>
                <w:szCs w:val="14"/>
              </w:rPr>
              <w:t>400.70</w:t>
            </w:r>
          </w:p>
        </w:tc>
        <w:tc>
          <w:tcPr>
            <w:tcW w:w="3413" w:type="pct"/>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center"/>
              <w:rPr>
                <w:sz w:val="14"/>
                <w:szCs w:val="14"/>
              </w:rPr>
            </w:pPr>
            <w:r w:rsidRPr="00477601">
              <w:rPr>
                <w:sz w:val="14"/>
                <w:szCs w:val="14"/>
              </w:rPr>
              <w:t>Starting point for sustained aggregate reductions:</w:t>
            </w:r>
          </w:p>
        </w:tc>
        <w:tc>
          <w:tcPr>
            <w:tcW w:w="507" w:type="pct"/>
            <w:tcBorders>
              <w:top w:val="single" w:sz="4" w:space="0" w:color="666699"/>
              <w:left w:val="single" w:sz="4" w:space="0" w:color="666699"/>
              <w:bottom w:val="single" w:sz="4" w:space="0" w:color="666699"/>
              <w:right w:val="single" w:sz="4" w:space="0" w:color="666699"/>
            </w:tcBorders>
          </w:tcPr>
          <w:p w:rsidR="00486E25" w:rsidRPr="001C3E23" w:rsidRDefault="00A91C51" w:rsidP="0079473E">
            <w:pPr>
              <w:spacing w:after="60"/>
              <w:jc w:val="right"/>
              <w:rPr>
                <w:sz w:val="14"/>
                <w:szCs w:val="14"/>
              </w:rPr>
            </w:pPr>
            <w:r w:rsidRPr="001C3E23">
              <w:rPr>
                <w:sz w:val="14"/>
                <w:szCs w:val="14"/>
              </w:rPr>
              <w:t>377.51</w:t>
            </w:r>
          </w:p>
        </w:tc>
      </w:tr>
      <w:tr w:rsidR="00486E25" w:rsidRPr="00477601" w:rsidTr="00873C07">
        <w:trPr>
          <w:trHeight w:val="240"/>
        </w:trPr>
        <w:tc>
          <w:tcPr>
            <w:tcW w:w="5000" w:type="pct"/>
            <w:gridSpan w:val="4"/>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center"/>
              <w:rPr>
                <w:b/>
                <w:sz w:val="14"/>
                <w:szCs w:val="14"/>
              </w:rPr>
            </w:pPr>
            <w:r w:rsidRPr="00477601">
              <w:rPr>
                <w:b/>
                <w:sz w:val="14"/>
                <w:szCs w:val="14"/>
              </w:rPr>
              <w:t>CONSUMPTION ELIGIBLE FOR FUNDING (ODP tonnes)</w:t>
            </w:r>
          </w:p>
        </w:tc>
      </w:tr>
      <w:tr w:rsidR="00486E25" w:rsidRPr="00477601" w:rsidTr="00873C07">
        <w:trPr>
          <w:trHeight w:val="240"/>
        </w:trPr>
        <w:tc>
          <w:tcPr>
            <w:tcW w:w="747" w:type="pct"/>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center"/>
              <w:rPr>
                <w:sz w:val="14"/>
                <w:szCs w:val="14"/>
              </w:rPr>
            </w:pPr>
            <w:r w:rsidRPr="00477601">
              <w:rPr>
                <w:sz w:val="14"/>
                <w:szCs w:val="14"/>
              </w:rPr>
              <w:t>Already approved:</w:t>
            </w:r>
          </w:p>
        </w:tc>
        <w:tc>
          <w:tcPr>
            <w:tcW w:w="332" w:type="pct"/>
            <w:tcBorders>
              <w:top w:val="single" w:sz="4" w:space="0" w:color="666699"/>
              <w:left w:val="single" w:sz="4" w:space="0" w:color="666699"/>
              <w:bottom w:val="single" w:sz="4" w:space="0" w:color="666699"/>
              <w:right w:val="single" w:sz="4" w:space="0" w:color="666699"/>
            </w:tcBorders>
            <w:hideMark/>
          </w:tcPr>
          <w:p w:rsidR="00486E25" w:rsidRPr="00477601" w:rsidRDefault="001C3E23" w:rsidP="0079473E">
            <w:pPr>
              <w:spacing w:after="60"/>
              <w:jc w:val="right"/>
              <w:rPr>
                <w:sz w:val="14"/>
                <w:szCs w:val="14"/>
              </w:rPr>
            </w:pPr>
            <w:r>
              <w:rPr>
                <w:sz w:val="14"/>
                <w:szCs w:val="14"/>
              </w:rPr>
              <w:t>83.53</w:t>
            </w:r>
          </w:p>
        </w:tc>
        <w:tc>
          <w:tcPr>
            <w:tcW w:w="3413" w:type="pct"/>
            <w:tcBorders>
              <w:top w:val="single" w:sz="4" w:space="0" w:color="666699"/>
              <w:left w:val="single" w:sz="4" w:space="0" w:color="666699"/>
              <w:bottom w:val="single" w:sz="4" w:space="0" w:color="666699"/>
              <w:right w:val="single" w:sz="4" w:space="0" w:color="666699"/>
            </w:tcBorders>
            <w:hideMark/>
          </w:tcPr>
          <w:p w:rsidR="00486E25" w:rsidRPr="00477601" w:rsidRDefault="00486E25" w:rsidP="0079473E">
            <w:pPr>
              <w:spacing w:after="60"/>
              <w:jc w:val="center"/>
              <w:rPr>
                <w:sz w:val="14"/>
                <w:szCs w:val="14"/>
              </w:rPr>
            </w:pPr>
            <w:r w:rsidRPr="00477601">
              <w:rPr>
                <w:sz w:val="14"/>
                <w:szCs w:val="14"/>
              </w:rPr>
              <w:t>Remaining:</w:t>
            </w:r>
          </w:p>
        </w:tc>
        <w:tc>
          <w:tcPr>
            <w:tcW w:w="507" w:type="pct"/>
            <w:tcBorders>
              <w:top w:val="single" w:sz="4" w:space="0" w:color="666699"/>
              <w:left w:val="single" w:sz="4" w:space="0" w:color="666699"/>
              <w:bottom w:val="single" w:sz="4" w:space="0" w:color="666699"/>
              <w:right w:val="single" w:sz="4" w:space="0" w:color="666699"/>
            </w:tcBorders>
          </w:tcPr>
          <w:p w:rsidR="00486E25" w:rsidRPr="00477601" w:rsidRDefault="001C3E23" w:rsidP="0079473E">
            <w:pPr>
              <w:spacing w:after="60"/>
              <w:jc w:val="right"/>
              <w:rPr>
                <w:sz w:val="14"/>
                <w:szCs w:val="14"/>
              </w:rPr>
            </w:pPr>
            <w:r>
              <w:rPr>
                <w:sz w:val="14"/>
                <w:szCs w:val="14"/>
              </w:rPr>
              <w:t>293.98</w:t>
            </w:r>
          </w:p>
        </w:tc>
      </w:tr>
    </w:tbl>
    <w:p w:rsidR="00486E25" w:rsidRPr="00477601" w:rsidRDefault="00486E25" w:rsidP="00486E25">
      <w:pPr>
        <w:spacing w:after="60"/>
        <w:jc w:val="center"/>
        <w:rPr>
          <w:sz w:val="14"/>
          <w:szCs w:val="14"/>
        </w:rPr>
      </w:pP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Look w:val="04A0" w:firstRow="1" w:lastRow="0" w:firstColumn="1" w:lastColumn="0" w:noHBand="0" w:noVBand="1"/>
      </w:tblPr>
      <w:tblGrid>
        <w:gridCol w:w="1017"/>
        <w:gridCol w:w="2233"/>
        <w:gridCol w:w="927"/>
        <w:gridCol w:w="927"/>
        <w:gridCol w:w="927"/>
        <w:gridCol w:w="927"/>
        <w:gridCol w:w="1134"/>
        <w:gridCol w:w="1484"/>
      </w:tblGrid>
      <w:tr w:rsidR="00932084" w:rsidRPr="00EC15B8" w:rsidTr="00873C07">
        <w:trPr>
          <w:trHeight w:val="240"/>
        </w:trPr>
        <w:tc>
          <w:tcPr>
            <w:tcW w:w="1697" w:type="pct"/>
            <w:gridSpan w:val="2"/>
            <w:hideMark/>
          </w:tcPr>
          <w:p w:rsidR="00932084" w:rsidRPr="00C90903" w:rsidRDefault="00932084" w:rsidP="0079473E">
            <w:pPr>
              <w:spacing w:after="60"/>
              <w:jc w:val="left"/>
              <w:rPr>
                <w:b/>
                <w:sz w:val="14"/>
                <w:szCs w:val="14"/>
              </w:rPr>
            </w:pPr>
            <w:r w:rsidRPr="00C90903">
              <w:rPr>
                <w:b/>
                <w:sz w:val="14"/>
                <w:szCs w:val="14"/>
              </w:rPr>
              <w:t xml:space="preserve"> (V) BUSINESS PLAN</w:t>
            </w:r>
          </w:p>
        </w:tc>
        <w:tc>
          <w:tcPr>
            <w:tcW w:w="484" w:type="pct"/>
          </w:tcPr>
          <w:p w:rsidR="00932084" w:rsidRPr="00C90903" w:rsidRDefault="00932084" w:rsidP="0079473E">
            <w:pPr>
              <w:spacing w:after="60"/>
              <w:jc w:val="center"/>
              <w:rPr>
                <w:b/>
                <w:sz w:val="14"/>
                <w:szCs w:val="14"/>
              </w:rPr>
            </w:pPr>
            <w:r w:rsidRPr="00C90903">
              <w:rPr>
                <w:b/>
                <w:sz w:val="14"/>
                <w:szCs w:val="14"/>
              </w:rPr>
              <w:t>2017</w:t>
            </w:r>
          </w:p>
        </w:tc>
        <w:tc>
          <w:tcPr>
            <w:tcW w:w="484" w:type="pct"/>
          </w:tcPr>
          <w:p w:rsidR="00932084" w:rsidRPr="00C90903" w:rsidRDefault="00932084" w:rsidP="0079473E">
            <w:pPr>
              <w:spacing w:after="60"/>
              <w:jc w:val="center"/>
              <w:rPr>
                <w:b/>
                <w:sz w:val="14"/>
                <w:szCs w:val="14"/>
              </w:rPr>
            </w:pPr>
            <w:r w:rsidRPr="00C90903">
              <w:rPr>
                <w:b/>
                <w:sz w:val="14"/>
                <w:szCs w:val="14"/>
              </w:rPr>
              <w:t>2018</w:t>
            </w:r>
          </w:p>
        </w:tc>
        <w:tc>
          <w:tcPr>
            <w:tcW w:w="484" w:type="pct"/>
          </w:tcPr>
          <w:p w:rsidR="00932084" w:rsidRPr="00C90903" w:rsidRDefault="00932084" w:rsidP="0079473E">
            <w:pPr>
              <w:spacing w:after="60"/>
              <w:jc w:val="center"/>
              <w:rPr>
                <w:b/>
                <w:sz w:val="14"/>
                <w:szCs w:val="14"/>
              </w:rPr>
            </w:pPr>
            <w:r w:rsidRPr="00C90903">
              <w:rPr>
                <w:b/>
                <w:sz w:val="14"/>
                <w:szCs w:val="14"/>
              </w:rPr>
              <w:t>2019</w:t>
            </w:r>
          </w:p>
        </w:tc>
        <w:tc>
          <w:tcPr>
            <w:tcW w:w="484" w:type="pct"/>
          </w:tcPr>
          <w:p w:rsidR="00932084" w:rsidRPr="00C90903" w:rsidRDefault="00932084" w:rsidP="0079473E">
            <w:pPr>
              <w:spacing w:after="60"/>
              <w:jc w:val="center"/>
              <w:rPr>
                <w:b/>
                <w:sz w:val="14"/>
                <w:szCs w:val="14"/>
              </w:rPr>
            </w:pPr>
            <w:r w:rsidRPr="00C90903">
              <w:rPr>
                <w:b/>
                <w:sz w:val="14"/>
                <w:szCs w:val="14"/>
              </w:rPr>
              <w:t>2020</w:t>
            </w:r>
          </w:p>
        </w:tc>
        <w:tc>
          <w:tcPr>
            <w:tcW w:w="592" w:type="pct"/>
          </w:tcPr>
          <w:p w:rsidR="00932084" w:rsidRPr="00C90903" w:rsidRDefault="00932084" w:rsidP="0079473E">
            <w:pPr>
              <w:spacing w:after="60"/>
              <w:jc w:val="center"/>
              <w:rPr>
                <w:b/>
                <w:sz w:val="14"/>
                <w:szCs w:val="14"/>
              </w:rPr>
            </w:pPr>
            <w:r w:rsidRPr="00C90903">
              <w:rPr>
                <w:b/>
                <w:sz w:val="14"/>
                <w:szCs w:val="14"/>
              </w:rPr>
              <w:t>After 2020</w:t>
            </w:r>
          </w:p>
        </w:tc>
        <w:tc>
          <w:tcPr>
            <w:tcW w:w="775" w:type="pct"/>
          </w:tcPr>
          <w:p w:rsidR="00932084" w:rsidRPr="00C90903" w:rsidRDefault="00932084" w:rsidP="0079473E">
            <w:pPr>
              <w:spacing w:after="60"/>
              <w:jc w:val="center"/>
              <w:rPr>
                <w:b/>
                <w:sz w:val="14"/>
                <w:szCs w:val="14"/>
              </w:rPr>
            </w:pPr>
            <w:r w:rsidRPr="00C90903">
              <w:rPr>
                <w:b/>
                <w:sz w:val="14"/>
                <w:szCs w:val="14"/>
              </w:rPr>
              <w:t>Total</w:t>
            </w:r>
          </w:p>
        </w:tc>
      </w:tr>
      <w:tr w:rsidR="00932084" w:rsidRPr="00EC15B8" w:rsidTr="00873C07">
        <w:trPr>
          <w:trHeight w:val="47"/>
        </w:trPr>
        <w:tc>
          <w:tcPr>
            <w:tcW w:w="531" w:type="pct"/>
            <w:vMerge w:val="restart"/>
            <w:hideMark/>
          </w:tcPr>
          <w:p w:rsidR="00932084" w:rsidRPr="00C90903" w:rsidRDefault="00932084" w:rsidP="004D384A">
            <w:pPr>
              <w:spacing w:after="60"/>
              <w:jc w:val="left"/>
              <w:rPr>
                <w:sz w:val="14"/>
                <w:szCs w:val="14"/>
              </w:rPr>
            </w:pPr>
            <w:r w:rsidRPr="00C90903">
              <w:rPr>
                <w:sz w:val="14"/>
                <w:szCs w:val="14"/>
              </w:rPr>
              <w:t>UNIDO</w:t>
            </w:r>
          </w:p>
        </w:tc>
        <w:tc>
          <w:tcPr>
            <w:tcW w:w="1166" w:type="pct"/>
            <w:hideMark/>
          </w:tcPr>
          <w:p w:rsidR="00932084" w:rsidRPr="00C90903" w:rsidRDefault="00932084" w:rsidP="0079473E">
            <w:pPr>
              <w:spacing w:after="60"/>
              <w:jc w:val="left"/>
              <w:rPr>
                <w:sz w:val="14"/>
                <w:szCs w:val="14"/>
              </w:rPr>
            </w:pPr>
            <w:r w:rsidRPr="00C90903">
              <w:rPr>
                <w:sz w:val="14"/>
                <w:szCs w:val="14"/>
              </w:rPr>
              <w:t>ODS phase-out (ODP tonnes)</w:t>
            </w:r>
          </w:p>
        </w:tc>
        <w:tc>
          <w:tcPr>
            <w:tcW w:w="484" w:type="pct"/>
          </w:tcPr>
          <w:p w:rsidR="00932084" w:rsidRPr="00C90903" w:rsidRDefault="00C90903" w:rsidP="0079473E">
            <w:pPr>
              <w:spacing w:after="60"/>
              <w:jc w:val="right"/>
              <w:rPr>
                <w:sz w:val="14"/>
                <w:szCs w:val="14"/>
              </w:rPr>
            </w:pPr>
            <w:r w:rsidRPr="00C90903">
              <w:rPr>
                <w:sz w:val="14"/>
                <w:szCs w:val="14"/>
              </w:rPr>
              <w:t>11.29</w:t>
            </w:r>
          </w:p>
        </w:tc>
        <w:tc>
          <w:tcPr>
            <w:tcW w:w="484" w:type="pct"/>
          </w:tcPr>
          <w:p w:rsidR="00932084" w:rsidRPr="00C90903" w:rsidRDefault="00C90903" w:rsidP="0079473E">
            <w:pPr>
              <w:spacing w:after="60"/>
              <w:jc w:val="right"/>
              <w:rPr>
                <w:sz w:val="14"/>
                <w:szCs w:val="14"/>
              </w:rPr>
            </w:pPr>
            <w:r w:rsidRPr="00C90903">
              <w:rPr>
                <w:sz w:val="14"/>
                <w:szCs w:val="14"/>
              </w:rPr>
              <w:t>0</w:t>
            </w:r>
          </w:p>
        </w:tc>
        <w:tc>
          <w:tcPr>
            <w:tcW w:w="484" w:type="pct"/>
          </w:tcPr>
          <w:p w:rsidR="00932084" w:rsidRPr="00C90903" w:rsidRDefault="00C90903" w:rsidP="0079473E">
            <w:pPr>
              <w:spacing w:after="60"/>
              <w:jc w:val="right"/>
              <w:rPr>
                <w:sz w:val="14"/>
                <w:szCs w:val="14"/>
              </w:rPr>
            </w:pPr>
            <w:r w:rsidRPr="00C90903">
              <w:rPr>
                <w:sz w:val="14"/>
                <w:szCs w:val="14"/>
              </w:rPr>
              <w:t>15.00</w:t>
            </w:r>
          </w:p>
        </w:tc>
        <w:tc>
          <w:tcPr>
            <w:tcW w:w="484" w:type="pct"/>
          </w:tcPr>
          <w:p w:rsidR="00932084" w:rsidRPr="00C90903" w:rsidRDefault="00C90903" w:rsidP="0079473E">
            <w:pPr>
              <w:spacing w:after="60"/>
              <w:jc w:val="right"/>
              <w:rPr>
                <w:sz w:val="14"/>
                <w:szCs w:val="14"/>
              </w:rPr>
            </w:pPr>
            <w:r w:rsidRPr="00C90903">
              <w:rPr>
                <w:sz w:val="14"/>
                <w:szCs w:val="14"/>
              </w:rPr>
              <w:t>0</w:t>
            </w:r>
          </w:p>
        </w:tc>
        <w:tc>
          <w:tcPr>
            <w:tcW w:w="592" w:type="pct"/>
          </w:tcPr>
          <w:p w:rsidR="00932084" w:rsidRPr="00C90903" w:rsidRDefault="00C90903" w:rsidP="0079473E">
            <w:pPr>
              <w:spacing w:after="60"/>
              <w:jc w:val="right"/>
              <w:rPr>
                <w:sz w:val="14"/>
                <w:szCs w:val="14"/>
              </w:rPr>
            </w:pPr>
            <w:r w:rsidRPr="00C90903">
              <w:rPr>
                <w:sz w:val="14"/>
                <w:szCs w:val="14"/>
              </w:rPr>
              <w:t>10.00</w:t>
            </w:r>
          </w:p>
        </w:tc>
        <w:tc>
          <w:tcPr>
            <w:tcW w:w="775" w:type="pct"/>
          </w:tcPr>
          <w:p w:rsidR="00932084" w:rsidRPr="00C90903" w:rsidRDefault="00C90903" w:rsidP="0079473E">
            <w:pPr>
              <w:spacing w:after="60"/>
              <w:jc w:val="right"/>
              <w:rPr>
                <w:sz w:val="14"/>
                <w:szCs w:val="14"/>
              </w:rPr>
            </w:pPr>
            <w:r>
              <w:rPr>
                <w:sz w:val="14"/>
                <w:szCs w:val="14"/>
              </w:rPr>
              <w:t>36.29</w:t>
            </w:r>
          </w:p>
        </w:tc>
      </w:tr>
      <w:tr w:rsidR="00932084" w:rsidRPr="00EC15B8" w:rsidTr="00873C07">
        <w:trPr>
          <w:trHeight w:val="47"/>
        </w:trPr>
        <w:tc>
          <w:tcPr>
            <w:tcW w:w="531" w:type="pct"/>
            <w:vMerge/>
            <w:vAlign w:val="center"/>
            <w:hideMark/>
          </w:tcPr>
          <w:p w:rsidR="00932084" w:rsidRPr="00C90903" w:rsidRDefault="00932084" w:rsidP="0079473E">
            <w:pPr>
              <w:jc w:val="left"/>
              <w:rPr>
                <w:sz w:val="14"/>
                <w:szCs w:val="14"/>
              </w:rPr>
            </w:pPr>
          </w:p>
        </w:tc>
        <w:tc>
          <w:tcPr>
            <w:tcW w:w="1166" w:type="pct"/>
            <w:hideMark/>
          </w:tcPr>
          <w:p w:rsidR="00932084" w:rsidRPr="00C90903" w:rsidRDefault="00932084" w:rsidP="0079473E">
            <w:pPr>
              <w:spacing w:after="60"/>
              <w:jc w:val="left"/>
              <w:rPr>
                <w:sz w:val="14"/>
                <w:szCs w:val="14"/>
              </w:rPr>
            </w:pPr>
            <w:r w:rsidRPr="00C90903">
              <w:rPr>
                <w:sz w:val="14"/>
                <w:szCs w:val="14"/>
              </w:rPr>
              <w:t>Funding (</w:t>
            </w:r>
            <w:r w:rsidR="009A3BBD">
              <w:rPr>
                <w:sz w:val="14"/>
                <w:szCs w:val="14"/>
              </w:rPr>
              <w:t>US $</w:t>
            </w:r>
            <w:r w:rsidRPr="00C90903">
              <w:rPr>
                <w:sz w:val="14"/>
                <w:szCs w:val="14"/>
              </w:rPr>
              <w:t>)</w:t>
            </w:r>
          </w:p>
        </w:tc>
        <w:tc>
          <w:tcPr>
            <w:tcW w:w="484" w:type="pct"/>
          </w:tcPr>
          <w:p w:rsidR="00932084" w:rsidRPr="00C90903" w:rsidRDefault="00C90903" w:rsidP="0079473E">
            <w:pPr>
              <w:spacing w:after="60"/>
              <w:jc w:val="right"/>
              <w:rPr>
                <w:sz w:val="14"/>
                <w:szCs w:val="14"/>
              </w:rPr>
            </w:pPr>
            <w:r w:rsidRPr="00C90903">
              <w:rPr>
                <w:sz w:val="14"/>
                <w:szCs w:val="14"/>
              </w:rPr>
              <w:t>1,068,000</w:t>
            </w:r>
          </w:p>
        </w:tc>
        <w:tc>
          <w:tcPr>
            <w:tcW w:w="484" w:type="pct"/>
          </w:tcPr>
          <w:p w:rsidR="00932084" w:rsidRPr="00C90903" w:rsidRDefault="00C90903" w:rsidP="0079473E">
            <w:pPr>
              <w:spacing w:after="60"/>
              <w:jc w:val="right"/>
              <w:rPr>
                <w:sz w:val="14"/>
                <w:szCs w:val="14"/>
              </w:rPr>
            </w:pPr>
            <w:r w:rsidRPr="00C90903">
              <w:rPr>
                <w:sz w:val="14"/>
                <w:szCs w:val="14"/>
              </w:rPr>
              <w:t>0</w:t>
            </w:r>
          </w:p>
        </w:tc>
        <w:tc>
          <w:tcPr>
            <w:tcW w:w="484" w:type="pct"/>
          </w:tcPr>
          <w:p w:rsidR="00932084" w:rsidRPr="00C90903" w:rsidRDefault="00C90903" w:rsidP="0079473E">
            <w:pPr>
              <w:spacing w:after="60"/>
              <w:jc w:val="right"/>
              <w:rPr>
                <w:sz w:val="14"/>
                <w:szCs w:val="14"/>
              </w:rPr>
            </w:pPr>
            <w:r w:rsidRPr="00C90903">
              <w:rPr>
                <w:sz w:val="14"/>
                <w:szCs w:val="14"/>
              </w:rPr>
              <w:t>1,401,000</w:t>
            </w:r>
          </w:p>
        </w:tc>
        <w:tc>
          <w:tcPr>
            <w:tcW w:w="484" w:type="pct"/>
          </w:tcPr>
          <w:p w:rsidR="00932084" w:rsidRPr="00C90903" w:rsidRDefault="00C90903" w:rsidP="0079473E">
            <w:pPr>
              <w:spacing w:after="60"/>
              <w:jc w:val="right"/>
              <w:rPr>
                <w:sz w:val="14"/>
                <w:szCs w:val="14"/>
              </w:rPr>
            </w:pPr>
            <w:r w:rsidRPr="00C90903">
              <w:rPr>
                <w:sz w:val="14"/>
                <w:szCs w:val="14"/>
              </w:rPr>
              <w:t>0</w:t>
            </w:r>
          </w:p>
        </w:tc>
        <w:tc>
          <w:tcPr>
            <w:tcW w:w="592" w:type="pct"/>
          </w:tcPr>
          <w:p w:rsidR="00932084" w:rsidRPr="00C90903" w:rsidRDefault="00C90903" w:rsidP="0079473E">
            <w:pPr>
              <w:spacing w:after="60"/>
              <w:jc w:val="right"/>
              <w:rPr>
                <w:sz w:val="14"/>
                <w:szCs w:val="14"/>
              </w:rPr>
            </w:pPr>
            <w:r w:rsidRPr="00C90903">
              <w:rPr>
                <w:sz w:val="14"/>
                <w:szCs w:val="14"/>
              </w:rPr>
              <w:t>934,000</w:t>
            </w:r>
          </w:p>
        </w:tc>
        <w:tc>
          <w:tcPr>
            <w:tcW w:w="775" w:type="pct"/>
          </w:tcPr>
          <w:p w:rsidR="00932084" w:rsidRPr="00C90903" w:rsidRDefault="00C90903" w:rsidP="0079473E">
            <w:pPr>
              <w:spacing w:after="60"/>
              <w:jc w:val="right"/>
              <w:rPr>
                <w:sz w:val="14"/>
                <w:szCs w:val="14"/>
              </w:rPr>
            </w:pPr>
            <w:r>
              <w:rPr>
                <w:sz w:val="14"/>
                <w:szCs w:val="14"/>
              </w:rPr>
              <w:t>3,403,000</w:t>
            </w:r>
          </w:p>
        </w:tc>
      </w:tr>
      <w:tr w:rsidR="00932084" w:rsidRPr="00EC15B8" w:rsidTr="00873C07">
        <w:trPr>
          <w:trHeight w:val="240"/>
        </w:trPr>
        <w:tc>
          <w:tcPr>
            <w:tcW w:w="531" w:type="pct"/>
            <w:vMerge w:val="restart"/>
            <w:hideMark/>
          </w:tcPr>
          <w:p w:rsidR="00932084" w:rsidRPr="00C90903" w:rsidRDefault="00932084" w:rsidP="0079473E">
            <w:pPr>
              <w:spacing w:after="60"/>
              <w:jc w:val="left"/>
              <w:rPr>
                <w:sz w:val="14"/>
                <w:szCs w:val="14"/>
              </w:rPr>
            </w:pPr>
            <w:r w:rsidRPr="00C90903">
              <w:rPr>
                <w:sz w:val="14"/>
                <w:szCs w:val="14"/>
              </w:rPr>
              <w:t>World Bank</w:t>
            </w:r>
          </w:p>
        </w:tc>
        <w:tc>
          <w:tcPr>
            <w:tcW w:w="1166" w:type="pct"/>
            <w:hideMark/>
          </w:tcPr>
          <w:p w:rsidR="00932084" w:rsidRPr="00C90903" w:rsidRDefault="00932084" w:rsidP="0079473E">
            <w:pPr>
              <w:spacing w:after="60"/>
              <w:jc w:val="left"/>
              <w:rPr>
                <w:sz w:val="14"/>
                <w:szCs w:val="14"/>
              </w:rPr>
            </w:pPr>
            <w:r w:rsidRPr="00C90903">
              <w:rPr>
                <w:sz w:val="14"/>
                <w:szCs w:val="14"/>
              </w:rPr>
              <w:t>ODS phase-out (ODP tonnes)</w:t>
            </w:r>
          </w:p>
        </w:tc>
        <w:tc>
          <w:tcPr>
            <w:tcW w:w="484" w:type="pct"/>
          </w:tcPr>
          <w:p w:rsidR="00932084" w:rsidRPr="00C90903" w:rsidRDefault="00C90903" w:rsidP="0079473E">
            <w:pPr>
              <w:spacing w:after="60"/>
              <w:jc w:val="right"/>
              <w:rPr>
                <w:sz w:val="14"/>
                <w:szCs w:val="14"/>
              </w:rPr>
            </w:pPr>
            <w:r w:rsidRPr="00C90903">
              <w:rPr>
                <w:sz w:val="14"/>
                <w:szCs w:val="14"/>
              </w:rPr>
              <w:t>7.92</w:t>
            </w:r>
          </w:p>
        </w:tc>
        <w:tc>
          <w:tcPr>
            <w:tcW w:w="484" w:type="pct"/>
          </w:tcPr>
          <w:p w:rsidR="00932084" w:rsidRPr="00C90903" w:rsidRDefault="00C90903" w:rsidP="0079473E">
            <w:pPr>
              <w:spacing w:after="60"/>
              <w:jc w:val="right"/>
              <w:rPr>
                <w:sz w:val="14"/>
                <w:szCs w:val="14"/>
              </w:rPr>
            </w:pPr>
            <w:r w:rsidRPr="00C90903">
              <w:rPr>
                <w:sz w:val="14"/>
                <w:szCs w:val="14"/>
              </w:rPr>
              <w:t>23.75</w:t>
            </w:r>
          </w:p>
        </w:tc>
        <w:tc>
          <w:tcPr>
            <w:tcW w:w="484" w:type="pct"/>
          </w:tcPr>
          <w:p w:rsidR="00932084" w:rsidRPr="00C90903" w:rsidRDefault="00C90903" w:rsidP="0079473E">
            <w:pPr>
              <w:spacing w:after="60"/>
              <w:jc w:val="right"/>
              <w:rPr>
                <w:sz w:val="14"/>
                <w:szCs w:val="14"/>
              </w:rPr>
            </w:pPr>
            <w:r w:rsidRPr="00C90903">
              <w:rPr>
                <w:sz w:val="14"/>
                <w:szCs w:val="14"/>
              </w:rPr>
              <w:t>23.75</w:t>
            </w:r>
          </w:p>
        </w:tc>
        <w:tc>
          <w:tcPr>
            <w:tcW w:w="484" w:type="pct"/>
          </w:tcPr>
          <w:p w:rsidR="00932084" w:rsidRPr="00C90903" w:rsidRDefault="00C90903" w:rsidP="0079473E">
            <w:pPr>
              <w:spacing w:after="60"/>
              <w:jc w:val="right"/>
              <w:rPr>
                <w:sz w:val="14"/>
                <w:szCs w:val="14"/>
              </w:rPr>
            </w:pPr>
            <w:r w:rsidRPr="00C90903">
              <w:rPr>
                <w:sz w:val="14"/>
                <w:szCs w:val="14"/>
              </w:rPr>
              <w:t>23.75</w:t>
            </w:r>
          </w:p>
        </w:tc>
        <w:tc>
          <w:tcPr>
            <w:tcW w:w="592" w:type="pct"/>
          </w:tcPr>
          <w:p w:rsidR="00932084" w:rsidRPr="00C90903" w:rsidRDefault="00C90903" w:rsidP="00373160">
            <w:pPr>
              <w:spacing w:after="60"/>
              <w:jc w:val="right"/>
              <w:rPr>
                <w:sz w:val="14"/>
                <w:szCs w:val="14"/>
              </w:rPr>
            </w:pPr>
            <w:r w:rsidRPr="00373160">
              <w:rPr>
                <w:sz w:val="14"/>
                <w:szCs w:val="14"/>
              </w:rPr>
              <w:t>0</w:t>
            </w:r>
          </w:p>
        </w:tc>
        <w:tc>
          <w:tcPr>
            <w:tcW w:w="775" w:type="pct"/>
          </w:tcPr>
          <w:p w:rsidR="00932084" w:rsidRPr="00C90903" w:rsidRDefault="00C90903" w:rsidP="0079473E">
            <w:pPr>
              <w:spacing w:after="60"/>
              <w:jc w:val="right"/>
              <w:rPr>
                <w:sz w:val="14"/>
                <w:szCs w:val="14"/>
              </w:rPr>
            </w:pPr>
            <w:r>
              <w:rPr>
                <w:sz w:val="14"/>
                <w:szCs w:val="14"/>
              </w:rPr>
              <w:t>79,17</w:t>
            </w:r>
          </w:p>
        </w:tc>
      </w:tr>
      <w:tr w:rsidR="00932084" w:rsidRPr="00EC15B8" w:rsidTr="00873C07">
        <w:trPr>
          <w:trHeight w:val="240"/>
        </w:trPr>
        <w:tc>
          <w:tcPr>
            <w:tcW w:w="531" w:type="pct"/>
            <w:vMerge/>
            <w:vAlign w:val="center"/>
            <w:hideMark/>
          </w:tcPr>
          <w:p w:rsidR="00932084" w:rsidRPr="00C90903" w:rsidRDefault="00932084" w:rsidP="0079473E">
            <w:pPr>
              <w:jc w:val="left"/>
              <w:rPr>
                <w:sz w:val="14"/>
                <w:szCs w:val="14"/>
              </w:rPr>
            </w:pPr>
          </w:p>
        </w:tc>
        <w:tc>
          <w:tcPr>
            <w:tcW w:w="1166" w:type="pct"/>
            <w:hideMark/>
          </w:tcPr>
          <w:p w:rsidR="00932084" w:rsidRPr="00C90903" w:rsidRDefault="00932084" w:rsidP="0079473E">
            <w:pPr>
              <w:spacing w:after="60"/>
              <w:jc w:val="left"/>
              <w:rPr>
                <w:sz w:val="14"/>
                <w:szCs w:val="14"/>
              </w:rPr>
            </w:pPr>
            <w:r w:rsidRPr="00C90903">
              <w:rPr>
                <w:sz w:val="14"/>
                <w:szCs w:val="14"/>
              </w:rPr>
              <w:t>Funding (</w:t>
            </w:r>
            <w:r w:rsidR="009A3BBD">
              <w:rPr>
                <w:sz w:val="14"/>
                <w:szCs w:val="14"/>
              </w:rPr>
              <w:t>US $</w:t>
            </w:r>
            <w:r w:rsidRPr="00C90903">
              <w:rPr>
                <w:sz w:val="14"/>
                <w:szCs w:val="14"/>
              </w:rPr>
              <w:t>)</w:t>
            </w:r>
          </w:p>
        </w:tc>
        <w:tc>
          <w:tcPr>
            <w:tcW w:w="484" w:type="pct"/>
          </w:tcPr>
          <w:p w:rsidR="00932084" w:rsidRPr="00C90903" w:rsidRDefault="00C90903" w:rsidP="0079473E">
            <w:pPr>
              <w:spacing w:after="60"/>
              <w:jc w:val="right"/>
              <w:rPr>
                <w:sz w:val="14"/>
                <w:szCs w:val="14"/>
              </w:rPr>
            </w:pPr>
            <w:r w:rsidRPr="00C90903">
              <w:rPr>
                <w:sz w:val="14"/>
                <w:szCs w:val="14"/>
              </w:rPr>
              <w:t>823,000</w:t>
            </w:r>
          </w:p>
        </w:tc>
        <w:tc>
          <w:tcPr>
            <w:tcW w:w="484" w:type="pct"/>
          </w:tcPr>
          <w:p w:rsidR="00932084" w:rsidRPr="00C90903" w:rsidRDefault="00C90903" w:rsidP="0079473E">
            <w:pPr>
              <w:spacing w:after="60"/>
              <w:jc w:val="right"/>
              <w:rPr>
                <w:sz w:val="14"/>
                <w:szCs w:val="14"/>
              </w:rPr>
            </w:pPr>
            <w:r w:rsidRPr="00C90903">
              <w:rPr>
                <w:sz w:val="14"/>
                <w:szCs w:val="14"/>
              </w:rPr>
              <w:t>2,432,000</w:t>
            </w:r>
          </w:p>
        </w:tc>
        <w:tc>
          <w:tcPr>
            <w:tcW w:w="484" w:type="pct"/>
          </w:tcPr>
          <w:p w:rsidR="00932084" w:rsidRPr="00C90903" w:rsidRDefault="00C90903" w:rsidP="0079473E">
            <w:pPr>
              <w:spacing w:after="60"/>
              <w:jc w:val="right"/>
              <w:rPr>
                <w:sz w:val="14"/>
                <w:szCs w:val="14"/>
              </w:rPr>
            </w:pPr>
            <w:r w:rsidRPr="00C90903">
              <w:rPr>
                <w:sz w:val="14"/>
                <w:szCs w:val="14"/>
              </w:rPr>
              <w:t>2,432,000</w:t>
            </w:r>
          </w:p>
        </w:tc>
        <w:tc>
          <w:tcPr>
            <w:tcW w:w="484" w:type="pct"/>
          </w:tcPr>
          <w:p w:rsidR="00932084" w:rsidRPr="00C90903" w:rsidRDefault="00C90903" w:rsidP="0079473E">
            <w:pPr>
              <w:spacing w:after="60"/>
              <w:jc w:val="right"/>
              <w:rPr>
                <w:sz w:val="14"/>
                <w:szCs w:val="14"/>
              </w:rPr>
            </w:pPr>
            <w:r w:rsidRPr="00C90903">
              <w:rPr>
                <w:sz w:val="14"/>
                <w:szCs w:val="14"/>
              </w:rPr>
              <w:t>1,627,000</w:t>
            </w:r>
          </w:p>
        </w:tc>
        <w:tc>
          <w:tcPr>
            <w:tcW w:w="592" w:type="pct"/>
          </w:tcPr>
          <w:p w:rsidR="00932084" w:rsidRPr="00C90903" w:rsidRDefault="00C90903" w:rsidP="0079473E">
            <w:pPr>
              <w:spacing w:after="60"/>
              <w:jc w:val="right"/>
              <w:rPr>
                <w:sz w:val="14"/>
                <w:szCs w:val="14"/>
              </w:rPr>
            </w:pPr>
            <w:r w:rsidRPr="00C90903">
              <w:rPr>
                <w:sz w:val="14"/>
                <w:szCs w:val="14"/>
              </w:rPr>
              <w:t>823,000</w:t>
            </w:r>
          </w:p>
        </w:tc>
        <w:tc>
          <w:tcPr>
            <w:tcW w:w="775" w:type="pct"/>
          </w:tcPr>
          <w:p w:rsidR="0017198D" w:rsidRPr="00C90903" w:rsidRDefault="00C90903" w:rsidP="0017198D">
            <w:pPr>
              <w:spacing w:after="60"/>
              <w:jc w:val="right"/>
              <w:rPr>
                <w:sz w:val="14"/>
                <w:szCs w:val="14"/>
              </w:rPr>
            </w:pPr>
            <w:r>
              <w:rPr>
                <w:sz w:val="14"/>
                <w:szCs w:val="14"/>
              </w:rPr>
              <w:t>8,137,000</w:t>
            </w:r>
          </w:p>
        </w:tc>
      </w:tr>
      <w:tr w:rsidR="00614DAF" w:rsidRPr="000B2541" w:rsidTr="00580805">
        <w:trPr>
          <w:trHeight w:val="240"/>
        </w:trPr>
        <w:tc>
          <w:tcPr>
            <w:tcW w:w="531" w:type="pct"/>
            <w:vMerge w:val="restart"/>
          </w:tcPr>
          <w:p w:rsidR="00614DAF" w:rsidRPr="000B2541" w:rsidRDefault="00614DAF" w:rsidP="00580805">
            <w:pPr>
              <w:jc w:val="left"/>
              <w:rPr>
                <w:sz w:val="14"/>
                <w:szCs w:val="14"/>
              </w:rPr>
            </w:pPr>
            <w:r w:rsidRPr="000B2541">
              <w:rPr>
                <w:sz w:val="14"/>
                <w:szCs w:val="14"/>
              </w:rPr>
              <w:t>Government of Italy</w:t>
            </w:r>
          </w:p>
        </w:tc>
        <w:tc>
          <w:tcPr>
            <w:tcW w:w="1166" w:type="pct"/>
          </w:tcPr>
          <w:p w:rsidR="00614DAF" w:rsidRPr="000B2541" w:rsidRDefault="00614DAF" w:rsidP="005C026A">
            <w:pPr>
              <w:spacing w:after="60"/>
              <w:jc w:val="left"/>
              <w:rPr>
                <w:sz w:val="14"/>
                <w:szCs w:val="14"/>
              </w:rPr>
            </w:pPr>
            <w:r w:rsidRPr="000B2541">
              <w:rPr>
                <w:sz w:val="14"/>
                <w:szCs w:val="14"/>
              </w:rPr>
              <w:t>ODS phase-out (ODP tonnes)</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592" w:type="pct"/>
          </w:tcPr>
          <w:p w:rsidR="00614DAF" w:rsidRPr="000B2541" w:rsidRDefault="00614DAF" w:rsidP="005C026A">
            <w:pPr>
              <w:spacing w:after="60"/>
              <w:jc w:val="right"/>
              <w:rPr>
                <w:sz w:val="14"/>
                <w:szCs w:val="14"/>
              </w:rPr>
            </w:pPr>
            <w:r w:rsidRPr="000B2541">
              <w:rPr>
                <w:sz w:val="14"/>
                <w:szCs w:val="14"/>
              </w:rPr>
              <w:t>0</w:t>
            </w:r>
          </w:p>
        </w:tc>
        <w:tc>
          <w:tcPr>
            <w:tcW w:w="775" w:type="pct"/>
          </w:tcPr>
          <w:p w:rsidR="00614DAF" w:rsidRPr="000B2541" w:rsidRDefault="00614DAF" w:rsidP="005C026A">
            <w:pPr>
              <w:spacing w:after="60"/>
              <w:jc w:val="right"/>
              <w:rPr>
                <w:sz w:val="14"/>
                <w:szCs w:val="14"/>
              </w:rPr>
            </w:pPr>
            <w:r w:rsidRPr="000B2541">
              <w:rPr>
                <w:sz w:val="14"/>
                <w:szCs w:val="14"/>
              </w:rPr>
              <w:t>0</w:t>
            </w:r>
          </w:p>
        </w:tc>
      </w:tr>
      <w:tr w:rsidR="00614DAF" w:rsidRPr="000B2541" w:rsidTr="00873C07">
        <w:trPr>
          <w:trHeight w:val="240"/>
        </w:trPr>
        <w:tc>
          <w:tcPr>
            <w:tcW w:w="531" w:type="pct"/>
            <w:vMerge/>
            <w:vAlign w:val="center"/>
          </w:tcPr>
          <w:p w:rsidR="00614DAF" w:rsidRPr="000B2541" w:rsidRDefault="00614DAF" w:rsidP="0079473E">
            <w:pPr>
              <w:jc w:val="left"/>
              <w:rPr>
                <w:sz w:val="14"/>
                <w:szCs w:val="14"/>
              </w:rPr>
            </w:pPr>
          </w:p>
        </w:tc>
        <w:tc>
          <w:tcPr>
            <w:tcW w:w="1166" w:type="pct"/>
          </w:tcPr>
          <w:p w:rsidR="00614DAF" w:rsidRPr="000B2541" w:rsidRDefault="00614DAF" w:rsidP="005C026A">
            <w:pPr>
              <w:spacing w:after="60"/>
              <w:jc w:val="left"/>
              <w:rPr>
                <w:sz w:val="14"/>
                <w:szCs w:val="14"/>
              </w:rPr>
            </w:pPr>
            <w:r w:rsidRPr="000B2541">
              <w:rPr>
                <w:sz w:val="14"/>
                <w:szCs w:val="14"/>
              </w:rPr>
              <w:t>Funding (US $)</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484" w:type="pct"/>
          </w:tcPr>
          <w:p w:rsidR="00614DAF" w:rsidRPr="000B2541" w:rsidRDefault="00614DAF" w:rsidP="005C026A">
            <w:pPr>
              <w:spacing w:after="60"/>
              <w:jc w:val="right"/>
              <w:rPr>
                <w:sz w:val="14"/>
                <w:szCs w:val="14"/>
              </w:rPr>
            </w:pPr>
            <w:r w:rsidRPr="000B2541">
              <w:rPr>
                <w:sz w:val="14"/>
                <w:szCs w:val="14"/>
              </w:rPr>
              <w:t>0</w:t>
            </w:r>
          </w:p>
        </w:tc>
        <w:tc>
          <w:tcPr>
            <w:tcW w:w="592" w:type="pct"/>
          </w:tcPr>
          <w:p w:rsidR="00614DAF" w:rsidRPr="000B2541" w:rsidRDefault="00614DAF" w:rsidP="005C026A">
            <w:pPr>
              <w:spacing w:after="60"/>
              <w:jc w:val="right"/>
              <w:rPr>
                <w:sz w:val="14"/>
                <w:szCs w:val="14"/>
              </w:rPr>
            </w:pPr>
            <w:r w:rsidRPr="000B2541">
              <w:rPr>
                <w:sz w:val="14"/>
                <w:szCs w:val="14"/>
              </w:rPr>
              <w:t>0</w:t>
            </w:r>
          </w:p>
        </w:tc>
        <w:tc>
          <w:tcPr>
            <w:tcW w:w="775" w:type="pct"/>
          </w:tcPr>
          <w:p w:rsidR="00614DAF" w:rsidRPr="000B2541" w:rsidRDefault="00614DAF" w:rsidP="005C026A">
            <w:pPr>
              <w:spacing w:after="60"/>
              <w:jc w:val="right"/>
              <w:rPr>
                <w:sz w:val="14"/>
                <w:szCs w:val="14"/>
              </w:rPr>
            </w:pPr>
            <w:r w:rsidRPr="000B2541">
              <w:rPr>
                <w:sz w:val="14"/>
                <w:szCs w:val="14"/>
              </w:rPr>
              <w:t>0</w:t>
            </w:r>
          </w:p>
        </w:tc>
      </w:tr>
    </w:tbl>
    <w:p w:rsidR="00486E25" w:rsidRPr="000B2541" w:rsidRDefault="00486E25" w:rsidP="00486E25">
      <w:pPr>
        <w:spacing w:after="60"/>
        <w:jc w:val="center"/>
        <w:rPr>
          <w:sz w:val="14"/>
          <w:szCs w:val="14"/>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75"/>
        <w:gridCol w:w="828"/>
        <w:gridCol w:w="1113"/>
        <w:gridCol w:w="808"/>
        <w:gridCol w:w="806"/>
        <w:gridCol w:w="898"/>
        <w:gridCol w:w="1078"/>
        <w:gridCol w:w="808"/>
        <w:gridCol w:w="848"/>
        <w:gridCol w:w="1314"/>
      </w:tblGrid>
      <w:tr w:rsidR="00873C07" w:rsidRPr="000B2541"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873C07" w:rsidRPr="000B2541" w:rsidRDefault="00873C07" w:rsidP="00873C07">
            <w:pPr>
              <w:spacing w:after="60"/>
              <w:jc w:val="left"/>
              <w:rPr>
                <w:b/>
                <w:sz w:val="14"/>
                <w:szCs w:val="14"/>
              </w:rPr>
            </w:pPr>
            <w:r w:rsidRPr="000B2541">
              <w:rPr>
                <w:b/>
                <w:sz w:val="14"/>
                <w:szCs w:val="14"/>
              </w:rPr>
              <w:t xml:space="preserve"> (VI) PROJECT DATA</w:t>
            </w:r>
          </w:p>
        </w:tc>
        <w:tc>
          <w:tcPr>
            <w:tcW w:w="422"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spacing w:after="60"/>
              <w:jc w:val="center"/>
              <w:rPr>
                <w:b/>
                <w:sz w:val="14"/>
                <w:szCs w:val="14"/>
              </w:rPr>
            </w:pPr>
            <w:r w:rsidRPr="000B2541">
              <w:rPr>
                <w:b/>
                <w:sz w:val="14"/>
                <w:szCs w:val="14"/>
              </w:rPr>
              <w:t>2017</w:t>
            </w:r>
          </w:p>
        </w:tc>
        <w:tc>
          <w:tcPr>
            <w:tcW w:w="421" w:type="pct"/>
            <w:tcBorders>
              <w:top w:val="single" w:sz="4" w:space="0" w:color="666699"/>
              <w:left w:val="single" w:sz="4" w:space="0" w:color="666699"/>
              <w:bottom w:val="single" w:sz="4" w:space="0" w:color="666699"/>
              <w:right w:val="single" w:sz="4" w:space="0" w:color="666699"/>
            </w:tcBorders>
            <w:shd w:val="clear" w:color="auto" w:fill="auto"/>
            <w:hideMark/>
          </w:tcPr>
          <w:p w:rsidR="00873C07" w:rsidRPr="000B2541" w:rsidRDefault="00873C07" w:rsidP="00873C07">
            <w:pPr>
              <w:spacing w:after="60"/>
              <w:jc w:val="center"/>
              <w:rPr>
                <w:b/>
                <w:sz w:val="14"/>
                <w:szCs w:val="14"/>
              </w:rPr>
            </w:pPr>
            <w:r w:rsidRPr="000B2541">
              <w:rPr>
                <w:b/>
                <w:sz w:val="14"/>
                <w:szCs w:val="14"/>
              </w:rPr>
              <w:t>2018</w:t>
            </w:r>
          </w:p>
        </w:tc>
        <w:tc>
          <w:tcPr>
            <w:tcW w:w="469" w:type="pct"/>
            <w:tcBorders>
              <w:top w:val="single" w:sz="4" w:space="0" w:color="666699"/>
              <w:left w:val="single" w:sz="4" w:space="0" w:color="666699"/>
              <w:bottom w:val="single" w:sz="4" w:space="0" w:color="666699"/>
              <w:right w:val="single" w:sz="4" w:space="0" w:color="666699"/>
            </w:tcBorders>
            <w:shd w:val="clear" w:color="auto" w:fill="auto"/>
            <w:hideMark/>
          </w:tcPr>
          <w:p w:rsidR="00873C07" w:rsidRPr="000B2541" w:rsidRDefault="00873C07" w:rsidP="00873C07">
            <w:pPr>
              <w:spacing w:after="60"/>
              <w:jc w:val="center"/>
              <w:rPr>
                <w:b/>
                <w:sz w:val="14"/>
                <w:szCs w:val="14"/>
              </w:rPr>
            </w:pPr>
            <w:r w:rsidRPr="000B2541">
              <w:rPr>
                <w:b/>
                <w:sz w:val="14"/>
                <w:szCs w:val="14"/>
              </w:rPr>
              <w:t>2019</w:t>
            </w:r>
          </w:p>
        </w:tc>
        <w:tc>
          <w:tcPr>
            <w:tcW w:w="563" w:type="pct"/>
            <w:tcBorders>
              <w:top w:val="single" w:sz="4" w:space="0" w:color="666699"/>
              <w:left w:val="single" w:sz="4" w:space="0" w:color="666699"/>
              <w:bottom w:val="single" w:sz="4" w:space="0" w:color="666699"/>
              <w:right w:val="single" w:sz="4" w:space="0" w:color="666699"/>
            </w:tcBorders>
            <w:shd w:val="clear" w:color="auto" w:fill="auto"/>
            <w:hideMark/>
          </w:tcPr>
          <w:p w:rsidR="00873C07" w:rsidRPr="000B2541" w:rsidRDefault="00873C07" w:rsidP="00873C07">
            <w:pPr>
              <w:spacing w:after="60"/>
              <w:jc w:val="center"/>
              <w:rPr>
                <w:b/>
                <w:sz w:val="14"/>
                <w:szCs w:val="14"/>
              </w:rPr>
            </w:pPr>
            <w:r w:rsidRPr="000B2541">
              <w:rPr>
                <w:b/>
                <w:sz w:val="14"/>
                <w:szCs w:val="14"/>
              </w:rPr>
              <w:t>2020</w:t>
            </w:r>
          </w:p>
        </w:tc>
        <w:tc>
          <w:tcPr>
            <w:tcW w:w="422" w:type="pct"/>
            <w:tcBorders>
              <w:top w:val="single" w:sz="4" w:space="0" w:color="666699"/>
              <w:left w:val="single" w:sz="4" w:space="0" w:color="666699"/>
              <w:bottom w:val="single" w:sz="4" w:space="0" w:color="666699"/>
              <w:right w:val="single" w:sz="4" w:space="0" w:color="666699"/>
            </w:tcBorders>
            <w:shd w:val="clear" w:color="auto" w:fill="auto"/>
          </w:tcPr>
          <w:p w:rsidR="00873C07" w:rsidRPr="000B2541" w:rsidRDefault="00873C07" w:rsidP="00873C07">
            <w:pPr>
              <w:spacing w:after="60"/>
              <w:jc w:val="center"/>
              <w:rPr>
                <w:b/>
                <w:sz w:val="14"/>
                <w:szCs w:val="14"/>
              </w:rPr>
            </w:pPr>
            <w:r w:rsidRPr="000B2541">
              <w:rPr>
                <w:b/>
                <w:sz w:val="14"/>
                <w:szCs w:val="14"/>
              </w:rPr>
              <w:t>2021</w:t>
            </w:r>
          </w:p>
        </w:tc>
        <w:tc>
          <w:tcPr>
            <w:tcW w:w="443" w:type="pct"/>
            <w:tcBorders>
              <w:top w:val="single" w:sz="4" w:space="0" w:color="666699"/>
              <w:left w:val="single" w:sz="4" w:space="0" w:color="666699"/>
              <w:bottom w:val="single" w:sz="4" w:space="0" w:color="666699"/>
              <w:right w:val="single" w:sz="4" w:space="0" w:color="666699"/>
            </w:tcBorders>
            <w:shd w:val="clear" w:color="auto" w:fill="auto"/>
          </w:tcPr>
          <w:p w:rsidR="00873C07" w:rsidRPr="000B2541" w:rsidRDefault="00873C07" w:rsidP="00873C07">
            <w:pPr>
              <w:spacing w:after="60"/>
              <w:jc w:val="center"/>
              <w:rPr>
                <w:b/>
                <w:sz w:val="14"/>
                <w:szCs w:val="14"/>
              </w:rPr>
            </w:pPr>
            <w:r w:rsidRPr="000B2541">
              <w:rPr>
                <w:b/>
                <w:sz w:val="14"/>
                <w:szCs w:val="14"/>
              </w:rPr>
              <w:t>2022</w:t>
            </w:r>
          </w:p>
        </w:tc>
        <w:tc>
          <w:tcPr>
            <w:tcW w:w="687" w:type="pct"/>
            <w:tcBorders>
              <w:top w:val="single" w:sz="4" w:space="0" w:color="666699"/>
              <w:left w:val="single" w:sz="4" w:space="0" w:color="666699"/>
              <w:bottom w:val="single" w:sz="4" w:space="0" w:color="666699"/>
              <w:right w:val="single" w:sz="4" w:space="0" w:color="666699"/>
            </w:tcBorders>
            <w:shd w:val="clear" w:color="auto" w:fill="auto"/>
            <w:hideMark/>
          </w:tcPr>
          <w:p w:rsidR="00873C07" w:rsidRPr="000B2541" w:rsidRDefault="00873C07" w:rsidP="00873C07">
            <w:pPr>
              <w:spacing w:after="60"/>
              <w:jc w:val="center"/>
              <w:rPr>
                <w:b/>
                <w:sz w:val="14"/>
                <w:szCs w:val="14"/>
              </w:rPr>
            </w:pPr>
            <w:r w:rsidRPr="000B2541">
              <w:rPr>
                <w:b/>
                <w:sz w:val="14"/>
                <w:szCs w:val="14"/>
              </w:rPr>
              <w:t>Total</w:t>
            </w:r>
          </w:p>
        </w:tc>
      </w:tr>
      <w:tr w:rsidR="00873C07" w:rsidRPr="000B2541"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873C07" w:rsidRPr="000B2541" w:rsidRDefault="00873C07" w:rsidP="00873C07">
            <w:pPr>
              <w:spacing w:after="60"/>
              <w:jc w:val="left"/>
              <w:rPr>
                <w:sz w:val="14"/>
                <w:szCs w:val="14"/>
              </w:rPr>
            </w:pPr>
            <w:r w:rsidRPr="000B2541">
              <w:rPr>
                <w:sz w:val="14"/>
                <w:szCs w:val="14"/>
              </w:rPr>
              <w:t xml:space="preserve">Montreal Protocol consumption limits </w:t>
            </w:r>
          </w:p>
        </w:tc>
        <w:tc>
          <w:tcPr>
            <w:tcW w:w="422"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360.63</w:t>
            </w:r>
          </w:p>
        </w:tc>
        <w:tc>
          <w:tcPr>
            <w:tcW w:w="421"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360.63</w:t>
            </w:r>
          </w:p>
        </w:tc>
        <w:tc>
          <w:tcPr>
            <w:tcW w:w="469"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360.63</w:t>
            </w:r>
          </w:p>
        </w:tc>
        <w:tc>
          <w:tcPr>
            <w:tcW w:w="563"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260.45</w:t>
            </w:r>
          </w:p>
        </w:tc>
        <w:tc>
          <w:tcPr>
            <w:tcW w:w="422"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260.45</w:t>
            </w:r>
          </w:p>
        </w:tc>
        <w:tc>
          <w:tcPr>
            <w:tcW w:w="443"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sz w:val="14"/>
                <w:szCs w:val="14"/>
              </w:rPr>
            </w:pPr>
            <w:r w:rsidRPr="000B2541">
              <w:rPr>
                <w:sz w:val="14"/>
                <w:szCs w:val="14"/>
              </w:rPr>
              <w:t>260.45</w:t>
            </w:r>
          </w:p>
        </w:tc>
        <w:tc>
          <w:tcPr>
            <w:tcW w:w="687"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rFonts w:eastAsiaTheme="minorHAnsi"/>
                <w:sz w:val="14"/>
                <w:szCs w:val="14"/>
              </w:rPr>
            </w:pPr>
            <w:r w:rsidRPr="000B2541">
              <w:rPr>
                <w:rFonts w:eastAsiaTheme="minorHAnsi"/>
                <w:sz w:val="14"/>
                <w:szCs w:val="14"/>
              </w:rPr>
              <w:t>n/a</w:t>
            </w:r>
          </w:p>
        </w:tc>
      </w:tr>
      <w:tr w:rsidR="00873C07" w:rsidRPr="000B2541"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873C07" w:rsidRPr="000B2541" w:rsidRDefault="00873C07" w:rsidP="00873C07">
            <w:pPr>
              <w:spacing w:after="60"/>
              <w:jc w:val="left"/>
              <w:rPr>
                <w:sz w:val="14"/>
                <w:szCs w:val="14"/>
              </w:rPr>
            </w:pPr>
            <w:r w:rsidRPr="000B2541">
              <w:rPr>
                <w:sz w:val="14"/>
                <w:szCs w:val="14"/>
              </w:rPr>
              <w:t>Maximum allowable consumption (ODP tonnes)</w:t>
            </w:r>
          </w:p>
        </w:tc>
        <w:tc>
          <w:tcPr>
            <w:tcW w:w="422" w:type="pct"/>
            <w:tcBorders>
              <w:top w:val="single" w:sz="4" w:space="0" w:color="666699"/>
              <w:left w:val="single" w:sz="4" w:space="0" w:color="666699"/>
              <w:bottom w:val="single" w:sz="4" w:space="0" w:color="666699"/>
              <w:right w:val="single" w:sz="4" w:space="0" w:color="666699"/>
            </w:tcBorders>
          </w:tcPr>
          <w:p w:rsidR="00873C07" w:rsidRPr="000B2541" w:rsidRDefault="002472EB" w:rsidP="002472EB">
            <w:pPr>
              <w:jc w:val="right"/>
              <w:rPr>
                <w:color w:val="000000"/>
                <w:sz w:val="14"/>
                <w:szCs w:val="14"/>
                <w:lang w:val="en-US"/>
              </w:rPr>
            </w:pPr>
            <w:r w:rsidRPr="000B2541">
              <w:rPr>
                <w:color w:val="000000"/>
                <w:sz w:val="14"/>
                <w:szCs w:val="14"/>
                <w:lang w:eastAsia="en-CA"/>
              </w:rPr>
              <w:t>330.58</w:t>
            </w:r>
          </w:p>
        </w:tc>
        <w:tc>
          <w:tcPr>
            <w:tcW w:w="421"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color w:val="000000"/>
                <w:sz w:val="14"/>
                <w:szCs w:val="14"/>
                <w:lang w:val="en-US"/>
              </w:rPr>
            </w:pPr>
            <w:r w:rsidRPr="000B2541">
              <w:rPr>
                <w:color w:val="000000"/>
                <w:sz w:val="14"/>
                <w:szCs w:val="14"/>
                <w:lang w:eastAsia="en-CA"/>
              </w:rPr>
              <w:t>330.58</w:t>
            </w:r>
          </w:p>
        </w:tc>
        <w:tc>
          <w:tcPr>
            <w:tcW w:w="469"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color w:val="000000"/>
                <w:sz w:val="14"/>
                <w:szCs w:val="14"/>
                <w:lang w:val="en-US"/>
              </w:rPr>
            </w:pPr>
            <w:r w:rsidRPr="000B2541">
              <w:rPr>
                <w:color w:val="000000"/>
                <w:sz w:val="14"/>
                <w:szCs w:val="14"/>
                <w:lang w:eastAsia="en-CA"/>
              </w:rPr>
              <w:t>330.58</w:t>
            </w:r>
          </w:p>
        </w:tc>
        <w:tc>
          <w:tcPr>
            <w:tcW w:w="563"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color w:val="000000"/>
                <w:sz w:val="14"/>
                <w:szCs w:val="14"/>
                <w:lang w:val="en-US"/>
              </w:rPr>
            </w:pPr>
            <w:r w:rsidRPr="000B2541">
              <w:rPr>
                <w:color w:val="000000"/>
                <w:sz w:val="14"/>
                <w:szCs w:val="14"/>
                <w:lang w:eastAsia="en-CA"/>
              </w:rPr>
              <w:t>260.45</w:t>
            </w:r>
          </w:p>
        </w:tc>
        <w:tc>
          <w:tcPr>
            <w:tcW w:w="422"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color w:val="000000"/>
                <w:sz w:val="14"/>
                <w:szCs w:val="14"/>
                <w:lang w:val="en-US"/>
              </w:rPr>
            </w:pPr>
            <w:r w:rsidRPr="000B2541">
              <w:rPr>
                <w:color w:val="000000"/>
                <w:sz w:val="14"/>
                <w:szCs w:val="14"/>
                <w:lang w:eastAsia="en-CA"/>
              </w:rPr>
              <w:t>260.45</w:t>
            </w:r>
          </w:p>
        </w:tc>
        <w:tc>
          <w:tcPr>
            <w:tcW w:w="443" w:type="pct"/>
            <w:tcBorders>
              <w:top w:val="single" w:sz="4" w:space="0" w:color="666699"/>
              <w:left w:val="single" w:sz="4" w:space="0" w:color="666699"/>
              <w:bottom w:val="single" w:sz="4" w:space="0" w:color="666699"/>
              <w:right w:val="single" w:sz="4" w:space="0" w:color="666699"/>
            </w:tcBorders>
          </w:tcPr>
          <w:p w:rsidR="00873C07" w:rsidRPr="000B2541" w:rsidRDefault="00873C07" w:rsidP="00317314">
            <w:pPr>
              <w:jc w:val="right"/>
              <w:rPr>
                <w:color w:val="000000"/>
                <w:sz w:val="14"/>
                <w:szCs w:val="14"/>
                <w:lang w:val="en-US"/>
              </w:rPr>
            </w:pPr>
            <w:r w:rsidRPr="000B2541">
              <w:rPr>
                <w:color w:val="000000"/>
                <w:sz w:val="14"/>
                <w:szCs w:val="14"/>
                <w:lang w:eastAsia="en-CA"/>
              </w:rPr>
              <w:t>200.3</w:t>
            </w:r>
            <w:r w:rsidR="00317314" w:rsidRPr="000B2541">
              <w:rPr>
                <w:color w:val="000000"/>
                <w:sz w:val="14"/>
                <w:szCs w:val="14"/>
                <w:lang w:eastAsia="en-CA"/>
              </w:rPr>
              <w:t>5</w:t>
            </w:r>
          </w:p>
        </w:tc>
        <w:tc>
          <w:tcPr>
            <w:tcW w:w="687" w:type="pct"/>
            <w:tcBorders>
              <w:top w:val="single" w:sz="4" w:space="0" w:color="666699"/>
              <w:left w:val="single" w:sz="4" w:space="0" w:color="666699"/>
              <w:bottom w:val="single" w:sz="4" w:space="0" w:color="666699"/>
              <w:right w:val="single" w:sz="4" w:space="0" w:color="666699"/>
            </w:tcBorders>
          </w:tcPr>
          <w:p w:rsidR="00873C07" w:rsidRPr="000B2541" w:rsidRDefault="00873C07" w:rsidP="00873C07">
            <w:pPr>
              <w:jc w:val="right"/>
              <w:rPr>
                <w:rFonts w:eastAsiaTheme="minorHAnsi"/>
                <w:sz w:val="14"/>
                <w:szCs w:val="14"/>
              </w:rPr>
            </w:pPr>
            <w:r w:rsidRPr="000B2541">
              <w:rPr>
                <w:rFonts w:eastAsiaTheme="minorHAnsi"/>
                <w:sz w:val="14"/>
                <w:szCs w:val="14"/>
              </w:rPr>
              <w:t>n/a</w:t>
            </w:r>
          </w:p>
        </w:tc>
      </w:tr>
      <w:tr w:rsidR="00614DAF" w:rsidRPr="000B2541" w:rsidTr="00614DAF">
        <w:tc>
          <w:tcPr>
            <w:tcW w:w="561" w:type="pct"/>
            <w:vMerge w:val="restart"/>
            <w:tcBorders>
              <w:top w:val="single" w:sz="4" w:space="0" w:color="666699"/>
              <w:left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Project costs requested in principle (US$)</w:t>
            </w:r>
          </w:p>
        </w:tc>
        <w:tc>
          <w:tcPr>
            <w:tcW w:w="432" w:type="pct"/>
            <w:vMerge w:val="restart"/>
            <w:tcBorders>
              <w:top w:val="single" w:sz="4" w:space="0" w:color="666699"/>
              <w:left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UNIDO</w:t>
            </w:r>
          </w:p>
        </w:tc>
        <w:tc>
          <w:tcPr>
            <w:tcW w:w="580" w:type="pct"/>
            <w:tcBorders>
              <w:top w:val="single" w:sz="4" w:space="0" w:color="666699"/>
              <w:left w:val="single" w:sz="4" w:space="0" w:color="666699"/>
              <w:bottom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Project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595,746</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1,347,217</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1,334,000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364,107</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3,641,070</w:t>
            </w:r>
          </w:p>
        </w:tc>
      </w:tr>
      <w:tr w:rsidR="00614DAF" w:rsidRPr="000B2541" w:rsidTr="00614DAF">
        <w:tc>
          <w:tcPr>
            <w:tcW w:w="561" w:type="pct"/>
            <w:vMerge/>
            <w:tcBorders>
              <w:left w:val="single" w:sz="4" w:space="0" w:color="666699"/>
              <w:right w:val="single" w:sz="4" w:space="0" w:color="666699"/>
            </w:tcBorders>
            <w:hideMark/>
          </w:tcPr>
          <w:p w:rsidR="00614DAF" w:rsidRPr="000B2541" w:rsidRDefault="00614DAF" w:rsidP="00873C07">
            <w:pPr>
              <w:jc w:val="left"/>
              <w:rPr>
                <w:sz w:val="14"/>
                <w:szCs w:val="14"/>
              </w:rPr>
            </w:pPr>
          </w:p>
        </w:tc>
        <w:tc>
          <w:tcPr>
            <w:tcW w:w="432" w:type="pct"/>
            <w:vMerge/>
            <w:tcBorders>
              <w:left w:val="single" w:sz="4" w:space="0" w:color="666699"/>
              <w:right w:val="single" w:sz="4" w:space="0" w:color="666699"/>
            </w:tcBorders>
            <w:hideMark/>
          </w:tcPr>
          <w:p w:rsidR="00614DAF" w:rsidRPr="000B2541" w:rsidRDefault="00614DAF" w:rsidP="00873C07">
            <w:pPr>
              <w:jc w:val="left"/>
              <w:rPr>
                <w:sz w:val="14"/>
                <w:szCs w:val="14"/>
              </w:rPr>
            </w:pPr>
          </w:p>
        </w:tc>
        <w:tc>
          <w:tcPr>
            <w:tcW w:w="580" w:type="pct"/>
            <w:tcBorders>
              <w:top w:val="single" w:sz="4" w:space="0" w:color="666699"/>
              <w:left w:val="single" w:sz="4" w:space="0" w:color="666699"/>
              <w:bottom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Support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41,702</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94,305</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93,380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25,487</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254,875</w:t>
            </w:r>
          </w:p>
        </w:tc>
      </w:tr>
      <w:tr w:rsidR="00614DAF" w:rsidRPr="000B2541" w:rsidTr="00614DAF">
        <w:tc>
          <w:tcPr>
            <w:tcW w:w="561" w:type="pct"/>
            <w:vMerge/>
            <w:tcBorders>
              <w:left w:val="single" w:sz="4" w:space="0" w:color="666699"/>
              <w:right w:val="single" w:sz="4" w:space="0" w:color="666699"/>
            </w:tcBorders>
          </w:tcPr>
          <w:p w:rsidR="00614DAF" w:rsidRPr="000B2541" w:rsidRDefault="00614DAF" w:rsidP="00873C07">
            <w:pPr>
              <w:jc w:val="left"/>
              <w:rPr>
                <w:sz w:val="14"/>
                <w:szCs w:val="14"/>
              </w:rPr>
            </w:pPr>
          </w:p>
        </w:tc>
        <w:tc>
          <w:tcPr>
            <w:tcW w:w="432" w:type="pct"/>
            <w:vMerge w:val="restart"/>
            <w:tcBorders>
              <w:left w:val="single" w:sz="4" w:space="0" w:color="666699"/>
              <w:right w:val="single" w:sz="4" w:space="0" w:color="666699"/>
            </w:tcBorders>
          </w:tcPr>
          <w:p w:rsidR="00614DAF" w:rsidRPr="000B2541" w:rsidRDefault="00614DAF" w:rsidP="00873C07">
            <w:pPr>
              <w:jc w:val="left"/>
              <w:rPr>
                <w:sz w:val="14"/>
                <w:szCs w:val="14"/>
              </w:rPr>
            </w:pPr>
            <w:r w:rsidRPr="000B2541">
              <w:rPr>
                <w:sz w:val="14"/>
                <w:szCs w:val="14"/>
              </w:rPr>
              <w:t>World Bank</w:t>
            </w:r>
          </w:p>
        </w:tc>
        <w:tc>
          <w:tcPr>
            <w:tcW w:w="580" w:type="pct"/>
            <w:tcBorders>
              <w:top w:val="single" w:sz="4" w:space="0" w:color="666699"/>
              <w:left w:val="single" w:sz="4" w:space="0" w:color="666699"/>
              <w:bottom w:val="single" w:sz="4" w:space="0" w:color="666699"/>
              <w:right w:val="single" w:sz="4" w:space="0" w:color="666699"/>
            </w:tcBorders>
          </w:tcPr>
          <w:p w:rsidR="00614DAF" w:rsidRPr="000B2541" w:rsidRDefault="00614DAF" w:rsidP="00873C07">
            <w:pPr>
              <w:spacing w:after="60"/>
              <w:jc w:val="left"/>
              <w:rPr>
                <w:sz w:val="14"/>
                <w:szCs w:val="14"/>
              </w:rPr>
            </w:pPr>
            <w:r w:rsidRPr="000B2541">
              <w:rPr>
                <w:sz w:val="14"/>
                <w:szCs w:val="14"/>
              </w:rPr>
              <w:t>Project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907,525</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2,722,576</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1,815,050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605,017</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6,050,168</w:t>
            </w:r>
          </w:p>
        </w:tc>
      </w:tr>
      <w:tr w:rsidR="00614DAF" w:rsidRPr="000B2541" w:rsidTr="00614DAF">
        <w:tc>
          <w:tcPr>
            <w:tcW w:w="561" w:type="pct"/>
            <w:vMerge/>
            <w:tcBorders>
              <w:left w:val="single" w:sz="4" w:space="0" w:color="666699"/>
              <w:right w:val="single" w:sz="4" w:space="0" w:color="666699"/>
            </w:tcBorders>
          </w:tcPr>
          <w:p w:rsidR="00614DAF" w:rsidRPr="000B2541" w:rsidRDefault="00614DAF" w:rsidP="00873C07">
            <w:pPr>
              <w:jc w:val="left"/>
              <w:rPr>
                <w:sz w:val="14"/>
                <w:szCs w:val="14"/>
              </w:rPr>
            </w:pPr>
          </w:p>
        </w:tc>
        <w:tc>
          <w:tcPr>
            <w:tcW w:w="432" w:type="pct"/>
            <w:vMerge/>
            <w:tcBorders>
              <w:left w:val="single" w:sz="4" w:space="0" w:color="666699"/>
              <w:right w:val="single" w:sz="4" w:space="0" w:color="666699"/>
            </w:tcBorders>
          </w:tcPr>
          <w:p w:rsidR="00614DAF" w:rsidRPr="000B2541" w:rsidRDefault="00614DAF" w:rsidP="00873C07">
            <w:pPr>
              <w:jc w:val="left"/>
              <w:rPr>
                <w:sz w:val="14"/>
                <w:szCs w:val="14"/>
              </w:rPr>
            </w:pPr>
          </w:p>
        </w:tc>
        <w:tc>
          <w:tcPr>
            <w:tcW w:w="580" w:type="pct"/>
            <w:tcBorders>
              <w:top w:val="single" w:sz="4" w:space="0" w:color="666699"/>
              <w:left w:val="single" w:sz="4" w:space="0" w:color="666699"/>
              <w:bottom w:val="single" w:sz="4" w:space="0" w:color="666699"/>
              <w:right w:val="single" w:sz="4" w:space="0" w:color="666699"/>
            </w:tcBorders>
          </w:tcPr>
          <w:p w:rsidR="00614DAF" w:rsidRPr="000B2541" w:rsidRDefault="00614DAF" w:rsidP="00873C07">
            <w:pPr>
              <w:spacing w:after="60"/>
              <w:jc w:val="left"/>
              <w:rPr>
                <w:sz w:val="14"/>
                <w:szCs w:val="14"/>
              </w:rPr>
            </w:pPr>
            <w:r w:rsidRPr="000B2541">
              <w:rPr>
                <w:sz w:val="14"/>
                <w:szCs w:val="14"/>
              </w:rPr>
              <w:t>Support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63,527</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190,580</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127,054</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42,351</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423,512</w:t>
            </w:r>
          </w:p>
        </w:tc>
      </w:tr>
      <w:tr w:rsidR="00614DAF" w:rsidRPr="000B2541" w:rsidTr="00614DAF">
        <w:tc>
          <w:tcPr>
            <w:tcW w:w="561" w:type="pct"/>
            <w:vMerge/>
            <w:tcBorders>
              <w:left w:val="single" w:sz="4" w:space="0" w:color="666699"/>
              <w:right w:val="single" w:sz="4" w:space="0" w:color="666699"/>
            </w:tcBorders>
          </w:tcPr>
          <w:p w:rsidR="00614DAF" w:rsidRPr="000B2541" w:rsidRDefault="00614DAF" w:rsidP="00873C07">
            <w:pPr>
              <w:jc w:val="left"/>
              <w:rPr>
                <w:sz w:val="14"/>
                <w:szCs w:val="14"/>
              </w:rPr>
            </w:pPr>
          </w:p>
        </w:tc>
        <w:tc>
          <w:tcPr>
            <w:tcW w:w="432" w:type="pct"/>
            <w:vMerge w:val="restart"/>
            <w:tcBorders>
              <w:left w:val="single" w:sz="4" w:space="0" w:color="666699"/>
              <w:right w:val="single" w:sz="4" w:space="0" w:color="666699"/>
            </w:tcBorders>
          </w:tcPr>
          <w:p w:rsidR="00614DAF" w:rsidRPr="000B2541" w:rsidRDefault="00614DAF" w:rsidP="00873C07">
            <w:pPr>
              <w:jc w:val="left"/>
              <w:rPr>
                <w:sz w:val="14"/>
                <w:szCs w:val="14"/>
              </w:rPr>
            </w:pPr>
            <w:r w:rsidRPr="000B2541">
              <w:rPr>
                <w:sz w:val="14"/>
                <w:szCs w:val="14"/>
              </w:rPr>
              <w:t>Italy</w:t>
            </w:r>
          </w:p>
        </w:tc>
        <w:tc>
          <w:tcPr>
            <w:tcW w:w="580" w:type="pct"/>
            <w:tcBorders>
              <w:top w:val="single" w:sz="4" w:space="0" w:color="666699"/>
              <w:left w:val="single" w:sz="4" w:space="0" w:color="666699"/>
              <w:bottom w:val="single" w:sz="4" w:space="0" w:color="666699"/>
              <w:right w:val="single" w:sz="4" w:space="0" w:color="666699"/>
            </w:tcBorders>
          </w:tcPr>
          <w:p w:rsidR="00614DAF" w:rsidRPr="000B2541" w:rsidRDefault="00614DAF" w:rsidP="00873C07">
            <w:pPr>
              <w:spacing w:after="60"/>
              <w:jc w:val="left"/>
              <w:rPr>
                <w:sz w:val="14"/>
                <w:szCs w:val="14"/>
              </w:rPr>
            </w:pPr>
            <w:r w:rsidRPr="000B2541">
              <w:rPr>
                <w:sz w:val="14"/>
                <w:szCs w:val="14"/>
              </w:rPr>
              <w:t>Project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250,000</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250,000</w:t>
            </w:r>
          </w:p>
        </w:tc>
      </w:tr>
      <w:tr w:rsidR="00614DAF" w:rsidRPr="000B2541" w:rsidTr="00614DAF">
        <w:tc>
          <w:tcPr>
            <w:tcW w:w="561" w:type="pct"/>
            <w:vMerge/>
            <w:tcBorders>
              <w:left w:val="single" w:sz="4" w:space="0" w:color="666699"/>
              <w:right w:val="single" w:sz="4" w:space="0" w:color="666699"/>
            </w:tcBorders>
          </w:tcPr>
          <w:p w:rsidR="00614DAF" w:rsidRPr="000B2541" w:rsidRDefault="00614DAF" w:rsidP="00873C07">
            <w:pPr>
              <w:jc w:val="left"/>
              <w:rPr>
                <w:sz w:val="14"/>
                <w:szCs w:val="14"/>
              </w:rPr>
            </w:pPr>
          </w:p>
        </w:tc>
        <w:tc>
          <w:tcPr>
            <w:tcW w:w="432" w:type="pct"/>
            <w:vMerge/>
            <w:tcBorders>
              <w:left w:val="single" w:sz="4" w:space="0" w:color="666699"/>
              <w:bottom w:val="single" w:sz="4" w:space="0" w:color="666699"/>
              <w:right w:val="single" w:sz="4" w:space="0" w:color="666699"/>
            </w:tcBorders>
          </w:tcPr>
          <w:p w:rsidR="00614DAF" w:rsidRPr="000B2541" w:rsidRDefault="00614DAF" w:rsidP="00873C07">
            <w:pPr>
              <w:jc w:val="left"/>
              <w:rPr>
                <w:sz w:val="14"/>
                <w:szCs w:val="14"/>
              </w:rPr>
            </w:pPr>
          </w:p>
        </w:tc>
        <w:tc>
          <w:tcPr>
            <w:tcW w:w="580" w:type="pct"/>
            <w:tcBorders>
              <w:top w:val="single" w:sz="4" w:space="0" w:color="666699"/>
              <w:left w:val="single" w:sz="4" w:space="0" w:color="666699"/>
              <w:bottom w:val="single" w:sz="4" w:space="0" w:color="666699"/>
              <w:right w:val="single" w:sz="4" w:space="0" w:color="666699"/>
            </w:tcBorders>
          </w:tcPr>
          <w:p w:rsidR="00614DAF" w:rsidRPr="000B2541" w:rsidRDefault="00614DAF" w:rsidP="00873C07">
            <w:pPr>
              <w:spacing w:after="60"/>
              <w:jc w:val="left"/>
              <w:rPr>
                <w:sz w:val="14"/>
                <w:szCs w:val="14"/>
              </w:rPr>
            </w:pPr>
            <w:r w:rsidRPr="000B2541">
              <w:rPr>
                <w:sz w:val="14"/>
                <w:szCs w:val="14"/>
              </w:rPr>
              <w:t>Support costs</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32,500</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32,500</w:t>
            </w:r>
          </w:p>
        </w:tc>
      </w:tr>
      <w:tr w:rsidR="00614DAF" w:rsidRPr="000B2541"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Total project costs requested in principle (US $)</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1,753,271</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4,069,793</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3,149,050</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969,124</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9,941,238</w:t>
            </w:r>
          </w:p>
        </w:tc>
      </w:tr>
      <w:tr w:rsidR="00614DAF" w:rsidRPr="000B2541"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Total support costs requested in principle (US $)</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137,729</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284,885</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220,434</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67,839</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710,887</w:t>
            </w:r>
          </w:p>
        </w:tc>
      </w:tr>
      <w:tr w:rsidR="00614DAF" w:rsidRPr="00EC15B8" w:rsidTr="00614DAF">
        <w:tc>
          <w:tcPr>
            <w:tcW w:w="1574" w:type="pct"/>
            <w:gridSpan w:val="3"/>
            <w:tcBorders>
              <w:top w:val="single" w:sz="4" w:space="0" w:color="666699"/>
              <w:left w:val="single" w:sz="4" w:space="0" w:color="666699"/>
              <w:bottom w:val="single" w:sz="4" w:space="0" w:color="666699"/>
              <w:right w:val="single" w:sz="4" w:space="0" w:color="666699"/>
            </w:tcBorders>
            <w:hideMark/>
          </w:tcPr>
          <w:p w:rsidR="00614DAF" w:rsidRPr="000B2541" w:rsidRDefault="00614DAF" w:rsidP="00873C07">
            <w:pPr>
              <w:spacing w:after="60"/>
              <w:jc w:val="left"/>
              <w:rPr>
                <w:sz w:val="14"/>
                <w:szCs w:val="14"/>
              </w:rPr>
            </w:pPr>
            <w:r w:rsidRPr="000B2541">
              <w:rPr>
                <w:sz w:val="14"/>
                <w:szCs w:val="14"/>
              </w:rPr>
              <w:t>Total funds requested in principle (US $)</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1,891,000</w:t>
            </w:r>
          </w:p>
        </w:tc>
        <w:tc>
          <w:tcPr>
            <w:tcW w:w="421"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69"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4,354,678</w:t>
            </w:r>
          </w:p>
        </w:tc>
        <w:tc>
          <w:tcPr>
            <w:tcW w:w="56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0</w:t>
            </w:r>
          </w:p>
        </w:tc>
        <w:tc>
          <w:tcPr>
            <w:tcW w:w="422"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3,369,484</w:t>
            </w:r>
          </w:p>
        </w:tc>
        <w:tc>
          <w:tcPr>
            <w:tcW w:w="443"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1,036,962</w:t>
            </w:r>
          </w:p>
        </w:tc>
        <w:tc>
          <w:tcPr>
            <w:tcW w:w="687" w:type="pct"/>
            <w:tcBorders>
              <w:top w:val="single" w:sz="4" w:space="0" w:color="666699"/>
              <w:left w:val="single" w:sz="4" w:space="0" w:color="666699"/>
              <w:bottom w:val="single" w:sz="4" w:space="0" w:color="666699"/>
              <w:right w:val="single" w:sz="4" w:space="0" w:color="666699"/>
            </w:tcBorders>
          </w:tcPr>
          <w:p w:rsidR="00614DAF" w:rsidRPr="000B2541" w:rsidRDefault="00614DAF" w:rsidP="005C026A">
            <w:pPr>
              <w:jc w:val="right"/>
              <w:rPr>
                <w:sz w:val="14"/>
                <w:szCs w:val="14"/>
              </w:rPr>
            </w:pPr>
            <w:r w:rsidRPr="000B2541">
              <w:rPr>
                <w:sz w:val="14"/>
                <w:szCs w:val="14"/>
              </w:rPr>
              <w:t>10,652,125</w:t>
            </w:r>
          </w:p>
        </w:tc>
      </w:tr>
    </w:tbl>
    <w:p w:rsidR="00486E25" w:rsidRPr="00EC15B8" w:rsidRDefault="00486E25" w:rsidP="00486E25">
      <w:pPr>
        <w:rPr>
          <w:sz w:val="14"/>
          <w:szCs w:val="14"/>
          <w:highlight w:val="yellow"/>
        </w:rPr>
      </w:pP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48DD4" w:themeColor="text2" w:themeTint="99"/>
        </w:tblBorders>
        <w:tblLook w:val="04A0" w:firstRow="1" w:lastRow="0" w:firstColumn="1" w:lastColumn="0" w:noHBand="0" w:noVBand="1"/>
      </w:tblPr>
      <w:tblGrid>
        <w:gridCol w:w="1132"/>
        <w:gridCol w:w="3712"/>
        <w:gridCol w:w="4732"/>
      </w:tblGrid>
      <w:tr w:rsidR="00486E25" w:rsidRPr="00873C07" w:rsidTr="00873C07">
        <w:trPr>
          <w:trHeight w:val="240"/>
        </w:trPr>
        <w:tc>
          <w:tcPr>
            <w:tcW w:w="5000" w:type="pct"/>
            <w:gridSpan w:val="3"/>
            <w:hideMark/>
          </w:tcPr>
          <w:p w:rsidR="00486E25" w:rsidRPr="00873C07" w:rsidRDefault="00486E25" w:rsidP="0079473E">
            <w:pPr>
              <w:spacing w:after="60"/>
              <w:jc w:val="left"/>
              <w:rPr>
                <w:b/>
                <w:sz w:val="14"/>
                <w:szCs w:val="14"/>
              </w:rPr>
            </w:pPr>
            <w:r w:rsidRPr="00873C07">
              <w:rPr>
                <w:b/>
                <w:sz w:val="14"/>
                <w:szCs w:val="14"/>
              </w:rPr>
              <w:t>(VII) Request for fun</w:t>
            </w:r>
            <w:r w:rsidR="00873C07" w:rsidRPr="00873C07">
              <w:rPr>
                <w:b/>
                <w:sz w:val="14"/>
                <w:szCs w:val="14"/>
              </w:rPr>
              <w:t>ding for the first tranche (2017</w:t>
            </w:r>
            <w:r w:rsidRPr="00873C07">
              <w:rPr>
                <w:b/>
                <w:sz w:val="14"/>
                <w:szCs w:val="14"/>
              </w:rPr>
              <w:t>)</w:t>
            </w:r>
          </w:p>
        </w:tc>
      </w:tr>
      <w:tr w:rsidR="00486E25" w:rsidRPr="00873C07" w:rsidTr="00873C07">
        <w:trPr>
          <w:trHeight w:val="240"/>
        </w:trPr>
        <w:tc>
          <w:tcPr>
            <w:tcW w:w="591" w:type="pct"/>
            <w:tcBorders>
              <w:right w:val="single" w:sz="4" w:space="0" w:color="595959" w:themeColor="text1" w:themeTint="A6"/>
            </w:tcBorders>
            <w:hideMark/>
          </w:tcPr>
          <w:p w:rsidR="00486E25" w:rsidRPr="00873C07" w:rsidRDefault="00486E25" w:rsidP="0079473E">
            <w:pPr>
              <w:spacing w:after="60"/>
              <w:jc w:val="center"/>
              <w:rPr>
                <w:b/>
                <w:sz w:val="14"/>
                <w:szCs w:val="14"/>
              </w:rPr>
            </w:pPr>
            <w:r w:rsidRPr="00873C07">
              <w:rPr>
                <w:b/>
                <w:sz w:val="14"/>
                <w:szCs w:val="14"/>
              </w:rPr>
              <w:t>Agency</w:t>
            </w:r>
          </w:p>
        </w:tc>
        <w:tc>
          <w:tcPr>
            <w:tcW w:w="1938" w:type="pct"/>
            <w:tcBorders>
              <w:left w:val="single" w:sz="4" w:space="0" w:color="595959" w:themeColor="text1" w:themeTint="A6"/>
              <w:right w:val="single" w:sz="4" w:space="0" w:color="595959" w:themeColor="text1" w:themeTint="A6"/>
            </w:tcBorders>
            <w:hideMark/>
          </w:tcPr>
          <w:p w:rsidR="00486E25" w:rsidRPr="00873C07" w:rsidRDefault="00486E25" w:rsidP="0079473E">
            <w:pPr>
              <w:spacing w:after="60"/>
              <w:jc w:val="center"/>
              <w:rPr>
                <w:b/>
                <w:sz w:val="14"/>
                <w:szCs w:val="14"/>
              </w:rPr>
            </w:pPr>
            <w:r w:rsidRPr="00873C07">
              <w:rPr>
                <w:b/>
                <w:sz w:val="14"/>
                <w:szCs w:val="14"/>
              </w:rPr>
              <w:t>Funds requested (</w:t>
            </w:r>
            <w:r w:rsidR="009A3BBD" w:rsidRPr="00873C07">
              <w:rPr>
                <w:b/>
                <w:sz w:val="14"/>
                <w:szCs w:val="14"/>
              </w:rPr>
              <w:t>US $</w:t>
            </w:r>
            <w:r w:rsidRPr="00873C07">
              <w:rPr>
                <w:b/>
                <w:sz w:val="14"/>
                <w:szCs w:val="14"/>
              </w:rPr>
              <w:t>)</w:t>
            </w:r>
          </w:p>
        </w:tc>
        <w:tc>
          <w:tcPr>
            <w:tcW w:w="2471" w:type="pct"/>
            <w:tcBorders>
              <w:left w:val="single" w:sz="4" w:space="0" w:color="595959" w:themeColor="text1" w:themeTint="A6"/>
            </w:tcBorders>
            <w:hideMark/>
          </w:tcPr>
          <w:p w:rsidR="00486E25" w:rsidRPr="00873C07" w:rsidRDefault="00486E25" w:rsidP="0079473E">
            <w:pPr>
              <w:spacing w:after="60"/>
              <w:jc w:val="center"/>
              <w:rPr>
                <w:b/>
                <w:sz w:val="14"/>
                <w:szCs w:val="14"/>
              </w:rPr>
            </w:pPr>
            <w:r w:rsidRPr="00873C07">
              <w:rPr>
                <w:b/>
                <w:sz w:val="14"/>
                <w:szCs w:val="14"/>
              </w:rPr>
              <w:t>Support costs (</w:t>
            </w:r>
            <w:r w:rsidR="009A3BBD" w:rsidRPr="00873C07">
              <w:rPr>
                <w:b/>
                <w:sz w:val="14"/>
                <w:szCs w:val="14"/>
              </w:rPr>
              <w:t>US $</w:t>
            </w:r>
            <w:r w:rsidRPr="00873C07">
              <w:rPr>
                <w:b/>
                <w:sz w:val="14"/>
                <w:szCs w:val="14"/>
              </w:rPr>
              <w:t>)</w:t>
            </w:r>
          </w:p>
        </w:tc>
      </w:tr>
      <w:tr w:rsidR="00486E25" w:rsidRPr="00873C07" w:rsidTr="00873C07">
        <w:trPr>
          <w:trHeight w:val="40"/>
        </w:trPr>
        <w:tc>
          <w:tcPr>
            <w:tcW w:w="591" w:type="pct"/>
            <w:tcBorders>
              <w:right w:val="single" w:sz="4" w:space="0" w:color="595959" w:themeColor="text1" w:themeTint="A6"/>
            </w:tcBorders>
          </w:tcPr>
          <w:p w:rsidR="00486E25" w:rsidRPr="00873C07" w:rsidRDefault="00486E25" w:rsidP="00EC15B8">
            <w:pPr>
              <w:spacing w:after="60"/>
              <w:jc w:val="center"/>
              <w:rPr>
                <w:sz w:val="14"/>
                <w:szCs w:val="14"/>
              </w:rPr>
            </w:pPr>
            <w:r w:rsidRPr="00873C07">
              <w:rPr>
                <w:sz w:val="14"/>
                <w:szCs w:val="14"/>
              </w:rPr>
              <w:t>UN</w:t>
            </w:r>
            <w:r w:rsidR="00EC15B8" w:rsidRPr="00873C07">
              <w:rPr>
                <w:sz w:val="14"/>
                <w:szCs w:val="14"/>
              </w:rPr>
              <w:t>IDO</w:t>
            </w:r>
          </w:p>
        </w:tc>
        <w:tc>
          <w:tcPr>
            <w:tcW w:w="1938" w:type="pct"/>
            <w:tcBorders>
              <w:left w:val="single" w:sz="4" w:space="0" w:color="595959" w:themeColor="text1" w:themeTint="A6"/>
              <w:right w:val="single" w:sz="4" w:space="0" w:color="595959" w:themeColor="text1" w:themeTint="A6"/>
            </w:tcBorders>
            <w:vAlign w:val="center"/>
          </w:tcPr>
          <w:p w:rsidR="00486E25" w:rsidRPr="000B2541" w:rsidRDefault="00580805" w:rsidP="000B2541">
            <w:pPr>
              <w:jc w:val="right"/>
              <w:rPr>
                <w:sz w:val="14"/>
                <w:szCs w:val="14"/>
              </w:rPr>
            </w:pPr>
            <w:r w:rsidRPr="000B2541">
              <w:rPr>
                <w:sz w:val="14"/>
                <w:szCs w:val="14"/>
              </w:rPr>
              <w:t>595,746</w:t>
            </w:r>
          </w:p>
        </w:tc>
        <w:tc>
          <w:tcPr>
            <w:tcW w:w="2471" w:type="pct"/>
            <w:tcBorders>
              <w:left w:val="single" w:sz="4" w:space="0" w:color="595959" w:themeColor="text1" w:themeTint="A6"/>
            </w:tcBorders>
          </w:tcPr>
          <w:p w:rsidR="00486E25" w:rsidRPr="000B2541" w:rsidRDefault="00580805" w:rsidP="0079473E">
            <w:pPr>
              <w:spacing w:after="60"/>
              <w:jc w:val="right"/>
              <w:rPr>
                <w:sz w:val="14"/>
                <w:szCs w:val="14"/>
              </w:rPr>
            </w:pPr>
            <w:r w:rsidRPr="000B2541">
              <w:rPr>
                <w:sz w:val="14"/>
                <w:szCs w:val="14"/>
              </w:rPr>
              <w:t>41,702</w:t>
            </w:r>
          </w:p>
        </w:tc>
      </w:tr>
      <w:tr w:rsidR="00486E25" w:rsidRPr="00873C07" w:rsidTr="00873C07">
        <w:trPr>
          <w:trHeight w:val="80"/>
        </w:trPr>
        <w:tc>
          <w:tcPr>
            <w:tcW w:w="591" w:type="pct"/>
            <w:tcBorders>
              <w:right w:val="single" w:sz="4" w:space="0" w:color="595959" w:themeColor="text1" w:themeTint="A6"/>
            </w:tcBorders>
          </w:tcPr>
          <w:p w:rsidR="00486E25" w:rsidRPr="00873C07" w:rsidRDefault="00EC15B8" w:rsidP="0079473E">
            <w:pPr>
              <w:spacing w:after="60"/>
              <w:jc w:val="center"/>
              <w:rPr>
                <w:sz w:val="14"/>
                <w:szCs w:val="14"/>
              </w:rPr>
            </w:pPr>
            <w:r w:rsidRPr="00873C07">
              <w:rPr>
                <w:sz w:val="14"/>
                <w:szCs w:val="14"/>
              </w:rPr>
              <w:t>World Bank</w:t>
            </w:r>
          </w:p>
        </w:tc>
        <w:tc>
          <w:tcPr>
            <w:tcW w:w="1938" w:type="pct"/>
            <w:tcBorders>
              <w:left w:val="single" w:sz="4" w:space="0" w:color="595959" w:themeColor="text1" w:themeTint="A6"/>
              <w:right w:val="single" w:sz="4" w:space="0" w:color="595959" w:themeColor="text1" w:themeTint="A6"/>
            </w:tcBorders>
          </w:tcPr>
          <w:p w:rsidR="00486E25" w:rsidRPr="000B2541" w:rsidRDefault="00580805" w:rsidP="0079473E">
            <w:pPr>
              <w:spacing w:after="60"/>
              <w:jc w:val="right"/>
              <w:rPr>
                <w:sz w:val="14"/>
                <w:szCs w:val="14"/>
              </w:rPr>
            </w:pPr>
            <w:r w:rsidRPr="000B2541">
              <w:rPr>
                <w:sz w:val="14"/>
                <w:szCs w:val="14"/>
              </w:rPr>
              <w:t>907,525</w:t>
            </w:r>
          </w:p>
        </w:tc>
        <w:tc>
          <w:tcPr>
            <w:tcW w:w="2471" w:type="pct"/>
            <w:tcBorders>
              <w:left w:val="single" w:sz="4" w:space="0" w:color="595959" w:themeColor="text1" w:themeTint="A6"/>
            </w:tcBorders>
          </w:tcPr>
          <w:p w:rsidR="00486E25" w:rsidRPr="000B2541" w:rsidRDefault="00580805" w:rsidP="0079473E">
            <w:pPr>
              <w:jc w:val="right"/>
              <w:rPr>
                <w:rFonts w:eastAsiaTheme="minorHAnsi"/>
                <w:sz w:val="14"/>
                <w:szCs w:val="14"/>
              </w:rPr>
            </w:pPr>
            <w:r w:rsidRPr="000B2541">
              <w:rPr>
                <w:rFonts w:eastAsiaTheme="minorHAnsi"/>
                <w:sz w:val="14"/>
                <w:szCs w:val="14"/>
              </w:rPr>
              <w:t>63,527</w:t>
            </w:r>
          </w:p>
        </w:tc>
      </w:tr>
      <w:tr w:rsidR="00873C07" w:rsidRPr="00EC15B8" w:rsidTr="00873C07">
        <w:trPr>
          <w:trHeight w:val="80"/>
        </w:trPr>
        <w:tc>
          <w:tcPr>
            <w:tcW w:w="591" w:type="pct"/>
            <w:tcBorders>
              <w:right w:val="single" w:sz="4" w:space="0" w:color="595959" w:themeColor="text1" w:themeTint="A6"/>
            </w:tcBorders>
          </w:tcPr>
          <w:p w:rsidR="00873C07" w:rsidRPr="00873C07" w:rsidRDefault="00873C07" w:rsidP="0079473E">
            <w:pPr>
              <w:spacing w:after="60"/>
              <w:jc w:val="center"/>
              <w:rPr>
                <w:sz w:val="14"/>
                <w:szCs w:val="14"/>
              </w:rPr>
            </w:pPr>
            <w:r w:rsidRPr="00873C07">
              <w:rPr>
                <w:sz w:val="14"/>
                <w:szCs w:val="14"/>
              </w:rPr>
              <w:t>Italy</w:t>
            </w:r>
          </w:p>
        </w:tc>
        <w:tc>
          <w:tcPr>
            <w:tcW w:w="1938" w:type="pct"/>
            <w:tcBorders>
              <w:left w:val="single" w:sz="4" w:space="0" w:color="595959" w:themeColor="text1" w:themeTint="A6"/>
              <w:right w:val="single" w:sz="4" w:space="0" w:color="595959" w:themeColor="text1" w:themeTint="A6"/>
            </w:tcBorders>
          </w:tcPr>
          <w:p w:rsidR="00873C07" w:rsidRPr="000B2541" w:rsidRDefault="00580805" w:rsidP="00873C07">
            <w:pPr>
              <w:spacing w:after="60"/>
              <w:jc w:val="right"/>
              <w:rPr>
                <w:sz w:val="14"/>
                <w:szCs w:val="14"/>
              </w:rPr>
            </w:pPr>
            <w:r w:rsidRPr="000B2541">
              <w:rPr>
                <w:sz w:val="14"/>
                <w:szCs w:val="14"/>
              </w:rPr>
              <w:t>250,000</w:t>
            </w:r>
          </w:p>
        </w:tc>
        <w:tc>
          <w:tcPr>
            <w:tcW w:w="2471" w:type="pct"/>
            <w:tcBorders>
              <w:left w:val="single" w:sz="4" w:space="0" w:color="595959" w:themeColor="text1" w:themeTint="A6"/>
            </w:tcBorders>
          </w:tcPr>
          <w:p w:rsidR="00873C07" w:rsidRPr="000B2541" w:rsidRDefault="00580805" w:rsidP="0079473E">
            <w:pPr>
              <w:jc w:val="right"/>
              <w:rPr>
                <w:rFonts w:eastAsiaTheme="minorHAnsi"/>
                <w:sz w:val="14"/>
                <w:szCs w:val="14"/>
              </w:rPr>
            </w:pPr>
            <w:r w:rsidRPr="000B2541">
              <w:rPr>
                <w:rFonts w:eastAsiaTheme="minorHAnsi"/>
                <w:sz w:val="14"/>
                <w:szCs w:val="14"/>
              </w:rPr>
              <w:t>32,500</w:t>
            </w:r>
          </w:p>
        </w:tc>
      </w:tr>
    </w:tbl>
    <w:p w:rsidR="00EC15B8" w:rsidRPr="00EC15B8" w:rsidRDefault="00EC15B8" w:rsidP="00486E25">
      <w:pPr>
        <w:spacing w:after="60"/>
        <w:rPr>
          <w:b/>
          <w:sz w:val="14"/>
          <w:szCs w:val="14"/>
          <w:highlight w:val="yellow"/>
        </w:rPr>
      </w:pPr>
    </w:p>
    <w:tbl>
      <w:tblPr>
        <w:tblStyle w:val="TableGrid"/>
        <w:tblpPr w:leftFromText="180" w:rightFromText="180" w:vertAnchor="text" w:horzAnchor="margin" w:tblpY="-1"/>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55"/>
        <w:gridCol w:w="7021"/>
      </w:tblGrid>
      <w:tr w:rsidR="00486E25" w:rsidRPr="00873C07" w:rsidTr="00873C07">
        <w:trPr>
          <w:trHeight w:val="240"/>
        </w:trPr>
        <w:tc>
          <w:tcPr>
            <w:tcW w:w="1334" w:type="pct"/>
            <w:tcBorders>
              <w:top w:val="single" w:sz="4" w:space="0" w:color="666699"/>
              <w:left w:val="single" w:sz="4" w:space="0" w:color="666699"/>
              <w:bottom w:val="single" w:sz="4" w:space="0" w:color="666699"/>
              <w:right w:val="single" w:sz="4" w:space="0" w:color="666699"/>
            </w:tcBorders>
            <w:hideMark/>
          </w:tcPr>
          <w:p w:rsidR="00486E25" w:rsidRPr="00873C07" w:rsidRDefault="00486E25" w:rsidP="00A22928">
            <w:pPr>
              <w:jc w:val="center"/>
              <w:rPr>
                <w:b/>
                <w:sz w:val="14"/>
                <w:szCs w:val="14"/>
              </w:rPr>
            </w:pPr>
            <w:r w:rsidRPr="00873C07">
              <w:rPr>
                <w:b/>
                <w:sz w:val="14"/>
                <w:szCs w:val="14"/>
              </w:rPr>
              <w:t>Funding request:</w:t>
            </w:r>
          </w:p>
        </w:tc>
        <w:tc>
          <w:tcPr>
            <w:tcW w:w="3666" w:type="pct"/>
            <w:tcBorders>
              <w:top w:val="single" w:sz="4" w:space="0" w:color="666699"/>
              <w:left w:val="single" w:sz="4" w:space="0" w:color="666699"/>
              <w:bottom w:val="single" w:sz="4" w:space="0" w:color="666699"/>
              <w:right w:val="single" w:sz="4" w:space="0" w:color="666699"/>
            </w:tcBorders>
            <w:hideMark/>
          </w:tcPr>
          <w:p w:rsidR="00486E25" w:rsidRPr="00873C07" w:rsidRDefault="00486E25" w:rsidP="00A22928">
            <w:pPr>
              <w:jc w:val="center"/>
              <w:rPr>
                <w:b/>
                <w:sz w:val="14"/>
                <w:szCs w:val="14"/>
              </w:rPr>
            </w:pPr>
            <w:r w:rsidRPr="00873C07">
              <w:rPr>
                <w:b/>
                <w:sz w:val="14"/>
                <w:szCs w:val="14"/>
              </w:rPr>
              <w:t>Approval of funding for the first tranche (201</w:t>
            </w:r>
            <w:r w:rsidR="00EC15B8" w:rsidRPr="00873C07">
              <w:rPr>
                <w:b/>
                <w:sz w:val="14"/>
                <w:szCs w:val="14"/>
              </w:rPr>
              <w:t>7</w:t>
            </w:r>
            <w:r w:rsidRPr="00873C07">
              <w:rPr>
                <w:b/>
                <w:sz w:val="14"/>
                <w:szCs w:val="14"/>
              </w:rPr>
              <w:t>) as indicated above</w:t>
            </w:r>
          </w:p>
        </w:tc>
      </w:tr>
      <w:tr w:rsidR="00486E25" w:rsidRPr="00477601" w:rsidTr="00873C07">
        <w:trPr>
          <w:trHeight w:val="240"/>
        </w:trPr>
        <w:tc>
          <w:tcPr>
            <w:tcW w:w="1334" w:type="pct"/>
            <w:tcBorders>
              <w:top w:val="single" w:sz="4" w:space="0" w:color="666699"/>
              <w:left w:val="single" w:sz="4" w:space="0" w:color="666699"/>
              <w:bottom w:val="single" w:sz="4" w:space="0" w:color="666699"/>
              <w:right w:val="single" w:sz="4" w:space="0" w:color="666699"/>
            </w:tcBorders>
            <w:hideMark/>
          </w:tcPr>
          <w:p w:rsidR="00486E25" w:rsidRPr="00873C07" w:rsidRDefault="00486E25" w:rsidP="00A22928">
            <w:pPr>
              <w:jc w:val="center"/>
              <w:rPr>
                <w:sz w:val="14"/>
                <w:szCs w:val="14"/>
              </w:rPr>
            </w:pPr>
            <w:r w:rsidRPr="00873C07">
              <w:rPr>
                <w:sz w:val="14"/>
                <w:szCs w:val="14"/>
              </w:rPr>
              <w:t>Secretariat's recommendation:</w:t>
            </w:r>
          </w:p>
        </w:tc>
        <w:tc>
          <w:tcPr>
            <w:tcW w:w="3666" w:type="pct"/>
            <w:tcBorders>
              <w:top w:val="single" w:sz="4" w:space="0" w:color="666699"/>
              <w:left w:val="single" w:sz="4" w:space="0" w:color="666699"/>
              <w:bottom w:val="single" w:sz="4" w:space="0" w:color="666699"/>
              <w:right w:val="single" w:sz="4" w:space="0" w:color="666699"/>
            </w:tcBorders>
          </w:tcPr>
          <w:p w:rsidR="00486E25" w:rsidRPr="00477601" w:rsidRDefault="00486E25" w:rsidP="00A22928">
            <w:pPr>
              <w:jc w:val="center"/>
              <w:rPr>
                <w:sz w:val="14"/>
                <w:szCs w:val="14"/>
              </w:rPr>
            </w:pPr>
            <w:r w:rsidRPr="00873C07">
              <w:rPr>
                <w:sz w:val="14"/>
                <w:szCs w:val="14"/>
              </w:rPr>
              <w:t>For individual consideration</w:t>
            </w:r>
          </w:p>
        </w:tc>
      </w:tr>
    </w:tbl>
    <w:p w:rsidR="00F0403F" w:rsidRPr="00141CF6" w:rsidRDefault="00F0403F" w:rsidP="00F0403F">
      <w:pPr>
        <w:jc w:val="center"/>
        <w:rPr>
          <w:b/>
        </w:rPr>
      </w:pPr>
      <w:r w:rsidRPr="00141CF6">
        <w:rPr>
          <w:b/>
        </w:rPr>
        <w:lastRenderedPageBreak/>
        <w:t>PROJECT DESCRIPTION</w:t>
      </w:r>
    </w:p>
    <w:p w:rsidR="00F0403F" w:rsidRPr="00141CF6" w:rsidRDefault="00F0403F" w:rsidP="00F0403F"/>
    <w:p w:rsidR="00F0403F" w:rsidRPr="00141CF6" w:rsidRDefault="00F0403F" w:rsidP="00F0403F">
      <w:pPr>
        <w:numPr>
          <w:ilvl w:val="0"/>
          <w:numId w:val="1"/>
        </w:numPr>
        <w:spacing w:after="240"/>
        <w:outlineLvl w:val="0"/>
      </w:pPr>
      <w:r w:rsidRPr="00141CF6">
        <w:t>On behalf of the Government of Argentina, UNIDO as the lead implementing agency, has submitted to the 79</w:t>
      </w:r>
      <w:r w:rsidRPr="00141CF6">
        <w:rPr>
          <w:vertAlign w:val="superscript"/>
        </w:rPr>
        <w:t>th</w:t>
      </w:r>
      <w:r w:rsidRPr="00141CF6">
        <w:t xml:space="preserve"> meeting stage II of the HCFC phase-out management plan (HPMP) at the total cost of </w:t>
      </w:r>
      <w:r w:rsidR="009A3BBD">
        <w:t>US $</w:t>
      </w:r>
      <w:r w:rsidRPr="00141CF6">
        <w:t>12,824,415</w:t>
      </w:r>
      <w:r w:rsidR="00670B7D">
        <w:rPr>
          <w:rStyle w:val="FootnoteReference"/>
        </w:rPr>
        <w:footnoteReference w:id="3"/>
      </w:r>
      <w:r w:rsidR="00B23C78">
        <w:t>,</w:t>
      </w:r>
      <w:r w:rsidRPr="00141CF6">
        <w:t xml:space="preserve"> consisting of </w:t>
      </w:r>
      <w:r w:rsidR="009A3BBD">
        <w:t>US $</w:t>
      </w:r>
      <w:r w:rsidRPr="00141CF6">
        <w:t>4,015,070</w:t>
      </w:r>
      <w:r w:rsidR="00B23C78">
        <w:t>,</w:t>
      </w:r>
      <w:r w:rsidRPr="00141CF6">
        <w:t xml:space="preserve"> plus agency support costs of </w:t>
      </w:r>
      <w:r w:rsidR="009A3BBD">
        <w:t>US $</w:t>
      </w:r>
      <w:r w:rsidRPr="00141CF6">
        <w:t xml:space="preserve">281,055 for UNIDO, and </w:t>
      </w:r>
      <w:r w:rsidR="009A3BBD">
        <w:t>US $</w:t>
      </w:r>
      <w:r w:rsidRPr="00141CF6">
        <w:t>7,970,365</w:t>
      </w:r>
      <w:r w:rsidR="00B23C78">
        <w:t>,</w:t>
      </w:r>
      <w:r w:rsidRPr="00141CF6">
        <w:t xml:space="preserve"> </w:t>
      </w:r>
      <w:r w:rsidRPr="00670B7D">
        <w:t xml:space="preserve">plus agency support costs of </w:t>
      </w:r>
      <w:r w:rsidR="009A3BBD" w:rsidRPr="00670B7D">
        <w:t>US $</w:t>
      </w:r>
      <w:r w:rsidRPr="00670B7D">
        <w:t>557,926 for the World Bank, as originally submitted</w:t>
      </w:r>
      <w:r w:rsidRPr="00670B7D">
        <w:rPr>
          <w:vertAlign w:val="superscript"/>
        </w:rPr>
        <w:footnoteReference w:id="4"/>
      </w:r>
      <w:r w:rsidRPr="00670B7D">
        <w:t>. The implementation of stage II of the HPMP will phase out 12</w:t>
      </w:r>
      <w:r w:rsidR="00B23C78">
        <w:t>5</w:t>
      </w:r>
      <w:r w:rsidRPr="00670B7D">
        <w:t>.0</w:t>
      </w:r>
      <w:r w:rsidR="00B23C78">
        <w:t>1</w:t>
      </w:r>
      <w:r w:rsidR="00673FC0" w:rsidRPr="00670B7D">
        <w:t> ODP tonnes</w:t>
      </w:r>
      <w:r w:rsidRPr="00670B7D">
        <w:t xml:space="preserve"> of HCFCs to meet </w:t>
      </w:r>
      <w:r w:rsidR="001C002D" w:rsidRPr="00670B7D">
        <w:t>48</w:t>
      </w:r>
      <w:r w:rsidRPr="00670B7D">
        <w:t> per cent reduction in HCFC consumption by 202</w:t>
      </w:r>
      <w:r w:rsidR="001C002D" w:rsidRPr="00670B7D">
        <w:t>2</w:t>
      </w:r>
      <w:r w:rsidRPr="00670B7D">
        <w:t>, as originally</w:t>
      </w:r>
      <w:r w:rsidRPr="00141CF6">
        <w:t xml:space="preserve"> submitted.</w:t>
      </w:r>
    </w:p>
    <w:p w:rsidR="00F0403F" w:rsidRPr="00141CF6" w:rsidRDefault="00F0403F" w:rsidP="00F0403F">
      <w:pPr>
        <w:numPr>
          <w:ilvl w:val="0"/>
          <w:numId w:val="1"/>
        </w:numPr>
        <w:spacing w:after="240"/>
        <w:outlineLvl w:val="0"/>
      </w:pPr>
      <w:r w:rsidRPr="00141CF6">
        <w:t xml:space="preserve">The first tranche for stage II of the HPMP being requested at this meeting amounts to </w:t>
      </w:r>
      <w:r w:rsidR="009A3BBD">
        <w:t>US $</w:t>
      </w:r>
      <w:r w:rsidRPr="00141CF6">
        <w:t xml:space="preserve">4,944,198, consisting of </w:t>
      </w:r>
      <w:r w:rsidR="009A3BBD">
        <w:t>US $</w:t>
      </w:r>
      <w:r w:rsidRPr="00141CF6">
        <w:t xml:space="preserve">1,435,000, plus agency support costs of </w:t>
      </w:r>
      <w:r w:rsidR="009A3BBD">
        <w:t>US $</w:t>
      </w:r>
      <w:r w:rsidRPr="00141CF6">
        <w:t xml:space="preserve">100,450 for UNIDO, and </w:t>
      </w:r>
      <w:r w:rsidR="009A3BBD">
        <w:t>US $</w:t>
      </w:r>
      <w:r w:rsidRPr="00141CF6">
        <w:t xml:space="preserve">3,185,746, plus agency support costs of </w:t>
      </w:r>
      <w:r w:rsidR="009A3BBD">
        <w:t>US $</w:t>
      </w:r>
      <w:r w:rsidRPr="00141CF6">
        <w:t>223,002 for the World Bank, as originally submitted.</w:t>
      </w:r>
    </w:p>
    <w:p w:rsidR="00F0403F" w:rsidRPr="00141CF6" w:rsidRDefault="00F0403F" w:rsidP="00F0403F">
      <w:pPr>
        <w:spacing w:line="360" w:lineRule="auto"/>
        <w:rPr>
          <w:highlight w:val="yellow"/>
        </w:rPr>
      </w:pPr>
      <w:r w:rsidRPr="00141CF6">
        <w:rPr>
          <w:b/>
        </w:rPr>
        <w:t>Status of implementation of stage I of the HPMP</w:t>
      </w:r>
    </w:p>
    <w:p w:rsidR="00F0403F" w:rsidRPr="00C51E40" w:rsidRDefault="00F0403F" w:rsidP="00F0403F">
      <w:pPr>
        <w:numPr>
          <w:ilvl w:val="0"/>
          <w:numId w:val="1"/>
        </w:numPr>
        <w:spacing w:after="240"/>
        <w:outlineLvl w:val="0"/>
      </w:pPr>
      <w:r w:rsidRPr="00141CF6">
        <w:t xml:space="preserve">The progress on implementation of </w:t>
      </w:r>
      <w:r w:rsidRPr="00C51E40">
        <w:t>stage I of the HPMP for Argentina, including the status of funds disbursement, is presented in paragraphs 1 to 2</w:t>
      </w:r>
      <w:r w:rsidR="00692004" w:rsidRPr="00C51E40">
        <w:t>3</w:t>
      </w:r>
      <w:r w:rsidRPr="00C51E40">
        <w:t xml:space="preserve"> above.</w:t>
      </w:r>
    </w:p>
    <w:p w:rsidR="00F0403F" w:rsidRPr="00141CF6" w:rsidRDefault="00F0403F" w:rsidP="00F0403F">
      <w:pPr>
        <w:keepNext/>
        <w:spacing w:after="240"/>
        <w:outlineLvl w:val="0"/>
        <w:rPr>
          <w:b/>
        </w:rPr>
      </w:pPr>
      <w:r w:rsidRPr="00141CF6">
        <w:rPr>
          <w:b/>
        </w:rPr>
        <w:t>Stage II of the HPMP</w:t>
      </w:r>
    </w:p>
    <w:p w:rsidR="00F0403F" w:rsidRPr="00141CF6" w:rsidRDefault="00F0403F" w:rsidP="00F0403F">
      <w:pPr>
        <w:keepNext/>
        <w:rPr>
          <w:u w:val="single"/>
        </w:rPr>
      </w:pPr>
      <w:r w:rsidRPr="00141CF6">
        <w:rPr>
          <w:u w:val="single"/>
        </w:rPr>
        <w:t>Remaining eligible consumption in Argentina</w:t>
      </w:r>
    </w:p>
    <w:p w:rsidR="00F0403F" w:rsidRPr="00141CF6" w:rsidRDefault="00F0403F" w:rsidP="00F0403F">
      <w:pPr>
        <w:keepNext/>
        <w:rPr>
          <w:u w:val="single"/>
        </w:rPr>
      </w:pPr>
    </w:p>
    <w:p w:rsidR="00F0403F" w:rsidRPr="000725CB" w:rsidRDefault="00F0403F" w:rsidP="00F0403F">
      <w:pPr>
        <w:keepNext/>
        <w:numPr>
          <w:ilvl w:val="0"/>
          <w:numId w:val="1"/>
        </w:numPr>
        <w:spacing w:after="240"/>
        <w:outlineLvl w:val="0"/>
      </w:pPr>
      <w:r w:rsidRPr="000725CB">
        <w:t xml:space="preserve">After deducting </w:t>
      </w:r>
      <w:r w:rsidR="007645F8" w:rsidRPr="00577666">
        <w:t>83.53</w:t>
      </w:r>
      <w:r w:rsidR="00673FC0" w:rsidRPr="00577666">
        <w:t> ODP</w:t>
      </w:r>
      <w:r w:rsidR="00673FC0" w:rsidRPr="000725CB">
        <w:t> tonnes</w:t>
      </w:r>
      <w:r w:rsidRPr="000725CB">
        <w:t xml:space="preserve"> of HCFCs associated with stage I of the HPMP and </w:t>
      </w:r>
      <w:r w:rsidR="000725CB" w:rsidRPr="000725CB">
        <w:t>115</w:t>
      </w:r>
      <w:r w:rsidRPr="000725CB">
        <w:t>.</w:t>
      </w:r>
      <w:r w:rsidR="000725CB" w:rsidRPr="000725CB">
        <w:t>19</w:t>
      </w:r>
      <w:r w:rsidR="00673FC0" w:rsidRPr="000725CB">
        <w:t> ODP tonnes</w:t>
      </w:r>
      <w:r w:rsidRPr="000725CB">
        <w:rPr>
          <w:vertAlign w:val="superscript"/>
        </w:rPr>
        <w:footnoteReference w:id="5"/>
      </w:r>
      <w:r w:rsidRPr="000725CB">
        <w:t xml:space="preserve"> proposed for stage II, the remaining consumption of HCFCs eligible for funding amounts to 17</w:t>
      </w:r>
      <w:r w:rsidR="000725CB" w:rsidRPr="000725CB">
        <w:t>8.79</w:t>
      </w:r>
      <w:r w:rsidR="00673FC0" w:rsidRPr="000725CB">
        <w:t> ODP tonnes</w:t>
      </w:r>
      <w:r w:rsidRPr="000725CB">
        <w:t>, as shown in Table</w:t>
      </w:r>
      <w:r w:rsidR="00E26199" w:rsidRPr="000725CB">
        <w:t xml:space="preserve"> </w:t>
      </w:r>
      <w:r w:rsidRPr="000725CB">
        <w:t>1.</w:t>
      </w:r>
    </w:p>
    <w:p w:rsidR="00F0403F" w:rsidRPr="00F72EE8" w:rsidRDefault="00F0403F" w:rsidP="00F0403F">
      <w:pPr>
        <w:keepNext/>
        <w:rPr>
          <w:b/>
          <w:sz w:val="20"/>
          <w:szCs w:val="20"/>
        </w:rPr>
      </w:pPr>
      <w:r w:rsidRPr="00F72EE8">
        <w:rPr>
          <w:b/>
          <w:sz w:val="20"/>
          <w:szCs w:val="20"/>
        </w:rPr>
        <w:t>Table 1: Overview of the remaining HCFC consumption eligible for funding (ODP tonnes)</w:t>
      </w:r>
    </w:p>
    <w:tbl>
      <w:tblPr>
        <w:tblW w:w="5000" w:type="pct"/>
        <w:tblLayout w:type="fixed"/>
        <w:tblLook w:val="04A0" w:firstRow="1" w:lastRow="0" w:firstColumn="1" w:lastColumn="0" w:noHBand="0" w:noVBand="1"/>
      </w:tblPr>
      <w:tblGrid>
        <w:gridCol w:w="1977"/>
        <w:gridCol w:w="1102"/>
        <w:gridCol w:w="1528"/>
        <w:gridCol w:w="1682"/>
        <w:gridCol w:w="1385"/>
        <w:gridCol w:w="1902"/>
      </w:tblGrid>
      <w:tr w:rsidR="00F0403F" w:rsidRPr="000725CB" w:rsidTr="00667880">
        <w:trPr>
          <w:trHeight w:val="219"/>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3F" w:rsidRPr="000725CB" w:rsidRDefault="00F0403F" w:rsidP="00667880">
            <w:pPr>
              <w:keepNext/>
              <w:jc w:val="center"/>
              <w:rPr>
                <w:b/>
                <w:sz w:val="20"/>
                <w:szCs w:val="20"/>
              </w:rPr>
            </w:pPr>
            <w:r w:rsidRPr="000725CB">
              <w:rPr>
                <w:b/>
                <w:sz w:val="20"/>
                <w:szCs w:val="20"/>
              </w:rPr>
              <w:t>HCFC</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0403F" w:rsidRPr="000725CB" w:rsidRDefault="00F0403F" w:rsidP="00667880">
            <w:pPr>
              <w:keepNext/>
              <w:jc w:val="center"/>
              <w:rPr>
                <w:b/>
                <w:sz w:val="20"/>
                <w:szCs w:val="20"/>
              </w:rPr>
            </w:pPr>
            <w:r w:rsidRPr="000725CB">
              <w:rPr>
                <w:b/>
                <w:sz w:val="20"/>
                <w:szCs w:val="20"/>
              </w:rPr>
              <w:t>Starting point</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rsidR="00F0403F" w:rsidRPr="000725CB" w:rsidRDefault="00F0403F" w:rsidP="00667880">
            <w:pPr>
              <w:keepNext/>
              <w:jc w:val="center"/>
              <w:rPr>
                <w:b/>
                <w:sz w:val="20"/>
                <w:szCs w:val="20"/>
              </w:rPr>
            </w:pPr>
            <w:r w:rsidRPr="000725CB">
              <w:rPr>
                <w:b/>
                <w:sz w:val="20"/>
                <w:szCs w:val="20"/>
              </w:rPr>
              <w:t>Reduction in stage-I</w:t>
            </w:r>
          </w:p>
        </w:tc>
        <w:tc>
          <w:tcPr>
            <w:tcW w:w="878" w:type="pct"/>
            <w:tcBorders>
              <w:top w:val="single" w:sz="4" w:space="0" w:color="auto"/>
              <w:left w:val="single" w:sz="4" w:space="0" w:color="auto"/>
              <w:bottom w:val="single" w:sz="4" w:space="0" w:color="auto"/>
              <w:right w:val="single" w:sz="4" w:space="0" w:color="auto"/>
            </w:tcBorders>
            <w:vAlign w:val="center"/>
          </w:tcPr>
          <w:p w:rsidR="00F0403F" w:rsidRPr="000725CB" w:rsidRDefault="00F0403F" w:rsidP="00667880">
            <w:pPr>
              <w:keepNext/>
              <w:jc w:val="center"/>
              <w:rPr>
                <w:b/>
                <w:sz w:val="20"/>
                <w:szCs w:val="20"/>
              </w:rPr>
            </w:pPr>
            <w:r w:rsidRPr="000725CB">
              <w:rPr>
                <w:b/>
                <w:sz w:val="20"/>
                <w:szCs w:val="20"/>
              </w:rPr>
              <w:t>Remaining consumption</w:t>
            </w:r>
          </w:p>
        </w:tc>
        <w:tc>
          <w:tcPr>
            <w:tcW w:w="723" w:type="pct"/>
            <w:tcBorders>
              <w:top w:val="single" w:sz="4" w:space="0" w:color="auto"/>
              <w:left w:val="single" w:sz="4" w:space="0" w:color="auto"/>
              <w:bottom w:val="single" w:sz="4" w:space="0" w:color="auto"/>
              <w:right w:val="single" w:sz="4" w:space="0" w:color="auto"/>
            </w:tcBorders>
            <w:vAlign w:val="center"/>
          </w:tcPr>
          <w:p w:rsidR="00F0403F" w:rsidRPr="000725CB" w:rsidRDefault="00F0403F" w:rsidP="00667880">
            <w:pPr>
              <w:keepNext/>
              <w:jc w:val="center"/>
              <w:rPr>
                <w:b/>
                <w:sz w:val="20"/>
                <w:szCs w:val="20"/>
              </w:rPr>
            </w:pPr>
            <w:r w:rsidRPr="000725CB">
              <w:rPr>
                <w:b/>
                <w:sz w:val="20"/>
                <w:szCs w:val="20"/>
              </w:rPr>
              <w:t>Reduction in stage II</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03F" w:rsidRPr="000725CB" w:rsidRDefault="00F0403F" w:rsidP="00B23C78">
            <w:pPr>
              <w:keepNext/>
              <w:jc w:val="center"/>
              <w:rPr>
                <w:b/>
                <w:sz w:val="20"/>
                <w:szCs w:val="20"/>
              </w:rPr>
            </w:pPr>
            <w:r w:rsidRPr="000725CB">
              <w:rPr>
                <w:b/>
                <w:sz w:val="20"/>
                <w:szCs w:val="20"/>
              </w:rPr>
              <w:t xml:space="preserve">Remaining </w:t>
            </w:r>
            <w:r w:rsidR="00B23C78">
              <w:rPr>
                <w:b/>
                <w:sz w:val="20"/>
                <w:szCs w:val="20"/>
              </w:rPr>
              <w:t>c</w:t>
            </w:r>
            <w:r w:rsidRPr="000725CB">
              <w:rPr>
                <w:b/>
                <w:sz w:val="20"/>
                <w:szCs w:val="20"/>
              </w:rPr>
              <w:t>onsumption</w:t>
            </w:r>
          </w:p>
        </w:tc>
      </w:tr>
      <w:tr w:rsidR="00F0403F" w:rsidRPr="000725CB" w:rsidTr="00921A36">
        <w:trPr>
          <w:trHeight w:val="5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03F" w:rsidRPr="000725CB" w:rsidRDefault="00F0403F" w:rsidP="00667880">
            <w:pPr>
              <w:keepNext/>
              <w:rPr>
                <w:sz w:val="20"/>
                <w:szCs w:val="20"/>
              </w:rPr>
            </w:pPr>
            <w:r w:rsidRPr="000725CB">
              <w:rPr>
                <w:sz w:val="20"/>
                <w:szCs w:val="20"/>
              </w:rPr>
              <w:t>HCFC-22</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266.20</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59.57</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206.63</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0725CB" w:rsidP="000725CB">
            <w:pPr>
              <w:keepNext/>
              <w:jc w:val="right"/>
              <w:rPr>
                <w:sz w:val="20"/>
                <w:szCs w:val="20"/>
              </w:rPr>
            </w:pPr>
            <w:r w:rsidRPr="000725CB">
              <w:rPr>
                <w:sz w:val="20"/>
                <w:szCs w:val="20"/>
              </w:rPr>
              <w:t>42.84</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0725CB" w:rsidP="000725CB">
            <w:pPr>
              <w:keepNext/>
              <w:jc w:val="right"/>
              <w:rPr>
                <w:sz w:val="20"/>
                <w:szCs w:val="20"/>
              </w:rPr>
            </w:pPr>
            <w:r w:rsidRPr="000725CB">
              <w:rPr>
                <w:color w:val="000000"/>
                <w:sz w:val="20"/>
                <w:szCs w:val="20"/>
              </w:rPr>
              <w:t>163</w:t>
            </w:r>
            <w:r w:rsidR="00F0403F" w:rsidRPr="000725CB">
              <w:rPr>
                <w:color w:val="000000"/>
                <w:sz w:val="20"/>
                <w:szCs w:val="20"/>
              </w:rPr>
              <w:t>.</w:t>
            </w:r>
            <w:r w:rsidRPr="000725CB">
              <w:rPr>
                <w:color w:val="000000"/>
                <w:sz w:val="20"/>
                <w:szCs w:val="20"/>
              </w:rPr>
              <w:t>79</w:t>
            </w:r>
          </w:p>
        </w:tc>
      </w:tr>
      <w:tr w:rsidR="00F0403F" w:rsidRPr="000725CB" w:rsidTr="00921A36">
        <w:trPr>
          <w:trHeight w:val="40"/>
        </w:trPr>
        <w:tc>
          <w:tcPr>
            <w:tcW w:w="1032"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667880">
            <w:pPr>
              <w:keepNext/>
              <w:rPr>
                <w:sz w:val="20"/>
                <w:szCs w:val="20"/>
              </w:rPr>
            </w:pPr>
            <w:r w:rsidRPr="000725CB">
              <w:rPr>
                <w:sz w:val="20"/>
                <w:szCs w:val="20"/>
              </w:rPr>
              <w:t>HCFC-123</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1.57</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1.57</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0</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1.57</w:t>
            </w:r>
          </w:p>
        </w:tc>
      </w:tr>
      <w:tr w:rsidR="00F0403F" w:rsidRPr="000725CB" w:rsidTr="00921A36">
        <w:trPr>
          <w:trHeight w:val="40"/>
        </w:trPr>
        <w:tc>
          <w:tcPr>
            <w:tcW w:w="1032"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667880">
            <w:pPr>
              <w:keepNext/>
              <w:rPr>
                <w:sz w:val="20"/>
                <w:szCs w:val="20"/>
              </w:rPr>
            </w:pPr>
            <w:r w:rsidRPr="000725CB">
              <w:rPr>
                <w:sz w:val="20"/>
                <w:szCs w:val="20"/>
              </w:rPr>
              <w:t>HCFC-124</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0.83</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0.83</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0</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0.83</w:t>
            </w:r>
          </w:p>
        </w:tc>
      </w:tr>
      <w:tr w:rsidR="00F0403F" w:rsidRPr="000725CB" w:rsidTr="00921A36">
        <w:trPr>
          <w:trHeight w:val="40"/>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03F" w:rsidRPr="000725CB" w:rsidRDefault="00F0403F" w:rsidP="00667880">
            <w:pPr>
              <w:keepNext/>
              <w:rPr>
                <w:sz w:val="20"/>
                <w:szCs w:val="20"/>
              </w:rPr>
            </w:pPr>
            <w:r w:rsidRPr="000725CB">
              <w:rPr>
                <w:sz w:val="20"/>
                <w:szCs w:val="20"/>
              </w:rPr>
              <w:t>HCFC-141b</w:t>
            </w:r>
            <w:r w:rsidR="00B23C78">
              <w:rPr>
                <w:sz w:val="20"/>
                <w:szCs w:val="20"/>
              </w:rPr>
              <w:t>*</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94.57</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23.96</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70.61</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70.61</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w:t>
            </w:r>
          </w:p>
        </w:tc>
      </w:tr>
      <w:tr w:rsidR="00F0403F" w:rsidRPr="000725CB" w:rsidTr="00921A36">
        <w:trPr>
          <w:trHeight w:val="40"/>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03F" w:rsidRPr="000725CB" w:rsidRDefault="00F0403F" w:rsidP="00667880">
            <w:pPr>
              <w:keepNext/>
              <w:rPr>
                <w:sz w:val="20"/>
                <w:szCs w:val="20"/>
              </w:rPr>
            </w:pPr>
            <w:r w:rsidRPr="000725CB">
              <w:rPr>
                <w:sz w:val="20"/>
                <w:szCs w:val="20"/>
              </w:rPr>
              <w:t>HCFC-142b</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14.34</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0</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14.34</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sz w:val="20"/>
                <w:szCs w:val="20"/>
              </w:rPr>
            </w:pPr>
            <w:r w:rsidRPr="000725CB">
              <w:rPr>
                <w:sz w:val="20"/>
                <w:szCs w:val="20"/>
              </w:rPr>
              <w:t>1.74</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0709D2">
            <w:pPr>
              <w:keepNext/>
              <w:jc w:val="right"/>
              <w:rPr>
                <w:sz w:val="20"/>
                <w:szCs w:val="20"/>
              </w:rPr>
            </w:pPr>
            <w:r w:rsidRPr="000725CB">
              <w:rPr>
                <w:sz w:val="20"/>
                <w:szCs w:val="20"/>
              </w:rPr>
              <w:t>12.60</w:t>
            </w:r>
          </w:p>
        </w:tc>
      </w:tr>
      <w:tr w:rsidR="00F0403F" w:rsidRPr="00141CF6" w:rsidTr="00921A36">
        <w:trPr>
          <w:trHeight w:val="40"/>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03F" w:rsidRPr="000725CB" w:rsidRDefault="00F0403F" w:rsidP="00667880">
            <w:pPr>
              <w:keepNext/>
              <w:jc w:val="left"/>
              <w:rPr>
                <w:b/>
                <w:sz w:val="20"/>
                <w:szCs w:val="20"/>
              </w:rPr>
            </w:pPr>
            <w:r w:rsidRPr="000725CB">
              <w:rPr>
                <w:b/>
                <w:sz w:val="20"/>
                <w:szCs w:val="20"/>
              </w:rPr>
              <w:t>Total (ODP tonnes)</w:t>
            </w:r>
          </w:p>
        </w:tc>
        <w:tc>
          <w:tcPr>
            <w:tcW w:w="575"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b/>
                <w:sz w:val="20"/>
                <w:szCs w:val="20"/>
              </w:rPr>
            </w:pPr>
            <w:r w:rsidRPr="000725CB">
              <w:rPr>
                <w:b/>
                <w:sz w:val="20"/>
                <w:szCs w:val="20"/>
              </w:rPr>
              <w:t>377.51</w:t>
            </w:r>
          </w:p>
        </w:tc>
        <w:tc>
          <w:tcPr>
            <w:tcW w:w="798" w:type="pct"/>
            <w:tcBorders>
              <w:top w:val="single" w:sz="4" w:space="0" w:color="auto"/>
              <w:left w:val="nil"/>
              <w:bottom w:val="single" w:sz="4" w:space="0" w:color="auto"/>
              <w:right w:val="single" w:sz="4" w:space="0" w:color="auto"/>
            </w:tcBorders>
            <w:shd w:val="clear" w:color="auto" w:fill="auto"/>
            <w:noWrap/>
          </w:tcPr>
          <w:p w:rsidR="00F0403F" w:rsidRPr="000725CB" w:rsidRDefault="00F0403F" w:rsidP="000709D2">
            <w:pPr>
              <w:keepNext/>
              <w:jc w:val="right"/>
              <w:rPr>
                <w:b/>
                <w:sz w:val="20"/>
                <w:szCs w:val="20"/>
              </w:rPr>
            </w:pPr>
            <w:r w:rsidRPr="000725CB">
              <w:rPr>
                <w:b/>
                <w:sz w:val="20"/>
                <w:szCs w:val="20"/>
              </w:rPr>
              <w:t>83.53</w:t>
            </w:r>
          </w:p>
        </w:tc>
        <w:tc>
          <w:tcPr>
            <w:tcW w:w="878" w:type="pct"/>
            <w:tcBorders>
              <w:top w:val="single" w:sz="4" w:space="0" w:color="auto"/>
              <w:left w:val="single" w:sz="4" w:space="0" w:color="auto"/>
              <w:bottom w:val="single" w:sz="4" w:space="0" w:color="auto"/>
              <w:right w:val="single" w:sz="4" w:space="0" w:color="auto"/>
            </w:tcBorders>
          </w:tcPr>
          <w:p w:rsidR="00F0403F" w:rsidRPr="000725CB" w:rsidRDefault="00F0403F" w:rsidP="000709D2">
            <w:pPr>
              <w:keepNext/>
              <w:jc w:val="right"/>
              <w:rPr>
                <w:b/>
                <w:sz w:val="20"/>
                <w:szCs w:val="20"/>
              </w:rPr>
            </w:pPr>
            <w:r w:rsidRPr="000725CB">
              <w:rPr>
                <w:b/>
                <w:sz w:val="20"/>
                <w:szCs w:val="20"/>
              </w:rPr>
              <w:t>293.98</w:t>
            </w:r>
          </w:p>
        </w:tc>
        <w:tc>
          <w:tcPr>
            <w:tcW w:w="723" w:type="pct"/>
            <w:tcBorders>
              <w:top w:val="single" w:sz="4" w:space="0" w:color="auto"/>
              <w:left w:val="single" w:sz="4" w:space="0" w:color="auto"/>
              <w:bottom w:val="single" w:sz="4" w:space="0" w:color="auto"/>
              <w:right w:val="single" w:sz="4" w:space="0" w:color="auto"/>
            </w:tcBorders>
          </w:tcPr>
          <w:p w:rsidR="00F0403F" w:rsidRPr="000725CB" w:rsidRDefault="00F0403F" w:rsidP="000725CB">
            <w:pPr>
              <w:keepNext/>
              <w:jc w:val="right"/>
              <w:rPr>
                <w:b/>
                <w:sz w:val="20"/>
                <w:szCs w:val="20"/>
              </w:rPr>
            </w:pPr>
            <w:r w:rsidRPr="000725CB">
              <w:rPr>
                <w:b/>
                <w:sz w:val="20"/>
                <w:szCs w:val="20"/>
              </w:rPr>
              <w:t>11</w:t>
            </w:r>
            <w:r w:rsidR="000725CB" w:rsidRPr="000725CB">
              <w:rPr>
                <w:b/>
                <w:sz w:val="20"/>
                <w:szCs w:val="20"/>
              </w:rPr>
              <w:t>5.19</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rsidR="00F0403F" w:rsidRPr="000725CB" w:rsidRDefault="00F0403F" w:rsidP="000725CB">
            <w:pPr>
              <w:keepNext/>
              <w:jc w:val="right"/>
              <w:rPr>
                <w:b/>
                <w:sz w:val="20"/>
                <w:szCs w:val="20"/>
              </w:rPr>
            </w:pPr>
            <w:r w:rsidRPr="000725CB">
              <w:rPr>
                <w:b/>
                <w:sz w:val="20"/>
                <w:szCs w:val="20"/>
              </w:rPr>
              <w:t>17</w:t>
            </w:r>
            <w:r w:rsidR="000725CB" w:rsidRPr="000725CB">
              <w:rPr>
                <w:b/>
                <w:sz w:val="20"/>
                <w:szCs w:val="20"/>
              </w:rPr>
              <w:t>8.79</w:t>
            </w:r>
          </w:p>
        </w:tc>
      </w:tr>
    </w:tbl>
    <w:p w:rsidR="00F0403F" w:rsidRPr="00141CF6" w:rsidRDefault="00F0403F" w:rsidP="00F0403F">
      <w:pPr>
        <w:keepNext/>
        <w:rPr>
          <w:sz w:val="18"/>
          <w:szCs w:val="18"/>
        </w:rPr>
      </w:pPr>
      <w:r w:rsidRPr="00AF4CEE">
        <w:rPr>
          <w:sz w:val="18"/>
          <w:szCs w:val="18"/>
        </w:rPr>
        <w:t xml:space="preserve">*Additional non-eligible </w:t>
      </w:r>
      <w:r w:rsidR="00B81199" w:rsidRPr="00AF4CEE">
        <w:rPr>
          <w:sz w:val="18"/>
          <w:szCs w:val="18"/>
        </w:rPr>
        <w:t>9.82</w:t>
      </w:r>
      <w:r w:rsidR="00673FC0" w:rsidRPr="00AF4CEE">
        <w:rPr>
          <w:sz w:val="18"/>
          <w:szCs w:val="18"/>
        </w:rPr>
        <w:t> ODP tonnes</w:t>
      </w:r>
      <w:r w:rsidRPr="00AF4CEE">
        <w:rPr>
          <w:sz w:val="18"/>
          <w:szCs w:val="18"/>
        </w:rPr>
        <w:t xml:space="preserve"> of HCFC-141b beyond the starting point are also being phased out.</w:t>
      </w:r>
    </w:p>
    <w:p w:rsidR="00F0403F" w:rsidRPr="00141CF6" w:rsidRDefault="00F0403F" w:rsidP="00F0403F">
      <w:pPr>
        <w:keepNext/>
        <w:rPr>
          <w:u w:val="single"/>
        </w:rPr>
      </w:pPr>
    </w:p>
    <w:p w:rsidR="00F0403F" w:rsidRPr="00141CF6" w:rsidRDefault="00F0403F" w:rsidP="00F0403F">
      <w:pPr>
        <w:rPr>
          <w:u w:val="single"/>
        </w:rPr>
      </w:pPr>
      <w:r w:rsidRPr="00141CF6">
        <w:rPr>
          <w:u w:val="single"/>
        </w:rPr>
        <w:t>HCFC consumption and sector distribution</w:t>
      </w:r>
    </w:p>
    <w:p w:rsidR="00F0403F" w:rsidRPr="00141CF6" w:rsidRDefault="00F0403F" w:rsidP="00F0403F"/>
    <w:p w:rsidR="00F0403F" w:rsidRPr="00141CF6" w:rsidRDefault="00F0403F" w:rsidP="00F0403F">
      <w:pPr>
        <w:numPr>
          <w:ilvl w:val="0"/>
          <w:numId w:val="1"/>
        </w:numPr>
        <w:spacing w:after="240"/>
        <w:outlineLvl w:val="0"/>
      </w:pPr>
      <w:r w:rsidRPr="00141CF6">
        <w:t xml:space="preserve">The 2012-2016 HCFC consumption is shown in Table 1 </w:t>
      </w:r>
      <w:r w:rsidRPr="00051614">
        <w:t>of stage I</w:t>
      </w:r>
      <w:r w:rsidR="00B23C78">
        <w:t xml:space="preserve"> of the HPMP</w:t>
      </w:r>
      <w:r w:rsidRPr="00051614">
        <w:t>. Table 2 presents</w:t>
      </w:r>
      <w:r w:rsidRPr="00141CF6">
        <w:t xml:space="preserve"> the distribution of HCFC use among sectors as reported in the country programme (CP) data for 2016.</w:t>
      </w:r>
    </w:p>
    <w:p w:rsidR="00F0403F" w:rsidRPr="007C1C0A" w:rsidRDefault="00F0403F" w:rsidP="00F0403F">
      <w:pPr>
        <w:keepNext/>
        <w:outlineLvl w:val="0"/>
        <w:rPr>
          <w:b/>
          <w:sz w:val="20"/>
          <w:szCs w:val="20"/>
        </w:rPr>
      </w:pPr>
      <w:r w:rsidRPr="007C1C0A">
        <w:rPr>
          <w:b/>
          <w:sz w:val="20"/>
          <w:szCs w:val="20"/>
        </w:rPr>
        <w:lastRenderedPageBreak/>
        <w:t xml:space="preserve">Table </w:t>
      </w:r>
      <w:r>
        <w:rPr>
          <w:b/>
          <w:sz w:val="20"/>
          <w:szCs w:val="20"/>
        </w:rPr>
        <w:t>2</w:t>
      </w:r>
      <w:r w:rsidRPr="007C1C0A">
        <w:rPr>
          <w:b/>
          <w:sz w:val="20"/>
          <w:szCs w:val="20"/>
        </w:rPr>
        <w:t>. Distribution of HCFC use by sector and substance (2016)</w:t>
      </w:r>
    </w:p>
    <w:tbl>
      <w:tblPr>
        <w:tblW w:w="5000" w:type="pct"/>
        <w:tblLayout w:type="fixed"/>
        <w:tblLook w:val="04A0" w:firstRow="1" w:lastRow="0" w:firstColumn="1" w:lastColumn="0" w:noHBand="0" w:noVBand="1"/>
      </w:tblPr>
      <w:tblGrid>
        <w:gridCol w:w="1458"/>
        <w:gridCol w:w="820"/>
        <w:gridCol w:w="720"/>
        <w:gridCol w:w="810"/>
        <w:gridCol w:w="801"/>
        <w:gridCol w:w="1168"/>
        <w:gridCol w:w="998"/>
        <w:gridCol w:w="896"/>
        <w:gridCol w:w="900"/>
        <w:gridCol w:w="1005"/>
      </w:tblGrid>
      <w:tr w:rsidR="00F0403F" w:rsidRPr="00F0403F" w:rsidTr="008F6838">
        <w:trPr>
          <w:trHeight w:val="503"/>
        </w:trPr>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F0403F" w:rsidRPr="00F0403F" w:rsidRDefault="00F0403F" w:rsidP="00667880">
            <w:pPr>
              <w:keepNext/>
              <w:jc w:val="left"/>
              <w:rPr>
                <w:b/>
                <w:bCs/>
                <w:color w:val="000000"/>
                <w:sz w:val="18"/>
                <w:szCs w:val="18"/>
              </w:rPr>
            </w:pPr>
            <w:r w:rsidRPr="00F0403F">
              <w:rPr>
                <w:b/>
                <w:bCs/>
                <w:color w:val="000000"/>
                <w:sz w:val="18"/>
                <w:szCs w:val="18"/>
                <w:lang w:eastAsia="en-CA"/>
              </w:rPr>
              <w:t>Substance</w:t>
            </w:r>
          </w:p>
        </w:tc>
        <w:tc>
          <w:tcPr>
            <w:tcW w:w="428"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Aerosol</w:t>
            </w:r>
          </w:p>
        </w:tc>
        <w:tc>
          <w:tcPr>
            <w:tcW w:w="376"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Foam</w:t>
            </w:r>
          </w:p>
        </w:tc>
        <w:tc>
          <w:tcPr>
            <w:tcW w:w="423"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Fire Fighting</w:t>
            </w:r>
          </w:p>
        </w:tc>
        <w:tc>
          <w:tcPr>
            <w:tcW w:w="418"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Solvent</w:t>
            </w:r>
          </w:p>
        </w:tc>
        <w:tc>
          <w:tcPr>
            <w:tcW w:w="610"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02367A">
            <w:pPr>
              <w:keepNext/>
              <w:jc w:val="center"/>
              <w:rPr>
                <w:b/>
                <w:bCs/>
                <w:color w:val="000000"/>
                <w:sz w:val="16"/>
                <w:szCs w:val="16"/>
              </w:rPr>
            </w:pPr>
            <w:r w:rsidRPr="0002367A">
              <w:rPr>
                <w:b/>
                <w:bCs/>
                <w:color w:val="000000"/>
                <w:sz w:val="16"/>
                <w:szCs w:val="16"/>
                <w:lang w:eastAsia="en-CA"/>
              </w:rPr>
              <w:t>Refrigeration Manufac-turing</w:t>
            </w:r>
          </w:p>
        </w:tc>
        <w:tc>
          <w:tcPr>
            <w:tcW w:w="521"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Total Manufac-turing</w:t>
            </w:r>
          </w:p>
        </w:tc>
        <w:tc>
          <w:tcPr>
            <w:tcW w:w="468"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Servicing</w:t>
            </w:r>
          </w:p>
        </w:tc>
        <w:tc>
          <w:tcPr>
            <w:tcW w:w="470"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rPr>
            </w:pPr>
            <w:r w:rsidRPr="0002367A">
              <w:rPr>
                <w:b/>
                <w:bCs/>
                <w:color w:val="000000"/>
                <w:sz w:val="16"/>
                <w:szCs w:val="16"/>
                <w:lang w:eastAsia="en-CA"/>
              </w:rPr>
              <w:t>Total</w:t>
            </w:r>
          </w:p>
        </w:tc>
        <w:tc>
          <w:tcPr>
            <w:tcW w:w="525" w:type="pct"/>
            <w:tcBorders>
              <w:top w:val="single" w:sz="4" w:space="0" w:color="auto"/>
              <w:left w:val="nil"/>
              <w:bottom w:val="single" w:sz="4" w:space="0" w:color="auto"/>
              <w:right w:val="single" w:sz="4" w:space="0" w:color="auto"/>
            </w:tcBorders>
            <w:shd w:val="clear" w:color="auto" w:fill="auto"/>
            <w:hideMark/>
          </w:tcPr>
          <w:p w:rsidR="00F0403F" w:rsidRPr="0002367A" w:rsidRDefault="00F0403F" w:rsidP="00667880">
            <w:pPr>
              <w:keepNext/>
              <w:jc w:val="center"/>
              <w:rPr>
                <w:b/>
                <w:bCs/>
                <w:color w:val="000000"/>
                <w:sz w:val="16"/>
                <w:szCs w:val="16"/>
                <w:lang w:eastAsia="en-CA"/>
              </w:rPr>
            </w:pPr>
            <w:r w:rsidRPr="0002367A">
              <w:rPr>
                <w:b/>
                <w:bCs/>
                <w:color w:val="000000"/>
                <w:sz w:val="16"/>
                <w:szCs w:val="16"/>
                <w:lang w:eastAsia="en-CA"/>
              </w:rPr>
              <w:t>Percentage</w:t>
            </w:r>
          </w:p>
          <w:p w:rsidR="00F0403F" w:rsidRPr="0002367A" w:rsidRDefault="00F0403F" w:rsidP="00667880">
            <w:pPr>
              <w:keepNext/>
              <w:jc w:val="center"/>
              <w:rPr>
                <w:b/>
                <w:bCs/>
                <w:color w:val="000000"/>
                <w:sz w:val="16"/>
                <w:szCs w:val="16"/>
              </w:rPr>
            </w:pPr>
            <w:r w:rsidRPr="0002367A">
              <w:rPr>
                <w:b/>
                <w:bCs/>
                <w:color w:val="000000"/>
                <w:sz w:val="16"/>
                <w:szCs w:val="16"/>
                <w:lang w:eastAsia="en-CA"/>
              </w:rPr>
              <w:t>(%)</w:t>
            </w:r>
          </w:p>
        </w:tc>
      </w:tr>
      <w:tr w:rsidR="00F0403F" w:rsidRPr="00F0403F" w:rsidTr="008F6838">
        <w:trPr>
          <w:trHeight w:val="188"/>
        </w:trPr>
        <w:tc>
          <w:tcPr>
            <w:tcW w:w="1189" w:type="pct"/>
            <w:gridSpan w:val="2"/>
            <w:tcBorders>
              <w:top w:val="single" w:sz="4" w:space="0" w:color="auto"/>
              <w:left w:val="single" w:sz="4" w:space="0" w:color="auto"/>
              <w:bottom w:val="single" w:sz="4" w:space="0" w:color="auto"/>
              <w:right w:val="nil"/>
            </w:tcBorders>
            <w:shd w:val="clear" w:color="auto" w:fill="auto"/>
            <w:noWrap/>
            <w:hideMark/>
          </w:tcPr>
          <w:p w:rsidR="00F0403F" w:rsidRPr="00F0403F" w:rsidRDefault="00F0403F" w:rsidP="00667880">
            <w:pPr>
              <w:keepNext/>
              <w:jc w:val="left"/>
              <w:rPr>
                <w:b/>
                <w:bCs/>
                <w:color w:val="000000"/>
                <w:sz w:val="18"/>
                <w:szCs w:val="18"/>
              </w:rPr>
            </w:pPr>
            <w:r w:rsidRPr="00F0403F">
              <w:rPr>
                <w:b/>
                <w:bCs/>
                <w:color w:val="000000"/>
                <w:sz w:val="18"/>
                <w:szCs w:val="18"/>
                <w:lang w:eastAsia="en-CA"/>
              </w:rPr>
              <w:t>Metric tonnes (mt)</w:t>
            </w:r>
          </w:p>
        </w:tc>
        <w:tc>
          <w:tcPr>
            <w:tcW w:w="376"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423"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418"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610"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521"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468"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470" w:type="pct"/>
            <w:tcBorders>
              <w:top w:val="nil"/>
              <w:left w:val="nil"/>
              <w:bottom w:val="single" w:sz="4" w:space="0" w:color="auto"/>
              <w:right w:val="nil"/>
            </w:tcBorders>
            <w:shd w:val="clear" w:color="auto" w:fill="auto"/>
            <w:noWrap/>
            <w:hideMark/>
          </w:tcPr>
          <w:p w:rsidR="00F0403F" w:rsidRPr="00F0403F" w:rsidRDefault="00F0403F" w:rsidP="00667880">
            <w:pPr>
              <w:keepNext/>
              <w:jc w:val="center"/>
              <w:rPr>
                <w:b/>
                <w:bCs/>
                <w:color w:val="000000"/>
                <w:sz w:val="18"/>
                <w:szCs w:val="18"/>
              </w:rPr>
            </w:pPr>
          </w:p>
        </w:tc>
        <w:tc>
          <w:tcPr>
            <w:tcW w:w="525" w:type="pct"/>
            <w:tcBorders>
              <w:top w:val="nil"/>
              <w:left w:val="nil"/>
              <w:bottom w:val="single" w:sz="4" w:space="0" w:color="auto"/>
              <w:right w:val="single" w:sz="4" w:space="0" w:color="auto"/>
            </w:tcBorders>
            <w:shd w:val="clear" w:color="auto" w:fill="auto"/>
            <w:noWrap/>
            <w:hideMark/>
          </w:tcPr>
          <w:p w:rsidR="00F0403F" w:rsidRPr="00F0403F" w:rsidRDefault="00F0403F" w:rsidP="00667880">
            <w:pPr>
              <w:keepNext/>
              <w:jc w:val="center"/>
              <w:rPr>
                <w:b/>
                <w:bCs/>
                <w:color w:val="000000"/>
                <w:sz w:val="18"/>
                <w:szCs w:val="18"/>
              </w:rPr>
            </w:pPr>
          </w:p>
        </w:tc>
      </w:tr>
      <w:tr w:rsidR="00D735C8" w:rsidRPr="00F0403F" w:rsidTr="008F6838">
        <w:trPr>
          <w:trHeight w:val="134"/>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HCFC-22</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lang w:eastAsia="en-CA"/>
              </w:rPr>
              <w:t>4.40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lang w:eastAsia="en-CA"/>
              </w:rPr>
              <w:t>26.00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color w:val="000000"/>
                <w:sz w:val="18"/>
                <w:szCs w:val="18"/>
              </w:rPr>
            </w:pPr>
            <w:r>
              <w:rPr>
                <w:color w:val="000000"/>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lang w:eastAsia="en-CA"/>
              </w:rPr>
              <w:t>165.00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195.40</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lang w:eastAsia="en-CA"/>
              </w:rPr>
              <w:t>2,316.10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2,511.50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68.7</w:t>
            </w:r>
          </w:p>
        </w:tc>
      </w:tr>
      <w:tr w:rsidR="00D735C8" w:rsidRPr="00F0403F" w:rsidTr="008F6838">
        <w:trPr>
          <w:trHeight w:val="167"/>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HCFC-141b</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3.00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513.60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516.60</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116.00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632.60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17.3</w:t>
            </w:r>
          </w:p>
        </w:tc>
      </w:tr>
      <w:tr w:rsidR="00D735C8" w:rsidRPr="00F0403F" w:rsidTr="008F6838">
        <w:trPr>
          <w:trHeight w:val="396"/>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HCFC-141b in imported pre-blended polyol</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228.00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228.00</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228.00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6.2</w:t>
            </w:r>
          </w:p>
        </w:tc>
      </w:tr>
      <w:tr w:rsidR="00D735C8" w:rsidRPr="00F0403F" w:rsidTr="008F6838">
        <w:trPr>
          <w:trHeight w:val="106"/>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HCFC-142b</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0.06</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18.30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18.36</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129.30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147.66</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4.0</w:t>
            </w:r>
          </w:p>
        </w:tc>
      </w:tr>
      <w:tr w:rsidR="00D735C8" w:rsidRPr="00F0403F" w:rsidTr="008F6838">
        <w:trPr>
          <w:trHeight w:val="208"/>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HCFC-123</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82.10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82.10</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rPr>
              <w:t>29.30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111.40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3.0</w:t>
            </w:r>
          </w:p>
        </w:tc>
      </w:tr>
      <w:tr w:rsidR="00D735C8" w:rsidRPr="00F0403F" w:rsidTr="008F6838">
        <w:trPr>
          <w:trHeight w:val="127"/>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keepNext/>
              <w:jc w:val="left"/>
              <w:rPr>
                <w:color w:val="000000"/>
                <w:sz w:val="18"/>
                <w:szCs w:val="18"/>
              </w:rPr>
            </w:pPr>
            <w:r w:rsidRPr="00F0403F">
              <w:rPr>
                <w:color w:val="000000"/>
                <w:sz w:val="18"/>
                <w:szCs w:val="18"/>
                <w:lang w:eastAsia="en-CA"/>
              </w:rPr>
              <w:t>HCFC-124</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Pr>
                <w:sz w:val="18"/>
                <w:szCs w:val="18"/>
              </w:rPr>
              <w:t>0</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keepNext/>
              <w:jc w:val="right"/>
              <w:rPr>
                <w:sz w:val="18"/>
                <w:szCs w:val="18"/>
              </w:rPr>
            </w:pPr>
            <w:r w:rsidRPr="00F0403F">
              <w:rPr>
                <w:sz w:val="18"/>
                <w:szCs w:val="18"/>
                <w:lang w:eastAsia="en-CA"/>
              </w:rPr>
              <w:t>24.80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rPr>
              <w:t>24.80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keepNext/>
              <w:jc w:val="right"/>
              <w:rPr>
                <w:color w:val="000000"/>
                <w:sz w:val="18"/>
                <w:szCs w:val="18"/>
              </w:rPr>
            </w:pPr>
            <w:r w:rsidRPr="00F0403F">
              <w:rPr>
                <w:color w:val="000000"/>
                <w:sz w:val="18"/>
                <w:szCs w:val="18"/>
                <w:lang w:eastAsia="en-CA"/>
              </w:rPr>
              <w:t>0.7</w:t>
            </w:r>
          </w:p>
        </w:tc>
      </w:tr>
      <w:tr w:rsidR="00D735C8" w:rsidRPr="00F0403F" w:rsidTr="008F6838">
        <w:trPr>
          <w:trHeight w:val="214"/>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b/>
                <w:bCs/>
                <w:color w:val="000000"/>
                <w:sz w:val="18"/>
                <w:szCs w:val="18"/>
              </w:rPr>
            </w:pPr>
            <w:r w:rsidRPr="00F0403F">
              <w:rPr>
                <w:b/>
                <w:bCs/>
                <w:color w:val="000000"/>
                <w:sz w:val="18"/>
                <w:szCs w:val="18"/>
                <w:lang w:eastAsia="en-CA"/>
              </w:rPr>
              <w:t>Total (mt)</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lang w:eastAsia="en-CA"/>
              </w:rPr>
              <w:t>7.46</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lang w:eastAsia="en-CA"/>
              </w:rPr>
              <w:t>785.90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lang w:eastAsia="en-CA"/>
              </w:rPr>
              <w:t>82.10</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lang w:eastAsia="en-CA"/>
              </w:rPr>
              <w:t>165.00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1,040.46</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lang w:eastAsia="en-CA"/>
              </w:rPr>
              <w:t>2,615.50</w:t>
            </w:r>
          </w:p>
        </w:tc>
        <w:tc>
          <w:tcPr>
            <w:tcW w:w="47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3,655.96</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lang w:eastAsia="en-CA"/>
              </w:rPr>
              <w:t>100.0</w:t>
            </w:r>
          </w:p>
        </w:tc>
      </w:tr>
      <w:tr w:rsidR="00D735C8" w:rsidRPr="00F0403F" w:rsidTr="008F6838">
        <w:trPr>
          <w:trHeight w:val="132"/>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b/>
                <w:bCs/>
                <w:color w:val="000000"/>
                <w:sz w:val="18"/>
                <w:szCs w:val="18"/>
              </w:rPr>
            </w:pPr>
            <w:r w:rsidRPr="00F0403F">
              <w:rPr>
                <w:b/>
                <w:bCs/>
                <w:color w:val="000000"/>
                <w:sz w:val="18"/>
                <w:szCs w:val="18"/>
                <w:lang w:eastAsia="en-CA"/>
              </w:rPr>
              <w:t>Total (%)</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0.2</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21.5</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2.2</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4.5</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28.5</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71.5</w:t>
            </w:r>
          </w:p>
        </w:tc>
        <w:tc>
          <w:tcPr>
            <w:tcW w:w="47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100.0</w:t>
            </w:r>
          </w:p>
        </w:tc>
        <w:tc>
          <w:tcPr>
            <w:tcW w:w="525"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Pr>
                <w:b/>
                <w:bCs/>
                <w:color w:val="000000"/>
                <w:sz w:val="18"/>
                <w:szCs w:val="18"/>
              </w:rPr>
              <w:t>n/a</w:t>
            </w:r>
          </w:p>
        </w:tc>
      </w:tr>
      <w:tr w:rsidR="00D735C8" w:rsidRPr="00F0403F" w:rsidTr="008F6838">
        <w:trPr>
          <w:trHeight w:val="79"/>
        </w:trPr>
        <w:tc>
          <w:tcPr>
            <w:tcW w:w="761" w:type="pct"/>
            <w:tcBorders>
              <w:top w:val="nil"/>
              <w:left w:val="single" w:sz="4" w:space="0" w:color="auto"/>
              <w:bottom w:val="single" w:sz="4" w:space="0" w:color="auto"/>
              <w:right w:val="nil"/>
            </w:tcBorders>
            <w:shd w:val="clear" w:color="auto" w:fill="auto"/>
            <w:noWrap/>
            <w:hideMark/>
          </w:tcPr>
          <w:p w:rsidR="00D735C8" w:rsidRPr="00F0403F" w:rsidRDefault="00D735C8" w:rsidP="00667880">
            <w:pPr>
              <w:jc w:val="left"/>
              <w:rPr>
                <w:b/>
                <w:bCs/>
                <w:color w:val="000000"/>
                <w:sz w:val="18"/>
                <w:szCs w:val="18"/>
              </w:rPr>
            </w:pPr>
            <w:r w:rsidRPr="00F0403F">
              <w:rPr>
                <w:b/>
                <w:bCs/>
                <w:color w:val="000000"/>
                <w:sz w:val="18"/>
                <w:szCs w:val="18"/>
              </w:rPr>
              <w:t>ODP tonnes</w:t>
            </w:r>
          </w:p>
        </w:tc>
        <w:tc>
          <w:tcPr>
            <w:tcW w:w="428"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376"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423" w:type="pct"/>
            <w:tcBorders>
              <w:top w:val="nil"/>
              <w:left w:val="nil"/>
              <w:bottom w:val="single" w:sz="4" w:space="0" w:color="auto"/>
              <w:right w:val="nil"/>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610"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521"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468"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470" w:type="pct"/>
            <w:tcBorders>
              <w:top w:val="nil"/>
              <w:left w:val="nil"/>
              <w:bottom w:val="single" w:sz="4" w:space="0" w:color="auto"/>
              <w:right w:val="nil"/>
            </w:tcBorders>
            <w:shd w:val="clear" w:color="auto" w:fill="auto"/>
            <w:noWrap/>
            <w:hideMark/>
          </w:tcPr>
          <w:p w:rsidR="00D735C8" w:rsidRPr="00F0403F" w:rsidRDefault="00D735C8" w:rsidP="00F0403F">
            <w:pPr>
              <w:jc w:val="right"/>
              <w:rPr>
                <w:b/>
                <w:bCs/>
                <w:color w:val="000000"/>
                <w:sz w:val="18"/>
                <w:szCs w:val="18"/>
              </w:rPr>
            </w:pPr>
          </w:p>
        </w:tc>
        <w:tc>
          <w:tcPr>
            <w:tcW w:w="525"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p>
        </w:tc>
      </w:tr>
      <w:tr w:rsidR="00D735C8" w:rsidRPr="00F0403F" w:rsidTr="00D735C8">
        <w:trPr>
          <w:trHeight w:val="166"/>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HCFC-22</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lang w:eastAsia="en-CA"/>
              </w:rPr>
              <w:t>0.24</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lang w:eastAsia="en-CA"/>
              </w:rPr>
              <w:t>1.43</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lang w:eastAsia="en-CA"/>
              </w:rPr>
              <w:t>9.08</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10.75</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lang w:eastAsia="en-CA"/>
              </w:rPr>
              <w:t>127.39</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138.13</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56.3</w:t>
            </w:r>
          </w:p>
        </w:tc>
      </w:tr>
      <w:tr w:rsidR="00D735C8" w:rsidRPr="00F0403F" w:rsidTr="00D735C8">
        <w:trPr>
          <w:trHeight w:val="113"/>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HCFC-141b</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0.33</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56.50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56.83</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12.76</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69.59</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28.4</w:t>
            </w:r>
          </w:p>
        </w:tc>
      </w:tr>
      <w:tr w:rsidR="00D735C8" w:rsidRPr="00F0403F" w:rsidTr="00D735C8">
        <w:trPr>
          <w:trHeight w:val="342"/>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HCFC-141b in imported pre-blended polyol</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25.08</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25.08</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Pr>
                <w:sz w:val="18"/>
                <w:szCs w:val="18"/>
              </w:rPr>
              <w:t>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25.08</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10.2</w:t>
            </w:r>
          </w:p>
        </w:tc>
      </w:tr>
      <w:tr w:rsidR="00D735C8" w:rsidRPr="00F0403F" w:rsidTr="00D735C8">
        <w:trPr>
          <w:trHeight w:val="223"/>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HCFC-142b</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1.19</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1.19</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8.40</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9.60</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3.9</w:t>
            </w:r>
          </w:p>
        </w:tc>
      </w:tr>
      <w:tr w:rsidR="00D735C8" w:rsidRPr="00F0403F" w:rsidTr="00D735C8">
        <w:trPr>
          <w:trHeight w:val="126"/>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HCFC-123</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1.64</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1.64</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0.59</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2.23</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0.9</w:t>
            </w:r>
          </w:p>
        </w:tc>
      </w:tr>
      <w:tr w:rsidR="00D735C8" w:rsidRPr="00F0403F" w:rsidTr="00D735C8">
        <w:trPr>
          <w:trHeight w:val="215"/>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color w:val="000000"/>
                <w:sz w:val="18"/>
                <w:szCs w:val="18"/>
              </w:rPr>
            </w:pPr>
            <w:r w:rsidRPr="00F0403F">
              <w:rPr>
                <w:color w:val="000000"/>
                <w:sz w:val="18"/>
                <w:szCs w:val="18"/>
                <w:lang w:eastAsia="en-CA"/>
              </w:rPr>
              <w:t>HCFC-124</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Pr>
                <w:sz w:val="18"/>
                <w:szCs w:val="18"/>
              </w:rPr>
              <w:t>0</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5C026A">
            <w:pPr>
              <w:keepNext/>
              <w:jc w:val="right"/>
              <w:rPr>
                <w:sz w:val="18"/>
                <w:szCs w:val="18"/>
              </w:rPr>
            </w:pPr>
            <w:r>
              <w:rPr>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5C026A">
            <w:pPr>
              <w:keepNext/>
              <w:jc w:val="right"/>
              <w:rPr>
                <w:sz w:val="18"/>
                <w:szCs w:val="18"/>
              </w:rPr>
            </w:pPr>
            <w:r>
              <w:rPr>
                <w:sz w:val="18"/>
                <w:szCs w:val="18"/>
              </w:rPr>
              <w:t>0</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rPr>
              <w:t>-</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sz w:val="18"/>
                <w:szCs w:val="18"/>
              </w:rPr>
            </w:pPr>
            <w:r w:rsidRPr="00F0403F">
              <w:rPr>
                <w:sz w:val="18"/>
                <w:szCs w:val="18"/>
                <w:lang w:eastAsia="en-CA"/>
              </w:rPr>
              <w:t>0.55</w:t>
            </w:r>
          </w:p>
        </w:tc>
        <w:tc>
          <w:tcPr>
            <w:tcW w:w="470"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0.55</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0.2</w:t>
            </w:r>
          </w:p>
        </w:tc>
      </w:tr>
      <w:tr w:rsidR="00D735C8" w:rsidRPr="00F0403F" w:rsidTr="00D735C8">
        <w:trPr>
          <w:trHeight w:val="133"/>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b/>
                <w:bCs/>
                <w:color w:val="000000"/>
                <w:sz w:val="18"/>
                <w:szCs w:val="18"/>
              </w:rPr>
            </w:pPr>
            <w:r w:rsidRPr="00F0403F">
              <w:rPr>
                <w:b/>
                <w:bCs/>
                <w:color w:val="000000"/>
                <w:sz w:val="18"/>
                <w:szCs w:val="18"/>
                <w:lang w:eastAsia="en-CA"/>
              </w:rPr>
              <w:t>Total (ODP tonnes)</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0.58</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84.20</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1.64</w:t>
            </w:r>
          </w:p>
        </w:tc>
        <w:tc>
          <w:tcPr>
            <w:tcW w:w="418" w:type="pct"/>
            <w:tcBorders>
              <w:top w:val="nil"/>
              <w:left w:val="nil"/>
              <w:bottom w:val="single" w:sz="4" w:space="0" w:color="auto"/>
              <w:right w:val="single" w:sz="4" w:space="0" w:color="auto"/>
            </w:tcBorders>
            <w:shd w:val="clear" w:color="auto" w:fill="auto"/>
            <w:noWrap/>
          </w:tcPr>
          <w:p w:rsidR="00D735C8" w:rsidRPr="00F0403F" w:rsidRDefault="00D735C8" w:rsidP="00F0403F">
            <w:pPr>
              <w:jc w:val="right"/>
              <w:rPr>
                <w:b/>
                <w:bCs/>
                <w:color w:val="000000"/>
                <w:sz w:val="18"/>
                <w:szCs w:val="18"/>
              </w:rPr>
            </w:pPr>
            <w:r>
              <w:rPr>
                <w:b/>
                <w:bCs/>
                <w:color w:val="000000"/>
                <w:sz w:val="18"/>
                <w:szCs w:val="18"/>
              </w:rPr>
              <w:t>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9.08</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95.49</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149.68</w:t>
            </w:r>
          </w:p>
        </w:tc>
        <w:tc>
          <w:tcPr>
            <w:tcW w:w="47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245.17</w:t>
            </w:r>
          </w:p>
        </w:tc>
        <w:tc>
          <w:tcPr>
            <w:tcW w:w="525" w:type="pct"/>
            <w:tcBorders>
              <w:top w:val="nil"/>
              <w:left w:val="nil"/>
              <w:bottom w:val="single" w:sz="4" w:space="0" w:color="auto"/>
              <w:right w:val="single" w:sz="4" w:space="0" w:color="auto"/>
            </w:tcBorders>
            <w:shd w:val="clear" w:color="auto" w:fill="auto"/>
            <w:hideMark/>
          </w:tcPr>
          <w:p w:rsidR="00D735C8" w:rsidRPr="00F0403F" w:rsidRDefault="00D735C8" w:rsidP="00F0403F">
            <w:pPr>
              <w:jc w:val="right"/>
              <w:rPr>
                <w:color w:val="000000"/>
                <w:sz w:val="18"/>
                <w:szCs w:val="18"/>
              </w:rPr>
            </w:pPr>
            <w:r w:rsidRPr="00F0403F">
              <w:rPr>
                <w:color w:val="000000"/>
                <w:sz w:val="18"/>
                <w:szCs w:val="18"/>
              </w:rPr>
              <w:t>100.0</w:t>
            </w:r>
          </w:p>
        </w:tc>
      </w:tr>
      <w:tr w:rsidR="00D735C8" w:rsidRPr="00F0403F" w:rsidTr="008F6838">
        <w:trPr>
          <w:trHeight w:val="181"/>
        </w:trPr>
        <w:tc>
          <w:tcPr>
            <w:tcW w:w="761" w:type="pct"/>
            <w:tcBorders>
              <w:top w:val="nil"/>
              <w:left w:val="single" w:sz="4" w:space="0" w:color="auto"/>
              <w:bottom w:val="single" w:sz="4" w:space="0" w:color="auto"/>
              <w:right w:val="single" w:sz="4" w:space="0" w:color="auto"/>
            </w:tcBorders>
            <w:shd w:val="clear" w:color="auto" w:fill="auto"/>
            <w:noWrap/>
            <w:hideMark/>
          </w:tcPr>
          <w:p w:rsidR="00D735C8" w:rsidRPr="00F0403F" w:rsidRDefault="00D735C8" w:rsidP="00667880">
            <w:pPr>
              <w:jc w:val="left"/>
              <w:rPr>
                <w:b/>
                <w:bCs/>
                <w:color w:val="000000"/>
                <w:sz w:val="18"/>
                <w:szCs w:val="18"/>
              </w:rPr>
            </w:pPr>
            <w:r w:rsidRPr="00F0403F">
              <w:rPr>
                <w:b/>
                <w:bCs/>
                <w:color w:val="000000"/>
                <w:sz w:val="18"/>
                <w:szCs w:val="18"/>
                <w:lang w:eastAsia="en-CA"/>
              </w:rPr>
              <w:t>Total (%)</w:t>
            </w:r>
          </w:p>
        </w:tc>
        <w:tc>
          <w:tcPr>
            <w:tcW w:w="42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0.2</w:t>
            </w:r>
          </w:p>
        </w:tc>
        <w:tc>
          <w:tcPr>
            <w:tcW w:w="376"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34.3</w:t>
            </w:r>
          </w:p>
        </w:tc>
        <w:tc>
          <w:tcPr>
            <w:tcW w:w="423"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0.7</w:t>
            </w:r>
          </w:p>
        </w:tc>
        <w:tc>
          <w:tcPr>
            <w:tcW w:w="41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0.0</w:t>
            </w:r>
          </w:p>
        </w:tc>
        <w:tc>
          <w:tcPr>
            <w:tcW w:w="61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3.7</w:t>
            </w:r>
          </w:p>
        </w:tc>
        <w:tc>
          <w:tcPr>
            <w:tcW w:w="521"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38.9</w:t>
            </w:r>
          </w:p>
        </w:tc>
        <w:tc>
          <w:tcPr>
            <w:tcW w:w="468"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61.1</w:t>
            </w:r>
          </w:p>
        </w:tc>
        <w:tc>
          <w:tcPr>
            <w:tcW w:w="470"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sidRPr="00F0403F">
              <w:rPr>
                <w:b/>
                <w:bCs/>
                <w:color w:val="000000"/>
                <w:sz w:val="18"/>
                <w:szCs w:val="18"/>
              </w:rPr>
              <w:t>100.0</w:t>
            </w:r>
          </w:p>
        </w:tc>
        <w:tc>
          <w:tcPr>
            <w:tcW w:w="525" w:type="pct"/>
            <w:tcBorders>
              <w:top w:val="nil"/>
              <w:left w:val="nil"/>
              <w:bottom w:val="single" w:sz="4" w:space="0" w:color="auto"/>
              <w:right w:val="single" w:sz="4" w:space="0" w:color="auto"/>
            </w:tcBorders>
            <w:shd w:val="clear" w:color="auto" w:fill="auto"/>
            <w:noWrap/>
            <w:hideMark/>
          </w:tcPr>
          <w:p w:rsidR="00D735C8" w:rsidRPr="00F0403F" w:rsidRDefault="00D735C8" w:rsidP="00F0403F">
            <w:pPr>
              <w:jc w:val="right"/>
              <w:rPr>
                <w:b/>
                <w:bCs/>
                <w:color w:val="000000"/>
                <w:sz w:val="18"/>
                <w:szCs w:val="18"/>
              </w:rPr>
            </w:pPr>
            <w:r>
              <w:rPr>
                <w:b/>
                <w:bCs/>
                <w:color w:val="000000"/>
                <w:sz w:val="18"/>
                <w:szCs w:val="18"/>
              </w:rPr>
              <w:t>n/a</w:t>
            </w:r>
          </w:p>
        </w:tc>
      </w:tr>
    </w:tbl>
    <w:p w:rsidR="00F0403F" w:rsidRPr="00141CF6" w:rsidRDefault="00F0403F" w:rsidP="00F0403F"/>
    <w:p w:rsidR="00F0403F" w:rsidRPr="00577666" w:rsidRDefault="00F0403F" w:rsidP="00F0403F">
      <w:pPr>
        <w:numPr>
          <w:ilvl w:val="0"/>
          <w:numId w:val="1"/>
        </w:numPr>
        <w:spacing w:after="240"/>
        <w:outlineLvl w:val="0"/>
      </w:pPr>
      <w:r w:rsidRPr="00577666">
        <w:t>The refrigeration servicing sector is the largest HCFC-consuming sector in Argentina (61 per cent in</w:t>
      </w:r>
      <w:r w:rsidR="00673FC0" w:rsidRPr="00577666">
        <w:t> ODP tonnes</w:t>
      </w:r>
      <w:r w:rsidRPr="00577666">
        <w:t>). It also consumes more than 90 per cent of the HCFC-22 in the country. In 2016</w:t>
      </w:r>
      <w:r w:rsidR="00921A36" w:rsidRPr="00577666">
        <w:t>,</w:t>
      </w:r>
      <w:r w:rsidRPr="00577666">
        <w:t xml:space="preserve"> the manufacturing sectors only represented 38.9 p</w:t>
      </w:r>
      <w:r w:rsidR="00B23C78" w:rsidRPr="00577666">
        <w:t xml:space="preserve">er cent of the HCFC consumption; with 34.3 per cent in the </w:t>
      </w:r>
      <w:r w:rsidRPr="00577666">
        <w:t>foam sector (</w:t>
      </w:r>
      <w:r w:rsidR="00B23C78" w:rsidRPr="00577666">
        <w:t xml:space="preserve">i.e. </w:t>
      </w:r>
      <w:r w:rsidR="00921A36" w:rsidRPr="00577666">
        <w:t>33.3</w:t>
      </w:r>
      <w:r w:rsidRPr="00577666">
        <w:t xml:space="preserve"> per cent in PU foam and </w:t>
      </w:r>
      <w:r w:rsidR="000D71D7" w:rsidRPr="00577666">
        <w:t xml:space="preserve">one </w:t>
      </w:r>
      <w:r w:rsidRPr="00577666">
        <w:t>per cent in XPS foam</w:t>
      </w:r>
      <w:r w:rsidR="00921A36" w:rsidRPr="00577666">
        <w:t>)</w:t>
      </w:r>
      <w:r w:rsidR="00B23C78" w:rsidRPr="00577666">
        <w:t xml:space="preserve"> and 4.6 per cent in</w:t>
      </w:r>
      <w:r w:rsidR="00921A36" w:rsidRPr="00577666">
        <w:t xml:space="preserve"> the refrigeration manufacturing, aerosol and fire-fighting sectors</w:t>
      </w:r>
      <w:r w:rsidRPr="00577666">
        <w:t xml:space="preserve">. </w:t>
      </w:r>
    </w:p>
    <w:p w:rsidR="00F0403F" w:rsidRPr="00141CF6" w:rsidRDefault="00F0403F" w:rsidP="00F0403F">
      <w:pPr>
        <w:spacing w:after="240"/>
        <w:outlineLvl w:val="0"/>
        <w:rPr>
          <w:u w:val="single"/>
        </w:rPr>
      </w:pPr>
      <w:r w:rsidRPr="00141CF6">
        <w:rPr>
          <w:u w:val="single"/>
        </w:rPr>
        <w:t>HCFC consumption in manufacturing sectors</w:t>
      </w:r>
    </w:p>
    <w:p w:rsidR="00F0403F" w:rsidRPr="00141CF6" w:rsidRDefault="00F0403F" w:rsidP="00F0403F">
      <w:pPr>
        <w:spacing w:after="240"/>
        <w:outlineLvl w:val="0"/>
        <w:rPr>
          <w:i/>
        </w:rPr>
      </w:pPr>
      <w:r w:rsidRPr="00141CF6">
        <w:rPr>
          <w:i/>
        </w:rPr>
        <w:t>Foam manufacturing sector</w:t>
      </w:r>
    </w:p>
    <w:p w:rsidR="00F0403F" w:rsidRPr="00141CF6" w:rsidRDefault="00F0403F" w:rsidP="00F0403F">
      <w:pPr>
        <w:numPr>
          <w:ilvl w:val="0"/>
          <w:numId w:val="1"/>
        </w:numPr>
        <w:spacing w:after="240"/>
        <w:outlineLvl w:val="0"/>
      </w:pPr>
      <w:r w:rsidRPr="00141CF6">
        <w:t xml:space="preserve">HCFC-141b continues to be used </w:t>
      </w:r>
      <w:r w:rsidRPr="00577666">
        <w:t>by</w:t>
      </w:r>
      <w:r w:rsidR="00B23C78" w:rsidRPr="00577666">
        <w:t xml:space="preserve"> </w:t>
      </w:r>
      <w:r w:rsidR="00921A36" w:rsidRPr="00577666">
        <w:t>more than 200</w:t>
      </w:r>
      <w:r w:rsidRPr="00577666">
        <w:t xml:space="preserve"> small and medium-sized enterprises (SMEs) in the manufacturing of rigid PU foam applications, with</w:t>
      </w:r>
      <w:r w:rsidRPr="00141CF6">
        <w:t xml:space="preserve"> a small amount used in flexible moulded and integral skin. In addition, small quantities of HCFC-22 and HCFC-142b are used in the manufacturing of XPS insulation boards</w:t>
      </w:r>
      <w:r w:rsidR="00B23C78">
        <w:t xml:space="preserve">. </w:t>
      </w:r>
      <w:r w:rsidRPr="00141CF6">
        <w:t xml:space="preserve">Details of the HCFC consumption by foam application are shown in Table </w:t>
      </w:r>
      <w:r>
        <w:t>3</w:t>
      </w:r>
      <w:r w:rsidRPr="00141CF6">
        <w:t xml:space="preserve"> below.</w:t>
      </w:r>
    </w:p>
    <w:p w:rsidR="00F0403F" w:rsidRPr="00B23C78" w:rsidRDefault="00F0403F" w:rsidP="00D735C8">
      <w:pPr>
        <w:keepNext/>
        <w:rPr>
          <w:sz w:val="20"/>
          <w:szCs w:val="20"/>
        </w:rPr>
      </w:pPr>
      <w:r w:rsidRPr="00B23C78">
        <w:rPr>
          <w:rFonts w:cs="Mangal"/>
          <w:b/>
          <w:iCs/>
          <w:sz w:val="20"/>
          <w:szCs w:val="20"/>
          <w:lang w:bidi="en-US"/>
        </w:rPr>
        <w:lastRenderedPageBreak/>
        <w:t>Table 3.</w:t>
      </w:r>
      <w:r w:rsidRPr="00B23C78">
        <w:rPr>
          <w:rFonts w:cs="Mangal"/>
          <w:i/>
          <w:iCs/>
          <w:sz w:val="20"/>
          <w:szCs w:val="20"/>
          <w:lang w:bidi="en-US"/>
        </w:rPr>
        <w:t xml:space="preserve"> </w:t>
      </w:r>
      <w:r w:rsidRPr="00B23C78">
        <w:rPr>
          <w:b/>
          <w:iCs/>
          <w:color w:val="000000"/>
          <w:sz w:val="20"/>
          <w:szCs w:val="20"/>
          <w:lang w:bidi="en-US"/>
        </w:rPr>
        <w:t>Estimated distribution of HCFC use in PU and XPS foam applications (2015)</w:t>
      </w:r>
    </w:p>
    <w:tbl>
      <w:tblPr>
        <w:tblW w:w="5000" w:type="pct"/>
        <w:tblLook w:val="04A0" w:firstRow="1" w:lastRow="0" w:firstColumn="1" w:lastColumn="0" w:noHBand="0" w:noVBand="1"/>
      </w:tblPr>
      <w:tblGrid>
        <w:gridCol w:w="3201"/>
        <w:gridCol w:w="1419"/>
        <w:gridCol w:w="1159"/>
        <w:gridCol w:w="1348"/>
        <w:gridCol w:w="1124"/>
        <w:gridCol w:w="1325"/>
      </w:tblGrid>
      <w:tr w:rsidR="00BA0189" w:rsidRPr="00B23C78" w:rsidTr="00F72EE8">
        <w:trPr>
          <w:trHeight w:val="98"/>
          <w:tblHeader/>
        </w:trPr>
        <w:tc>
          <w:tcPr>
            <w:tcW w:w="167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0189" w:rsidRPr="00B23C78" w:rsidRDefault="00BA0189" w:rsidP="00D735C8">
            <w:pPr>
              <w:keepNext/>
              <w:jc w:val="center"/>
              <w:rPr>
                <w:b/>
                <w:color w:val="000000"/>
                <w:sz w:val="20"/>
                <w:szCs w:val="20"/>
              </w:rPr>
            </w:pPr>
            <w:r w:rsidRPr="00B23C78">
              <w:rPr>
                <w:b/>
                <w:bCs/>
                <w:color w:val="000000"/>
                <w:sz w:val="20"/>
                <w:szCs w:val="20"/>
              </w:rPr>
              <w:t>Application</w:t>
            </w:r>
          </w:p>
        </w:tc>
        <w:tc>
          <w:tcPr>
            <w:tcW w:w="263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BA0189" w:rsidRPr="00B23C78" w:rsidRDefault="00BA0189" w:rsidP="00D735C8">
            <w:pPr>
              <w:keepNext/>
              <w:jc w:val="center"/>
              <w:rPr>
                <w:b/>
                <w:color w:val="000000"/>
                <w:sz w:val="20"/>
                <w:szCs w:val="20"/>
              </w:rPr>
            </w:pPr>
            <w:r w:rsidRPr="00B23C78">
              <w:rPr>
                <w:b/>
                <w:bCs/>
                <w:color w:val="000000"/>
                <w:sz w:val="20"/>
                <w:szCs w:val="20"/>
              </w:rPr>
              <w:t>Consumption</w:t>
            </w:r>
            <w:r w:rsidR="00673FC0" w:rsidRPr="00B23C78">
              <w:rPr>
                <w:b/>
                <w:bCs/>
                <w:color w:val="000000"/>
                <w:sz w:val="20"/>
                <w:szCs w:val="20"/>
              </w:rPr>
              <w:t> </w:t>
            </w:r>
            <w:r w:rsidR="00D735C8">
              <w:rPr>
                <w:b/>
                <w:bCs/>
                <w:color w:val="000000"/>
                <w:sz w:val="20"/>
                <w:szCs w:val="20"/>
              </w:rPr>
              <w:t>(</w:t>
            </w:r>
            <w:proofErr w:type="spellStart"/>
            <w:r w:rsidR="00673FC0" w:rsidRPr="00B23C78">
              <w:rPr>
                <w:b/>
                <w:bCs/>
                <w:color w:val="000000"/>
                <w:sz w:val="20"/>
                <w:szCs w:val="20"/>
              </w:rPr>
              <w:t>mt</w:t>
            </w:r>
            <w:proofErr w:type="spellEnd"/>
            <w:r w:rsidR="00D735C8">
              <w:rPr>
                <w:b/>
                <w:bCs/>
                <w:color w:val="000000"/>
                <w:sz w:val="20"/>
                <w:szCs w:val="20"/>
              </w:rPr>
              <w:t>)</w:t>
            </w:r>
          </w:p>
        </w:tc>
        <w:tc>
          <w:tcPr>
            <w:tcW w:w="692" w:type="pct"/>
            <w:vMerge w:val="restart"/>
            <w:tcBorders>
              <w:top w:val="single" w:sz="4" w:space="0" w:color="auto"/>
              <w:left w:val="single" w:sz="4" w:space="0" w:color="auto"/>
              <w:right w:val="single" w:sz="4" w:space="0" w:color="auto"/>
            </w:tcBorders>
            <w:shd w:val="clear" w:color="auto" w:fill="auto"/>
          </w:tcPr>
          <w:p w:rsidR="00BA0189" w:rsidRPr="00B23C78" w:rsidRDefault="00BA0189" w:rsidP="00D735C8">
            <w:pPr>
              <w:keepNext/>
              <w:jc w:val="center"/>
              <w:rPr>
                <w:b/>
                <w:color w:val="000000"/>
                <w:sz w:val="20"/>
                <w:szCs w:val="20"/>
              </w:rPr>
            </w:pPr>
            <w:r w:rsidRPr="00B23C78">
              <w:rPr>
                <w:b/>
                <w:color w:val="000000"/>
                <w:sz w:val="20"/>
                <w:szCs w:val="20"/>
              </w:rPr>
              <w:t>Percentage</w:t>
            </w:r>
          </w:p>
          <w:p w:rsidR="00BA0189" w:rsidRPr="00B23C78" w:rsidRDefault="00BA0189" w:rsidP="00D735C8">
            <w:pPr>
              <w:keepNext/>
              <w:jc w:val="center"/>
              <w:rPr>
                <w:b/>
                <w:color w:val="000000"/>
                <w:sz w:val="20"/>
                <w:szCs w:val="20"/>
              </w:rPr>
            </w:pPr>
            <w:r w:rsidRPr="00B23C78">
              <w:rPr>
                <w:b/>
                <w:color w:val="000000"/>
                <w:sz w:val="20"/>
                <w:szCs w:val="20"/>
              </w:rPr>
              <w:t>(%)</w:t>
            </w:r>
          </w:p>
        </w:tc>
      </w:tr>
      <w:tr w:rsidR="00BA0189" w:rsidRPr="00B23C78" w:rsidTr="00F72EE8">
        <w:trPr>
          <w:trHeight w:val="270"/>
          <w:tblHeader/>
        </w:trPr>
        <w:tc>
          <w:tcPr>
            <w:tcW w:w="1671" w:type="pct"/>
            <w:vMerge/>
            <w:tcBorders>
              <w:top w:val="single" w:sz="4" w:space="0" w:color="auto"/>
              <w:left w:val="single" w:sz="4" w:space="0" w:color="auto"/>
              <w:bottom w:val="single" w:sz="4" w:space="0" w:color="auto"/>
              <w:right w:val="single" w:sz="4" w:space="0" w:color="auto"/>
            </w:tcBorders>
            <w:hideMark/>
          </w:tcPr>
          <w:p w:rsidR="00BA0189" w:rsidRPr="00B23C78" w:rsidRDefault="00BA0189" w:rsidP="00D735C8">
            <w:pPr>
              <w:keepNext/>
              <w:jc w:val="center"/>
              <w:rPr>
                <w:b/>
                <w:color w:val="000000"/>
                <w:sz w:val="20"/>
                <w:szCs w:val="20"/>
              </w:rPr>
            </w:pPr>
          </w:p>
        </w:tc>
        <w:tc>
          <w:tcPr>
            <w:tcW w:w="741" w:type="pct"/>
            <w:tcBorders>
              <w:top w:val="nil"/>
              <w:left w:val="single" w:sz="4" w:space="0" w:color="auto"/>
              <w:bottom w:val="single" w:sz="4" w:space="0" w:color="auto"/>
              <w:right w:val="single" w:sz="4" w:space="0" w:color="auto"/>
            </w:tcBorders>
            <w:shd w:val="clear" w:color="auto" w:fill="auto"/>
            <w:noWrap/>
            <w:hideMark/>
          </w:tcPr>
          <w:p w:rsidR="00BA0189" w:rsidRPr="00B23C78" w:rsidRDefault="00BA0189" w:rsidP="00D735C8">
            <w:pPr>
              <w:keepNext/>
              <w:jc w:val="center"/>
              <w:rPr>
                <w:b/>
                <w:color w:val="000000"/>
                <w:sz w:val="20"/>
                <w:szCs w:val="20"/>
              </w:rPr>
            </w:pPr>
            <w:r w:rsidRPr="00B23C78">
              <w:rPr>
                <w:b/>
                <w:bCs/>
                <w:color w:val="000000"/>
                <w:sz w:val="20"/>
                <w:szCs w:val="20"/>
              </w:rPr>
              <w:t>HCFC-141b</w:t>
            </w:r>
          </w:p>
        </w:tc>
        <w:tc>
          <w:tcPr>
            <w:tcW w:w="605" w:type="pct"/>
            <w:tcBorders>
              <w:top w:val="single" w:sz="4" w:space="0" w:color="auto"/>
              <w:left w:val="nil"/>
              <w:bottom w:val="single" w:sz="4" w:space="0" w:color="auto"/>
              <w:right w:val="single" w:sz="4" w:space="0" w:color="auto"/>
            </w:tcBorders>
          </w:tcPr>
          <w:p w:rsidR="00BA0189" w:rsidRPr="00B23C78" w:rsidRDefault="00BA0189" w:rsidP="00D735C8">
            <w:pPr>
              <w:keepNext/>
              <w:jc w:val="center"/>
              <w:rPr>
                <w:b/>
                <w:color w:val="000000"/>
                <w:sz w:val="20"/>
                <w:szCs w:val="20"/>
              </w:rPr>
            </w:pPr>
            <w:r w:rsidRPr="00B23C78">
              <w:rPr>
                <w:b/>
                <w:color w:val="000000"/>
                <w:sz w:val="20"/>
                <w:szCs w:val="20"/>
              </w:rPr>
              <w:t>HCFC-22</w:t>
            </w:r>
          </w:p>
        </w:tc>
        <w:tc>
          <w:tcPr>
            <w:tcW w:w="704" w:type="pct"/>
            <w:tcBorders>
              <w:top w:val="single" w:sz="4" w:space="0" w:color="auto"/>
              <w:left w:val="single" w:sz="4" w:space="0" w:color="auto"/>
              <w:bottom w:val="single" w:sz="4" w:space="0" w:color="auto"/>
              <w:right w:val="single" w:sz="4" w:space="0" w:color="auto"/>
            </w:tcBorders>
          </w:tcPr>
          <w:p w:rsidR="00BA0189" w:rsidRPr="00B23C78" w:rsidRDefault="00BA0189" w:rsidP="00D735C8">
            <w:pPr>
              <w:keepNext/>
              <w:jc w:val="center"/>
              <w:rPr>
                <w:b/>
                <w:color w:val="000000"/>
                <w:sz w:val="20"/>
                <w:szCs w:val="20"/>
              </w:rPr>
            </w:pPr>
            <w:r w:rsidRPr="00B23C78">
              <w:rPr>
                <w:b/>
                <w:color w:val="000000"/>
                <w:sz w:val="20"/>
                <w:szCs w:val="20"/>
              </w:rPr>
              <w:t>HCFC-142b</w:t>
            </w:r>
          </w:p>
        </w:tc>
        <w:tc>
          <w:tcPr>
            <w:tcW w:w="587" w:type="pct"/>
            <w:tcBorders>
              <w:top w:val="single" w:sz="4" w:space="0" w:color="auto"/>
              <w:left w:val="single" w:sz="4" w:space="0" w:color="auto"/>
              <w:bottom w:val="single" w:sz="4" w:space="0" w:color="auto"/>
              <w:right w:val="single" w:sz="4" w:space="0" w:color="auto"/>
            </w:tcBorders>
          </w:tcPr>
          <w:p w:rsidR="00BA0189" w:rsidRPr="00B23C78" w:rsidRDefault="00BA0189" w:rsidP="00D735C8">
            <w:pPr>
              <w:keepNext/>
              <w:jc w:val="center"/>
              <w:rPr>
                <w:b/>
                <w:color w:val="000000"/>
                <w:sz w:val="20"/>
                <w:szCs w:val="20"/>
              </w:rPr>
            </w:pPr>
            <w:r w:rsidRPr="00B23C78">
              <w:rPr>
                <w:b/>
                <w:color w:val="000000"/>
                <w:sz w:val="20"/>
                <w:szCs w:val="20"/>
              </w:rPr>
              <w:t>Total</w:t>
            </w:r>
          </w:p>
        </w:tc>
        <w:tc>
          <w:tcPr>
            <w:tcW w:w="692" w:type="pct"/>
            <w:vMerge/>
            <w:tcBorders>
              <w:left w:val="single" w:sz="4" w:space="0" w:color="auto"/>
              <w:bottom w:val="single" w:sz="4" w:space="0" w:color="auto"/>
              <w:right w:val="single" w:sz="4" w:space="0" w:color="auto"/>
            </w:tcBorders>
            <w:shd w:val="clear" w:color="auto" w:fill="auto"/>
            <w:hideMark/>
          </w:tcPr>
          <w:p w:rsidR="00BA0189" w:rsidRPr="00B23C78" w:rsidRDefault="00BA0189" w:rsidP="00D735C8">
            <w:pPr>
              <w:keepNext/>
              <w:jc w:val="center"/>
              <w:rPr>
                <w:b/>
                <w:color w:val="000000"/>
                <w:sz w:val="20"/>
                <w:szCs w:val="20"/>
              </w:rPr>
            </w:pPr>
          </w:p>
        </w:tc>
      </w:tr>
      <w:tr w:rsidR="00BA0189" w:rsidRPr="00B23C78" w:rsidTr="0002367A">
        <w:trPr>
          <w:trHeight w:val="270"/>
        </w:trPr>
        <w:tc>
          <w:tcPr>
            <w:tcW w:w="1671" w:type="pct"/>
            <w:tcBorders>
              <w:top w:val="single" w:sz="4" w:space="0" w:color="auto"/>
              <w:left w:val="single" w:sz="4" w:space="0" w:color="auto"/>
              <w:bottom w:val="single" w:sz="4" w:space="0" w:color="auto"/>
              <w:right w:val="single" w:sz="4" w:space="0" w:color="auto"/>
            </w:tcBorders>
          </w:tcPr>
          <w:p w:rsidR="00BA0189" w:rsidRPr="00B23C78" w:rsidRDefault="00BA0189" w:rsidP="00D735C8">
            <w:pPr>
              <w:keepNext/>
              <w:jc w:val="center"/>
              <w:rPr>
                <w:b/>
                <w:color w:val="000000"/>
                <w:sz w:val="20"/>
                <w:szCs w:val="20"/>
              </w:rPr>
            </w:pPr>
            <w:r w:rsidRPr="00B23C78">
              <w:rPr>
                <w:b/>
                <w:color w:val="000000"/>
                <w:sz w:val="20"/>
                <w:szCs w:val="20"/>
              </w:rPr>
              <w:t>PU foam</w:t>
            </w:r>
          </w:p>
        </w:tc>
        <w:tc>
          <w:tcPr>
            <w:tcW w:w="741" w:type="pct"/>
            <w:tcBorders>
              <w:top w:val="nil"/>
              <w:left w:val="single" w:sz="4" w:space="0" w:color="auto"/>
              <w:bottom w:val="single" w:sz="4" w:space="0" w:color="auto"/>
              <w:right w:val="single" w:sz="4" w:space="0" w:color="auto"/>
            </w:tcBorders>
            <w:shd w:val="clear" w:color="auto" w:fill="auto"/>
            <w:noWrap/>
          </w:tcPr>
          <w:p w:rsidR="00BA0189" w:rsidRPr="00B23C78" w:rsidRDefault="00BA0189" w:rsidP="00D735C8">
            <w:pPr>
              <w:keepNext/>
              <w:jc w:val="center"/>
              <w:rPr>
                <w:b/>
                <w:bCs/>
                <w:color w:val="000000"/>
                <w:sz w:val="20"/>
                <w:szCs w:val="20"/>
              </w:rPr>
            </w:pPr>
          </w:p>
        </w:tc>
        <w:tc>
          <w:tcPr>
            <w:tcW w:w="605" w:type="pct"/>
            <w:tcBorders>
              <w:top w:val="single" w:sz="4" w:space="0" w:color="auto"/>
              <w:left w:val="nil"/>
              <w:bottom w:val="single" w:sz="4" w:space="0" w:color="auto"/>
              <w:right w:val="single" w:sz="4" w:space="0" w:color="auto"/>
            </w:tcBorders>
          </w:tcPr>
          <w:p w:rsidR="00BA0189" w:rsidRPr="00B23C78" w:rsidRDefault="00BA0189" w:rsidP="00D735C8">
            <w:pPr>
              <w:keepNext/>
              <w:jc w:val="center"/>
              <w:rPr>
                <w:b/>
                <w:color w:val="000000"/>
                <w:sz w:val="20"/>
                <w:szCs w:val="20"/>
              </w:rPr>
            </w:pPr>
          </w:p>
        </w:tc>
        <w:tc>
          <w:tcPr>
            <w:tcW w:w="704" w:type="pct"/>
            <w:tcBorders>
              <w:top w:val="single" w:sz="4" w:space="0" w:color="auto"/>
              <w:left w:val="single" w:sz="4" w:space="0" w:color="auto"/>
              <w:bottom w:val="single" w:sz="4" w:space="0" w:color="auto"/>
              <w:right w:val="single" w:sz="4" w:space="0" w:color="auto"/>
            </w:tcBorders>
          </w:tcPr>
          <w:p w:rsidR="00BA0189" w:rsidRPr="00B23C78" w:rsidRDefault="00BA0189" w:rsidP="00D735C8">
            <w:pPr>
              <w:keepNext/>
              <w:jc w:val="center"/>
              <w:rPr>
                <w:b/>
                <w:color w:val="000000"/>
                <w:sz w:val="20"/>
                <w:szCs w:val="20"/>
              </w:rPr>
            </w:pPr>
          </w:p>
        </w:tc>
        <w:tc>
          <w:tcPr>
            <w:tcW w:w="587" w:type="pct"/>
            <w:tcBorders>
              <w:top w:val="single" w:sz="4" w:space="0" w:color="auto"/>
              <w:left w:val="single" w:sz="4" w:space="0" w:color="auto"/>
              <w:bottom w:val="single" w:sz="4" w:space="0" w:color="auto"/>
              <w:right w:val="single" w:sz="4" w:space="0" w:color="auto"/>
            </w:tcBorders>
          </w:tcPr>
          <w:p w:rsidR="00BA0189" w:rsidRPr="00B23C78" w:rsidRDefault="00BA0189" w:rsidP="00D735C8">
            <w:pPr>
              <w:keepNext/>
              <w:jc w:val="center"/>
              <w:rPr>
                <w:b/>
                <w:color w:val="000000"/>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BA0189" w:rsidRPr="00B23C78" w:rsidRDefault="00BA0189" w:rsidP="00D735C8">
            <w:pPr>
              <w:keepNext/>
              <w:jc w:val="center"/>
              <w:rPr>
                <w:b/>
                <w:color w:val="000000"/>
                <w:sz w:val="20"/>
                <w:szCs w:val="20"/>
              </w:rPr>
            </w:pPr>
          </w:p>
        </w:tc>
      </w:tr>
      <w:tr w:rsidR="00577666" w:rsidRPr="00577666" w:rsidTr="008F6838">
        <w:trPr>
          <w:trHeight w:val="89"/>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Domestic refrigeration</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78.00</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78.00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10</w:t>
            </w:r>
          </w:p>
        </w:tc>
      </w:tr>
      <w:tr w:rsidR="00577666" w:rsidRPr="00577666" w:rsidTr="008F6838">
        <w:trPr>
          <w:trHeight w:val="50"/>
        </w:trPr>
        <w:tc>
          <w:tcPr>
            <w:tcW w:w="1671" w:type="pct"/>
            <w:tcBorders>
              <w:top w:val="nil"/>
              <w:left w:val="single" w:sz="4" w:space="0" w:color="auto"/>
              <w:bottom w:val="single" w:sz="4" w:space="0" w:color="auto"/>
              <w:right w:val="single" w:sz="4" w:space="0" w:color="auto"/>
            </w:tcBorders>
            <w:shd w:val="clear" w:color="auto" w:fill="auto"/>
            <w:noWrap/>
            <w:vAlign w:val="center"/>
            <w:hideMark/>
          </w:tcPr>
          <w:p w:rsidR="00577666" w:rsidRPr="00B23C78" w:rsidRDefault="00577666" w:rsidP="00D735C8">
            <w:pPr>
              <w:keepNext/>
              <w:rPr>
                <w:color w:val="000000"/>
                <w:sz w:val="20"/>
                <w:szCs w:val="20"/>
              </w:rPr>
            </w:pPr>
            <w:r w:rsidRPr="00B23C78">
              <w:rPr>
                <w:color w:val="000000"/>
                <w:sz w:val="20"/>
                <w:szCs w:val="20"/>
              </w:rPr>
              <w:t>Commercial refrigeration</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80.25</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80.25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10</w:t>
            </w:r>
          </w:p>
        </w:tc>
      </w:tr>
      <w:tr w:rsidR="00577666" w:rsidRPr="00577666" w:rsidTr="008F6838">
        <w:trPr>
          <w:trHeight w:val="62"/>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Continuous and discontinuous panels</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93.89</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93.89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12</w:t>
            </w:r>
          </w:p>
        </w:tc>
      </w:tr>
      <w:tr w:rsidR="00577666" w:rsidRPr="00577666" w:rsidTr="008F6838">
        <w:trPr>
          <w:trHeight w:val="89"/>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Pipe and tank insulation</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Pr>
                <w:sz w:val="20"/>
                <w:szCs w:val="20"/>
              </w:rPr>
              <w:t>34.1</w:t>
            </w:r>
            <w:r w:rsidRPr="00B23C78">
              <w:rPr>
                <w:sz w:val="20"/>
                <w:szCs w:val="20"/>
              </w:rPr>
              <w:t>8</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34.</w:t>
            </w:r>
            <w:r>
              <w:rPr>
                <w:sz w:val="20"/>
                <w:szCs w:val="20"/>
              </w:rPr>
              <w:t>1</w:t>
            </w:r>
            <w:r w:rsidRPr="00B23C78">
              <w:rPr>
                <w:sz w:val="20"/>
                <w:szCs w:val="20"/>
              </w:rPr>
              <w:t>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4</w:t>
            </w:r>
          </w:p>
        </w:tc>
      </w:tr>
      <w:tr w:rsidR="00577666" w:rsidRPr="00577666" w:rsidTr="008F6838">
        <w:trPr>
          <w:trHeight w:val="50"/>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 xml:space="preserve">Spray </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213.85</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213.85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27</w:t>
            </w:r>
          </w:p>
        </w:tc>
      </w:tr>
      <w:tr w:rsidR="00577666" w:rsidRPr="00577666" w:rsidTr="008F6838">
        <w:trPr>
          <w:trHeight w:val="50"/>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Pour in place</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130.34</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130.34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17</w:t>
            </w:r>
          </w:p>
        </w:tc>
      </w:tr>
      <w:tr w:rsidR="00577666" w:rsidRPr="00577666" w:rsidTr="008F6838">
        <w:trPr>
          <w:trHeight w:val="134"/>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Doors filling</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25.67</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25.67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3</w:t>
            </w:r>
          </w:p>
        </w:tc>
      </w:tr>
      <w:tr w:rsidR="00577666" w:rsidRPr="00577666" w:rsidTr="008F6838">
        <w:trPr>
          <w:trHeight w:val="71"/>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Block</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sz w:val="20"/>
                <w:szCs w:val="20"/>
              </w:rPr>
            </w:pPr>
            <w:r w:rsidRPr="00B23C78">
              <w:rPr>
                <w:sz w:val="20"/>
                <w:szCs w:val="20"/>
              </w:rPr>
              <w:t>38.78</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sz w:val="20"/>
                <w:szCs w:val="20"/>
              </w:rPr>
            </w:pPr>
            <w:r w:rsidRPr="00B23C78">
              <w:rPr>
                <w:sz w:val="20"/>
                <w:szCs w:val="20"/>
              </w:rPr>
              <w:t>38.78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5</w:t>
            </w:r>
          </w:p>
        </w:tc>
      </w:tr>
      <w:tr w:rsidR="00577666" w:rsidRPr="00577666" w:rsidTr="008F6838">
        <w:trPr>
          <w:trHeight w:val="98"/>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Flex-moulded</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rFonts w:eastAsia="SimSun"/>
                <w:sz w:val="20"/>
                <w:szCs w:val="20"/>
                <w:lang w:eastAsia="en-GB"/>
              </w:rPr>
            </w:pPr>
            <w:r w:rsidRPr="00B23C78">
              <w:rPr>
                <w:rFonts w:eastAsia="SimSun"/>
                <w:sz w:val="20"/>
                <w:szCs w:val="20"/>
                <w:lang w:eastAsia="en-GB"/>
              </w:rPr>
              <w:t>25.07</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rFonts w:eastAsia="SimSun"/>
                <w:sz w:val="20"/>
                <w:szCs w:val="20"/>
                <w:lang w:eastAsia="en-GB"/>
              </w:rPr>
            </w:pPr>
            <w:r w:rsidRPr="00B23C78">
              <w:rPr>
                <w:rFonts w:eastAsia="SimSun"/>
                <w:sz w:val="20"/>
                <w:szCs w:val="20"/>
                <w:lang w:eastAsia="en-GB"/>
              </w:rPr>
              <w:t>25.07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3</w:t>
            </w:r>
          </w:p>
        </w:tc>
      </w:tr>
      <w:tr w:rsidR="00577666" w:rsidRPr="00577666" w:rsidTr="008F6838">
        <w:trPr>
          <w:trHeight w:val="50"/>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Blinds, thermoware, floating</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rFonts w:eastAsia="SimSun"/>
                <w:sz w:val="20"/>
                <w:szCs w:val="20"/>
                <w:lang w:eastAsia="en-GB"/>
              </w:rPr>
            </w:pPr>
            <w:r w:rsidRPr="00B23C78">
              <w:rPr>
                <w:rFonts w:eastAsia="SimSun"/>
                <w:sz w:val="20"/>
                <w:szCs w:val="20"/>
                <w:lang w:eastAsia="en-GB"/>
              </w:rPr>
              <w:t>1.67</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551686">
            <w:pPr>
              <w:keepNext/>
              <w:jc w:val="right"/>
              <w:rPr>
                <w:color w:val="000000"/>
                <w:sz w:val="20"/>
                <w:szCs w:val="20"/>
              </w:rPr>
            </w:pPr>
            <w:r>
              <w:rPr>
                <w:color w:val="000000"/>
                <w:sz w:val="20"/>
                <w:szCs w:val="20"/>
              </w:rPr>
              <w:t>0</w:t>
            </w:r>
          </w:p>
        </w:tc>
        <w:tc>
          <w:tcPr>
            <w:tcW w:w="587" w:type="pct"/>
            <w:tcBorders>
              <w:top w:val="single" w:sz="4" w:space="0" w:color="auto"/>
              <w:left w:val="single" w:sz="4" w:space="0" w:color="auto"/>
              <w:bottom w:val="single" w:sz="4" w:space="0" w:color="auto"/>
              <w:right w:val="single" w:sz="4" w:space="0" w:color="auto"/>
            </w:tcBorders>
            <w:vAlign w:val="center"/>
          </w:tcPr>
          <w:p w:rsidR="00577666" w:rsidRPr="00B23C78" w:rsidRDefault="00577666" w:rsidP="00D735C8">
            <w:pPr>
              <w:keepNext/>
              <w:jc w:val="right"/>
              <w:rPr>
                <w:rFonts w:eastAsia="SimSun"/>
                <w:sz w:val="20"/>
                <w:szCs w:val="20"/>
                <w:lang w:eastAsia="en-GB"/>
              </w:rPr>
            </w:pPr>
            <w:r w:rsidRPr="00B23C78">
              <w:rPr>
                <w:rFonts w:eastAsia="SimSun"/>
                <w:sz w:val="20"/>
                <w:szCs w:val="20"/>
                <w:lang w:eastAsia="en-GB"/>
              </w:rPr>
              <w:t>1.67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0</w:t>
            </w:r>
          </w:p>
        </w:tc>
      </w:tr>
      <w:tr w:rsidR="00577666" w:rsidRPr="00577666" w:rsidTr="008F6838">
        <w:trPr>
          <w:trHeight w:val="71"/>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b/>
                <w:color w:val="000000"/>
                <w:sz w:val="20"/>
                <w:szCs w:val="20"/>
              </w:rPr>
            </w:pPr>
            <w:r w:rsidRPr="00B23C78">
              <w:rPr>
                <w:b/>
                <w:color w:val="000000"/>
                <w:sz w:val="20"/>
                <w:szCs w:val="20"/>
              </w:rPr>
              <w:t>XPS foam</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rFonts w:eastAsia="SimSun"/>
                <w:b/>
                <w:sz w:val="20"/>
                <w:szCs w:val="20"/>
                <w:lang w:eastAsia="en-GB"/>
              </w:rPr>
            </w:pP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b/>
                <w:color w:val="000000"/>
                <w:sz w:val="20"/>
                <w:szCs w:val="20"/>
              </w:rPr>
            </w:pP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b/>
                <w:color w:val="000000"/>
                <w:sz w:val="20"/>
                <w:szCs w:val="20"/>
              </w:rPr>
            </w:pPr>
          </w:p>
        </w:tc>
        <w:tc>
          <w:tcPr>
            <w:tcW w:w="587"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b/>
                <w:color w:val="000000"/>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b/>
                <w:color w:val="000000"/>
                <w:sz w:val="20"/>
                <w:szCs w:val="20"/>
              </w:rPr>
            </w:pPr>
          </w:p>
        </w:tc>
      </w:tr>
      <w:tr w:rsidR="00577666" w:rsidRPr="00577666" w:rsidTr="008F6838">
        <w:trPr>
          <w:trHeight w:val="50"/>
        </w:trPr>
        <w:tc>
          <w:tcPr>
            <w:tcW w:w="167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rPr>
                <w:color w:val="000000"/>
                <w:sz w:val="20"/>
                <w:szCs w:val="20"/>
              </w:rPr>
            </w:pPr>
            <w:r w:rsidRPr="00B23C78">
              <w:rPr>
                <w:color w:val="000000"/>
                <w:sz w:val="20"/>
                <w:szCs w:val="20"/>
              </w:rPr>
              <w:t xml:space="preserve">Insulation boards </w:t>
            </w:r>
          </w:p>
        </w:tc>
        <w:tc>
          <w:tcPr>
            <w:tcW w:w="741" w:type="pct"/>
            <w:tcBorders>
              <w:top w:val="nil"/>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rFonts w:eastAsia="SimSun"/>
                <w:sz w:val="20"/>
                <w:szCs w:val="20"/>
                <w:lang w:eastAsia="en-GB"/>
              </w:rPr>
            </w:pP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color w:val="000000"/>
                <w:sz w:val="20"/>
                <w:szCs w:val="20"/>
              </w:rPr>
            </w:pPr>
            <w:r w:rsidRPr="00B23C78">
              <w:rPr>
                <w:color w:val="000000"/>
                <w:sz w:val="20"/>
                <w:szCs w:val="20"/>
              </w:rPr>
              <w:t>33.04</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color w:val="000000"/>
                <w:sz w:val="20"/>
                <w:szCs w:val="20"/>
              </w:rPr>
            </w:pPr>
            <w:r>
              <w:rPr>
                <w:color w:val="000000"/>
                <w:sz w:val="20"/>
                <w:szCs w:val="20"/>
              </w:rPr>
              <w:t>24.72</w:t>
            </w:r>
          </w:p>
        </w:tc>
        <w:tc>
          <w:tcPr>
            <w:tcW w:w="587"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color w:val="000000"/>
                <w:sz w:val="20"/>
                <w:szCs w:val="20"/>
              </w:rPr>
            </w:pPr>
            <w:r w:rsidRPr="00B23C78">
              <w:rPr>
                <w:color w:val="000000"/>
                <w:sz w:val="20"/>
                <w:szCs w:val="20"/>
              </w:rPr>
              <w:t>57.76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color w:val="000000"/>
                <w:sz w:val="20"/>
                <w:szCs w:val="20"/>
              </w:rPr>
            </w:pPr>
            <w:r w:rsidRPr="00577666">
              <w:rPr>
                <w:color w:val="000000"/>
                <w:sz w:val="20"/>
                <w:szCs w:val="20"/>
              </w:rPr>
              <w:t>7</w:t>
            </w:r>
          </w:p>
        </w:tc>
      </w:tr>
      <w:tr w:rsidR="00577666" w:rsidRPr="00577666" w:rsidTr="008F6838">
        <w:trPr>
          <w:trHeight w:val="50"/>
        </w:trPr>
        <w:tc>
          <w:tcPr>
            <w:tcW w:w="1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666" w:rsidRPr="00B23C78" w:rsidRDefault="00577666" w:rsidP="00D735C8">
            <w:pPr>
              <w:keepNext/>
              <w:rPr>
                <w:b/>
                <w:color w:val="000000"/>
                <w:sz w:val="20"/>
                <w:szCs w:val="20"/>
              </w:rPr>
            </w:pPr>
            <w:r w:rsidRPr="00B23C78">
              <w:rPr>
                <w:b/>
                <w:bCs/>
                <w:color w:val="000000"/>
                <w:sz w:val="20"/>
                <w:szCs w:val="20"/>
              </w:rPr>
              <w:t>Total</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666" w:rsidRPr="00B23C78" w:rsidRDefault="00577666" w:rsidP="00D735C8">
            <w:pPr>
              <w:keepNext/>
              <w:jc w:val="right"/>
              <w:rPr>
                <w:b/>
                <w:sz w:val="20"/>
                <w:szCs w:val="20"/>
              </w:rPr>
            </w:pPr>
            <w:r w:rsidRPr="00B23C78">
              <w:rPr>
                <w:b/>
                <w:sz w:val="20"/>
                <w:szCs w:val="20"/>
              </w:rPr>
              <w:t>721.68</w:t>
            </w:r>
          </w:p>
        </w:tc>
        <w:tc>
          <w:tcPr>
            <w:tcW w:w="605" w:type="pct"/>
            <w:tcBorders>
              <w:top w:val="single" w:sz="4" w:space="0" w:color="auto"/>
              <w:left w:val="nil"/>
              <w:bottom w:val="single" w:sz="4" w:space="0" w:color="auto"/>
              <w:right w:val="single" w:sz="4" w:space="0" w:color="auto"/>
            </w:tcBorders>
          </w:tcPr>
          <w:p w:rsidR="00577666" w:rsidRPr="00B23C78" w:rsidRDefault="00577666" w:rsidP="00D735C8">
            <w:pPr>
              <w:keepNext/>
              <w:jc w:val="right"/>
              <w:rPr>
                <w:b/>
                <w:color w:val="000000"/>
                <w:sz w:val="20"/>
                <w:szCs w:val="20"/>
              </w:rPr>
            </w:pPr>
            <w:r w:rsidRPr="00B23C78">
              <w:rPr>
                <w:b/>
                <w:color w:val="000000"/>
                <w:sz w:val="20"/>
                <w:szCs w:val="20"/>
              </w:rPr>
              <w:t>33.04</w:t>
            </w:r>
          </w:p>
        </w:tc>
        <w:tc>
          <w:tcPr>
            <w:tcW w:w="704"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b/>
                <w:color w:val="000000"/>
                <w:sz w:val="20"/>
                <w:szCs w:val="20"/>
              </w:rPr>
            </w:pPr>
            <w:r>
              <w:rPr>
                <w:b/>
                <w:color w:val="000000"/>
                <w:sz w:val="20"/>
                <w:szCs w:val="20"/>
              </w:rPr>
              <w:t>24.72</w:t>
            </w:r>
          </w:p>
        </w:tc>
        <w:tc>
          <w:tcPr>
            <w:tcW w:w="587" w:type="pct"/>
            <w:tcBorders>
              <w:top w:val="single" w:sz="4" w:space="0" w:color="auto"/>
              <w:left w:val="single" w:sz="4" w:space="0" w:color="auto"/>
              <w:bottom w:val="single" w:sz="4" w:space="0" w:color="auto"/>
              <w:right w:val="single" w:sz="4" w:space="0" w:color="auto"/>
            </w:tcBorders>
          </w:tcPr>
          <w:p w:rsidR="00577666" w:rsidRPr="00B23C78" w:rsidRDefault="00577666" w:rsidP="00D735C8">
            <w:pPr>
              <w:keepNext/>
              <w:jc w:val="right"/>
              <w:rPr>
                <w:b/>
                <w:color w:val="000000"/>
                <w:sz w:val="20"/>
                <w:szCs w:val="20"/>
              </w:rPr>
            </w:pPr>
            <w:r w:rsidRPr="00577666">
              <w:rPr>
                <w:b/>
                <w:color w:val="000000"/>
                <w:sz w:val="20"/>
                <w:szCs w:val="20"/>
              </w:rPr>
              <w:t>779.44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77666" w:rsidRPr="00577666" w:rsidRDefault="00577666" w:rsidP="00D735C8">
            <w:pPr>
              <w:keepNext/>
              <w:jc w:val="right"/>
              <w:rPr>
                <w:b/>
                <w:color w:val="000000"/>
                <w:sz w:val="20"/>
                <w:szCs w:val="20"/>
              </w:rPr>
            </w:pPr>
            <w:r w:rsidRPr="00577666">
              <w:rPr>
                <w:b/>
                <w:color w:val="000000"/>
                <w:sz w:val="20"/>
                <w:szCs w:val="20"/>
              </w:rPr>
              <w:t>100</w:t>
            </w:r>
          </w:p>
        </w:tc>
      </w:tr>
    </w:tbl>
    <w:p w:rsidR="00F0403F" w:rsidRPr="00141CF6" w:rsidRDefault="00F0403F" w:rsidP="00D735C8">
      <w:pPr>
        <w:keepNext/>
      </w:pPr>
    </w:p>
    <w:p w:rsidR="00F0403F" w:rsidRPr="00141CF6" w:rsidRDefault="00F0403F" w:rsidP="00F0403F">
      <w:pPr>
        <w:numPr>
          <w:ilvl w:val="0"/>
          <w:numId w:val="1"/>
        </w:numPr>
        <w:spacing w:after="240"/>
        <w:outlineLvl w:val="0"/>
      </w:pPr>
      <w:r w:rsidRPr="00141CF6">
        <w:t xml:space="preserve">The PU foam manufacturers procure HCFC-141b mostly in pre-blended form from systems houses and importers (i.e., Alkanos, BASF, Dow, Ecopur, Huntsman, Poliresinas San Luis and Química </w:t>
      </w:r>
      <w:proofErr w:type="gramStart"/>
      <w:r w:rsidRPr="00141CF6">
        <w:t>del</w:t>
      </w:r>
      <w:proofErr w:type="gramEnd"/>
      <w:r w:rsidRPr="00141CF6">
        <w:t xml:space="preserve"> Caucho</w:t>
      </w:r>
      <w:r w:rsidR="00B23C78">
        <w:t>)</w:t>
      </w:r>
      <w:r w:rsidRPr="00141CF6">
        <w:t xml:space="preserve">. Table </w:t>
      </w:r>
      <w:r>
        <w:t>4</w:t>
      </w:r>
      <w:r w:rsidRPr="00141CF6">
        <w:t xml:space="preserve"> shows HCFC consumption in 2015 for each systems house and the number of downstream users</w:t>
      </w:r>
      <w:r w:rsidR="00B23C78">
        <w:t>.</w:t>
      </w:r>
    </w:p>
    <w:p w:rsidR="00F0403F" w:rsidRPr="00141CF6" w:rsidRDefault="00F0403F" w:rsidP="00F0403F">
      <w:pPr>
        <w:widowControl w:val="0"/>
        <w:rPr>
          <w:b/>
        </w:rPr>
      </w:pPr>
      <w:r w:rsidRPr="00141CF6">
        <w:rPr>
          <w:b/>
        </w:rPr>
        <w:t xml:space="preserve">Table </w:t>
      </w:r>
      <w:r>
        <w:rPr>
          <w:b/>
        </w:rPr>
        <w:t>4</w:t>
      </w:r>
      <w:r w:rsidRPr="00141CF6">
        <w:rPr>
          <w:b/>
        </w:rPr>
        <w:t>. Consumption of HCFC-141b by systems houses and their downstream users in Argentina</w:t>
      </w:r>
    </w:p>
    <w:tbl>
      <w:tblPr>
        <w:tblStyle w:val="GridTable4-Accen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908"/>
        <w:gridCol w:w="5028"/>
        <w:gridCol w:w="1272"/>
        <w:gridCol w:w="1368"/>
      </w:tblGrid>
      <w:tr w:rsidR="00B91BBC" w:rsidRPr="00B91BBC" w:rsidTr="00B91BB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auto"/>
            <w:hideMark/>
          </w:tcPr>
          <w:p w:rsidR="00F0403F" w:rsidRPr="00B91BBC" w:rsidRDefault="00F0403F" w:rsidP="00667880">
            <w:pPr>
              <w:widowControl w:val="0"/>
              <w:tabs>
                <w:tab w:val="left" w:pos="312"/>
                <w:tab w:val="center" w:pos="981"/>
              </w:tabs>
              <w:jc w:val="left"/>
              <w:rPr>
                <w:rFonts w:ascii="Times New Roman" w:hAnsi="Times New Roman"/>
                <w:color w:val="auto"/>
                <w:sz w:val="20"/>
                <w:szCs w:val="20"/>
                <w:lang w:eastAsia="en-GB"/>
              </w:rPr>
            </w:pPr>
            <w:r w:rsidRPr="00B91BBC">
              <w:rPr>
                <w:rFonts w:ascii="Times New Roman" w:hAnsi="Times New Roman"/>
                <w:color w:val="auto"/>
                <w:sz w:val="20"/>
                <w:szCs w:val="20"/>
                <w:lang w:eastAsia="en-GB"/>
              </w:rPr>
              <w:t>System house</w:t>
            </w:r>
          </w:p>
        </w:tc>
        <w:tc>
          <w:tcPr>
            <w:tcW w:w="5028" w:type="dxa"/>
            <w:tcBorders>
              <w:top w:val="single" w:sz="4" w:space="0" w:color="auto"/>
              <w:left w:val="single" w:sz="4" w:space="0" w:color="auto"/>
              <w:bottom w:val="single" w:sz="4" w:space="0" w:color="auto"/>
              <w:right w:val="single" w:sz="4" w:space="0" w:color="auto"/>
            </w:tcBorders>
            <w:shd w:val="clear" w:color="auto" w:fill="auto"/>
          </w:tcPr>
          <w:p w:rsidR="00F0403F" w:rsidRPr="00B91BBC" w:rsidRDefault="00F0403F" w:rsidP="00667880">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en-GB"/>
              </w:rPr>
            </w:pPr>
            <w:r w:rsidRPr="00B91BBC">
              <w:rPr>
                <w:rFonts w:ascii="Times New Roman" w:hAnsi="Times New Roman"/>
                <w:color w:val="auto"/>
                <w:sz w:val="20"/>
                <w:szCs w:val="20"/>
                <w:lang w:eastAsia="en-GB"/>
              </w:rPr>
              <w:t>Characteristics</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0403F" w:rsidRPr="00B91BBC" w:rsidRDefault="00F0403F" w:rsidP="00667880">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en-GB"/>
              </w:rPr>
            </w:pPr>
            <w:r w:rsidRPr="00B91BBC">
              <w:rPr>
                <w:rFonts w:ascii="Times New Roman" w:hAnsi="Times New Roman"/>
                <w:color w:val="auto"/>
                <w:sz w:val="20"/>
                <w:szCs w:val="20"/>
                <w:lang w:eastAsia="en-GB"/>
              </w:rPr>
              <w:t>Number of downstream users</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F0403F" w:rsidRPr="00B91BBC" w:rsidRDefault="00F0403F" w:rsidP="00667880">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en-GB"/>
              </w:rPr>
            </w:pPr>
            <w:r w:rsidRPr="00B91BBC">
              <w:rPr>
                <w:rFonts w:ascii="Times New Roman" w:hAnsi="Times New Roman"/>
                <w:color w:val="auto"/>
                <w:sz w:val="20"/>
                <w:szCs w:val="20"/>
                <w:lang w:eastAsia="en-GB"/>
              </w:rPr>
              <w:t>2015 HCFC consumption, (kg)</w:t>
            </w:r>
          </w:p>
        </w:tc>
      </w:tr>
      <w:tr w:rsidR="00F0403F" w:rsidRPr="00141CF6" w:rsidTr="00B91BB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shd w:val="clear" w:color="auto" w:fill="auto"/>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Alkanos</w:t>
            </w:r>
          </w:p>
        </w:tc>
        <w:tc>
          <w:tcPr>
            <w:tcW w:w="5028" w:type="dxa"/>
            <w:tcBorders>
              <w:top w:val="single" w:sz="4" w:space="0" w:color="auto"/>
            </w:tcBorders>
            <w:shd w:val="clear" w:color="auto" w:fill="auto"/>
            <w:vAlign w:val="center"/>
          </w:tcPr>
          <w:p w:rsidR="00F0403F" w:rsidRPr="007C1C0A" w:rsidRDefault="00F0403F" w:rsidP="00667880">
            <w:pPr>
              <w:widowControl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Local systems house</w:t>
            </w:r>
          </w:p>
        </w:tc>
        <w:tc>
          <w:tcPr>
            <w:tcW w:w="1272" w:type="dxa"/>
            <w:tcBorders>
              <w:top w:val="single" w:sz="4" w:space="0" w:color="auto"/>
            </w:tcBorders>
            <w:shd w:val="clear" w:color="auto" w:fill="auto"/>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16</w:t>
            </w:r>
          </w:p>
        </w:tc>
        <w:tc>
          <w:tcPr>
            <w:tcW w:w="1368" w:type="dxa"/>
            <w:tcBorders>
              <w:top w:val="single" w:sz="4" w:space="0" w:color="auto"/>
            </w:tcBorders>
            <w:shd w:val="clear" w:color="auto" w:fill="auto"/>
            <w:hideMark/>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96,021</w:t>
            </w:r>
          </w:p>
        </w:tc>
      </w:tr>
      <w:tr w:rsidR="00F0403F" w:rsidRPr="00141CF6" w:rsidTr="00667880">
        <w:trPr>
          <w:jc w:val="center"/>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BASF</w:t>
            </w:r>
          </w:p>
        </w:tc>
        <w:tc>
          <w:tcPr>
            <w:tcW w:w="5028" w:type="dxa"/>
            <w:vAlign w:val="center"/>
          </w:tcPr>
          <w:p w:rsidR="00F0403F" w:rsidRPr="007C1C0A" w:rsidRDefault="00F0403F" w:rsidP="00667880">
            <w:pPr>
              <w:widowControl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Non-Article 5 systems house with local facilities</w:t>
            </w:r>
          </w:p>
        </w:tc>
        <w:tc>
          <w:tcPr>
            <w:tcW w:w="1272" w:type="dxa"/>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44</w:t>
            </w:r>
            <w:r w:rsidRPr="007C1C0A">
              <w:rPr>
                <w:rFonts w:ascii="Times New Roman" w:hAnsi="Times New Roman"/>
                <w:sz w:val="20"/>
                <w:szCs w:val="20"/>
                <w:vertAlign w:val="superscript"/>
                <w:lang w:eastAsia="en-GB"/>
              </w:rPr>
              <w:footnoteReference w:id="6"/>
            </w:r>
          </w:p>
        </w:tc>
        <w:tc>
          <w:tcPr>
            <w:tcW w:w="1368" w:type="dxa"/>
            <w:hideMark/>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166,211</w:t>
            </w:r>
          </w:p>
        </w:tc>
      </w:tr>
      <w:tr w:rsidR="00F0403F" w:rsidRPr="00141CF6" w:rsidTr="00667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Dow</w:t>
            </w:r>
          </w:p>
        </w:tc>
        <w:tc>
          <w:tcPr>
            <w:tcW w:w="5028" w:type="dxa"/>
            <w:shd w:val="clear" w:color="auto" w:fill="auto"/>
            <w:vAlign w:val="center"/>
          </w:tcPr>
          <w:p w:rsidR="00F0403F" w:rsidRPr="007C1C0A" w:rsidRDefault="00F0403F" w:rsidP="00667880">
            <w:pPr>
              <w:widowControl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Non-Article 5 systems house with local facilities</w:t>
            </w:r>
          </w:p>
        </w:tc>
        <w:tc>
          <w:tcPr>
            <w:tcW w:w="1272" w:type="dxa"/>
            <w:shd w:val="clear" w:color="auto" w:fill="auto"/>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16</w:t>
            </w:r>
            <w:r w:rsidRPr="007C1C0A">
              <w:rPr>
                <w:rFonts w:ascii="Times New Roman" w:hAnsi="Times New Roman"/>
                <w:sz w:val="20"/>
                <w:szCs w:val="20"/>
                <w:vertAlign w:val="superscript"/>
                <w:lang w:eastAsia="en-GB"/>
              </w:rPr>
              <w:footnoteReference w:id="7"/>
            </w:r>
          </w:p>
        </w:tc>
        <w:tc>
          <w:tcPr>
            <w:tcW w:w="1368" w:type="dxa"/>
            <w:shd w:val="clear" w:color="auto" w:fill="auto"/>
            <w:hideMark/>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101,052</w:t>
            </w:r>
          </w:p>
        </w:tc>
      </w:tr>
      <w:tr w:rsidR="00F0403F" w:rsidRPr="00141CF6" w:rsidTr="00667880">
        <w:trPr>
          <w:jc w:val="center"/>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Ecopur</w:t>
            </w:r>
          </w:p>
        </w:tc>
        <w:tc>
          <w:tcPr>
            <w:tcW w:w="5028" w:type="dxa"/>
            <w:vAlign w:val="center"/>
          </w:tcPr>
          <w:p w:rsidR="00F0403F" w:rsidRPr="007C1C0A" w:rsidRDefault="00F0403F" w:rsidP="00507C03">
            <w:pPr>
              <w:widowControl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Importer of formulated polyols</w:t>
            </w:r>
            <w:r w:rsidR="00507C03">
              <w:rPr>
                <w:rFonts w:ascii="Times New Roman" w:hAnsi="Times New Roman"/>
                <w:sz w:val="20"/>
                <w:szCs w:val="20"/>
                <w:lang w:eastAsia="en-GB"/>
              </w:rPr>
              <w:t xml:space="preserve">. </w:t>
            </w:r>
            <w:r w:rsidRPr="007C1C0A">
              <w:rPr>
                <w:rFonts w:ascii="Times New Roman" w:hAnsi="Times New Roman"/>
                <w:sz w:val="20"/>
                <w:szCs w:val="20"/>
                <w:lang w:eastAsia="en-GB"/>
              </w:rPr>
              <w:t>Local addition of blowing agent</w:t>
            </w:r>
          </w:p>
        </w:tc>
        <w:tc>
          <w:tcPr>
            <w:tcW w:w="1272" w:type="dxa"/>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42</w:t>
            </w:r>
          </w:p>
        </w:tc>
        <w:tc>
          <w:tcPr>
            <w:tcW w:w="1368" w:type="dxa"/>
            <w:hideMark/>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47,847</w:t>
            </w:r>
          </w:p>
        </w:tc>
      </w:tr>
      <w:tr w:rsidR="00F0403F" w:rsidRPr="00141CF6" w:rsidTr="00667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Huntsman</w:t>
            </w:r>
          </w:p>
        </w:tc>
        <w:tc>
          <w:tcPr>
            <w:tcW w:w="5028" w:type="dxa"/>
            <w:shd w:val="clear" w:color="auto" w:fill="auto"/>
            <w:vAlign w:val="center"/>
          </w:tcPr>
          <w:p w:rsidR="00F0403F" w:rsidRPr="007C1C0A" w:rsidRDefault="00F0403F" w:rsidP="00667880">
            <w:pPr>
              <w:widowControl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Importer of PU systems (fully formulated polyol and MDI)</w:t>
            </w:r>
          </w:p>
        </w:tc>
        <w:tc>
          <w:tcPr>
            <w:tcW w:w="1272" w:type="dxa"/>
            <w:shd w:val="clear" w:color="auto" w:fill="auto"/>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37</w:t>
            </w:r>
          </w:p>
        </w:tc>
        <w:tc>
          <w:tcPr>
            <w:tcW w:w="1368" w:type="dxa"/>
            <w:shd w:val="clear" w:color="auto" w:fill="auto"/>
            <w:hideMark/>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134,796</w:t>
            </w:r>
          </w:p>
        </w:tc>
      </w:tr>
      <w:tr w:rsidR="00F0403F" w:rsidRPr="00141CF6" w:rsidTr="00667880">
        <w:trPr>
          <w:jc w:val="center"/>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Poliresinas San Luis</w:t>
            </w:r>
          </w:p>
        </w:tc>
        <w:tc>
          <w:tcPr>
            <w:tcW w:w="5028" w:type="dxa"/>
            <w:shd w:val="clear" w:color="auto" w:fill="auto"/>
            <w:vAlign w:val="center"/>
          </w:tcPr>
          <w:p w:rsidR="00F0403F" w:rsidRPr="007C1C0A" w:rsidRDefault="00F0403F" w:rsidP="00667880">
            <w:pPr>
              <w:widowControl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Local systems house</w:t>
            </w:r>
          </w:p>
        </w:tc>
        <w:tc>
          <w:tcPr>
            <w:tcW w:w="1272" w:type="dxa"/>
            <w:shd w:val="clear" w:color="auto" w:fill="auto"/>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16</w:t>
            </w:r>
          </w:p>
        </w:tc>
        <w:tc>
          <w:tcPr>
            <w:tcW w:w="1368" w:type="dxa"/>
            <w:shd w:val="clear" w:color="auto" w:fill="auto"/>
            <w:hideMark/>
          </w:tcPr>
          <w:p w:rsidR="00F0403F" w:rsidRPr="007C1C0A" w:rsidRDefault="00F0403F" w:rsidP="00667880">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28,442</w:t>
            </w:r>
          </w:p>
        </w:tc>
      </w:tr>
      <w:tr w:rsidR="00F0403F" w:rsidRPr="00141CF6" w:rsidTr="00667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vAlign w:val="center"/>
            <w:hideMark/>
          </w:tcPr>
          <w:p w:rsidR="00F0403F" w:rsidRPr="0002367A" w:rsidRDefault="00F0403F" w:rsidP="00667880">
            <w:pPr>
              <w:widowControl w:val="0"/>
              <w:jc w:val="left"/>
              <w:rPr>
                <w:rFonts w:ascii="Times New Roman" w:hAnsi="Times New Roman"/>
                <w:b w:val="0"/>
                <w:sz w:val="20"/>
                <w:szCs w:val="20"/>
                <w:lang w:eastAsia="en-GB"/>
              </w:rPr>
            </w:pPr>
            <w:r w:rsidRPr="0002367A">
              <w:rPr>
                <w:rFonts w:ascii="Times New Roman" w:hAnsi="Times New Roman"/>
                <w:b w:val="0"/>
                <w:sz w:val="20"/>
                <w:szCs w:val="20"/>
                <w:lang w:eastAsia="en-GB"/>
              </w:rPr>
              <w:t>Química del Caucho</w:t>
            </w:r>
          </w:p>
        </w:tc>
        <w:tc>
          <w:tcPr>
            <w:tcW w:w="5028" w:type="dxa"/>
            <w:shd w:val="clear" w:color="auto" w:fill="auto"/>
            <w:vAlign w:val="center"/>
          </w:tcPr>
          <w:p w:rsidR="00F0403F" w:rsidRPr="007C1C0A" w:rsidRDefault="00F0403F" w:rsidP="00667880">
            <w:pPr>
              <w:widowControl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Importer of PU systems (fully formulated polyol and MDI)</w:t>
            </w:r>
          </w:p>
        </w:tc>
        <w:tc>
          <w:tcPr>
            <w:tcW w:w="1272" w:type="dxa"/>
            <w:shd w:val="clear" w:color="auto" w:fill="auto"/>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35</w:t>
            </w:r>
          </w:p>
        </w:tc>
        <w:tc>
          <w:tcPr>
            <w:tcW w:w="1368" w:type="dxa"/>
            <w:shd w:val="clear" w:color="auto" w:fill="auto"/>
            <w:hideMark/>
          </w:tcPr>
          <w:p w:rsidR="00F0403F" w:rsidRPr="007C1C0A" w:rsidRDefault="00F0403F" w:rsidP="00667880">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89,568</w:t>
            </w:r>
          </w:p>
        </w:tc>
      </w:tr>
      <w:tr w:rsidR="00F0403F" w:rsidRPr="00141CF6" w:rsidTr="0066788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tcBorders>
            <w:noWrap/>
            <w:vAlign w:val="center"/>
            <w:hideMark/>
          </w:tcPr>
          <w:p w:rsidR="00F0403F" w:rsidRPr="0002367A" w:rsidRDefault="00F0403F" w:rsidP="00667880">
            <w:pPr>
              <w:widowControl w:val="0"/>
              <w:jc w:val="left"/>
              <w:rPr>
                <w:rFonts w:ascii="Times New Roman" w:hAnsi="Times New Roman"/>
                <w:sz w:val="20"/>
                <w:szCs w:val="20"/>
                <w:lang w:eastAsia="en-GB"/>
              </w:rPr>
            </w:pPr>
            <w:r w:rsidRPr="0002367A">
              <w:rPr>
                <w:rFonts w:ascii="Times New Roman" w:hAnsi="Times New Roman"/>
                <w:sz w:val="20"/>
                <w:szCs w:val="20"/>
                <w:lang w:eastAsia="en-GB"/>
              </w:rPr>
              <w:t>Total</w:t>
            </w:r>
          </w:p>
        </w:tc>
        <w:tc>
          <w:tcPr>
            <w:tcW w:w="5028" w:type="dxa"/>
            <w:tcBorders>
              <w:top w:val="none" w:sz="0" w:space="0" w:color="auto"/>
            </w:tcBorders>
            <w:vAlign w:val="center"/>
          </w:tcPr>
          <w:p w:rsidR="00F0403F" w:rsidRPr="007C1C0A" w:rsidRDefault="00F0403F" w:rsidP="00667880">
            <w:pPr>
              <w:widowControl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72" w:type="dxa"/>
            <w:tcBorders>
              <w:top w:val="none" w:sz="0" w:space="0" w:color="auto"/>
            </w:tcBorders>
          </w:tcPr>
          <w:p w:rsidR="00F0403F" w:rsidRPr="007C1C0A" w:rsidRDefault="00F0403F" w:rsidP="00667880">
            <w:pPr>
              <w:widowControl w:val="0"/>
              <w:jc w:val="right"/>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206</w:t>
            </w:r>
            <w:r w:rsidR="00B23C78">
              <w:rPr>
                <w:rFonts w:ascii="Times New Roman" w:hAnsi="Times New Roman"/>
                <w:sz w:val="20"/>
                <w:szCs w:val="20"/>
                <w:lang w:eastAsia="en-GB"/>
              </w:rPr>
              <w:t>*</w:t>
            </w:r>
          </w:p>
        </w:tc>
        <w:tc>
          <w:tcPr>
            <w:tcW w:w="1368" w:type="dxa"/>
            <w:tcBorders>
              <w:top w:val="none" w:sz="0" w:space="0" w:color="auto"/>
            </w:tcBorders>
            <w:shd w:val="clear" w:color="auto" w:fill="auto"/>
            <w:noWrap/>
            <w:hideMark/>
          </w:tcPr>
          <w:p w:rsidR="00F0403F" w:rsidRPr="007C1C0A" w:rsidRDefault="00F0403F" w:rsidP="00667880">
            <w:pPr>
              <w:widowControl w:val="0"/>
              <w:jc w:val="right"/>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C1C0A">
              <w:rPr>
                <w:rFonts w:ascii="Times New Roman" w:hAnsi="Times New Roman"/>
                <w:sz w:val="20"/>
                <w:szCs w:val="20"/>
                <w:lang w:eastAsia="en-GB"/>
              </w:rPr>
              <w:t>663,937</w:t>
            </w:r>
          </w:p>
        </w:tc>
      </w:tr>
    </w:tbl>
    <w:p w:rsidR="00F0403F" w:rsidRPr="00B23C78" w:rsidRDefault="00B23C78" w:rsidP="00F0403F">
      <w:pPr>
        <w:widowControl w:val="0"/>
        <w:rPr>
          <w:sz w:val="18"/>
          <w:szCs w:val="18"/>
        </w:rPr>
      </w:pPr>
      <w:r>
        <w:t>*</w:t>
      </w:r>
      <w:r w:rsidRPr="00B23C78">
        <w:rPr>
          <w:sz w:val="18"/>
          <w:szCs w:val="18"/>
        </w:rPr>
        <w:t>Four have consumption above 20 mt, 16 have consumption between 10 mt and 20 mt, 99 have consumption between 1 and 10 </w:t>
      </w:r>
      <w:proofErr w:type="spellStart"/>
      <w:r w:rsidRPr="00B23C78">
        <w:rPr>
          <w:sz w:val="18"/>
          <w:szCs w:val="18"/>
        </w:rPr>
        <w:t>mt</w:t>
      </w:r>
      <w:proofErr w:type="spellEnd"/>
      <w:r w:rsidRPr="00B23C78">
        <w:rPr>
          <w:sz w:val="18"/>
          <w:szCs w:val="18"/>
        </w:rPr>
        <w:t xml:space="preserve"> and the remaining 87 have consumption below one mt</w:t>
      </w:r>
      <w:r w:rsidRPr="00577666">
        <w:rPr>
          <w:sz w:val="18"/>
          <w:szCs w:val="18"/>
        </w:rPr>
        <w:t>.</w:t>
      </w:r>
      <w:r w:rsidR="00A479D5" w:rsidRPr="00577666">
        <w:rPr>
          <w:sz w:val="18"/>
          <w:szCs w:val="18"/>
        </w:rPr>
        <w:t xml:space="preserve"> Out of the 206 downstream users identified, 160 were </w:t>
      </w:r>
      <w:r w:rsidR="000D71D7" w:rsidRPr="00577666">
        <w:rPr>
          <w:sz w:val="18"/>
          <w:szCs w:val="18"/>
        </w:rPr>
        <w:t xml:space="preserve">considered </w:t>
      </w:r>
      <w:r w:rsidR="00A479D5" w:rsidRPr="00577666">
        <w:rPr>
          <w:sz w:val="18"/>
          <w:szCs w:val="18"/>
        </w:rPr>
        <w:t>eligible for funding.</w:t>
      </w:r>
    </w:p>
    <w:p w:rsidR="00B23C78" w:rsidRDefault="00B23C78" w:rsidP="00B23C78">
      <w:pPr>
        <w:keepNext/>
        <w:suppressLineNumbers/>
        <w:suppressAutoHyphens/>
        <w:spacing w:after="120"/>
        <w:outlineLvl w:val="0"/>
        <w:rPr>
          <w:i/>
        </w:rPr>
      </w:pPr>
    </w:p>
    <w:p w:rsidR="00F0403F" w:rsidRPr="00141CF6" w:rsidRDefault="00F0403F" w:rsidP="00F0403F">
      <w:pPr>
        <w:keepNext/>
        <w:suppressLineNumbers/>
        <w:suppressAutoHyphens/>
        <w:spacing w:after="240"/>
        <w:outlineLvl w:val="0"/>
        <w:rPr>
          <w:i/>
        </w:rPr>
      </w:pPr>
      <w:r w:rsidRPr="00141CF6">
        <w:rPr>
          <w:i/>
        </w:rPr>
        <w:t>R</w:t>
      </w:r>
      <w:r w:rsidR="00A94C4B">
        <w:rPr>
          <w:i/>
        </w:rPr>
        <w:t xml:space="preserve">efrigeration and </w:t>
      </w:r>
      <w:r w:rsidRPr="00141CF6">
        <w:rPr>
          <w:i/>
        </w:rPr>
        <w:t>AC manufacturing sector</w:t>
      </w:r>
    </w:p>
    <w:p w:rsidR="00F0403F" w:rsidRPr="00141CF6" w:rsidRDefault="00F0403F" w:rsidP="00F0403F">
      <w:pPr>
        <w:numPr>
          <w:ilvl w:val="0"/>
          <w:numId w:val="1"/>
        </w:numPr>
        <w:spacing w:after="240"/>
        <w:outlineLvl w:val="0"/>
      </w:pPr>
      <w:r w:rsidRPr="00141CF6">
        <w:rPr>
          <w:i/>
        </w:rPr>
        <w:t>Commercial and industrial refrigeration manufacturing</w:t>
      </w:r>
      <w:r w:rsidRPr="00141CF6">
        <w:t>:  Total consumption of HCFC-22 in this sector is around 165</w:t>
      </w:r>
      <w:r w:rsidR="00673FC0">
        <w:t> mt</w:t>
      </w:r>
      <w:r w:rsidRPr="00141CF6">
        <w:t>, out of which 93</w:t>
      </w:r>
      <w:r w:rsidR="00673FC0">
        <w:t> mt</w:t>
      </w:r>
      <w:r w:rsidRPr="00141CF6">
        <w:t xml:space="preserve"> were charged at the manufacturing site, while the rest was charged</w:t>
      </w:r>
      <w:r w:rsidR="00507C03">
        <w:t xml:space="preserve"> </w:t>
      </w:r>
      <w:r w:rsidR="00507C03" w:rsidRPr="00577666">
        <w:t>in the location where the system is installed.</w:t>
      </w:r>
      <w:r w:rsidRPr="00141CF6">
        <w:t xml:space="preserve"> The sector is composed mainly of locally owned SMEs (around 63), most of which manufacture products for both subsectors and consume less than 2</w:t>
      </w:r>
      <w:r w:rsidR="00673FC0">
        <w:t> mt</w:t>
      </w:r>
      <w:r w:rsidRPr="00141CF6">
        <w:t xml:space="preserve"> per year. Around 12 enterprises produce water coolers and dispensers, and seven medium sized enterprises and several SMEs manufacture condensing units and can be considered part of the installation and assembly subsector, as the refrigerant is used for first charge in the end-user’s location. </w:t>
      </w:r>
    </w:p>
    <w:p w:rsidR="00F0403F" w:rsidRPr="00577666" w:rsidRDefault="00F0403F" w:rsidP="00F0403F">
      <w:pPr>
        <w:numPr>
          <w:ilvl w:val="0"/>
          <w:numId w:val="1"/>
        </w:numPr>
        <w:spacing w:after="240"/>
        <w:outlineLvl w:val="0"/>
      </w:pPr>
      <w:r w:rsidRPr="00141CF6">
        <w:lastRenderedPageBreak/>
        <w:t>HCFC-22, R-404A and R-407C are the most common refrigerants used for condensing units, and small amounts of CO</w:t>
      </w:r>
      <w:r w:rsidRPr="00545266">
        <w:rPr>
          <w:vertAlign w:val="subscript"/>
        </w:rPr>
        <w:t>2</w:t>
      </w:r>
      <w:r w:rsidRPr="00141CF6">
        <w:t xml:space="preserve"> are </w:t>
      </w:r>
      <w:r w:rsidR="00507C03">
        <w:t>used in two supermarket systems</w:t>
      </w:r>
      <w:r w:rsidRPr="00141CF6">
        <w:t>. In the industrial refrigeration subsector 95 per cent of the refrigerant is ammonia, used by around 3,</w:t>
      </w:r>
      <w:r w:rsidRPr="00577666">
        <w:t>000 food</w:t>
      </w:r>
      <w:r w:rsidR="00507C03" w:rsidRPr="00577666">
        <w:t xml:space="preserve"> processing</w:t>
      </w:r>
      <w:r w:rsidRPr="00577666">
        <w:t xml:space="preserve"> enterprises in 10,000 to 15,000 installations</w:t>
      </w:r>
      <w:r w:rsidR="00507C03" w:rsidRPr="00577666">
        <w:t xml:space="preserve"> (e.g., freezing lines, cheese and ice cream factories and ice production)</w:t>
      </w:r>
      <w:r w:rsidRPr="00577666">
        <w:t xml:space="preserve">. </w:t>
      </w:r>
    </w:p>
    <w:p w:rsidR="00F0403F" w:rsidRPr="00141CF6" w:rsidRDefault="00F0403F" w:rsidP="00F0403F">
      <w:pPr>
        <w:numPr>
          <w:ilvl w:val="0"/>
          <w:numId w:val="1"/>
        </w:numPr>
        <w:spacing w:after="240"/>
        <w:outlineLvl w:val="0"/>
      </w:pPr>
      <w:r w:rsidRPr="00141CF6">
        <w:rPr>
          <w:i/>
        </w:rPr>
        <w:t>Air</w:t>
      </w:r>
      <w:r w:rsidRPr="00141CF6">
        <w:rPr>
          <w:i/>
        </w:rPr>
        <w:noBreakHyphen/>
        <w:t>conditioning (AC) manufacturing:</w:t>
      </w:r>
      <w:r w:rsidRPr="00141CF6">
        <w:t xml:space="preserve"> The use of HCFC-22 in the domestic AC sector was phased out in stage I of the HPMP. The main refrigerant used in this sector is R-410A followed by small amounts of R-407C. No HCFC is used in the mobile AC </w:t>
      </w:r>
      <w:r w:rsidR="00344BB1" w:rsidRPr="00577666">
        <w:t xml:space="preserve">manufacturing </w:t>
      </w:r>
      <w:r w:rsidRPr="00577666">
        <w:t>sector</w:t>
      </w:r>
      <w:r w:rsidRPr="00141CF6">
        <w:t>, where the main refrigerant used is HFC</w:t>
      </w:r>
      <w:r>
        <w:noBreakHyphen/>
      </w:r>
      <w:r w:rsidRPr="00141CF6">
        <w:t>134a. There are 12 importers and/or manufacturers of chillers. A total of 92</w:t>
      </w:r>
      <w:r w:rsidR="00673FC0">
        <w:t> mt</w:t>
      </w:r>
      <w:r w:rsidRPr="00141CF6">
        <w:t xml:space="preserve"> of HCFC-22 and 135</w:t>
      </w:r>
      <w:r w:rsidR="00673FC0">
        <w:t> mt</w:t>
      </w:r>
      <w:r w:rsidRPr="00141CF6">
        <w:t xml:space="preserve"> of HCFC-123 are currently installed in around 2,000 chillers</w:t>
      </w:r>
      <w:r w:rsidR="00B67B98">
        <w:t xml:space="preserve">, with </w:t>
      </w:r>
      <w:r w:rsidRPr="00141CF6">
        <w:t>HCFC consumption below</w:t>
      </w:r>
      <w:r w:rsidR="00B67B98">
        <w:t> </w:t>
      </w:r>
      <w:r w:rsidRPr="00141CF6">
        <w:t>2</w:t>
      </w:r>
      <w:r w:rsidR="00673FC0">
        <w:t> mt</w:t>
      </w:r>
      <w:r w:rsidR="00B67B98">
        <w:t>/</w:t>
      </w:r>
      <w:r w:rsidRPr="00141CF6">
        <w:t>year</w:t>
      </w:r>
      <w:r w:rsidR="00B67B98">
        <w:t xml:space="preserve"> for servicing</w:t>
      </w:r>
      <w:r w:rsidRPr="00141CF6">
        <w:t>. An additional 3,000 chillers were identified using HFCs and 200 using ammonia. Although there are around 20 absorption chillers installed in the country, technicians are not qualified yet to service this type of technology.</w:t>
      </w:r>
    </w:p>
    <w:p w:rsidR="00F0403F" w:rsidRPr="00141CF6" w:rsidRDefault="00F0403F" w:rsidP="00F0403F">
      <w:pPr>
        <w:spacing w:after="240"/>
        <w:outlineLvl w:val="0"/>
        <w:rPr>
          <w:i/>
        </w:rPr>
      </w:pPr>
      <w:r w:rsidRPr="00141CF6">
        <w:rPr>
          <w:i/>
        </w:rPr>
        <w:t xml:space="preserve">Aerosol </w:t>
      </w:r>
      <w:r w:rsidR="000709D2">
        <w:rPr>
          <w:i/>
        </w:rPr>
        <w:t>s</w:t>
      </w:r>
      <w:r w:rsidRPr="00141CF6">
        <w:rPr>
          <w:i/>
        </w:rPr>
        <w:t>ector</w:t>
      </w:r>
    </w:p>
    <w:p w:rsidR="00F0403F" w:rsidRPr="00141CF6" w:rsidRDefault="00F0403F" w:rsidP="00F0403F">
      <w:pPr>
        <w:keepNext/>
        <w:numPr>
          <w:ilvl w:val="0"/>
          <w:numId w:val="1"/>
        </w:numPr>
        <w:spacing w:after="240"/>
        <w:outlineLvl w:val="0"/>
      </w:pPr>
      <w:r w:rsidRPr="00141CF6">
        <w:t xml:space="preserve">Most aerosol products in Argentina have been produced with HCs as propellant since 1992, when national regulations banned the use of ODS, except for metered-dose inhalers (MDIs) and those used in the electronic subsector. Around </w:t>
      </w:r>
      <w:r w:rsidR="001E7A19">
        <w:t>five</w:t>
      </w:r>
      <w:r w:rsidRPr="00141CF6">
        <w:t xml:space="preserve"> per cent of the aerosol production uses HCFCs due to non</w:t>
      </w:r>
      <w:r w:rsidRPr="00141CF6">
        <w:noBreakHyphen/>
        <w:t>flammability requirements. Sixteen enterprises use HCFC to manufacture party aerosols, contact cleaners, lubricants, insulators, dust blowers, and cold pain-relief products.</w:t>
      </w:r>
    </w:p>
    <w:p w:rsidR="00F0403F" w:rsidRPr="000709D2" w:rsidRDefault="00F0403F" w:rsidP="00F0403F">
      <w:pPr>
        <w:keepNext/>
        <w:numPr>
          <w:ilvl w:val="0"/>
          <w:numId w:val="1"/>
        </w:numPr>
        <w:spacing w:after="240"/>
        <w:outlineLvl w:val="0"/>
      </w:pPr>
      <w:r w:rsidRPr="00141CF6">
        <w:t>HCFC-22, HCFC-141b and HCFC-142b are used as active ingredients in cleaning applications for dissolving other active ingredients (e.g. lubricants, insulators, adhesives), and HCFC-22 is also used as propellant. A blend of HCFC</w:t>
      </w:r>
      <w:r w:rsidRPr="000709D2">
        <w:t>-22, butane and di</w:t>
      </w:r>
      <w:r w:rsidR="00B67B98">
        <w:t>-</w:t>
      </w:r>
      <w:r w:rsidRPr="000709D2">
        <w:t xml:space="preserve">methyl </w:t>
      </w:r>
      <w:r w:rsidR="00B67B98">
        <w:t>e</w:t>
      </w:r>
      <w:r w:rsidRPr="000709D2">
        <w:t xml:space="preserve">ther </w:t>
      </w:r>
      <w:r w:rsidR="001E7A19" w:rsidRPr="000709D2">
        <w:t xml:space="preserve">(DME) </w:t>
      </w:r>
      <w:r w:rsidRPr="000709D2">
        <w:t>is used fo</w:t>
      </w:r>
      <w:r w:rsidR="001E7A19" w:rsidRPr="000709D2">
        <w:t>r artificial snow. HCFC</w:t>
      </w:r>
      <w:r w:rsidR="001E7A19" w:rsidRPr="000709D2">
        <w:noBreakHyphen/>
      </w:r>
      <w:r w:rsidRPr="000709D2">
        <w:t>22 and HCFC-141b are used in electronic contact cleaners, lubricants and insulators. Blowers (particle removers) consist of pure HCFC-22 and cold pain-relief aerosol dispenses HCFC-141b with about 10 per cent of HCFC</w:t>
      </w:r>
      <w:r w:rsidR="00B67B98">
        <w:t>-</w:t>
      </w:r>
      <w:r w:rsidRPr="000709D2">
        <w:t>22 as propellant. Since 2014, HCFC consumption has been replaced by HFC</w:t>
      </w:r>
      <w:r w:rsidRPr="000709D2">
        <w:noBreakHyphen/>
        <w:t>134a due to an increase in HCFC prices.</w:t>
      </w:r>
    </w:p>
    <w:p w:rsidR="00F0403F" w:rsidRPr="00141CF6" w:rsidRDefault="00F0403F" w:rsidP="00F0403F">
      <w:pPr>
        <w:keepNext/>
        <w:suppressLineNumbers/>
        <w:suppressAutoHyphens/>
        <w:spacing w:after="240"/>
        <w:outlineLvl w:val="0"/>
        <w:rPr>
          <w:i/>
        </w:rPr>
      </w:pPr>
      <w:r w:rsidRPr="000709D2">
        <w:rPr>
          <w:i/>
        </w:rPr>
        <w:t>Fire extinguisher sector</w:t>
      </w:r>
    </w:p>
    <w:p w:rsidR="00F0403F" w:rsidRPr="00141CF6" w:rsidRDefault="00F0403F" w:rsidP="00F0403F">
      <w:pPr>
        <w:numPr>
          <w:ilvl w:val="0"/>
          <w:numId w:val="1"/>
        </w:numPr>
        <w:spacing w:after="240"/>
        <w:outlineLvl w:val="0"/>
        <w:rPr>
          <w:rFonts w:eastAsia="Calibri"/>
        </w:rPr>
      </w:pPr>
      <w:r w:rsidRPr="00141CF6">
        <w:rPr>
          <w:rFonts w:eastAsia="Calibri"/>
        </w:rPr>
        <w:t xml:space="preserve">There are four fire-extinguisher manufacturers and 42 enterprises that offer servicing and recharging of fire extinguishers. HCFC-123 and small amounts of HCFC-141b are used in this sector. The technically most suitable replacement for </w:t>
      </w:r>
      <w:r w:rsidR="00B67B98">
        <w:rPr>
          <w:rFonts w:eastAsia="Calibri"/>
        </w:rPr>
        <w:t>h</w:t>
      </w:r>
      <w:r w:rsidRPr="00141CF6">
        <w:rPr>
          <w:rFonts w:eastAsia="Calibri"/>
        </w:rPr>
        <w:t>alon-1211 in portable fire extinguishers would be HFC-236fa. However, because of the very high price of this product, as well as its very high GWP (6,300), there are several HCFC-123-based products in the market.</w:t>
      </w:r>
    </w:p>
    <w:p w:rsidR="00F0403F" w:rsidRPr="00141CF6" w:rsidRDefault="00F0403F" w:rsidP="00F0403F">
      <w:pPr>
        <w:keepNext/>
        <w:spacing w:after="240"/>
        <w:outlineLvl w:val="0"/>
        <w:rPr>
          <w:u w:val="single"/>
        </w:rPr>
      </w:pPr>
      <w:r w:rsidRPr="00141CF6">
        <w:rPr>
          <w:u w:val="single"/>
        </w:rPr>
        <w:t>HCFC consumption in the refrigeration servicing sector</w:t>
      </w:r>
    </w:p>
    <w:p w:rsidR="00F0403F" w:rsidRPr="00141CF6" w:rsidRDefault="00F0403F" w:rsidP="00F0403F">
      <w:pPr>
        <w:numPr>
          <w:ilvl w:val="0"/>
          <w:numId w:val="1"/>
        </w:numPr>
        <w:spacing w:after="240"/>
        <w:outlineLvl w:val="0"/>
        <w:rPr>
          <w:rFonts w:eastAsia="Calibri"/>
        </w:rPr>
      </w:pPr>
      <w:r w:rsidRPr="00141CF6">
        <w:rPr>
          <w:rFonts w:eastAsia="Calibri"/>
        </w:rPr>
        <w:t>According to the survey performed on 2,658 service workshops, there are close to 11,000 refrigeration technicians working for approximately 6,000 to 6,500 service workshops.</w:t>
      </w:r>
    </w:p>
    <w:p w:rsidR="00F0403F" w:rsidRPr="00141CF6" w:rsidRDefault="00F0403F" w:rsidP="00F0403F">
      <w:pPr>
        <w:numPr>
          <w:ilvl w:val="0"/>
          <w:numId w:val="1"/>
        </w:numPr>
        <w:spacing w:after="240"/>
        <w:outlineLvl w:val="0"/>
        <w:rPr>
          <w:rFonts w:eastAsia="Calibri"/>
          <w:lang w:eastAsia="en-GB"/>
        </w:rPr>
      </w:pPr>
      <w:r w:rsidRPr="00141CF6">
        <w:rPr>
          <w:rFonts w:eastAsia="Calibri"/>
          <w:lang w:eastAsia="en-GB"/>
        </w:rPr>
        <w:t xml:space="preserve">Standard service workshops are small, managed by their owners and composed of </w:t>
      </w:r>
      <w:r w:rsidR="001E7A19">
        <w:rPr>
          <w:rFonts w:eastAsia="Calibri"/>
          <w:lang w:eastAsia="en-GB"/>
        </w:rPr>
        <w:t>one</w:t>
      </w:r>
      <w:r w:rsidRPr="00141CF6">
        <w:rPr>
          <w:rFonts w:eastAsia="Calibri"/>
          <w:lang w:eastAsia="en-GB"/>
        </w:rPr>
        <w:t xml:space="preserve"> to </w:t>
      </w:r>
      <w:r w:rsidR="001E7A19">
        <w:rPr>
          <w:rFonts w:eastAsia="Calibri"/>
          <w:lang w:eastAsia="en-GB"/>
        </w:rPr>
        <w:t xml:space="preserve">two </w:t>
      </w:r>
      <w:r w:rsidRPr="00141CF6">
        <w:rPr>
          <w:rFonts w:eastAsia="Calibri"/>
          <w:lang w:eastAsia="en-GB"/>
        </w:rPr>
        <w:t>technicians with academic qualifications. It is also estimated that 80</w:t>
      </w:r>
      <w:r w:rsidR="001E7A19">
        <w:rPr>
          <w:rFonts w:eastAsia="Calibri"/>
          <w:lang w:eastAsia="en-GB"/>
        </w:rPr>
        <w:t xml:space="preserve"> to </w:t>
      </w:r>
      <w:r w:rsidRPr="00141CF6">
        <w:rPr>
          <w:rFonts w:eastAsia="Calibri"/>
          <w:lang w:eastAsia="en-GB"/>
        </w:rPr>
        <w:t xml:space="preserve">85 per cent of the workshops are formally constituted. </w:t>
      </w:r>
      <w:r w:rsidRPr="00141CF6">
        <w:rPr>
          <w:rFonts w:eastAsia="Calibri"/>
        </w:rPr>
        <w:t>Technicians provide service to a wide range of refrigeration appliances and equipment (e.g. domestic, commercial, industrial, and mobile AC). Around 50 per cent of service workshops have equipment provided under the national</w:t>
      </w:r>
      <w:r w:rsidR="00B67B98" w:rsidRPr="00B67B98">
        <w:rPr>
          <w:rFonts w:eastAsia="Calibri"/>
        </w:rPr>
        <w:t xml:space="preserve"> </w:t>
      </w:r>
      <w:r w:rsidR="00B67B98" w:rsidRPr="00141CF6">
        <w:rPr>
          <w:rFonts w:eastAsia="Calibri"/>
        </w:rPr>
        <w:t>CFC</w:t>
      </w:r>
      <w:r w:rsidRPr="00141CF6">
        <w:rPr>
          <w:rFonts w:eastAsia="Calibri"/>
        </w:rPr>
        <w:t xml:space="preserve"> phase-out plan and the HPMP. In addition, a</w:t>
      </w:r>
      <w:r w:rsidRPr="00141CF6">
        <w:rPr>
          <w:rFonts w:eastAsia="Calibri"/>
          <w:lang w:eastAsia="en-GB"/>
        </w:rPr>
        <w:t xml:space="preserve"> total of 10,930 technicians received training and 3,636 r</w:t>
      </w:r>
      <w:r w:rsidR="008613DC">
        <w:rPr>
          <w:rFonts w:eastAsia="Calibri"/>
          <w:lang w:eastAsia="en-GB"/>
        </w:rPr>
        <w:t>eceived tools under these plans</w:t>
      </w:r>
      <w:r w:rsidRPr="00141CF6">
        <w:rPr>
          <w:rFonts w:eastAsia="Calibri"/>
          <w:lang w:eastAsia="en-GB"/>
        </w:rPr>
        <w:t>. Under the recovery, recycling and reclamation programme implemented in Argentina, a total of 122</w:t>
      </w:r>
      <w:r w:rsidR="00673FC0">
        <w:rPr>
          <w:rFonts w:eastAsia="Calibri"/>
          <w:lang w:eastAsia="en-GB"/>
        </w:rPr>
        <w:t> mt</w:t>
      </w:r>
      <w:r w:rsidRPr="00141CF6">
        <w:rPr>
          <w:rFonts w:eastAsia="Calibri"/>
          <w:lang w:eastAsia="en-GB"/>
        </w:rPr>
        <w:t xml:space="preserve"> of HCFC-22 have been recovered, 105</w:t>
      </w:r>
      <w:r w:rsidR="00673FC0">
        <w:rPr>
          <w:rFonts w:eastAsia="Calibri"/>
          <w:lang w:eastAsia="en-GB"/>
        </w:rPr>
        <w:t> mt</w:t>
      </w:r>
      <w:r w:rsidRPr="00141CF6">
        <w:rPr>
          <w:rFonts w:eastAsia="Calibri"/>
          <w:lang w:eastAsia="en-GB"/>
        </w:rPr>
        <w:t xml:space="preserve"> have been reused and 4.4</w:t>
      </w:r>
      <w:r w:rsidR="00673FC0">
        <w:rPr>
          <w:rFonts w:eastAsia="Calibri"/>
          <w:lang w:eastAsia="en-GB"/>
        </w:rPr>
        <w:t> mt</w:t>
      </w:r>
      <w:r w:rsidRPr="00141CF6">
        <w:rPr>
          <w:rFonts w:eastAsia="Calibri"/>
          <w:lang w:eastAsia="en-GB"/>
        </w:rPr>
        <w:t xml:space="preserve"> have been reclaimed.</w:t>
      </w:r>
    </w:p>
    <w:p w:rsidR="00F0403F" w:rsidRPr="00141CF6" w:rsidRDefault="00F0403F" w:rsidP="00F0403F">
      <w:pPr>
        <w:numPr>
          <w:ilvl w:val="0"/>
          <w:numId w:val="1"/>
        </w:numPr>
        <w:spacing w:after="240"/>
        <w:outlineLvl w:val="0"/>
        <w:rPr>
          <w:rFonts w:eastAsia="Calibri"/>
          <w:lang w:eastAsia="en-GB"/>
        </w:rPr>
      </w:pPr>
      <w:r w:rsidRPr="00141CF6">
        <w:rPr>
          <w:rFonts w:eastAsia="Calibri"/>
          <w:lang w:eastAsia="en-GB"/>
        </w:rPr>
        <w:lastRenderedPageBreak/>
        <w:t xml:space="preserve">HCFC-22 represents 55 per cent of the refrigerants used in the servicing sector, followed by HFC-134a (20 per cent) and R-410A (6 per cent). An estimation of the demand for HCFC-22 in the refrigeration servicing sector is presented in Table </w:t>
      </w:r>
      <w:r>
        <w:rPr>
          <w:rFonts w:eastAsia="Calibri"/>
          <w:lang w:eastAsia="en-GB"/>
        </w:rPr>
        <w:t>5</w:t>
      </w:r>
      <w:r w:rsidRPr="00141CF6">
        <w:rPr>
          <w:rFonts w:eastAsia="Calibri"/>
          <w:lang w:eastAsia="en-GB"/>
        </w:rPr>
        <w:t>.</w:t>
      </w:r>
    </w:p>
    <w:p w:rsidR="00F0403F" w:rsidRPr="00141CF6" w:rsidRDefault="00F0403F" w:rsidP="00F0403F">
      <w:pPr>
        <w:rPr>
          <w:rFonts w:eastAsia="Calibri"/>
          <w:b/>
          <w:lang w:eastAsia="en-GB"/>
        </w:rPr>
      </w:pPr>
      <w:r w:rsidRPr="00141CF6">
        <w:rPr>
          <w:rFonts w:eastAsia="Calibri"/>
          <w:b/>
          <w:lang w:eastAsia="en-GB"/>
        </w:rPr>
        <w:t xml:space="preserve">Table </w:t>
      </w:r>
      <w:r>
        <w:rPr>
          <w:rFonts w:eastAsia="Calibri"/>
          <w:b/>
          <w:lang w:eastAsia="en-GB"/>
        </w:rPr>
        <w:t>5</w:t>
      </w:r>
      <w:r w:rsidRPr="00141CF6">
        <w:rPr>
          <w:rFonts w:eastAsia="Calibri"/>
          <w:b/>
          <w:lang w:eastAsia="en-GB"/>
        </w:rPr>
        <w:t>. Estimation of demand for HCFC-22 in the refrigeration servicing sector</w:t>
      </w:r>
      <w:r w:rsidR="00B67B98">
        <w:rPr>
          <w:rFonts w:eastAsia="Calibri"/>
          <w:b/>
          <w:lang w:eastAsia="en-GB"/>
        </w:rPr>
        <w:t xml:space="preserve"> (2015)</w:t>
      </w:r>
    </w:p>
    <w:tbl>
      <w:tblPr>
        <w:tblW w:w="5000" w:type="pct"/>
        <w:tblLook w:val="04A0" w:firstRow="1" w:lastRow="0" w:firstColumn="1" w:lastColumn="0" w:noHBand="0" w:noVBand="1"/>
      </w:tblPr>
      <w:tblGrid>
        <w:gridCol w:w="2214"/>
        <w:gridCol w:w="1138"/>
        <w:gridCol w:w="766"/>
        <w:gridCol w:w="1244"/>
        <w:gridCol w:w="1064"/>
        <w:gridCol w:w="961"/>
        <w:gridCol w:w="945"/>
        <w:gridCol w:w="1244"/>
      </w:tblGrid>
      <w:tr w:rsidR="00F0403F" w:rsidRPr="00141CF6" w:rsidTr="00667880">
        <w:trPr>
          <w:cantSplit/>
          <w:trHeight w:val="528"/>
        </w:trPr>
        <w:tc>
          <w:tcPr>
            <w:tcW w:w="1239" w:type="pct"/>
            <w:vMerge w:val="restart"/>
            <w:tcBorders>
              <w:top w:val="single" w:sz="4" w:space="0" w:color="auto"/>
              <w:left w:val="single" w:sz="4" w:space="0" w:color="auto"/>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Application</w:t>
            </w:r>
          </w:p>
          <w:p w:rsidR="00F0403F" w:rsidRPr="00141CF6" w:rsidRDefault="00F0403F" w:rsidP="00667880">
            <w:pPr>
              <w:jc w:val="center"/>
              <w:rPr>
                <w:b/>
                <w:bCs/>
                <w:sz w:val="20"/>
                <w:szCs w:val="20"/>
              </w:rPr>
            </w:pPr>
          </w:p>
        </w:tc>
        <w:tc>
          <w:tcPr>
            <w:tcW w:w="677" w:type="pct"/>
            <w:vMerge w:val="restart"/>
            <w:tcBorders>
              <w:top w:val="single" w:sz="4" w:space="0" w:color="auto"/>
              <w:left w:val="nil"/>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HCFC-22 based units</w:t>
            </w:r>
          </w:p>
        </w:tc>
        <w:tc>
          <w:tcPr>
            <w:tcW w:w="886" w:type="pct"/>
            <w:gridSpan w:val="2"/>
            <w:tcBorders>
              <w:top w:val="single" w:sz="4" w:space="0" w:color="auto"/>
              <w:left w:val="nil"/>
              <w:bottom w:val="single" w:sz="4" w:space="0" w:color="auto"/>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Refrigerant charge</w:t>
            </w:r>
          </w:p>
        </w:tc>
        <w:tc>
          <w:tcPr>
            <w:tcW w:w="679" w:type="pct"/>
            <w:vMerge w:val="restart"/>
            <w:tcBorders>
              <w:top w:val="single" w:sz="4" w:space="0" w:color="auto"/>
              <w:left w:val="nil"/>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Number of top-up repairs</w:t>
            </w:r>
          </w:p>
        </w:tc>
        <w:tc>
          <w:tcPr>
            <w:tcW w:w="502" w:type="pct"/>
            <w:vMerge w:val="restart"/>
            <w:tcBorders>
              <w:top w:val="single" w:sz="4" w:space="0" w:color="auto"/>
              <w:left w:val="nil"/>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Top-up amount (kg/unit)</w:t>
            </w:r>
          </w:p>
        </w:tc>
        <w:tc>
          <w:tcPr>
            <w:tcW w:w="1018" w:type="pct"/>
            <w:gridSpan w:val="2"/>
            <w:tcBorders>
              <w:top w:val="single" w:sz="4" w:space="0" w:color="auto"/>
              <w:left w:val="nil"/>
              <w:bottom w:val="single" w:sz="4" w:space="0" w:color="auto"/>
              <w:right w:val="single" w:sz="4" w:space="0" w:color="auto"/>
            </w:tcBorders>
            <w:shd w:val="clear" w:color="auto" w:fill="auto"/>
            <w:hideMark/>
          </w:tcPr>
          <w:p w:rsidR="00F0403F" w:rsidRPr="00141CF6" w:rsidRDefault="00F0403F" w:rsidP="00667880">
            <w:pPr>
              <w:jc w:val="center"/>
              <w:rPr>
                <w:b/>
                <w:bCs/>
                <w:sz w:val="20"/>
                <w:szCs w:val="20"/>
              </w:rPr>
            </w:pPr>
            <w:r w:rsidRPr="00141CF6">
              <w:rPr>
                <w:b/>
                <w:bCs/>
                <w:sz w:val="20"/>
                <w:szCs w:val="20"/>
              </w:rPr>
              <w:t>Service demand</w:t>
            </w:r>
          </w:p>
        </w:tc>
      </w:tr>
      <w:tr w:rsidR="00F0403F" w:rsidRPr="00141CF6" w:rsidTr="00667880">
        <w:trPr>
          <w:cantSplit/>
          <w:trHeight w:val="269"/>
        </w:trPr>
        <w:tc>
          <w:tcPr>
            <w:tcW w:w="1239" w:type="pct"/>
            <w:vMerge/>
            <w:tcBorders>
              <w:left w:val="single" w:sz="4" w:space="0" w:color="auto"/>
              <w:bottom w:val="single" w:sz="4" w:space="0" w:color="auto"/>
              <w:right w:val="single" w:sz="4" w:space="0" w:color="auto"/>
            </w:tcBorders>
            <w:shd w:val="clear" w:color="auto" w:fill="auto"/>
            <w:hideMark/>
          </w:tcPr>
          <w:p w:rsidR="00F0403F" w:rsidRPr="00141CF6" w:rsidRDefault="00F0403F" w:rsidP="00667880">
            <w:pPr>
              <w:jc w:val="center"/>
              <w:rPr>
                <w:sz w:val="20"/>
                <w:szCs w:val="20"/>
              </w:rPr>
            </w:pPr>
          </w:p>
        </w:tc>
        <w:tc>
          <w:tcPr>
            <w:tcW w:w="677" w:type="pct"/>
            <w:vMerge/>
            <w:tcBorders>
              <w:left w:val="nil"/>
              <w:bottom w:val="single" w:sz="4" w:space="0" w:color="auto"/>
              <w:right w:val="single" w:sz="4" w:space="0" w:color="auto"/>
            </w:tcBorders>
            <w:shd w:val="clear" w:color="auto" w:fill="auto"/>
            <w:hideMark/>
          </w:tcPr>
          <w:p w:rsidR="00F0403F" w:rsidRPr="00141CF6" w:rsidRDefault="00F0403F" w:rsidP="00667880">
            <w:pPr>
              <w:jc w:val="center"/>
              <w:rPr>
                <w:b/>
                <w:bCs/>
                <w:sz w:val="20"/>
                <w:szCs w:val="20"/>
              </w:rPr>
            </w:pPr>
          </w:p>
        </w:tc>
        <w:tc>
          <w:tcPr>
            <w:tcW w:w="442" w:type="pct"/>
            <w:tcBorders>
              <w:top w:val="nil"/>
              <w:left w:val="nil"/>
              <w:bottom w:val="single" w:sz="4" w:space="0" w:color="auto"/>
              <w:right w:val="single" w:sz="4" w:space="0" w:color="auto"/>
            </w:tcBorders>
            <w:shd w:val="clear" w:color="auto" w:fill="auto"/>
            <w:noWrap/>
            <w:hideMark/>
          </w:tcPr>
          <w:p w:rsidR="00F0403F" w:rsidRPr="00141CF6" w:rsidRDefault="00667FE6" w:rsidP="00667880">
            <w:pPr>
              <w:jc w:val="center"/>
              <w:rPr>
                <w:b/>
                <w:bCs/>
                <w:sz w:val="20"/>
                <w:szCs w:val="20"/>
              </w:rPr>
            </w:pPr>
            <w:r>
              <w:rPr>
                <w:b/>
                <w:bCs/>
                <w:sz w:val="20"/>
                <w:szCs w:val="20"/>
              </w:rPr>
              <w:t>m</w:t>
            </w:r>
            <w:r w:rsidR="00F0403F" w:rsidRPr="00141CF6">
              <w:rPr>
                <w:b/>
                <w:bCs/>
                <w:sz w:val="20"/>
                <w:szCs w:val="20"/>
              </w:rPr>
              <w:t>t</w:t>
            </w:r>
          </w:p>
        </w:tc>
        <w:tc>
          <w:tcPr>
            <w:tcW w:w="443" w:type="pct"/>
            <w:tcBorders>
              <w:top w:val="nil"/>
              <w:left w:val="nil"/>
              <w:bottom w:val="single" w:sz="4" w:space="0" w:color="auto"/>
              <w:right w:val="single" w:sz="4" w:space="0" w:color="auto"/>
            </w:tcBorders>
            <w:shd w:val="clear" w:color="auto" w:fill="auto"/>
            <w:noWrap/>
            <w:hideMark/>
          </w:tcPr>
          <w:p w:rsidR="00F0403F" w:rsidRPr="00141CF6" w:rsidRDefault="00F0403F" w:rsidP="00667880">
            <w:pPr>
              <w:jc w:val="center"/>
              <w:rPr>
                <w:b/>
                <w:bCs/>
                <w:sz w:val="20"/>
                <w:szCs w:val="20"/>
              </w:rPr>
            </w:pPr>
            <w:r w:rsidRPr="00141CF6">
              <w:rPr>
                <w:b/>
                <w:bCs/>
                <w:sz w:val="20"/>
                <w:szCs w:val="20"/>
              </w:rPr>
              <w:t>ODP t</w:t>
            </w:r>
            <w:r>
              <w:rPr>
                <w:b/>
                <w:bCs/>
                <w:sz w:val="20"/>
                <w:szCs w:val="20"/>
              </w:rPr>
              <w:t>onnes</w:t>
            </w:r>
          </w:p>
        </w:tc>
        <w:tc>
          <w:tcPr>
            <w:tcW w:w="679" w:type="pct"/>
            <w:vMerge/>
            <w:tcBorders>
              <w:left w:val="nil"/>
              <w:bottom w:val="single" w:sz="4" w:space="0" w:color="auto"/>
              <w:right w:val="single" w:sz="4" w:space="0" w:color="auto"/>
            </w:tcBorders>
            <w:shd w:val="clear" w:color="auto" w:fill="auto"/>
            <w:noWrap/>
            <w:hideMark/>
          </w:tcPr>
          <w:p w:rsidR="00F0403F" w:rsidRPr="00141CF6" w:rsidRDefault="00F0403F" w:rsidP="00667880">
            <w:pPr>
              <w:jc w:val="center"/>
              <w:rPr>
                <w:sz w:val="20"/>
                <w:szCs w:val="20"/>
              </w:rPr>
            </w:pPr>
          </w:p>
        </w:tc>
        <w:tc>
          <w:tcPr>
            <w:tcW w:w="502" w:type="pct"/>
            <w:vMerge/>
            <w:tcBorders>
              <w:left w:val="nil"/>
              <w:bottom w:val="single" w:sz="4" w:space="0" w:color="auto"/>
              <w:right w:val="single" w:sz="4" w:space="0" w:color="auto"/>
            </w:tcBorders>
            <w:shd w:val="clear" w:color="auto" w:fill="auto"/>
            <w:noWrap/>
            <w:hideMark/>
          </w:tcPr>
          <w:p w:rsidR="00F0403F" w:rsidRPr="00141CF6" w:rsidRDefault="00F0403F" w:rsidP="00667880">
            <w:pPr>
              <w:jc w:val="center"/>
              <w:rPr>
                <w:sz w:val="20"/>
                <w:szCs w:val="20"/>
              </w:rPr>
            </w:pPr>
          </w:p>
        </w:tc>
        <w:tc>
          <w:tcPr>
            <w:tcW w:w="576" w:type="pct"/>
            <w:tcBorders>
              <w:top w:val="nil"/>
              <w:left w:val="nil"/>
              <w:bottom w:val="single" w:sz="4" w:space="0" w:color="auto"/>
              <w:right w:val="single" w:sz="4" w:space="0" w:color="auto"/>
            </w:tcBorders>
            <w:shd w:val="clear" w:color="auto" w:fill="auto"/>
            <w:noWrap/>
            <w:hideMark/>
          </w:tcPr>
          <w:p w:rsidR="00F0403F" w:rsidRPr="00141CF6" w:rsidRDefault="00F0403F" w:rsidP="00667880">
            <w:pPr>
              <w:jc w:val="center"/>
              <w:rPr>
                <w:b/>
                <w:bCs/>
                <w:sz w:val="20"/>
                <w:szCs w:val="20"/>
              </w:rPr>
            </w:pPr>
            <w:r w:rsidRPr="00141CF6">
              <w:rPr>
                <w:b/>
                <w:bCs/>
                <w:sz w:val="20"/>
                <w:szCs w:val="20"/>
              </w:rPr>
              <w:t>mt</w:t>
            </w:r>
          </w:p>
        </w:tc>
        <w:tc>
          <w:tcPr>
            <w:tcW w:w="442" w:type="pct"/>
            <w:tcBorders>
              <w:top w:val="nil"/>
              <w:left w:val="nil"/>
              <w:bottom w:val="single" w:sz="4" w:space="0" w:color="auto"/>
              <w:right w:val="single" w:sz="4" w:space="0" w:color="auto"/>
            </w:tcBorders>
            <w:shd w:val="clear" w:color="auto" w:fill="auto"/>
            <w:noWrap/>
            <w:hideMark/>
          </w:tcPr>
          <w:p w:rsidR="00F0403F" w:rsidRPr="00141CF6" w:rsidRDefault="00F0403F" w:rsidP="00667880">
            <w:pPr>
              <w:jc w:val="center"/>
              <w:rPr>
                <w:b/>
                <w:bCs/>
                <w:sz w:val="20"/>
                <w:szCs w:val="20"/>
              </w:rPr>
            </w:pPr>
            <w:r w:rsidRPr="00141CF6">
              <w:rPr>
                <w:b/>
                <w:bCs/>
                <w:sz w:val="20"/>
                <w:szCs w:val="20"/>
              </w:rPr>
              <w:t>ODP t</w:t>
            </w:r>
            <w:r>
              <w:rPr>
                <w:b/>
                <w:bCs/>
                <w:sz w:val="20"/>
                <w:szCs w:val="20"/>
              </w:rPr>
              <w:t>onnes</w:t>
            </w:r>
          </w:p>
        </w:tc>
      </w:tr>
      <w:tr w:rsidR="00F0403F" w:rsidRPr="00141CF6" w:rsidTr="00667880">
        <w:trPr>
          <w:cantSplit/>
          <w:trHeight w:val="288"/>
        </w:trPr>
        <w:tc>
          <w:tcPr>
            <w:tcW w:w="1239" w:type="pct"/>
            <w:tcBorders>
              <w:top w:val="nil"/>
              <w:left w:val="single" w:sz="4" w:space="0" w:color="auto"/>
              <w:bottom w:val="single" w:sz="4" w:space="0" w:color="auto"/>
              <w:right w:val="single" w:sz="4" w:space="0" w:color="auto"/>
            </w:tcBorders>
            <w:shd w:val="clear" w:color="auto" w:fill="auto"/>
            <w:hideMark/>
          </w:tcPr>
          <w:p w:rsidR="00F0403F" w:rsidRPr="00141CF6" w:rsidRDefault="00F0403F" w:rsidP="00667880">
            <w:pPr>
              <w:jc w:val="left"/>
              <w:rPr>
                <w:sz w:val="20"/>
                <w:szCs w:val="20"/>
              </w:rPr>
            </w:pPr>
            <w:r w:rsidRPr="00141CF6">
              <w:rPr>
                <w:sz w:val="20"/>
                <w:szCs w:val="20"/>
              </w:rPr>
              <w:t>Air-conditioning</w:t>
            </w:r>
          </w:p>
        </w:tc>
        <w:tc>
          <w:tcPr>
            <w:tcW w:w="677"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8,500,000</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90,000</w:t>
            </w:r>
          </w:p>
        </w:tc>
        <w:tc>
          <w:tcPr>
            <w:tcW w:w="443"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4,950</w:t>
            </w:r>
          </w:p>
        </w:tc>
        <w:tc>
          <w:tcPr>
            <w:tcW w:w="679"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2,100,000</w:t>
            </w:r>
          </w:p>
        </w:tc>
        <w:tc>
          <w:tcPr>
            <w:tcW w:w="50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0.95</w:t>
            </w:r>
          </w:p>
        </w:tc>
        <w:tc>
          <w:tcPr>
            <w:tcW w:w="576"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1,995</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110</w:t>
            </w:r>
          </w:p>
        </w:tc>
      </w:tr>
      <w:tr w:rsidR="00F0403F" w:rsidRPr="00141CF6" w:rsidTr="00667880">
        <w:trPr>
          <w:cantSplit/>
          <w:trHeight w:val="528"/>
        </w:trPr>
        <w:tc>
          <w:tcPr>
            <w:tcW w:w="1239" w:type="pct"/>
            <w:tcBorders>
              <w:top w:val="nil"/>
              <w:left w:val="single" w:sz="4" w:space="0" w:color="auto"/>
              <w:bottom w:val="single" w:sz="4" w:space="0" w:color="auto"/>
              <w:right w:val="single" w:sz="4" w:space="0" w:color="auto"/>
            </w:tcBorders>
            <w:shd w:val="clear" w:color="auto" w:fill="auto"/>
            <w:hideMark/>
          </w:tcPr>
          <w:p w:rsidR="00F0403F" w:rsidRPr="00141CF6" w:rsidRDefault="00F0403F" w:rsidP="00667880">
            <w:pPr>
              <w:jc w:val="left"/>
              <w:rPr>
                <w:sz w:val="20"/>
                <w:szCs w:val="20"/>
              </w:rPr>
            </w:pPr>
            <w:r w:rsidRPr="00141CF6">
              <w:rPr>
                <w:sz w:val="20"/>
                <w:szCs w:val="20"/>
              </w:rPr>
              <w:t>Commercial and industrial refrigeration</w:t>
            </w:r>
          </w:p>
        </w:tc>
        <w:tc>
          <w:tcPr>
            <w:tcW w:w="677"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1,250,000</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5,250</w:t>
            </w:r>
          </w:p>
        </w:tc>
        <w:tc>
          <w:tcPr>
            <w:tcW w:w="443"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289</w:t>
            </w:r>
          </w:p>
        </w:tc>
        <w:tc>
          <w:tcPr>
            <w:tcW w:w="679"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200,000</w:t>
            </w:r>
          </w:p>
        </w:tc>
        <w:tc>
          <w:tcPr>
            <w:tcW w:w="50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4.00</w:t>
            </w:r>
          </w:p>
        </w:tc>
        <w:tc>
          <w:tcPr>
            <w:tcW w:w="576"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800</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sz w:val="20"/>
                <w:szCs w:val="20"/>
              </w:rPr>
            </w:pPr>
            <w:r w:rsidRPr="00141CF6">
              <w:rPr>
                <w:sz w:val="20"/>
                <w:szCs w:val="20"/>
              </w:rPr>
              <w:t>44</w:t>
            </w:r>
          </w:p>
        </w:tc>
      </w:tr>
      <w:tr w:rsidR="00F0403F" w:rsidRPr="00141CF6" w:rsidTr="00667880">
        <w:trPr>
          <w:cantSplit/>
          <w:trHeight w:val="312"/>
        </w:trPr>
        <w:tc>
          <w:tcPr>
            <w:tcW w:w="1239" w:type="pct"/>
            <w:tcBorders>
              <w:top w:val="nil"/>
              <w:left w:val="single" w:sz="4" w:space="0" w:color="auto"/>
              <w:bottom w:val="single" w:sz="4" w:space="0" w:color="auto"/>
              <w:right w:val="single" w:sz="4" w:space="0" w:color="auto"/>
            </w:tcBorders>
            <w:shd w:val="clear" w:color="auto" w:fill="auto"/>
            <w:hideMark/>
          </w:tcPr>
          <w:p w:rsidR="00F0403F" w:rsidRPr="00141CF6" w:rsidRDefault="00F0403F" w:rsidP="00667880">
            <w:pPr>
              <w:jc w:val="left"/>
              <w:rPr>
                <w:b/>
                <w:bCs/>
                <w:sz w:val="20"/>
                <w:szCs w:val="20"/>
              </w:rPr>
            </w:pPr>
            <w:r w:rsidRPr="00141CF6">
              <w:rPr>
                <w:b/>
                <w:bCs/>
                <w:sz w:val="20"/>
                <w:szCs w:val="20"/>
              </w:rPr>
              <w:t>Total</w:t>
            </w:r>
          </w:p>
        </w:tc>
        <w:tc>
          <w:tcPr>
            <w:tcW w:w="677"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b/>
                <w:bCs/>
                <w:sz w:val="20"/>
                <w:szCs w:val="20"/>
              </w:rPr>
            </w:pPr>
            <w:r w:rsidRPr="00141CF6">
              <w:rPr>
                <w:b/>
                <w:bCs/>
                <w:sz w:val="20"/>
                <w:szCs w:val="20"/>
              </w:rPr>
              <w:t>9,750,000</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b/>
                <w:bCs/>
                <w:sz w:val="20"/>
                <w:szCs w:val="20"/>
              </w:rPr>
            </w:pPr>
            <w:r w:rsidRPr="00141CF6">
              <w:rPr>
                <w:b/>
                <w:bCs/>
                <w:sz w:val="20"/>
                <w:szCs w:val="20"/>
              </w:rPr>
              <w:t>95,250</w:t>
            </w:r>
          </w:p>
        </w:tc>
        <w:tc>
          <w:tcPr>
            <w:tcW w:w="443"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b/>
                <w:bCs/>
                <w:sz w:val="20"/>
                <w:szCs w:val="20"/>
              </w:rPr>
            </w:pPr>
            <w:r w:rsidRPr="00141CF6">
              <w:rPr>
                <w:b/>
                <w:bCs/>
                <w:sz w:val="20"/>
                <w:szCs w:val="20"/>
              </w:rPr>
              <w:t>5,239</w:t>
            </w:r>
          </w:p>
        </w:tc>
        <w:tc>
          <w:tcPr>
            <w:tcW w:w="679" w:type="pct"/>
            <w:tcBorders>
              <w:top w:val="nil"/>
              <w:left w:val="nil"/>
              <w:bottom w:val="single" w:sz="4" w:space="0" w:color="auto"/>
              <w:right w:val="single" w:sz="4" w:space="0" w:color="auto"/>
            </w:tcBorders>
            <w:shd w:val="clear" w:color="auto" w:fill="auto"/>
            <w:hideMark/>
          </w:tcPr>
          <w:p w:rsidR="00F0403F" w:rsidRPr="009A3BBD" w:rsidRDefault="009A3BBD" w:rsidP="00667880">
            <w:pPr>
              <w:jc w:val="right"/>
              <w:rPr>
                <w:b/>
                <w:sz w:val="20"/>
                <w:szCs w:val="20"/>
              </w:rPr>
            </w:pPr>
            <w:r w:rsidRPr="009A3BBD">
              <w:rPr>
                <w:b/>
                <w:sz w:val="20"/>
                <w:szCs w:val="20"/>
              </w:rPr>
              <w:t>2,300,000</w:t>
            </w:r>
          </w:p>
        </w:tc>
        <w:tc>
          <w:tcPr>
            <w:tcW w:w="502" w:type="pct"/>
            <w:tcBorders>
              <w:top w:val="nil"/>
              <w:left w:val="nil"/>
              <w:bottom w:val="single" w:sz="4" w:space="0" w:color="auto"/>
              <w:right w:val="single" w:sz="4" w:space="0" w:color="auto"/>
            </w:tcBorders>
            <w:shd w:val="clear" w:color="auto" w:fill="auto"/>
            <w:hideMark/>
          </w:tcPr>
          <w:p w:rsidR="00F0403F" w:rsidRPr="009A3BBD" w:rsidRDefault="00F0403F" w:rsidP="00667880">
            <w:pPr>
              <w:jc w:val="right"/>
              <w:rPr>
                <w:b/>
                <w:sz w:val="20"/>
                <w:szCs w:val="20"/>
              </w:rPr>
            </w:pPr>
          </w:p>
        </w:tc>
        <w:tc>
          <w:tcPr>
            <w:tcW w:w="576"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b/>
                <w:bCs/>
                <w:sz w:val="20"/>
                <w:szCs w:val="20"/>
              </w:rPr>
            </w:pPr>
            <w:r w:rsidRPr="00141CF6">
              <w:rPr>
                <w:b/>
                <w:bCs/>
                <w:sz w:val="20"/>
                <w:szCs w:val="20"/>
              </w:rPr>
              <w:t>2,795</w:t>
            </w:r>
          </w:p>
        </w:tc>
        <w:tc>
          <w:tcPr>
            <w:tcW w:w="442" w:type="pct"/>
            <w:tcBorders>
              <w:top w:val="nil"/>
              <w:left w:val="nil"/>
              <w:bottom w:val="single" w:sz="4" w:space="0" w:color="auto"/>
              <w:right w:val="single" w:sz="4" w:space="0" w:color="auto"/>
            </w:tcBorders>
            <w:shd w:val="clear" w:color="auto" w:fill="auto"/>
            <w:hideMark/>
          </w:tcPr>
          <w:p w:rsidR="00F0403F" w:rsidRPr="00141CF6" w:rsidRDefault="00F0403F" w:rsidP="00667880">
            <w:pPr>
              <w:jc w:val="right"/>
              <w:rPr>
                <w:b/>
                <w:bCs/>
                <w:sz w:val="20"/>
                <w:szCs w:val="20"/>
              </w:rPr>
            </w:pPr>
            <w:r w:rsidRPr="00141CF6">
              <w:rPr>
                <w:b/>
                <w:bCs/>
                <w:sz w:val="20"/>
                <w:szCs w:val="20"/>
              </w:rPr>
              <w:t>154</w:t>
            </w:r>
          </w:p>
        </w:tc>
      </w:tr>
    </w:tbl>
    <w:p w:rsidR="00F0403F" w:rsidRPr="00141CF6" w:rsidRDefault="00F0403F" w:rsidP="00F0403F">
      <w:pPr>
        <w:rPr>
          <w:rFonts w:eastAsia="Calibri"/>
          <w:lang w:eastAsia="en-GB"/>
        </w:rPr>
      </w:pPr>
    </w:p>
    <w:p w:rsidR="00B67B98" w:rsidRPr="00B67B98" w:rsidRDefault="00F0403F" w:rsidP="00B67B98">
      <w:pPr>
        <w:pStyle w:val="Heading1"/>
        <w:rPr>
          <w:rFonts w:eastAsia="Calibri"/>
          <w:b/>
          <w:color w:val="000000" w:themeColor="text1"/>
        </w:rPr>
      </w:pPr>
      <w:r w:rsidRPr="00B67B98">
        <w:rPr>
          <w:rFonts w:eastAsia="Calibri"/>
          <w:lang w:eastAsia="en-GB"/>
        </w:rPr>
        <w:t xml:space="preserve">Due to the recent opening of </w:t>
      </w:r>
      <w:r w:rsidR="00482AA6">
        <w:rPr>
          <w:rFonts w:eastAsia="Calibri"/>
          <w:lang w:eastAsia="en-GB"/>
        </w:rPr>
        <w:t xml:space="preserve">a </w:t>
      </w:r>
      <w:r w:rsidR="00B67B98" w:rsidRPr="00B67B98">
        <w:rPr>
          <w:rFonts w:eastAsia="Calibri"/>
          <w:lang w:eastAsia="en-GB"/>
        </w:rPr>
        <w:t xml:space="preserve">large number of </w:t>
      </w:r>
      <w:r w:rsidRPr="00B67B98">
        <w:rPr>
          <w:rFonts w:eastAsia="Calibri"/>
          <w:lang w:eastAsia="en-GB"/>
        </w:rPr>
        <w:t xml:space="preserve">small food retailers in </w:t>
      </w:r>
      <w:r w:rsidR="00482AA6" w:rsidRPr="00577666">
        <w:rPr>
          <w:rFonts w:eastAsia="Calibri"/>
          <w:lang w:eastAsia="en-GB"/>
        </w:rPr>
        <w:t>major cities,</w:t>
      </w:r>
      <w:r w:rsidRPr="00577666">
        <w:rPr>
          <w:rFonts w:eastAsia="Calibri"/>
          <w:lang w:eastAsia="en-GB"/>
        </w:rPr>
        <w:t xml:space="preserve"> the sale of commercial refrigeration systems has increased and is expected to continue growing </w:t>
      </w:r>
      <w:r w:rsidR="00B67B98" w:rsidRPr="00577666">
        <w:rPr>
          <w:rFonts w:eastAsia="Calibri"/>
          <w:lang w:eastAsia="en-GB"/>
        </w:rPr>
        <w:t>3.5 to 5 per</w:t>
      </w:r>
      <w:r w:rsidR="00B67B98" w:rsidRPr="00B67B98">
        <w:rPr>
          <w:rFonts w:eastAsia="Calibri"/>
          <w:lang w:eastAsia="en-GB"/>
        </w:rPr>
        <w:t xml:space="preserve"> cent up to </w:t>
      </w:r>
      <w:r w:rsidRPr="00B67B98">
        <w:rPr>
          <w:rFonts w:eastAsia="Calibri"/>
          <w:lang w:eastAsia="en-GB"/>
        </w:rPr>
        <w:t>2018</w:t>
      </w:r>
      <w:r w:rsidR="00B67B98">
        <w:rPr>
          <w:rFonts w:eastAsia="Calibri"/>
          <w:lang w:eastAsia="en-GB"/>
        </w:rPr>
        <w:t>.</w:t>
      </w:r>
    </w:p>
    <w:p w:rsidR="00F0403F" w:rsidRPr="00B67B98" w:rsidRDefault="00F0403F" w:rsidP="00B67B98">
      <w:pPr>
        <w:keepNext/>
        <w:spacing w:after="240"/>
        <w:outlineLvl w:val="0"/>
        <w:rPr>
          <w:rFonts w:eastAsia="Calibri"/>
          <w:b/>
          <w:color w:val="000000" w:themeColor="text1"/>
        </w:rPr>
      </w:pPr>
      <w:r w:rsidRPr="00B67B98">
        <w:rPr>
          <w:rFonts w:eastAsia="Calibri"/>
          <w:b/>
          <w:color w:val="000000" w:themeColor="text1"/>
        </w:rPr>
        <w:t>Proposed activities in stage II of the HPMP</w:t>
      </w:r>
    </w:p>
    <w:p w:rsidR="00F0403F" w:rsidRPr="00141CF6" w:rsidRDefault="00F0403F" w:rsidP="00F0403F">
      <w:pPr>
        <w:numPr>
          <w:ilvl w:val="0"/>
          <w:numId w:val="1"/>
        </w:numPr>
        <w:spacing w:after="240"/>
        <w:outlineLvl w:val="0"/>
      </w:pPr>
      <w:r w:rsidRPr="00141CF6">
        <w:rPr>
          <w:rFonts w:eastAsia="Calibri"/>
        </w:rPr>
        <w:t>The activities to be implemented during stage II include the total phase-out of HCFC</w:t>
      </w:r>
      <w:r w:rsidR="00B67B98">
        <w:rPr>
          <w:rFonts w:eastAsia="Calibri"/>
        </w:rPr>
        <w:t>s</w:t>
      </w:r>
      <w:r w:rsidRPr="00141CF6">
        <w:rPr>
          <w:rFonts w:eastAsia="Calibri"/>
        </w:rPr>
        <w:t xml:space="preserve"> in the PU </w:t>
      </w:r>
      <w:r w:rsidR="00B67B98">
        <w:rPr>
          <w:rFonts w:eastAsia="Calibri"/>
        </w:rPr>
        <w:t xml:space="preserve">and XPS </w:t>
      </w:r>
      <w:r w:rsidRPr="00141CF6">
        <w:rPr>
          <w:rFonts w:eastAsia="Calibri"/>
        </w:rPr>
        <w:t>foam manufacturing</w:t>
      </w:r>
      <w:r w:rsidR="00480353">
        <w:rPr>
          <w:rFonts w:eastAsia="Calibri"/>
        </w:rPr>
        <w:t xml:space="preserve"> sectors, assistance</w:t>
      </w:r>
      <w:r w:rsidRPr="00141CF6">
        <w:rPr>
          <w:rFonts w:eastAsia="Calibri"/>
        </w:rPr>
        <w:t xml:space="preserve"> to</w:t>
      </w:r>
      <w:r w:rsidR="00480353">
        <w:rPr>
          <w:rFonts w:eastAsia="Calibri"/>
        </w:rPr>
        <w:t xml:space="preserve"> the</w:t>
      </w:r>
      <w:r w:rsidRPr="00141CF6">
        <w:rPr>
          <w:rFonts w:eastAsia="Calibri"/>
        </w:rPr>
        <w:t xml:space="preserve"> refrigeration servicing sector</w:t>
      </w:r>
      <w:r w:rsidR="00B67B98">
        <w:rPr>
          <w:rFonts w:eastAsia="Calibri"/>
        </w:rPr>
        <w:t xml:space="preserve"> and</w:t>
      </w:r>
      <w:r w:rsidRPr="00141CF6">
        <w:rPr>
          <w:rFonts w:eastAsia="SimSun"/>
          <w:lang w:eastAsia="zh-CN"/>
        </w:rPr>
        <w:t xml:space="preserve"> monitoring of HCFC</w:t>
      </w:r>
      <w:r w:rsidR="00480353">
        <w:rPr>
          <w:rFonts w:eastAsia="SimSun"/>
          <w:lang w:eastAsia="zh-CN"/>
        </w:rPr>
        <w:t>-22</w:t>
      </w:r>
      <w:r w:rsidRPr="00141CF6">
        <w:rPr>
          <w:rFonts w:eastAsia="SimSun"/>
          <w:lang w:eastAsia="zh-CN"/>
        </w:rPr>
        <w:t xml:space="preserve"> production</w:t>
      </w:r>
      <w:r w:rsidR="00B67B98">
        <w:rPr>
          <w:rFonts w:eastAsia="SimSun"/>
          <w:lang w:eastAsia="zh-CN"/>
        </w:rPr>
        <w:t>.</w:t>
      </w:r>
    </w:p>
    <w:p w:rsidR="00F0403F" w:rsidRPr="00141CF6" w:rsidRDefault="00F0403F" w:rsidP="00F0403F">
      <w:pPr>
        <w:widowControl w:val="0"/>
        <w:spacing w:after="240"/>
        <w:outlineLvl w:val="0"/>
        <w:rPr>
          <w:u w:val="single"/>
        </w:rPr>
      </w:pPr>
      <w:r w:rsidRPr="00141CF6">
        <w:rPr>
          <w:u w:val="single"/>
        </w:rPr>
        <w:t>Activities in the manufacturing sector</w:t>
      </w:r>
    </w:p>
    <w:p w:rsidR="00F0403F" w:rsidRPr="00141CF6" w:rsidRDefault="00F0403F" w:rsidP="00F0403F">
      <w:pPr>
        <w:widowControl w:val="0"/>
        <w:spacing w:after="240"/>
        <w:outlineLvl w:val="0"/>
        <w:rPr>
          <w:i/>
        </w:rPr>
      </w:pPr>
      <w:r w:rsidRPr="00141CF6">
        <w:rPr>
          <w:i/>
        </w:rPr>
        <w:t>PU foam manufacturing sector</w:t>
      </w:r>
    </w:p>
    <w:p w:rsidR="00F0403F" w:rsidRPr="00A16B23" w:rsidRDefault="00F0403F" w:rsidP="00F0403F">
      <w:pPr>
        <w:numPr>
          <w:ilvl w:val="0"/>
          <w:numId w:val="1"/>
        </w:numPr>
        <w:tabs>
          <w:tab w:val="clear" w:pos="0"/>
        </w:tabs>
        <w:spacing w:after="240"/>
        <w:outlineLvl w:val="0"/>
      </w:pPr>
      <w:r w:rsidRPr="00141CF6">
        <w:rPr>
          <w:spacing w:val="-2"/>
        </w:rPr>
        <w:t>S</w:t>
      </w:r>
      <w:r w:rsidRPr="00141CF6">
        <w:t xml:space="preserve">tage II includes the </w:t>
      </w:r>
      <w:r w:rsidRPr="00A16B23">
        <w:t xml:space="preserve">complete phase-out of </w:t>
      </w:r>
      <w:r w:rsidR="00B67B98" w:rsidRPr="00A16B23">
        <w:t xml:space="preserve">731.17 mt (80.43  ODP tonnes) </w:t>
      </w:r>
      <w:r w:rsidRPr="00A16B23">
        <w:t>of HCFC-141b</w:t>
      </w:r>
      <w:r w:rsidR="00B67B98" w:rsidRPr="00A16B23">
        <w:t xml:space="preserve"> use</w:t>
      </w:r>
      <w:r w:rsidR="00A16B23" w:rsidRPr="00A16B23">
        <w:t>d</w:t>
      </w:r>
      <w:r w:rsidRPr="00A16B23">
        <w:t xml:space="preserve"> in the PU foam manufacturing sector by 1 January 2022 through: </w:t>
      </w:r>
    </w:p>
    <w:p w:rsidR="00F0403F" w:rsidRPr="00141CF6" w:rsidRDefault="00F0403F" w:rsidP="00F0403F">
      <w:pPr>
        <w:widowControl w:val="0"/>
        <w:numPr>
          <w:ilvl w:val="1"/>
          <w:numId w:val="1"/>
        </w:numPr>
        <w:spacing w:after="240"/>
        <w:outlineLvl w:val="1"/>
      </w:pPr>
      <w:r w:rsidRPr="00141CF6">
        <w:t>The conversion of the two PU foam enterprises (Friostar and Argenpur) to cyclopentane for rigid PU and block, and to HFO reduced with water for spray foam, with the phase</w:t>
      </w:r>
      <w:r>
        <w:noBreakHyphen/>
      </w:r>
      <w:r w:rsidRPr="00141CF6">
        <w:t xml:space="preserve">out of </w:t>
      </w:r>
      <w:r w:rsidR="001E7A19">
        <w:t>67.24</w:t>
      </w:r>
      <w:r w:rsidR="00673FC0">
        <w:t> mt</w:t>
      </w:r>
      <w:r w:rsidRPr="00141CF6">
        <w:t xml:space="preserve"> (</w:t>
      </w:r>
      <w:r w:rsidR="001E7A19">
        <w:t>7.40</w:t>
      </w:r>
      <w:r w:rsidR="00673FC0">
        <w:t> ODP tonnes</w:t>
      </w:r>
      <w:r w:rsidRPr="00141CF6">
        <w:t>) of HCFC-141b;</w:t>
      </w:r>
    </w:p>
    <w:p w:rsidR="00F0403F" w:rsidRDefault="00F0403F" w:rsidP="00F0403F">
      <w:pPr>
        <w:widowControl w:val="0"/>
        <w:numPr>
          <w:ilvl w:val="1"/>
          <w:numId w:val="1"/>
        </w:numPr>
        <w:spacing w:after="240"/>
        <w:outlineLvl w:val="1"/>
      </w:pPr>
      <w:r w:rsidRPr="00141CF6">
        <w:t>Seven umbrella projects implemented through seven systems houses and distributors to convert 160 eligible SMEs to reduced HFO formulations</w:t>
      </w:r>
      <w:r w:rsidR="00B67B98">
        <w:t xml:space="preserve">, with the </w:t>
      </w:r>
      <w:r w:rsidRPr="00141CF6">
        <w:t>phase</w:t>
      </w:r>
      <w:r w:rsidR="00B67B98">
        <w:t>-</w:t>
      </w:r>
      <w:r w:rsidRPr="00141CF6">
        <w:t xml:space="preserve">out </w:t>
      </w:r>
      <w:r w:rsidR="001E7A19">
        <w:t>545.06</w:t>
      </w:r>
      <w:r w:rsidR="00673FC0">
        <w:t> mt</w:t>
      </w:r>
      <w:r w:rsidRPr="00141CF6">
        <w:t xml:space="preserve"> (</w:t>
      </w:r>
      <w:r w:rsidR="001E7A19">
        <w:t>59.96</w:t>
      </w:r>
      <w:r w:rsidR="00673FC0">
        <w:t> ODP tonnes</w:t>
      </w:r>
      <w:r w:rsidRPr="00141CF6">
        <w:t>) of HCFC-141b;</w:t>
      </w:r>
    </w:p>
    <w:p w:rsidR="00D35035" w:rsidRPr="00577666" w:rsidRDefault="00D735C8" w:rsidP="00D35035">
      <w:pPr>
        <w:pStyle w:val="Heading2"/>
      </w:pPr>
      <w:r w:rsidRPr="00577666">
        <w:t>Additional a</w:t>
      </w:r>
      <w:r w:rsidR="00AF4CEE" w:rsidRPr="00577666">
        <w:t xml:space="preserve">ssistance </w:t>
      </w:r>
      <w:r w:rsidRPr="00577666">
        <w:t xml:space="preserve">under the systems houses project </w:t>
      </w:r>
      <w:r w:rsidR="00AF4CEE" w:rsidRPr="00577666">
        <w:t xml:space="preserve">to address </w:t>
      </w:r>
      <w:r w:rsidR="005B231A" w:rsidRPr="00577666">
        <w:t xml:space="preserve">the </w:t>
      </w:r>
      <w:r w:rsidRPr="00577666">
        <w:t xml:space="preserve">phase-out of the </w:t>
      </w:r>
      <w:r w:rsidR="00D35035" w:rsidRPr="00577666">
        <w:t xml:space="preserve">remaining consumption </w:t>
      </w:r>
      <w:r w:rsidR="00AC507D" w:rsidRPr="00577666">
        <w:t xml:space="preserve">of </w:t>
      </w:r>
      <w:r w:rsidR="00D35035" w:rsidRPr="00577666">
        <w:t>29.6</w:t>
      </w:r>
      <w:r w:rsidR="00C8328B" w:rsidRPr="00577666">
        <w:t>4</w:t>
      </w:r>
      <w:r w:rsidR="00794A7B" w:rsidRPr="00577666">
        <w:t> </w:t>
      </w:r>
      <w:r w:rsidR="00D35035" w:rsidRPr="00577666">
        <w:t xml:space="preserve">mt </w:t>
      </w:r>
      <w:r w:rsidR="00AC507D" w:rsidRPr="00577666">
        <w:t>(</w:t>
      </w:r>
      <w:r w:rsidR="00D35035" w:rsidRPr="00577666">
        <w:t>3.</w:t>
      </w:r>
      <w:r w:rsidR="00794A7B" w:rsidRPr="00577666">
        <w:t>26 </w:t>
      </w:r>
      <w:r w:rsidR="00D35035" w:rsidRPr="00577666">
        <w:t>ODP</w:t>
      </w:r>
      <w:r w:rsidR="00794A7B" w:rsidRPr="00577666">
        <w:t> </w:t>
      </w:r>
      <w:r w:rsidR="00D35035" w:rsidRPr="00577666">
        <w:t>tonnes)</w:t>
      </w:r>
      <w:r w:rsidR="00AF4CEE" w:rsidRPr="00577666">
        <w:t xml:space="preserve"> in the starting point,</w:t>
      </w:r>
      <w:r w:rsidR="00AC507D" w:rsidRPr="00577666">
        <w:t xml:space="preserve"> </w:t>
      </w:r>
      <w:r w:rsidR="00D35035" w:rsidRPr="00577666">
        <w:t>consumed by non-identified enterprises;</w:t>
      </w:r>
      <w:r w:rsidR="005B231A" w:rsidRPr="00577666">
        <w:t xml:space="preserve"> and</w:t>
      </w:r>
    </w:p>
    <w:p w:rsidR="00F0403F" w:rsidRPr="00141CF6" w:rsidRDefault="00F0403F" w:rsidP="00F0403F">
      <w:pPr>
        <w:widowControl w:val="0"/>
        <w:numPr>
          <w:ilvl w:val="1"/>
          <w:numId w:val="1"/>
        </w:numPr>
        <w:spacing w:after="240"/>
        <w:outlineLvl w:val="1"/>
      </w:pPr>
      <w:r w:rsidRPr="00141CF6">
        <w:t xml:space="preserve">A ban on the import of HCFC-141b, pure and pre-blended </w:t>
      </w:r>
      <w:r w:rsidR="00AF4CEE">
        <w:t xml:space="preserve">in </w:t>
      </w:r>
      <w:r w:rsidRPr="00141CF6">
        <w:t xml:space="preserve">formulated polyols </w:t>
      </w:r>
      <w:r w:rsidR="00D35035">
        <w:t>to enter into force o</w:t>
      </w:r>
      <w:r w:rsidRPr="00141CF6">
        <w:t>n 1 January 2022. While conversions are expected to take place by 2020, the additional time was determined given the current uncertainty of the HFO market situation over the next 5</w:t>
      </w:r>
      <w:r w:rsidRPr="00141CF6">
        <w:noBreakHyphen/>
        <w:t>year period, and to allow for contingencies in converting SMEs.</w:t>
      </w:r>
    </w:p>
    <w:p w:rsidR="00F0403F" w:rsidRPr="00577666" w:rsidRDefault="00F0403F" w:rsidP="00577666">
      <w:pPr>
        <w:pStyle w:val="Heading1"/>
      </w:pPr>
      <w:r w:rsidRPr="00141CF6">
        <w:t xml:space="preserve">Incremental capital cost (ICC) for the conversion of </w:t>
      </w:r>
      <w:r w:rsidR="00AC507D">
        <w:t xml:space="preserve">Friostar and </w:t>
      </w:r>
      <w:r w:rsidR="00AC507D" w:rsidRPr="00577666">
        <w:t>Argenpur</w:t>
      </w:r>
      <w:r w:rsidRPr="00577666">
        <w:t xml:space="preserve"> </w:t>
      </w:r>
      <w:r w:rsidR="007F08EF" w:rsidRPr="00577666">
        <w:t xml:space="preserve">(blocks) </w:t>
      </w:r>
      <w:r w:rsidRPr="00577666">
        <w:t>to cyclopentane includes HC storage and blending items (</w:t>
      </w:r>
      <w:r w:rsidR="009A3BBD" w:rsidRPr="00577666">
        <w:t>US $</w:t>
      </w:r>
      <w:r w:rsidRPr="00577666">
        <w:t xml:space="preserve">20,000 to </w:t>
      </w:r>
      <w:r w:rsidR="009A3BBD" w:rsidRPr="00577666">
        <w:t>US $</w:t>
      </w:r>
      <w:r w:rsidRPr="00577666">
        <w:t>89,000); retrofit of foam dispensers (</w:t>
      </w:r>
      <w:r w:rsidR="009A3BBD" w:rsidRPr="00577666">
        <w:t>US $</w:t>
      </w:r>
      <w:r w:rsidRPr="00577666">
        <w:t>145,000) and a high-pressure foam dispenser (</w:t>
      </w:r>
      <w:r w:rsidR="009A3BBD" w:rsidRPr="00577666">
        <w:t>US $</w:t>
      </w:r>
      <w:r w:rsidRPr="00577666">
        <w:t>180,000); plant safety for ventilation, electrical heating modification, gas sensors, fire protection system, lightning protection and grounding, antistatic floor and safety audit (</w:t>
      </w:r>
      <w:r w:rsidR="009A3BBD" w:rsidRPr="00577666">
        <w:t>US $</w:t>
      </w:r>
      <w:r w:rsidRPr="00577666">
        <w:t xml:space="preserve">89,000 and </w:t>
      </w:r>
      <w:r w:rsidR="009A3BBD" w:rsidRPr="00577666">
        <w:t>US $</w:t>
      </w:r>
      <w:r w:rsidRPr="00577666">
        <w:t>209,000); and trials and commissioning (</w:t>
      </w:r>
      <w:r w:rsidR="009A3BBD" w:rsidRPr="00577666">
        <w:t>US $</w:t>
      </w:r>
      <w:r w:rsidRPr="00577666">
        <w:t xml:space="preserve">45,000 to </w:t>
      </w:r>
      <w:r w:rsidR="009A3BBD" w:rsidRPr="00577666">
        <w:t>US $</w:t>
      </w:r>
      <w:r w:rsidRPr="00577666">
        <w:t xml:space="preserve">50,000). </w:t>
      </w:r>
      <w:r w:rsidR="00217634" w:rsidRPr="00577666">
        <w:t xml:space="preserve">The ICC for the conversion of Argenpur (spray) to HFO includes cooling </w:t>
      </w:r>
      <w:r w:rsidR="00217634" w:rsidRPr="00577666">
        <w:lastRenderedPageBreak/>
        <w:t>system for HFO based formulations (US</w:t>
      </w:r>
      <w:r w:rsidR="007E36F3" w:rsidRPr="00577666">
        <w:t> </w:t>
      </w:r>
      <w:r w:rsidR="00217634" w:rsidRPr="00577666">
        <w:t>$5,000) and technical assistance, trials and testing (US</w:t>
      </w:r>
      <w:r w:rsidR="007E36F3" w:rsidRPr="00577666">
        <w:t> </w:t>
      </w:r>
      <w:r w:rsidR="00217634" w:rsidRPr="00577666">
        <w:t xml:space="preserve">$15,000). </w:t>
      </w:r>
      <w:r w:rsidRPr="00141CF6">
        <w:t>Contingencies were calculated at 10 per cent of the capital cost for individual conversions.</w:t>
      </w:r>
    </w:p>
    <w:p w:rsidR="00F0403F" w:rsidRPr="00141CF6" w:rsidRDefault="00F0403F" w:rsidP="00F0403F">
      <w:pPr>
        <w:numPr>
          <w:ilvl w:val="0"/>
          <w:numId w:val="1"/>
        </w:numPr>
        <w:spacing w:after="240"/>
        <w:outlineLvl w:val="0"/>
      </w:pPr>
      <w:r w:rsidRPr="00141CF6">
        <w:t>The ICC for the two local systems houses include support t</w:t>
      </w:r>
      <w:r>
        <w:t>o develop foam formulations (US </w:t>
      </w:r>
      <w:r w:rsidRPr="00141CF6">
        <w:t>30,000 each)</w:t>
      </w:r>
      <w:r w:rsidR="00AC507D">
        <w:t>,</w:t>
      </w:r>
      <w:r w:rsidRPr="00141CF6">
        <w:t xml:space="preserve"> thermal conductivity tester (</w:t>
      </w:r>
      <w:r w:rsidR="009A3BBD">
        <w:t>US $</w:t>
      </w:r>
      <w:r w:rsidRPr="00141CF6">
        <w:t>35,000)</w:t>
      </w:r>
      <w:r w:rsidR="00AC507D">
        <w:t>,</w:t>
      </w:r>
      <w:r w:rsidRPr="00141CF6">
        <w:t xml:space="preserve"> and cooling systems for blending tanks (</w:t>
      </w:r>
      <w:r w:rsidR="009A3BBD">
        <w:t>US $</w:t>
      </w:r>
      <w:r w:rsidRPr="00141CF6">
        <w:t xml:space="preserve">15,000). An additional </w:t>
      </w:r>
      <w:r w:rsidR="009A3BBD">
        <w:t>US $</w:t>
      </w:r>
      <w:r w:rsidRPr="00141CF6">
        <w:t>1,000 per downstream user is included for project management. At the downstream user level, ICC includes cooling system for HFO based formulations (</w:t>
      </w:r>
      <w:r w:rsidR="009A3BBD">
        <w:t>US $</w:t>
      </w:r>
      <w:r w:rsidRPr="00141CF6">
        <w:t>5,000); testing and trials (</w:t>
      </w:r>
      <w:r w:rsidR="009A3BBD">
        <w:t>US $</w:t>
      </w:r>
      <w:r w:rsidRPr="00141CF6">
        <w:t>15,000</w:t>
      </w:r>
      <w:r w:rsidR="00AC507D">
        <w:t>/enterprise</w:t>
      </w:r>
      <w:r w:rsidRPr="00141CF6">
        <w:t xml:space="preserve"> for consumption above 10</w:t>
      </w:r>
      <w:r w:rsidR="00673FC0">
        <w:t> mt</w:t>
      </w:r>
      <w:r w:rsidRPr="00141CF6">
        <w:t xml:space="preserve">, </w:t>
      </w:r>
      <w:r w:rsidR="009A3BBD">
        <w:t>US $</w:t>
      </w:r>
      <w:r w:rsidRPr="00141CF6">
        <w:t>10,000</w:t>
      </w:r>
      <w:r w:rsidR="00AC507D">
        <w:t xml:space="preserve">/enterprise for </w:t>
      </w:r>
      <w:r w:rsidRPr="00141CF6">
        <w:t>consumption between 10</w:t>
      </w:r>
      <w:r>
        <w:t> </w:t>
      </w:r>
      <w:r w:rsidRPr="00141CF6">
        <w:t xml:space="preserve"> and one</w:t>
      </w:r>
      <w:r w:rsidR="00673FC0">
        <w:t> mt</w:t>
      </w:r>
      <w:r w:rsidRPr="00141CF6">
        <w:t xml:space="preserve">, </w:t>
      </w:r>
      <w:r w:rsidR="009A3BBD">
        <w:t>US $</w:t>
      </w:r>
      <w:r w:rsidRPr="00141CF6">
        <w:t>3,000</w:t>
      </w:r>
      <w:r w:rsidR="00AC507D">
        <w:t>/enterprise</w:t>
      </w:r>
      <w:r w:rsidRPr="00141CF6">
        <w:t xml:space="preserve"> for consumption between one</w:t>
      </w:r>
      <w:r w:rsidR="00673FC0">
        <w:t> mt</w:t>
      </w:r>
      <w:r w:rsidRPr="00141CF6">
        <w:t xml:space="preserve"> and 500 kg, and </w:t>
      </w:r>
      <w:r w:rsidR="009A3BBD">
        <w:t>US $</w:t>
      </w:r>
      <w:r w:rsidRPr="00141CF6">
        <w:t>1,300</w:t>
      </w:r>
      <w:r w:rsidR="00AC507D">
        <w:t>/enterprise</w:t>
      </w:r>
      <w:r w:rsidRPr="00141CF6">
        <w:t xml:space="preserve"> for consumption between 500 kg and 100 kg). Contingencies are calculated at 10 per cent of the capital cost. </w:t>
      </w:r>
    </w:p>
    <w:p w:rsidR="00F0403F" w:rsidRDefault="00F0403F" w:rsidP="00F0403F">
      <w:pPr>
        <w:numPr>
          <w:ilvl w:val="0"/>
          <w:numId w:val="1"/>
        </w:numPr>
        <w:spacing w:after="240"/>
        <w:outlineLvl w:val="0"/>
      </w:pPr>
      <w:r w:rsidRPr="009A3BBD">
        <w:t xml:space="preserve">IOCs are estimated at between </w:t>
      </w:r>
      <w:r w:rsidR="009A3BBD" w:rsidRPr="009A3BBD">
        <w:t>US $0.36</w:t>
      </w:r>
      <w:r w:rsidRPr="009A3BBD">
        <w:t xml:space="preserve"> and </w:t>
      </w:r>
      <w:r w:rsidR="009A3BBD" w:rsidRPr="009A3BBD">
        <w:t>US $0.40</w:t>
      </w:r>
      <w:r w:rsidRPr="009A3BBD">
        <w:t xml:space="preserve">/kg for cyclopentane, and </w:t>
      </w:r>
      <w:r w:rsidR="009A3BBD" w:rsidRPr="009A3BBD">
        <w:t>US $10.56</w:t>
      </w:r>
      <w:r w:rsidRPr="009A3BBD">
        <w:t xml:space="preserve"> for reduced HFO formulations. For non-SMEs, funds requested for IOCs are equal to or</w:t>
      </w:r>
      <w:r w:rsidRPr="00141CF6">
        <w:t xml:space="preserve"> below </w:t>
      </w:r>
      <w:r w:rsidR="009A3BBD">
        <w:t>US $</w:t>
      </w:r>
      <w:r w:rsidRPr="00141CF6">
        <w:t>5.00/kg.</w:t>
      </w:r>
    </w:p>
    <w:p w:rsidR="00083CD6" w:rsidRPr="00577666" w:rsidRDefault="003D2B4A" w:rsidP="00F0403F">
      <w:pPr>
        <w:numPr>
          <w:ilvl w:val="0"/>
          <w:numId w:val="1"/>
        </w:numPr>
        <w:spacing w:after="240"/>
        <w:outlineLvl w:val="0"/>
      </w:pPr>
      <w:r>
        <w:t>In</w:t>
      </w:r>
      <w:r w:rsidR="00794A7B">
        <w:t xml:space="preserve"> addition </w:t>
      </w:r>
      <w:r>
        <w:t>US $324,</w:t>
      </w:r>
      <w:r w:rsidRPr="00577666">
        <w:t xml:space="preserve">874 is being </w:t>
      </w:r>
      <w:r w:rsidR="00794A7B" w:rsidRPr="00577666">
        <w:t xml:space="preserve">requested </w:t>
      </w:r>
      <w:r w:rsidR="00D90275" w:rsidRPr="00577666">
        <w:t>under the systems houses project to address the phase-out of the remaining consumption of 29.64 </w:t>
      </w:r>
      <w:proofErr w:type="spellStart"/>
      <w:r w:rsidR="00D90275" w:rsidRPr="00577666">
        <w:t>mt</w:t>
      </w:r>
      <w:proofErr w:type="spellEnd"/>
      <w:r w:rsidR="00D90275" w:rsidRPr="00577666">
        <w:t xml:space="preserve"> (3.26 ODP tonnes) in the starting point, consumed by non-identified enterprises </w:t>
      </w:r>
      <w:r w:rsidRPr="00577666">
        <w:t xml:space="preserve">based on the cost-effectiveness threshold of </w:t>
      </w:r>
      <w:r w:rsidR="00794A7B" w:rsidRPr="00577666">
        <w:t>US</w:t>
      </w:r>
      <w:r w:rsidRPr="00577666">
        <w:t> </w:t>
      </w:r>
      <w:r w:rsidR="00794A7B" w:rsidRPr="00577666">
        <w:t>$10.96/kg.</w:t>
      </w:r>
    </w:p>
    <w:p w:rsidR="00F0403F" w:rsidRPr="00141CF6" w:rsidRDefault="00F0403F" w:rsidP="00F0403F">
      <w:pPr>
        <w:spacing w:after="240"/>
        <w:outlineLvl w:val="0"/>
        <w:rPr>
          <w:i/>
        </w:rPr>
      </w:pPr>
      <w:r w:rsidRPr="00141CF6">
        <w:rPr>
          <w:i/>
        </w:rPr>
        <w:t>XPS foam manufacturing sector</w:t>
      </w:r>
    </w:p>
    <w:p w:rsidR="00F0403F" w:rsidRPr="00682215" w:rsidRDefault="00F0403F" w:rsidP="00F0403F">
      <w:pPr>
        <w:numPr>
          <w:ilvl w:val="0"/>
          <w:numId w:val="1"/>
        </w:numPr>
        <w:spacing w:after="240"/>
        <w:outlineLvl w:val="0"/>
      </w:pPr>
      <w:r w:rsidRPr="00682215">
        <w:t xml:space="preserve">Stage II also includes the conversion of </w:t>
      </w:r>
      <w:r w:rsidR="00E46BDF">
        <w:t>two</w:t>
      </w:r>
      <w:r w:rsidRPr="00682215">
        <w:t xml:space="preserve"> XPS foam </w:t>
      </w:r>
      <w:r w:rsidRPr="00373327">
        <w:t>manufacturing enterprise</w:t>
      </w:r>
      <w:r w:rsidR="00E46BDF" w:rsidRPr="00373327">
        <w:t>s</w:t>
      </w:r>
      <w:r w:rsidRPr="00373327">
        <w:t xml:space="preserve"> (Celpack</w:t>
      </w:r>
      <w:r w:rsidR="00E46BDF" w:rsidRPr="00373327">
        <w:rPr>
          <w:rStyle w:val="FootnoteReference"/>
        </w:rPr>
        <w:footnoteReference w:id="8"/>
      </w:r>
      <w:r w:rsidRPr="00373327">
        <w:t xml:space="preserve"> </w:t>
      </w:r>
      <w:r w:rsidR="00E46BDF" w:rsidRPr="00373327">
        <w:t xml:space="preserve">and Perfiles </w:t>
      </w:r>
      <w:r w:rsidR="009A3BBD" w:rsidRPr="00373327">
        <w:t>Revestidos</w:t>
      </w:r>
      <w:r w:rsidR="00E46BDF" w:rsidRPr="00373327">
        <w:rPr>
          <w:rStyle w:val="FootnoteReference"/>
        </w:rPr>
        <w:footnoteReference w:id="9"/>
      </w:r>
      <w:r w:rsidR="009A3BBD" w:rsidRPr="00373327">
        <w:t>) to CO</w:t>
      </w:r>
      <w:r w:rsidR="009A3BBD" w:rsidRPr="00373327">
        <w:rPr>
          <w:vertAlign w:val="subscript"/>
        </w:rPr>
        <w:t>2</w:t>
      </w:r>
      <w:r w:rsidR="009A3BBD" w:rsidRPr="00373327">
        <w:t xml:space="preserve"> and ethanol</w:t>
      </w:r>
      <w:r w:rsidR="00E46BDF" w:rsidRPr="00373327">
        <w:t>.</w:t>
      </w:r>
      <w:r w:rsidRPr="00373327">
        <w:t xml:space="preserve"> The project will phase out </w:t>
      </w:r>
      <w:r w:rsidR="00682215" w:rsidRPr="00373327">
        <w:t>57.29</w:t>
      </w:r>
      <w:r w:rsidR="00673FC0" w:rsidRPr="00373327">
        <w:t> mt</w:t>
      </w:r>
      <w:r w:rsidRPr="00373327">
        <w:t xml:space="preserve"> (</w:t>
      </w:r>
      <w:r w:rsidR="00682215" w:rsidRPr="00373327">
        <w:t>3.42</w:t>
      </w:r>
      <w:r w:rsidR="00673FC0" w:rsidRPr="00373327">
        <w:t> ODP tonnes</w:t>
      </w:r>
      <w:r w:rsidRPr="00373327">
        <w:t xml:space="preserve"> of HCFC-22 (</w:t>
      </w:r>
      <w:r w:rsidR="00682215" w:rsidRPr="00373327">
        <w:t>30.52</w:t>
      </w:r>
      <w:r w:rsidR="00673FC0" w:rsidRPr="00373327">
        <w:t> mt</w:t>
      </w:r>
      <w:r w:rsidRPr="00373327">
        <w:t xml:space="preserve"> or </w:t>
      </w:r>
      <w:r w:rsidR="00682215" w:rsidRPr="00373327">
        <w:t>1.68</w:t>
      </w:r>
      <w:r w:rsidR="00673FC0" w:rsidRPr="00373327">
        <w:t> ODP tonnes</w:t>
      </w:r>
      <w:r w:rsidRPr="00373327">
        <w:t>) and HCFC-142b (</w:t>
      </w:r>
      <w:r w:rsidR="00682215" w:rsidRPr="00373327">
        <w:t>26.77</w:t>
      </w:r>
      <w:r w:rsidR="00673FC0" w:rsidRPr="00373327">
        <w:t> mt</w:t>
      </w:r>
      <w:r w:rsidRPr="00373327">
        <w:t xml:space="preserve"> or </w:t>
      </w:r>
      <w:r w:rsidR="00682215" w:rsidRPr="00373327">
        <w:t>1.74</w:t>
      </w:r>
      <w:r w:rsidR="00673FC0" w:rsidRPr="00373327">
        <w:t> ODP</w:t>
      </w:r>
      <w:r w:rsidR="00673FC0">
        <w:t> tonnes</w:t>
      </w:r>
      <w:r w:rsidRPr="00682215">
        <w:t xml:space="preserve">). </w:t>
      </w:r>
    </w:p>
    <w:p w:rsidR="00F0403F" w:rsidRPr="00577666" w:rsidRDefault="00EE64B5" w:rsidP="00673FC0">
      <w:pPr>
        <w:pStyle w:val="Heading1"/>
      </w:pPr>
      <w:r>
        <w:t>The ICC for the conversion of Celpack includes CO</w:t>
      </w:r>
      <w:r w:rsidRPr="00EE64B5">
        <w:rPr>
          <w:vertAlign w:val="subscript"/>
        </w:rPr>
        <w:t>2</w:t>
      </w:r>
      <w:r>
        <w:t xml:space="preserve"> and ethanol/DME </w:t>
      </w:r>
      <w:r w:rsidR="003D2B4A">
        <w:t xml:space="preserve">storage </w:t>
      </w:r>
      <w:r>
        <w:t>tanks (US $111,000)</w:t>
      </w:r>
      <w:r w:rsidRPr="00141CF6">
        <w:t>; new extrusion line (</w:t>
      </w:r>
      <w:r>
        <w:t>US $381,500</w:t>
      </w:r>
      <w:r w:rsidRPr="00141CF6">
        <w:t xml:space="preserve">); safety-related </w:t>
      </w:r>
      <w:r w:rsidRPr="00577666">
        <w:t>equipment (US $</w:t>
      </w:r>
      <w:r w:rsidR="00847A7C" w:rsidRPr="00577666">
        <w:t>127,5</w:t>
      </w:r>
      <w:r w:rsidRPr="00577666">
        <w:t>00); training, technical assistance, trials, testing and safety audit (US $</w:t>
      </w:r>
      <w:r w:rsidR="00847A7C" w:rsidRPr="00577666">
        <w:t>7</w:t>
      </w:r>
      <w:r w:rsidRPr="00577666">
        <w:t>5,000)</w:t>
      </w:r>
      <w:r w:rsidR="003D2B4A" w:rsidRPr="00577666">
        <w:t>;</w:t>
      </w:r>
      <w:r w:rsidRPr="00577666">
        <w:t xml:space="preserve"> and contingencies </w:t>
      </w:r>
      <w:r w:rsidR="003D2B4A" w:rsidRPr="00577666">
        <w:t>(</w:t>
      </w:r>
      <w:r w:rsidRPr="00577666">
        <w:t>10 per cent of the capital cost</w:t>
      </w:r>
      <w:r w:rsidR="003D2B4A" w:rsidRPr="00577666">
        <w:t>)</w:t>
      </w:r>
      <w:r w:rsidRPr="00577666">
        <w:t xml:space="preserve">. </w:t>
      </w:r>
      <w:r w:rsidR="003D2B4A" w:rsidRPr="00577666">
        <w:t>I</w:t>
      </w:r>
      <w:r w:rsidR="00673FC0" w:rsidRPr="00577666">
        <w:t xml:space="preserve">ncremental operational savings </w:t>
      </w:r>
      <w:r w:rsidR="003D2B4A" w:rsidRPr="00577666">
        <w:t>amount to</w:t>
      </w:r>
      <w:r w:rsidR="00673FC0" w:rsidRPr="00577666">
        <w:t xml:space="preserve"> US</w:t>
      </w:r>
      <w:r w:rsidR="003D2B4A" w:rsidRPr="00577666">
        <w:t> </w:t>
      </w:r>
      <w:r w:rsidR="00673FC0" w:rsidRPr="00577666">
        <w:t>$</w:t>
      </w:r>
      <w:r w:rsidRPr="00577666">
        <w:t>54,725</w:t>
      </w:r>
      <w:r w:rsidR="00673FC0" w:rsidRPr="00577666">
        <w:t>.</w:t>
      </w:r>
      <w:r w:rsidR="00324FEE" w:rsidRPr="00577666">
        <w:t xml:space="preserve"> </w:t>
      </w:r>
      <w:r w:rsidR="00673FC0" w:rsidRPr="00577666">
        <w:t>The total incremental cost of the project is US $</w:t>
      </w:r>
      <w:r w:rsidR="00331540" w:rsidRPr="00577666">
        <w:t>709,77</w:t>
      </w:r>
      <w:r w:rsidRPr="00577666">
        <w:t>5</w:t>
      </w:r>
      <w:r w:rsidR="00673FC0" w:rsidRPr="00577666">
        <w:t xml:space="preserve">. </w:t>
      </w:r>
      <w:r w:rsidR="00F0403F" w:rsidRPr="00577666">
        <w:t>Applying the cost-effectiveness threshold for XPS foam (</w:t>
      </w:r>
      <w:r w:rsidR="009A3BBD" w:rsidRPr="00577666">
        <w:t>US $</w:t>
      </w:r>
      <w:r w:rsidR="00F0403F" w:rsidRPr="00577666">
        <w:t>10.</w:t>
      </w:r>
      <w:r w:rsidR="00673FC0" w:rsidRPr="00577666">
        <w:t>2</w:t>
      </w:r>
      <w:r w:rsidRPr="00577666">
        <w:t>8</w:t>
      </w:r>
      <w:r w:rsidR="003D2B4A" w:rsidRPr="00577666">
        <w:t>/</w:t>
      </w:r>
      <w:r w:rsidR="00F0403F" w:rsidRPr="00577666">
        <w:t xml:space="preserve">kg), a total of </w:t>
      </w:r>
      <w:r w:rsidR="009A3BBD" w:rsidRPr="00577666">
        <w:t>US $</w:t>
      </w:r>
      <w:r w:rsidRPr="00577666">
        <w:t>366,715</w:t>
      </w:r>
      <w:r w:rsidR="00F0403F" w:rsidRPr="00577666">
        <w:t xml:space="preserve"> </w:t>
      </w:r>
      <w:r w:rsidR="003D2B4A" w:rsidRPr="00577666">
        <w:t>is</w:t>
      </w:r>
      <w:r w:rsidR="00F0403F" w:rsidRPr="00577666">
        <w:t xml:space="preserve"> being requested fr</w:t>
      </w:r>
      <w:r w:rsidR="00673FC0" w:rsidRPr="00577666">
        <w:t>om the Fund</w:t>
      </w:r>
      <w:r w:rsidR="003D2B4A" w:rsidRPr="00577666">
        <w:t>;</w:t>
      </w:r>
      <w:r w:rsidR="00673FC0" w:rsidRPr="00577666">
        <w:t xml:space="preserve"> the remaining </w:t>
      </w:r>
      <w:r w:rsidR="003D2B4A" w:rsidRPr="00577666">
        <w:t>US $</w:t>
      </w:r>
      <w:r w:rsidR="004A74A8" w:rsidRPr="00577666">
        <w:t>343,060</w:t>
      </w:r>
      <w:r w:rsidR="003D2B4A" w:rsidRPr="00577666">
        <w:t xml:space="preserve"> </w:t>
      </w:r>
      <w:r w:rsidR="00673FC0" w:rsidRPr="00577666">
        <w:t>will be co-financed by the enterprise.</w:t>
      </w:r>
    </w:p>
    <w:p w:rsidR="00324FEE" w:rsidRPr="00577666" w:rsidRDefault="00324FEE" w:rsidP="00324FEE">
      <w:pPr>
        <w:pStyle w:val="Heading1"/>
      </w:pPr>
      <w:r w:rsidRPr="00141CF6">
        <w:t xml:space="preserve">The ICC for the conversion of </w:t>
      </w:r>
      <w:r>
        <w:t>Perfiles Revestidos</w:t>
      </w:r>
      <w:r w:rsidRPr="00141CF6">
        <w:t xml:space="preserve"> includes </w:t>
      </w:r>
      <w:r>
        <w:t>CO</w:t>
      </w:r>
      <w:r w:rsidRPr="00384D41">
        <w:rPr>
          <w:vertAlign w:val="subscript"/>
        </w:rPr>
        <w:t>2</w:t>
      </w:r>
      <w:r>
        <w:t xml:space="preserve"> and ethanol/DME </w:t>
      </w:r>
      <w:r w:rsidR="00273837">
        <w:t xml:space="preserve">storage </w:t>
      </w:r>
      <w:r>
        <w:t>tanks (US $111,000)</w:t>
      </w:r>
      <w:r w:rsidRPr="00141CF6">
        <w:t>; new extrusion line (</w:t>
      </w:r>
      <w:r>
        <w:t>US $656,500</w:t>
      </w:r>
      <w:r w:rsidRPr="00141CF6">
        <w:t xml:space="preserve">); safety-related </w:t>
      </w:r>
      <w:r w:rsidRPr="009E0498">
        <w:t>equipment (US $62,500); training, technical assistance, trials, testing and safety audit (US $65,000)</w:t>
      </w:r>
      <w:r w:rsidR="00273837">
        <w:t>,</w:t>
      </w:r>
      <w:r w:rsidRPr="009E0498">
        <w:t xml:space="preserve"> and contingencies </w:t>
      </w:r>
      <w:r w:rsidR="00273837">
        <w:t>(</w:t>
      </w:r>
      <w:r w:rsidRPr="009E0498">
        <w:t>10 per cent of the capital cost</w:t>
      </w:r>
      <w:r w:rsidR="00273837">
        <w:t>)</w:t>
      </w:r>
      <w:r w:rsidRPr="009E0498">
        <w:t xml:space="preserve">. </w:t>
      </w:r>
      <w:r w:rsidR="00273837">
        <w:t>I</w:t>
      </w:r>
      <w:r w:rsidRPr="009E0498">
        <w:t xml:space="preserve">ncremental operational savings </w:t>
      </w:r>
      <w:r w:rsidR="00273837">
        <w:t>amount to</w:t>
      </w:r>
      <w:r w:rsidRPr="009E0498">
        <w:t xml:space="preserve"> US</w:t>
      </w:r>
      <w:r w:rsidR="00273837">
        <w:t> </w:t>
      </w:r>
      <w:r w:rsidRPr="009E0498">
        <w:t>$139,000. The total incremental cost of the project is US $845,500. Applying the cost-effectiveness threshold for XPS foam (US $10.28</w:t>
      </w:r>
      <w:r w:rsidR="00273837">
        <w:t>/</w:t>
      </w:r>
      <w:r w:rsidRPr="009E0498">
        <w:t xml:space="preserve">kg), a total of US $222,048 </w:t>
      </w:r>
      <w:r w:rsidR="00273837">
        <w:t xml:space="preserve">is </w:t>
      </w:r>
      <w:r w:rsidRPr="009E0498">
        <w:t>being requested from the Fund</w:t>
      </w:r>
      <w:r w:rsidR="00273837">
        <w:t xml:space="preserve">; </w:t>
      </w:r>
      <w:r w:rsidRPr="009E0498">
        <w:t xml:space="preserve">the remaining </w:t>
      </w:r>
      <w:r w:rsidR="00273837" w:rsidRPr="00577666">
        <w:t>US $</w:t>
      </w:r>
      <w:r w:rsidR="004E1E03" w:rsidRPr="00577666">
        <w:t xml:space="preserve">623,452 </w:t>
      </w:r>
      <w:r w:rsidRPr="00577666">
        <w:t>will be co-financed by the enterprise.</w:t>
      </w:r>
    </w:p>
    <w:p w:rsidR="00F0403F" w:rsidRPr="00141CF6" w:rsidRDefault="00F0403F" w:rsidP="00F0403F">
      <w:pPr>
        <w:numPr>
          <w:ilvl w:val="0"/>
          <w:numId w:val="1"/>
        </w:numPr>
        <w:spacing w:after="240"/>
        <w:outlineLvl w:val="0"/>
      </w:pPr>
      <w:r w:rsidRPr="00141CF6">
        <w:t xml:space="preserve">The total cost of the PU foam sector plan and the XPS foam investment project is presented in Table </w:t>
      </w:r>
      <w:r>
        <w:t>6</w:t>
      </w:r>
      <w:r w:rsidRPr="00141CF6">
        <w:t>.</w:t>
      </w:r>
    </w:p>
    <w:p w:rsidR="00F0403F" w:rsidRDefault="00F0403F" w:rsidP="00D90275">
      <w:pPr>
        <w:keepNext/>
        <w:rPr>
          <w:b/>
        </w:rPr>
      </w:pPr>
      <w:r w:rsidRPr="00141CF6">
        <w:rPr>
          <w:b/>
        </w:rPr>
        <w:lastRenderedPageBreak/>
        <w:t xml:space="preserve">Table </w:t>
      </w:r>
      <w:r>
        <w:rPr>
          <w:b/>
        </w:rPr>
        <w:t>6</w:t>
      </w:r>
      <w:r w:rsidRPr="00141CF6">
        <w:rPr>
          <w:b/>
        </w:rPr>
        <w:t xml:space="preserve">. Total cost for the conversion of the PU </w:t>
      </w:r>
      <w:r w:rsidR="004502DA">
        <w:rPr>
          <w:b/>
        </w:rPr>
        <w:t>and X</w:t>
      </w:r>
      <w:r w:rsidRPr="00141CF6">
        <w:rPr>
          <w:b/>
        </w:rPr>
        <w:t xml:space="preserve">PS foam </w:t>
      </w:r>
      <w:r w:rsidR="004502DA">
        <w:rPr>
          <w:b/>
        </w:rPr>
        <w:t>sectors</w:t>
      </w:r>
    </w:p>
    <w:tbl>
      <w:tblPr>
        <w:tblW w:w="4935" w:type="pct"/>
        <w:jc w:val="right"/>
        <w:tblLayout w:type="fixed"/>
        <w:tblLook w:val="04A0" w:firstRow="1" w:lastRow="0" w:firstColumn="1" w:lastColumn="0" w:noHBand="0" w:noVBand="1"/>
      </w:tblPr>
      <w:tblGrid>
        <w:gridCol w:w="1898"/>
        <w:gridCol w:w="733"/>
        <w:gridCol w:w="1172"/>
        <w:gridCol w:w="718"/>
        <w:gridCol w:w="1172"/>
        <w:gridCol w:w="1079"/>
        <w:gridCol w:w="1061"/>
        <w:gridCol w:w="989"/>
        <w:gridCol w:w="630"/>
      </w:tblGrid>
      <w:tr w:rsidR="00BC7B56" w:rsidRPr="00BC7B56" w:rsidTr="00CE0389">
        <w:trPr>
          <w:trHeight w:val="252"/>
          <w:tblHeader/>
          <w:jc w:val="right"/>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Project</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Enterprises</w:t>
            </w:r>
          </w:p>
        </w:tc>
        <w:tc>
          <w:tcPr>
            <w:tcW w:w="1000" w:type="pct"/>
            <w:gridSpan w:val="2"/>
            <w:tcBorders>
              <w:top w:val="single" w:sz="4" w:space="0" w:color="auto"/>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HCFC consumption</w:t>
            </w:r>
          </w:p>
        </w:tc>
        <w:tc>
          <w:tcPr>
            <w:tcW w:w="1752" w:type="pct"/>
            <w:gridSpan w:val="3"/>
            <w:tcBorders>
              <w:top w:val="single" w:sz="4" w:space="0" w:color="auto"/>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Incremental cost (US $)</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Funds request (US $)</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C.E. US $/kg</w:t>
            </w:r>
          </w:p>
        </w:tc>
      </w:tr>
      <w:tr w:rsidR="00BC7B56" w:rsidRPr="00BC7B56" w:rsidTr="00CE0389">
        <w:trPr>
          <w:trHeight w:val="252"/>
          <w:tblHeader/>
          <w:jc w:val="right"/>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BC7B56" w:rsidRPr="00BC7B56" w:rsidRDefault="00BC7B56" w:rsidP="00D90275">
            <w:pPr>
              <w:keepNext/>
              <w:jc w:val="left"/>
              <w:rPr>
                <w:b/>
                <w:bCs/>
                <w:color w:val="000000"/>
                <w:sz w:val="18"/>
                <w:szCs w:val="18"/>
                <w:lang w:val="en-US"/>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BC7B56" w:rsidRPr="00BC7B56" w:rsidRDefault="00BC7B56" w:rsidP="00D90275">
            <w:pPr>
              <w:keepNext/>
              <w:jc w:val="left"/>
              <w:rPr>
                <w:b/>
                <w:bCs/>
                <w:color w:val="000000"/>
                <w:sz w:val="18"/>
                <w:szCs w:val="18"/>
                <w:lang w:val="en-US"/>
              </w:rPr>
            </w:pP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mt</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ODP tonnes</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ICC</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IOC</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center"/>
              <w:rPr>
                <w:b/>
                <w:bCs/>
                <w:color w:val="000000"/>
                <w:sz w:val="18"/>
                <w:szCs w:val="18"/>
                <w:lang w:val="en-US"/>
              </w:rPr>
            </w:pPr>
            <w:r w:rsidRPr="00BC7B56">
              <w:rPr>
                <w:b/>
                <w:bCs/>
                <w:color w:val="000000"/>
                <w:sz w:val="18"/>
                <w:szCs w:val="18"/>
                <w:lang w:val="en-US"/>
              </w:rPr>
              <w:t>Total</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BC7B56" w:rsidRPr="00BC7B56" w:rsidRDefault="00BC7B56" w:rsidP="00D90275">
            <w:pPr>
              <w:keepNext/>
              <w:jc w:val="left"/>
              <w:rPr>
                <w:b/>
                <w:bCs/>
                <w:color w:val="000000"/>
                <w:sz w:val="18"/>
                <w:szCs w:val="18"/>
                <w:lang w:val="en-US"/>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C7B56" w:rsidRPr="00BC7B56" w:rsidRDefault="00BC7B56" w:rsidP="00D90275">
            <w:pPr>
              <w:keepNext/>
              <w:jc w:val="left"/>
              <w:rPr>
                <w:b/>
                <w:bCs/>
                <w:color w:val="000000"/>
                <w:sz w:val="18"/>
                <w:szCs w:val="18"/>
                <w:lang w:val="en-US"/>
              </w:rPr>
            </w:pPr>
          </w:p>
        </w:tc>
      </w:tr>
      <w:tr w:rsidR="00BC7B56" w:rsidRPr="00BC7B56" w:rsidTr="00CE0389">
        <w:trPr>
          <w:trHeight w:val="50"/>
          <w:jc w:val="right"/>
        </w:trPr>
        <w:tc>
          <w:tcPr>
            <w:tcW w:w="5000" w:type="pct"/>
            <w:gridSpan w:val="9"/>
            <w:tcBorders>
              <w:top w:val="nil"/>
              <w:left w:val="single" w:sz="4" w:space="0" w:color="auto"/>
              <w:bottom w:val="single" w:sz="4" w:space="0" w:color="auto"/>
              <w:right w:val="single" w:sz="4" w:space="0" w:color="auto"/>
            </w:tcBorders>
            <w:shd w:val="clear" w:color="auto" w:fill="auto"/>
            <w:noWrap/>
          </w:tcPr>
          <w:p w:rsidR="00BC7B56" w:rsidRPr="00BC7B56" w:rsidRDefault="00BC7B56" w:rsidP="00D90275">
            <w:pPr>
              <w:keepNext/>
              <w:jc w:val="left"/>
              <w:rPr>
                <w:rFonts w:eastAsia="Calibri"/>
                <w:b/>
                <w:sz w:val="18"/>
                <w:szCs w:val="18"/>
                <w:lang w:eastAsia="en-GB"/>
              </w:rPr>
            </w:pPr>
            <w:r w:rsidRPr="00BC7B56">
              <w:rPr>
                <w:b/>
                <w:sz w:val="18"/>
                <w:szCs w:val="18"/>
              </w:rPr>
              <w:t>Individual projects PU foam</w:t>
            </w:r>
          </w:p>
        </w:tc>
      </w:tr>
      <w:tr w:rsidR="00BC7B56" w:rsidRPr="00BC7B56" w:rsidTr="00CE0389">
        <w:trPr>
          <w:trHeight w:val="98"/>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Frio</w:t>
            </w:r>
            <w:r w:rsidR="00CE0389">
              <w:rPr>
                <w:sz w:val="18"/>
                <w:szCs w:val="18"/>
              </w:rPr>
              <w:t>s</w:t>
            </w:r>
            <w:r w:rsidRPr="00BC7B56">
              <w:rPr>
                <w:sz w:val="18"/>
                <w:szCs w:val="18"/>
              </w:rPr>
              <w:t xml:space="preserve">tar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1</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38.92</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4.28</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466,400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14,049</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480,449</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380,897</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9.79</w:t>
            </w:r>
          </w:p>
        </w:tc>
      </w:tr>
      <w:tr w:rsidR="00BC7B56" w:rsidRPr="00BC7B56" w:rsidTr="00CE0389">
        <w:trPr>
          <w:trHeight w:val="71"/>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 xml:space="preserve">Argenpur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1</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28.33</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3.12</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465,300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42,281</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507,581</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277,230</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9.79</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b/>
                <w:bCs/>
                <w:sz w:val="18"/>
                <w:szCs w:val="18"/>
                <w:lang w:val="en-US"/>
              </w:rPr>
            </w:pPr>
            <w:r w:rsidRPr="00BC7B56">
              <w:rPr>
                <w:b/>
                <w:bCs/>
                <w:sz w:val="18"/>
                <w:szCs w:val="18"/>
                <w:lang w:val="en-US"/>
              </w:rPr>
              <w:t xml:space="preserve">Subtotal </w:t>
            </w:r>
            <w:r>
              <w:rPr>
                <w:b/>
                <w:bCs/>
                <w:sz w:val="18"/>
                <w:szCs w:val="18"/>
                <w:lang w:val="en-US"/>
              </w:rPr>
              <w:t>individual</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2</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67.24</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7.40</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931,700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56,330</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988,030</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658,127</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b/>
                <w:bCs/>
                <w:sz w:val="18"/>
                <w:szCs w:val="18"/>
                <w:lang w:val="en-US"/>
              </w:rPr>
            </w:pPr>
            <w:r w:rsidRPr="00BC7B56">
              <w:rPr>
                <w:b/>
                <w:bCs/>
                <w:sz w:val="18"/>
                <w:szCs w:val="18"/>
                <w:lang w:val="en-US"/>
              </w:rPr>
              <w:t>9.79</w:t>
            </w:r>
          </w:p>
        </w:tc>
      </w:tr>
      <w:tr w:rsidR="00BC7B56" w:rsidRPr="00BC7B56" w:rsidTr="00CE0389">
        <w:trPr>
          <w:trHeight w:val="50"/>
          <w:jc w:val="right"/>
        </w:trPr>
        <w:tc>
          <w:tcPr>
            <w:tcW w:w="5000" w:type="pct"/>
            <w:gridSpan w:val="9"/>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b/>
                <w:bCs/>
                <w:sz w:val="18"/>
                <w:szCs w:val="18"/>
                <w:lang w:val="en-US"/>
              </w:rPr>
            </w:pPr>
            <w:r w:rsidRPr="00BC7B56">
              <w:rPr>
                <w:b/>
                <w:bCs/>
                <w:sz w:val="18"/>
                <w:szCs w:val="18"/>
                <w:lang w:val="en-US"/>
              </w:rPr>
              <w:t>Systems houses</w:t>
            </w:r>
            <w:r>
              <w:rPr>
                <w:b/>
                <w:bCs/>
                <w:sz w:val="18"/>
                <w:szCs w:val="18"/>
                <w:lang w:val="en-US"/>
              </w:rPr>
              <w:t xml:space="preserve"> (SH)</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 xml:space="preserve">Alkanos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16</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96.02</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10.56</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349,160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1,014,004</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1,363,164</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1,052,584</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10.96</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 xml:space="preserve">BASF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40</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147.51</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16.23</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430,710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1,236,131</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1,666,841</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1,549,078</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10.50</w:t>
            </w:r>
          </w:p>
        </w:tc>
      </w:tr>
      <w:tr w:rsidR="00BC7B56" w:rsidRPr="00BC7B56" w:rsidTr="00CE0389">
        <w:trPr>
          <w:trHeight w:val="62"/>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 xml:space="preserve">Dow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8</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45.35</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4.99</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135,930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478,926</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614,856</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497,149</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10.96</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D90275">
            <w:pPr>
              <w:keepNext/>
              <w:jc w:val="left"/>
              <w:rPr>
                <w:sz w:val="18"/>
                <w:szCs w:val="18"/>
                <w:lang w:val="en-US"/>
              </w:rPr>
            </w:pPr>
            <w:r w:rsidRPr="00BC7B56">
              <w:rPr>
                <w:sz w:val="18"/>
                <w:szCs w:val="18"/>
              </w:rPr>
              <w:t xml:space="preserve">Ecopur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38</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46.59</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sz w:val="18"/>
                <w:szCs w:val="18"/>
                <w:lang w:val="en-US"/>
              </w:rPr>
              <w:t>5.13</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363,270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492,017</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855,287</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510,738</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D90275">
            <w:pPr>
              <w:keepNext/>
              <w:jc w:val="right"/>
              <w:rPr>
                <w:sz w:val="18"/>
                <w:szCs w:val="18"/>
                <w:lang w:val="en-US"/>
              </w:rPr>
            </w:pPr>
            <w:r w:rsidRPr="00BC7B56">
              <w:rPr>
                <w:rFonts w:eastAsia="Calibri"/>
                <w:sz w:val="18"/>
                <w:szCs w:val="18"/>
                <w:lang w:eastAsia="en-GB"/>
              </w:rPr>
              <w:t>10.96</w:t>
            </w:r>
          </w:p>
        </w:tc>
      </w:tr>
      <w:tr w:rsidR="00BC7B56" w:rsidRPr="00BC7B56" w:rsidTr="00CE0389">
        <w:trPr>
          <w:trHeight w:val="8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sz w:val="18"/>
                <w:szCs w:val="18"/>
                <w:lang w:val="en-US"/>
              </w:rPr>
            </w:pPr>
            <w:r w:rsidRPr="00BC7B56">
              <w:rPr>
                <w:sz w:val="18"/>
                <w:szCs w:val="18"/>
              </w:rPr>
              <w:t xml:space="preserve">Huntsman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sz w:val="18"/>
                <w:szCs w:val="18"/>
                <w:lang w:val="en-US"/>
              </w:rPr>
              <w:t>29</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121.95</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sz w:val="18"/>
                <w:szCs w:val="18"/>
                <w:lang w:val="en-US"/>
              </w:rPr>
              <w:t>13.41</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462,730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1,124,294</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1,587,024</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1,302,231</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10.68</w:t>
            </w:r>
          </w:p>
        </w:tc>
      </w:tr>
      <w:tr w:rsidR="00BC7B56" w:rsidRPr="00BC7B56" w:rsidTr="00CE0389">
        <w:trPr>
          <w:trHeight w:val="134"/>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sz w:val="18"/>
                <w:szCs w:val="18"/>
                <w:lang w:val="en-US"/>
              </w:rPr>
            </w:pPr>
            <w:r w:rsidRPr="00BC7B56">
              <w:rPr>
                <w:sz w:val="18"/>
                <w:szCs w:val="18"/>
              </w:rPr>
              <w:t>P</w:t>
            </w:r>
            <w:r>
              <w:rPr>
                <w:sz w:val="18"/>
                <w:szCs w:val="18"/>
              </w:rPr>
              <w:t xml:space="preserve">. </w:t>
            </w:r>
            <w:r w:rsidRPr="00BC7B56">
              <w:rPr>
                <w:sz w:val="18"/>
                <w:szCs w:val="18"/>
              </w:rPr>
              <w:t xml:space="preserve">San Luis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sz w:val="18"/>
                <w:szCs w:val="18"/>
                <w:lang w:val="en-US"/>
              </w:rPr>
              <w:t>11</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16.94</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sz w:val="18"/>
                <w:szCs w:val="18"/>
                <w:lang w:val="en-US"/>
              </w:rPr>
              <w:t>1.86</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242,090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178,913</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421,003</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185,720</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10.96</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sz w:val="18"/>
                <w:szCs w:val="18"/>
                <w:lang w:val="es-CO"/>
              </w:rPr>
            </w:pPr>
            <w:r w:rsidRPr="00BC7B56">
              <w:rPr>
                <w:sz w:val="18"/>
                <w:szCs w:val="18"/>
                <w:lang w:val="es-CO"/>
              </w:rPr>
              <w:t xml:space="preserve">Q. del Caucho </w:t>
            </w:r>
          </w:p>
        </w:tc>
        <w:tc>
          <w:tcPr>
            <w:tcW w:w="388"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sz w:val="18"/>
                <w:szCs w:val="18"/>
                <w:lang w:val="es-CO"/>
              </w:rPr>
              <w:t>18</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70.70</w:t>
            </w:r>
          </w:p>
        </w:tc>
        <w:tc>
          <w:tcPr>
            <w:tcW w:w="38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sz w:val="18"/>
                <w:szCs w:val="18"/>
                <w:lang w:val="es-CO"/>
              </w:rPr>
              <w:t>7.78</w:t>
            </w:r>
          </w:p>
        </w:tc>
        <w:tc>
          <w:tcPr>
            <w:tcW w:w="620"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287,500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746,564</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1,034,064</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774,970</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s-CO"/>
              </w:rPr>
            </w:pPr>
            <w:r w:rsidRPr="00BC7B56">
              <w:rPr>
                <w:rFonts w:eastAsia="Calibri"/>
                <w:sz w:val="18"/>
                <w:szCs w:val="18"/>
                <w:lang w:val="es-CO" w:eastAsia="en-GB"/>
              </w:rPr>
              <w:t>10.96</w:t>
            </w:r>
          </w:p>
        </w:tc>
      </w:tr>
      <w:tr w:rsidR="001D1FBD" w:rsidRPr="00BC7B56" w:rsidTr="00CE0389">
        <w:trPr>
          <w:trHeight w:val="252"/>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1D1FBD" w:rsidRPr="00BC7B56" w:rsidRDefault="001D1FBD" w:rsidP="001D1FBD">
            <w:pPr>
              <w:jc w:val="left"/>
              <w:rPr>
                <w:sz w:val="18"/>
                <w:szCs w:val="18"/>
                <w:lang w:val="en-US"/>
              </w:rPr>
            </w:pPr>
            <w:r>
              <w:rPr>
                <w:sz w:val="18"/>
                <w:szCs w:val="18"/>
              </w:rPr>
              <w:t>Assistance re</w:t>
            </w:r>
            <w:r w:rsidRPr="00BC7B56">
              <w:rPr>
                <w:sz w:val="18"/>
                <w:szCs w:val="18"/>
              </w:rPr>
              <w:t>maining</w:t>
            </w:r>
            <w:r>
              <w:rPr>
                <w:sz w:val="18"/>
                <w:szCs w:val="18"/>
              </w:rPr>
              <w:t xml:space="preserve"> c</w:t>
            </w:r>
            <w:r w:rsidRPr="00BC7B56">
              <w:rPr>
                <w:sz w:val="18"/>
                <w:szCs w:val="18"/>
              </w:rPr>
              <w:t xml:space="preserve">onsumption </w:t>
            </w:r>
          </w:p>
        </w:tc>
        <w:tc>
          <w:tcPr>
            <w:tcW w:w="388" w:type="pct"/>
            <w:tcBorders>
              <w:top w:val="nil"/>
              <w:left w:val="nil"/>
              <w:bottom w:val="single" w:sz="4" w:space="0" w:color="auto"/>
              <w:right w:val="single" w:sz="4" w:space="0" w:color="auto"/>
            </w:tcBorders>
            <w:shd w:val="clear" w:color="auto" w:fill="auto"/>
            <w:noWrap/>
            <w:hideMark/>
          </w:tcPr>
          <w:p w:rsidR="001D1FBD" w:rsidRPr="00BC7B56" w:rsidRDefault="001D1FBD" w:rsidP="001A565A">
            <w:pPr>
              <w:jc w:val="right"/>
              <w:rPr>
                <w:sz w:val="18"/>
                <w:szCs w:val="18"/>
                <w:lang w:val="en-US"/>
              </w:rPr>
            </w:pPr>
            <w:r>
              <w:rPr>
                <w:sz w:val="18"/>
                <w:szCs w:val="18"/>
                <w:lang w:val="en-US"/>
              </w:rPr>
              <w:t>*</w:t>
            </w:r>
          </w:p>
        </w:tc>
        <w:tc>
          <w:tcPr>
            <w:tcW w:w="620" w:type="pct"/>
            <w:tcBorders>
              <w:top w:val="nil"/>
              <w:left w:val="nil"/>
              <w:bottom w:val="single" w:sz="4" w:space="0" w:color="auto"/>
              <w:right w:val="single" w:sz="4" w:space="0" w:color="auto"/>
            </w:tcBorders>
            <w:shd w:val="clear" w:color="auto" w:fill="auto"/>
            <w:noWrap/>
            <w:hideMark/>
          </w:tcPr>
          <w:p w:rsidR="001D1FBD" w:rsidRPr="00BC7B56" w:rsidRDefault="001D1FBD" w:rsidP="001A565A">
            <w:pPr>
              <w:jc w:val="right"/>
              <w:rPr>
                <w:sz w:val="18"/>
                <w:szCs w:val="18"/>
                <w:lang w:val="en-US"/>
              </w:rPr>
            </w:pPr>
            <w:r w:rsidRPr="00BC7B56">
              <w:rPr>
                <w:rFonts w:eastAsia="Calibri"/>
                <w:sz w:val="18"/>
                <w:szCs w:val="18"/>
                <w:lang w:eastAsia="en-GB"/>
              </w:rPr>
              <w:t>29.64</w:t>
            </w:r>
          </w:p>
        </w:tc>
        <w:tc>
          <w:tcPr>
            <w:tcW w:w="380" w:type="pct"/>
            <w:tcBorders>
              <w:top w:val="nil"/>
              <w:left w:val="nil"/>
              <w:bottom w:val="single" w:sz="4" w:space="0" w:color="auto"/>
              <w:right w:val="single" w:sz="4" w:space="0" w:color="auto"/>
            </w:tcBorders>
            <w:shd w:val="clear" w:color="auto" w:fill="auto"/>
            <w:noWrap/>
            <w:hideMark/>
          </w:tcPr>
          <w:p w:rsidR="001D1FBD" w:rsidRPr="00BC7B56" w:rsidRDefault="001D1FBD" w:rsidP="001A565A">
            <w:pPr>
              <w:jc w:val="right"/>
              <w:rPr>
                <w:sz w:val="18"/>
                <w:szCs w:val="18"/>
                <w:lang w:val="en-US"/>
              </w:rPr>
            </w:pPr>
            <w:r w:rsidRPr="00BC7B56">
              <w:rPr>
                <w:sz w:val="18"/>
                <w:szCs w:val="18"/>
                <w:lang w:val="en-US"/>
              </w:rPr>
              <w:t>3.26</w:t>
            </w:r>
          </w:p>
        </w:tc>
        <w:tc>
          <w:tcPr>
            <w:tcW w:w="620" w:type="pct"/>
            <w:tcBorders>
              <w:top w:val="nil"/>
              <w:left w:val="nil"/>
              <w:bottom w:val="single" w:sz="4" w:space="0" w:color="auto"/>
              <w:right w:val="single" w:sz="4" w:space="0" w:color="auto"/>
            </w:tcBorders>
            <w:shd w:val="clear" w:color="auto" w:fill="auto"/>
            <w:noWrap/>
            <w:hideMark/>
          </w:tcPr>
          <w:p w:rsidR="001D1FBD" w:rsidRPr="00BC7B56" w:rsidRDefault="00D90275" w:rsidP="001A565A">
            <w:pPr>
              <w:jc w:val="right"/>
              <w:rPr>
                <w:sz w:val="18"/>
                <w:szCs w:val="18"/>
                <w:lang w:val="en-US"/>
              </w:rPr>
            </w:pPr>
            <w:r>
              <w:rPr>
                <w:sz w:val="18"/>
                <w:szCs w:val="18"/>
                <w:lang w:val="en-US"/>
              </w:rPr>
              <w:t>0</w:t>
            </w:r>
          </w:p>
        </w:tc>
        <w:tc>
          <w:tcPr>
            <w:tcW w:w="571" w:type="pct"/>
            <w:tcBorders>
              <w:top w:val="nil"/>
              <w:left w:val="nil"/>
              <w:bottom w:val="single" w:sz="4" w:space="0" w:color="auto"/>
              <w:right w:val="single" w:sz="4" w:space="0" w:color="auto"/>
            </w:tcBorders>
            <w:shd w:val="clear" w:color="auto" w:fill="auto"/>
            <w:noWrap/>
            <w:hideMark/>
          </w:tcPr>
          <w:p w:rsidR="001D1FBD" w:rsidRPr="00BC7B56" w:rsidRDefault="00D90275" w:rsidP="001A565A">
            <w:pPr>
              <w:jc w:val="right"/>
              <w:rPr>
                <w:sz w:val="18"/>
                <w:szCs w:val="18"/>
                <w:lang w:val="en-US"/>
              </w:rPr>
            </w:pPr>
            <w:r>
              <w:rPr>
                <w:sz w:val="18"/>
                <w:szCs w:val="18"/>
                <w:lang w:val="en-US"/>
              </w:rPr>
              <w:t>0</w:t>
            </w:r>
          </w:p>
        </w:tc>
        <w:tc>
          <w:tcPr>
            <w:tcW w:w="561" w:type="pct"/>
            <w:tcBorders>
              <w:top w:val="nil"/>
              <w:left w:val="nil"/>
              <w:bottom w:val="single" w:sz="4" w:space="0" w:color="auto"/>
              <w:right w:val="single" w:sz="4" w:space="0" w:color="auto"/>
            </w:tcBorders>
            <w:shd w:val="clear" w:color="auto" w:fill="auto"/>
            <w:noWrap/>
            <w:hideMark/>
          </w:tcPr>
          <w:p w:rsidR="001D1FBD" w:rsidRPr="00BC7B56" w:rsidRDefault="00D90275" w:rsidP="001A565A">
            <w:pPr>
              <w:jc w:val="right"/>
              <w:rPr>
                <w:sz w:val="18"/>
                <w:szCs w:val="18"/>
                <w:lang w:val="en-US"/>
              </w:rPr>
            </w:pPr>
            <w:r>
              <w:rPr>
                <w:sz w:val="18"/>
                <w:szCs w:val="18"/>
                <w:lang w:val="en-US"/>
              </w:rPr>
              <w:t>0</w:t>
            </w:r>
          </w:p>
        </w:tc>
        <w:tc>
          <w:tcPr>
            <w:tcW w:w="523" w:type="pct"/>
            <w:tcBorders>
              <w:top w:val="nil"/>
              <w:left w:val="nil"/>
              <w:bottom w:val="single" w:sz="4" w:space="0" w:color="auto"/>
              <w:right w:val="single" w:sz="4" w:space="0" w:color="auto"/>
            </w:tcBorders>
            <w:shd w:val="clear" w:color="auto" w:fill="auto"/>
            <w:noWrap/>
            <w:hideMark/>
          </w:tcPr>
          <w:p w:rsidR="001D1FBD" w:rsidRPr="00BC7B56" w:rsidRDefault="001D1FBD" w:rsidP="001A565A">
            <w:pPr>
              <w:jc w:val="right"/>
              <w:rPr>
                <w:sz w:val="18"/>
                <w:szCs w:val="18"/>
                <w:lang w:val="en-US"/>
              </w:rPr>
            </w:pPr>
            <w:r w:rsidRPr="00BC7B56">
              <w:rPr>
                <w:rFonts w:eastAsia="Calibri"/>
                <w:sz w:val="18"/>
                <w:szCs w:val="18"/>
                <w:lang w:eastAsia="en-GB"/>
              </w:rPr>
              <w:t>324,874</w:t>
            </w:r>
          </w:p>
        </w:tc>
        <w:tc>
          <w:tcPr>
            <w:tcW w:w="333" w:type="pct"/>
            <w:tcBorders>
              <w:top w:val="nil"/>
              <w:left w:val="nil"/>
              <w:bottom w:val="single" w:sz="4" w:space="0" w:color="auto"/>
              <w:right w:val="single" w:sz="4" w:space="0" w:color="auto"/>
            </w:tcBorders>
            <w:shd w:val="clear" w:color="auto" w:fill="auto"/>
            <w:noWrap/>
            <w:hideMark/>
          </w:tcPr>
          <w:p w:rsidR="001D1FBD" w:rsidRPr="00BC7B56" w:rsidRDefault="001D1FBD" w:rsidP="001A565A">
            <w:pPr>
              <w:jc w:val="right"/>
              <w:rPr>
                <w:sz w:val="18"/>
                <w:szCs w:val="18"/>
                <w:lang w:val="en-US"/>
              </w:rPr>
            </w:pPr>
            <w:r w:rsidRPr="00BC7B56">
              <w:rPr>
                <w:rFonts w:eastAsia="Calibri"/>
                <w:sz w:val="18"/>
                <w:szCs w:val="18"/>
                <w:lang w:eastAsia="en-GB"/>
              </w:rPr>
              <w:t>10.96</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b/>
                <w:bCs/>
                <w:sz w:val="18"/>
                <w:szCs w:val="18"/>
                <w:lang w:val="es-CO"/>
              </w:rPr>
            </w:pPr>
            <w:r>
              <w:rPr>
                <w:rFonts w:eastAsia="Calibri"/>
                <w:b/>
                <w:bCs/>
                <w:sz w:val="18"/>
                <w:szCs w:val="18"/>
                <w:lang w:val="es-CO" w:eastAsia="en-GB"/>
              </w:rPr>
              <w:t>S</w:t>
            </w:r>
            <w:r w:rsidRPr="00BC7B56">
              <w:rPr>
                <w:rFonts w:eastAsia="Calibri"/>
                <w:b/>
                <w:bCs/>
                <w:sz w:val="18"/>
                <w:szCs w:val="18"/>
                <w:lang w:val="es-CO" w:eastAsia="en-GB"/>
              </w:rPr>
              <w:t xml:space="preserve">ubtotal </w:t>
            </w:r>
            <w:r>
              <w:rPr>
                <w:rFonts w:eastAsia="Calibri"/>
                <w:b/>
                <w:bCs/>
                <w:sz w:val="18"/>
                <w:szCs w:val="18"/>
                <w:lang w:val="es-CO" w:eastAsia="en-GB"/>
              </w:rPr>
              <w:t>SH</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s-CO"/>
              </w:rPr>
            </w:pPr>
            <w:r w:rsidRPr="001D6929">
              <w:rPr>
                <w:b/>
                <w:bCs/>
                <w:sz w:val="18"/>
                <w:szCs w:val="18"/>
                <w:lang w:val="es-CO"/>
              </w:rPr>
              <w:t>160</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s-CO"/>
              </w:rPr>
            </w:pPr>
            <w:r w:rsidRPr="001D6929">
              <w:rPr>
                <w:rFonts w:eastAsia="Calibri"/>
                <w:b/>
                <w:bCs/>
                <w:sz w:val="18"/>
                <w:szCs w:val="18"/>
                <w:lang w:val="es-CO" w:eastAsia="en-GB"/>
              </w:rPr>
              <w:t>574.70</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s-CO"/>
              </w:rPr>
            </w:pPr>
            <w:r w:rsidRPr="001D6929">
              <w:rPr>
                <w:b/>
                <w:bCs/>
                <w:sz w:val="18"/>
                <w:szCs w:val="18"/>
                <w:lang w:val="es-CO"/>
              </w:rPr>
              <w:t>63.22</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s-CO"/>
              </w:rPr>
            </w:pPr>
            <w:r w:rsidRPr="001D6929">
              <w:rPr>
                <w:rFonts w:eastAsia="Calibri"/>
                <w:b/>
                <w:bCs/>
                <w:sz w:val="18"/>
                <w:szCs w:val="18"/>
                <w:lang w:val="es-CO" w:eastAsia="en-GB"/>
              </w:rPr>
              <w:t>2,271,390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s-CO"/>
              </w:rPr>
            </w:pPr>
            <w:r w:rsidRPr="00BC7B56">
              <w:rPr>
                <w:rFonts w:eastAsia="Calibri"/>
                <w:b/>
                <w:bCs/>
                <w:sz w:val="18"/>
                <w:szCs w:val="18"/>
                <w:lang w:val="es-CO" w:eastAsia="en-GB"/>
              </w:rPr>
              <w:t>5,270,8</w:t>
            </w:r>
            <w:r w:rsidR="001D1FBD">
              <w:rPr>
                <w:rFonts w:eastAsia="Calibri"/>
                <w:b/>
                <w:bCs/>
                <w:sz w:val="18"/>
                <w:szCs w:val="18"/>
                <w:lang w:val="es-CO" w:eastAsia="en-GB"/>
              </w:rPr>
              <w:t>50</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s-CO"/>
              </w:rPr>
            </w:pPr>
            <w:r w:rsidRPr="00BC7B56">
              <w:rPr>
                <w:rFonts w:eastAsia="Calibri"/>
                <w:b/>
                <w:bCs/>
                <w:sz w:val="18"/>
                <w:szCs w:val="18"/>
                <w:lang w:val="es-CO" w:eastAsia="en-GB"/>
              </w:rPr>
              <w:t>7,542,2</w:t>
            </w:r>
            <w:r w:rsidR="001D1FBD">
              <w:rPr>
                <w:rFonts w:eastAsia="Calibri"/>
                <w:b/>
                <w:bCs/>
                <w:sz w:val="18"/>
                <w:szCs w:val="18"/>
                <w:lang w:val="es-CO" w:eastAsia="en-GB"/>
              </w:rPr>
              <w:t>40</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1D1FBD" w:rsidP="001D6929">
            <w:pPr>
              <w:jc w:val="right"/>
              <w:rPr>
                <w:b/>
                <w:bCs/>
                <w:sz w:val="18"/>
                <w:szCs w:val="18"/>
                <w:lang w:val="en-US"/>
              </w:rPr>
            </w:pPr>
            <w:r>
              <w:rPr>
                <w:rFonts w:eastAsia="Calibri"/>
                <w:b/>
                <w:bCs/>
                <w:sz w:val="18"/>
                <w:szCs w:val="18"/>
                <w:lang w:eastAsia="en-GB"/>
              </w:rPr>
              <w:t>6</w:t>
            </w:r>
            <w:r w:rsidR="00BC7B56" w:rsidRPr="00BC7B56">
              <w:rPr>
                <w:rFonts w:eastAsia="Calibri"/>
                <w:b/>
                <w:bCs/>
                <w:sz w:val="18"/>
                <w:szCs w:val="18"/>
                <w:lang w:eastAsia="en-GB"/>
              </w:rPr>
              <w:t>,</w:t>
            </w:r>
            <w:r>
              <w:rPr>
                <w:rFonts w:eastAsia="Calibri"/>
                <w:b/>
                <w:bCs/>
                <w:sz w:val="18"/>
                <w:szCs w:val="18"/>
                <w:lang w:eastAsia="en-GB"/>
              </w:rPr>
              <w:t>197</w:t>
            </w:r>
            <w:r w:rsidR="00BC7B56" w:rsidRPr="00BC7B56">
              <w:rPr>
                <w:rFonts w:eastAsia="Calibri"/>
                <w:b/>
                <w:bCs/>
                <w:sz w:val="18"/>
                <w:szCs w:val="18"/>
                <w:lang w:eastAsia="en-GB"/>
              </w:rPr>
              <w:t>,</w:t>
            </w:r>
            <w:r>
              <w:rPr>
                <w:rFonts w:eastAsia="Calibri"/>
                <w:b/>
                <w:bCs/>
                <w:sz w:val="18"/>
                <w:szCs w:val="18"/>
                <w:lang w:eastAsia="en-GB"/>
              </w:rPr>
              <w:t>34</w:t>
            </w:r>
            <w:r w:rsidR="001D6929">
              <w:rPr>
                <w:rFonts w:eastAsia="Calibri"/>
                <w:b/>
                <w:bCs/>
                <w:sz w:val="18"/>
                <w:szCs w:val="18"/>
                <w:lang w:eastAsia="en-GB"/>
              </w:rPr>
              <w:t>4</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rFonts w:eastAsia="Calibri"/>
                <w:b/>
                <w:bCs/>
                <w:sz w:val="18"/>
                <w:szCs w:val="18"/>
                <w:lang w:eastAsia="en-GB"/>
              </w:rPr>
              <w:t>10.78</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b/>
                <w:bCs/>
                <w:sz w:val="18"/>
                <w:szCs w:val="18"/>
                <w:lang w:val="en-US"/>
              </w:rPr>
            </w:pPr>
            <w:r w:rsidRPr="00BC7B56">
              <w:rPr>
                <w:rFonts w:eastAsia="Calibri"/>
                <w:b/>
                <w:bCs/>
                <w:sz w:val="18"/>
                <w:szCs w:val="18"/>
                <w:lang w:eastAsia="en-GB"/>
              </w:rPr>
              <w:t xml:space="preserve">Subtotal PU foam </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162</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rPr>
              <w:t>641.94</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70.61</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rFonts w:eastAsia="Calibri"/>
                <w:b/>
                <w:bCs/>
                <w:sz w:val="18"/>
                <w:szCs w:val="18"/>
                <w:lang w:eastAsia="en-GB"/>
              </w:rPr>
              <w:t>3,203,090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rFonts w:eastAsia="Calibri"/>
                <w:b/>
                <w:bCs/>
                <w:sz w:val="18"/>
                <w:szCs w:val="18"/>
                <w:lang w:eastAsia="en-GB"/>
              </w:rPr>
              <w:t>5,327,179</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rFonts w:eastAsia="Calibri"/>
                <w:b/>
                <w:bCs/>
                <w:sz w:val="18"/>
                <w:szCs w:val="18"/>
                <w:lang w:eastAsia="en-GB"/>
              </w:rPr>
              <w:t>8,530,269</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n-US"/>
              </w:rPr>
            </w:pPr>
            <w:r w:rsidRPr="00BC7B56">
              <w:rPr>
                <w:b/>
                <w:bCs/>
                <w:sz w:val="18"/>
                <w:szCs w:val="18"/>
              </w:rPr>
              <w:t>6,855,47</w:t>
            </w:r>
            <w:r w:rsidR="001D1FBD">
              <w:rPr>
                <w:b/>
                <w:bCs/>
                <w:sz w:val="18"/>
                <w:szCs w:val="18"/>
              </w:rPr>
              <w:t>0</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rFonts w:eastAsia="Calibri"/>
                <w:b/>
                <w:bCs/>
                <w:sz w:val="18"/>
                <w:szCs w:val="18"/>
                <w:lang w:eastAsia="en-GB"/>
              </w:rPr>
              <w:t>10.68</w:t>
            </w:r>
          </w:p>
        </w:tc>
      </w:tr>
      <w:tr w:rsidR="00BC7B56" w:rsidRPr="00BC7B56" w:rsidTr="00CE0389">
        <w:trPr>
          <w:trHeight w:val="50"/>
          <w:jc w:val="right"/>
        </w:trPr>
        <w:tc>
          <w:tcPr>
            <w:tcW w:w="5000" w:type="pct"/>
            <w:gridSpan w:val="9"/>
            <w:tcBorders>
              <w:top w:val="nil"/>
              <w:left w:val="single" w:sz="4" w:space="0" w:color="auto"/>
              <w:bottom w:val="single" w:sz="4" w:space="0" w:color="auto"/>
              <w:right w:val="single" w:sz="4" w:space="0" w:color="auto"/>
            </w:tcBorders>
            <w:shd w:val="clear" w:color="auto" w:fill="auto"/>
            <w:noWrap/>
            <w:hideMark/>
          </w:tcPr>
          <w:p w:rsidR="00BC7B56" w:rsidRPr="001D6929" w:rsidRDefault="00BC7B56" w:rsidP="00BC7B56">
            <w:pPr>
              <w:jc w:val="left"/>
              <w:rPr>
                <w:sz w:val="18"/>
                <w:szCs w:val="18"/>
                <w:lang w:val="en-US"/>
              </w:rPr>
            </w:pPr>
            <w:r w:rsidRPr="001D6929">
              <w:rPr>
                <w:b/>
                <w:bCs/>
                <w:sz w:val="18"/>
                <w:szCs w:val="18"/>
                <w:lang w:val="en-US"/>
              </w:rPr>
              <w:t xml:space="preserve">XPS foam </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sz w:val="18"/>
                <w:szCs w:val="18"/>
                <w:lang w:val="en-US"/>
              </w:rPr>
            </w:pPr>
            <w:r w:rsidRPr="00BC7B56">
              <w:rPr>
                <w:sz w:val="18"/>
                <w:szCs w:val="18"/>
              </w:rPr>
              <w:t xml:space="preserve">Celpack </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sz w:val="18"/>
                <w:szCs w:val="18"/>
                <w:lang w:val="en-US"/>
              </w:rPr>
              <w:t>1</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rFonts w:eastAsia="Calibri"/>
                <w:sz w:val="18"/>
                <w:szCs w:val="18"/>
                <w:lang w:eastAsia="en-GB"/>
              </w:rPr>
              <w:t>35.70</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sz w:val="18"/>
                <w:szCs w:val="18"/>
                <w:lang w:val="en-US"/>
              </w:rPr>
              <w:t>2.23</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rFonts w:eastAsia="Calibri"/>
                <w:sz w:val="18"/>
                <w:szCs w:val="18"/>
                <w:lang w:eastAsia="en-GB"/>
              </w:rPr>
              <w:t>764,500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(54,725)</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709,775</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366,715</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670B7D">
            <w:pPr>
              <w:jc w:val="right"/>
              <w:rPr>
                <w:sz w:val="18"/>
                <w:szCs w:val="18"/>
                <w:lang w:val="en-US"/>
              </w:rPr>
            </w:pPr>
            <w:r w:rsidRPr="00BC7B56">
              <w:rPr>
                <w:rFonts w:eastAsia="Calibri"/>
                <w:sz w:val="18"/>
                <w:szCs w:val="18"/>
                <w:lang w:eastAsia="en-GB"/>
              </w:rPr>
              <w:t>10.2</w:t>
            </w:r>
            <w:r w:rsidR="00670B7D">
              <w:rPr>
                <w:rFonts w:eastAsia="Calibri"/>
                <w:sz w:val="18"/>
                <w:szCs w:val="18"/>
                <w:lang w:eastAsia="en-GB"/>
              </w:rPr>
              <w:t>8</w:t>
            </w:r>
          </w:p>
        </w:tc>
      </w:tr>
      <w:tr w:rsidR="00BC7B56" w:rsidRPr="00BC7B56" w:rsidTr="00CE0389">
        <w:trPr>
          <w:trHeight w:val="107"/>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sz w:val="18"/>
                <w:szCs w:val="18"/>
                <w:lang w:val="en-US"/>
              </w:rPr>
            </w:pPr>
            <w:r w:rsidRPr="00BC7B56">
              <w:rPr>
                <w:sz w:val="18"/>
                <w:szCs w:val="18"/>
              </w:rPr>
              <w:t>Perfiles Revestidos</w:t>
            </w:r>
            <w:r w:rsidR="00EA50EA">
              <w:rPr>
                <w:sz w:val="18"/>
                <w:szCs w:val="18"/>
              </w:rPr>
              <w:t>**</w:t>
            </w:r>
            <w:r w:rsidRPr="00BC7B56">
              <w:rPr>
                <w:sz w:val="18"/>
                <w:szCs w:val="18"/>
              </w:rPr>
              <w:t xml:space="preserve"> </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sz w:val="18"/>
                <w:szCs w:val="18"/>
                <w:lang w:val="en-US"/>
              </w:rPr>
              <w:t>1</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rFonts w:eastAsia="Calibri"/>
                <w:sz w:val="18"/>
                <w:szCs w:val="18"/>
                <w:lang w:eastAsia="en-GB"/>
              </w:rPr>
              <w:t>21.60</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sz w:val="18"/>
                <w:szCs w:val="18"/>
                <w:lang w:val="en-US"/>
              </w:rPr>
              <w:t>1.19</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sz w:val="18"/>
                <w:szCs w:val="18"/>
                <w:lang w:val="en-US"/>
              </w:rPr>
            </w:pPr>
            <w:r w:rsidRPr="001D6929">
              <w:rPr>
                <w:rFonts w:eastAsia="Calibri"/>
                <w:sz w:val="18"/>
                <w:szCs w:val="18"/>
                <w:lang w:eastAsia="en-GB"/>
              </w:rPr>
              <w:t>984,500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(139,000)</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845,500</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222,048</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sz w:val="18"/>
                <w:szCs w:val="18"/>
                <w:lang w:val="en-US"/>
              </w:rPr>
            </w:pPr>
            <w:r w:rsidRPr="00BC7B56">
              <w:rPr>
                <w:rFonts w:eastAsia="Calibri"/>
                <w:sz w:val="18"/>
                <w:szCs w:val="18"/>
                <w:lang w:eastAsia="en-GB"/>
              </w:rPr>
              <w:t>10.28</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b/>
                <w:bCs/>
                <w:sz w:val="18"/>
                <w:szCs w:val="18"/>
                <w:lang w:val="en-US"/>
              </w:rPr>
            </w:pPr>
            <w:r w:rsidRPr="00BC7B56">
              <w:rPr>
                <w:b/>
                <w:bCs/>
                <w:sz w:val="18"/>
                <w:szCs w:val="18"/>
                <w:lang w:val="en-US"/>
              </w:rPr>
              <w:t xml:space="preserve">Subtotal XPS foam </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2</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57.30</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3.42</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1,749,000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b/>
                <w:bCs/>
                <w:sz w:val="18"/>
                <w:szCs w:val="18"/>
                <w:lang w:val="en-US"/>
              </w:rPr>
              <w:t>(193,725)</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b/>
                <w:bCs/>
                <w:sz w:val="18"/>
                <w:szCs w:val="18"/>
                <w:lang w:val="en-US"/>
              </w:rPr>
              <w:t>1,555,275</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b/>
                <w:bCs/>
                <w:sz w:val="18"/>
                <w:szCs w:val="18"/>
                <w:lang w:val="en-US"/>
              </w:rPr>
              <w:t>588,763</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BC7B56">
            <w:pPr>
              <w:jc w:val="right"/>
              <w:rPr>
                <w:b/>
                <w:bCs/>
                <w:sz w:val="18"/>
                <w:szCs w:val="18"/>
                <w:lang w:val="en-US"/>
              </w:rPr>
            </w:pPr>
            <w:r w:rsidRPr="00BC7B56">
              <w:rPr>
                <w:b/>
                <w:bCs/>
                <w:sz w:val="18"/>
                <w:szCs w:val="18"/>
                <w:lang w:val="en-US"/>
              </w:rPr>
              <w:t>10.28</w:t>
            </w:r>
          </w:p>
        </w:tc>
      </w:tr>
      <w:tr w:rsidR="00BC7B56" w:rsidRPr="00BC7B56" w:rsidTr="00CE0389">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BC7B56" w:rsidRPr="00BC7B56" w:rsidRDefault="00BC7B56" w:rsidP="00BC7B56">
            <w:pPr>
              <w:jc w:val="left"/>
              <w:rPr>
                <w:b/>
                <w:bCs/>
                <w:sz w:val="18"/>
                <w:szCs w:val="18"/>
                <w:lang w:val="en-US"/>
              </w:rPr>
            </w:pPr>
            <w:r w:rsidRPr="00BC7B56">
              <w:rPr>
                <w:rFonts w:eastAsia="Calibri"/>
                <w:b/>
                <w:bCs/>
                <w:sz w:val="18"/>
                <w:szCs w:val="18"/>
                <w:lang w:eastAsia="en-GB"/>
              </w:rPr>
              <w:t xml:space="preserve">Total foam sector </w:t>
            </w:r>
          </w:p>
        </w:tc>
        <w:tc>
          <w:tcPr>
            <w:tcW w:w="388"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164</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rFonts w:eastAsia="Calibri"/>
                <w:b/>
                <w:bCs/>
                <w:sz w:val="18"/>
                <w:szCs w:val="18"/>
                <w:lang w:eastAsia="en-GB"/>
              </w:rPr>
              <w:t>699.24</w:t>
            </w:r>
          </w:p>
        </w:tc>
        <w:tc>
          <w:tcPr>
            <w:tcW w:w="380" w:type="pct"/>
            <w:tcBorders>
              <w:top w:val="nil"/>
              <w:left w:val="nil"/>
              <w:bottom w:val="single" w:sz="4" w:space="0" w:color="auto"/>
              <w:right w:val="single" w:sz="4" w:space="0" w:color="auto"/>
            </w:tcBorders>
            <w:shd w:val="clear" w:color="auto" w:fill="auto"/>
            <w:noWrap/>
            <w:hideMark/>
          </w:tcPr>
          <w:p w:rsidR="00BC7B56" w:rsidRPr="001D6929" w:rsidRDefault="00BC7B56" w:rsidP="00BC7B56">
            <w:pPr>
              <w:jc w:val="right"/>
              <w:rPr>
                <w:b/>
                <w:bCs/>
                <w:sz w:val="18"/>
                <w:szCs w:val="18"/>
                <w:lang w:val="en-US"/>
              </w:rPr>
            </w:pPr>
            <w:r w:rsidRPr="001D6929">
              <w:rPr>
                <w:b/>
                <w:bCs/>
                <w:sz w:val="18"/>
                <w:szCs w:val="18"/>
                <w:lang w:val="en-US"/>
              </w:rPr>
              <w:t>74.03</w:t>
            </w:r>
          </w:p>
        </w:tc>
        <w:tc>
          <w:tcPr>
            <w:tcW w:w="620" w:type="pct"/>
            <w:tcBorders>
              <w:top w:val="nil"/>
              <w:left w:val="nil"/>
              <w:bottom w:val="single" w:sz="4" w:space="0" w:color="auto"/>
              <w:right w:val="single" w:sz="4" w:space="0" w:color="auto"/>
            </w:tcBorders>
            <w:shd w:val="clear" w:color="auto" w:fill="auto"/>
            <w:noWrap/>
            <w:hideMark/>
          </w:tcPr>
          <w:p w:rsidR="00BC7B56" w:rsidRPr="001D6929" w:rsidRDefault="00BC7B56" w:rsidP="001D1FBD">
            <w:pPr>
              <w:jc w:val="right"/>
              <w:rPr>
                <w:b/>
                <w:bCs/>
                <w:sz w:val="18"/>
                <w:szCs w:val="18"/>
                <w:lang w:val="en-US"/>
              </w:rPr>
            </w:pPr>
            <w:r w:rsidRPr="001D6929">
              <w:rPr>
                <w:rFonts w:eastAsia="Calibri"/>
                <w:b/>
                <w:bCs/>
                <w:sz w:val="18"/>
                <w:szCs w:val="18"/>
                <w:lang w:eastAsia="en-GB"/>
              </w:rPr>
              <w:t>4,</w:t>
            </w:r>
            <w:r w:rsidR="001D1FBD" w:rsidRPr="001D6929">
              <w:rPr>
                <w:rFonts w:eastAsia="Calibri"/>
                <w:b/>
                <w:bCs/>
                <w:sz w:val="18"/>
                <w:szCs w:val="18"/>
                <w:lang w:eastAsia="en-GB"/>
              </w:rPr>
              <w:t>952</w:t>
            </w:r>
            <w:r w:rsidRPr="001D6929">
              <w:rPr>
                <w:rFonts w:eastAsia="Calibri"/>
                <w:b/>
                <w:bCs/>
                <w:sz w:val="18"/>
                <w:szCs w:val="18"/>
                <w:lang w:eastAsia="en-GB"/>
              </w:rPr>
              <w:t>,</w:t>
            </w:r>
            <w:r w:rsidR="001D1FBD" w:rsidRPr="001D6929">
              <w:rPr>
                <w:rFonts w:eastAsia="Calibri"/>
                <w:b/>
                <w:bCs/>
                <w:sz w:val="18"/>
                <w:szCs w:val="18"/>
                <w:lang w:eastAsia="en-GB"/>
              </w:rPr>
              <w:t>0</w:t>
            </w:r>
            <w:r w:rsidRPr="001D6929">
              <w:rPr>
                <w:rFonts w:eastAsia="Calibri"/>
                <w:b/>
                <w:bCs/>
                <w:sz w:val="18"/>
                <w:szCs w:val="18"/>
                <w:lang w:eastAsia="en-GB"/>
              </w:rPr>
              <w:t>90</w:t>
            </w:r>
          </w:p>
        </w:tc>
        <w:tc>
          <w:tcPr>
            <w:tcW w:w="571"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n-US"/>
              </w:rPr>
            </w:pPr>
            <w:r w:rsidRPr="00BC7B56">
              <w:rPr>
                <w:rFonts w:eastAsia="Calibri"/>
                <w:b/>
                <w:bCs/>
                <w:sz w:val="18"/>
                <w:szCs w:val="18"/>
                <w:lang w:eastAsia="en-GB"/>
              </w:rPr>
              <w:t>5,</w:t>
            </w:r>
            <w:r w:rsidR="001D1FBD">
              <w:rPr>
                <w:rFonts w:eastAsia="Calibri"/>
                <w:b/>
                <w:bCs/>
                <w:sz w:val="18"/>
                <w:szCs w:val="18"/>
                <w:lang w:eastAsia="en-GB"/>
              </w:rPr>
              <w:t>133</w:t>
            </w:r>
            <w:r w:rsidRPr="00BC7B56">
              <w:rPr>
                <w:rFonts w:eastAsia="Calibri"/>
                <w:b/>
                <w:bCs/>
                <w:sz w:val="18"/>
                <w:szCs w:val="18"/>
                <w:lang w:eastAsia="en-GB"/>
              </w:rPr>
              <w:t>,</w:t>
            </w:r>
            <w:r w:rsidR="001D1FBD">
              <w:rPr>
                <w:rFonts w:eastAsia="Calibri"/>
                <w:b/>
                <w:bCs/>
                <w:sz w:val="18"/>
                <w:szCs w:val="18"/>
                <w:lang w:eastAsia="en-GB"/>
              </w:rPr>
              <w:t>454</w:t>
            </w:r>
          </w:p>
        </w:tc>
        <w:tc>
          <w:tcPr>
            <w:tcW w:w="561" w:type="pct"/>
            <w:tcBorders>
              <w:top w:val="nil"/>
              <w:left w:val="nil"/>
              <w:bottom w:val="single" w:sz="4" w:space="0" w:color="auto"/>
              <w:right w:val="single" w:sz="4" w:space="0" w:color="auto"/>
            </w:tcBorders>
            <w:shd w:val="clear" w:color="auto" w:fill="auto"/>
            <w:noWrap/>
            <w:hideMark/>
          </w:tcPr>
          <w:p w:rsidR="00BC7B56" w:rsidRPr="00BC7B56" w:rsidRDefault="001D1FBD" w:rsidP="001D1FBD">
            <w:pPr>
              <w:jc w:val="right"/>
              <w:rPr>
                <w:b/>
                <w:bCs/>
                <w:sz w:val="18"/>
                <w:szCs w:val="18"/>
                <w:lang w:val="en-US"/>
              </w:rPr>
            </w:pPr>
            <w:r>
              <w:rPr>
                <w:rFonts w:eastAsia="Calibri"/>
                <w:b/>
                <w:bCs/>
                <w:sz w:val="18"/>
                <w:szCs w:val="18"/>
                <w:lang w:eastAsia="en-GB"/>
              </w:rPr>
              <w:t>10</w:t>
            </w:r>
            <w:r w:rsidR="00BC7B56" w:rsidRPr="00BC7B56">
              <w:rPr>
                <w:rFonts w:eastAsia="Calibri"/>
                <w:b/>
                <w:bCs/>
                <w:sz w:val="18"/>
                <w:szCs w:val="18"/>
                <w:lang w:eastAsia="en-GB"/>
              </w:rPr>
              <w:t>,</w:t>
            </w:r>
            <w:r>
              <w:rPr>
                <w:rFonts w:eastAsia="Calibri"/>
                <w:b/>
                <w:bCs/>
                <w:sz w:val="18"/>
                <w:szCs w:val="18"/>
                <w:lang w:eastAsia="en-GB"/>
              </w:rPr>
              <w:t>085</w:t>
            </w:r>
            <w:r w:rsidR="00BC7B56" w:rsidRPr="00BC7B56">
              <w:rPr>
                <w:rFonts w:eastAsia="Calibri"/>
                <w:b/>
                <w:bCs/>
                <w:sz w:val="18"/>
                <w:szCs w:val="18"/>
                <w:lang w:eastAsia="en-GB"/>
              </w:rPr>
              <w:t>,</w:t>
            </w:r>
            <w:r>
              <w:rPr>
                <w:rFonts w:eastAsia="Calibri"/>
                <w:b/>
                <w:bCs/>
                <w:sz w:val="18"/>
                <w:szCs w:val="18"/>
                <w:lang w:eastAsia="en-GB"/>
              </w:rPr>
              <w:t>544</w:t>
            </w:r>
          </w:p>
        </w:tc>
        <w:tc>
          <w:tcPr>
            <w:tcW w:w="523"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n-US"/>
              </w:rPr>
            </w:pPr>
            <w:r w:rsidRPr="00BC7B56">
              <w:rPr>
                <w:rFonts w:eastAsia="Calibri"/>
                <w:b/>
                <w:bCs/>
                <w:sz w:val="18"/>
                <w:szCs w:val="18"/>
                <w:lang w:eastAsia="en-GB"/>
              </w:rPr>
              <w:t>7,</w:t>
            </w:r>
            <w:r w:rsidR="001D1FBD">
              <w:rPr>
                <w:rFonts w:eastAsia="Calibri"/>
                <w:b/>
                <w:bCs/>
                <w:sz w:val="18"/>
                <w:szCs w:val="18"/>
                <w:lang w:eastAsia="en-GB"/>
              </w:rPr>
              <w:t>444</w:t>
            </w:r>
            <w:r w:rsidRPr="00BC7B56">
              <w:rPr>
                <w:rFonts w:eastAsia="Calibri"/>
                <w:b/>
                <w:bCs/>
                <w:sz w:val="18"/>
                <w:szCs w:val="18"/>
                <w:lang w:eastAsia="en-GB"/>
              </w:rPr>
              <w:t>,</w:t>
            </w:r>
            <w:r w:rsidR="001D1FBD">
              <w:rPr>
                <w:rFonts w:eastAsia="Calibri"/>
                <w:b/>
                <w:bCs/>
                <w:sz w:val="18"/>
                <w:szCs w:val="18"/>
                <w:lang w:eastAsia="en-GB"/>
              </w:rPr>
              <w:t>234</w:t>
            </w:r>
          </w:p>
        </w:tc>
        <w:tc>
          <w:tcPr>
            <w:tcW w:w="333" w:type="pct"/>
            <w:tcBorders>
              <w:top w:val="nil"/>
              <w:left w:val="nil"/>
              <w:bottom w:val="single" w:sz="4" w:space="0" w:color="auto"/>
              <w:right w:val="single" w:sz="4" w:space="0" w:color="auto"/>
            </w:tcBorders>
            <w:shd w:val="clear" w:color="auto" w:fill="auto"/>
            <w:noWrap/>
            <w:hideMark/>
          </w:tcPr>
          <w:p w:rsidR="00BC7B56" w:rsidRPr="00BC7B56" w:rsidRDefault="00BC7B56" w:rsidP="001D1FBD">
            <w:pPr>
              <w:jc w:val="right"/>
              <w:rPr>
                <w:b/>
                <w:bCs/>
                <w:sz w:val="18"/>
                <w:szCs w:val="18"/>
                <w:lang w:val="en-US"/>
              </w:rPr>
            </w:pPr>
            <w:r w:rsidRPr="00BC7B56">
              <w:rPr>
                <w:rFonts w:eastAsia="Calibri"/>
                <w:b/>
                <w:bCs/>
                <w:sz w:val="18"/>
                <w:szCs w:val="18"/>
                <w:lang w:eastAsia="en-GB"/>
              </w:rPr>
              <w:t>10.</w:t>
            </w:r>
            <w:r w:rsidR="001D1FBD">
              <w:rPr>
                <w:rFonts w:eastAsia="Calibri"/>
                <w:b/>
                <w:bCs/>
                <w:sz w:val="18"/>
                <w:szCs w:val="18"/>
                <w:lang w:eastAsia="en-GB"/>
              </w:rPr>
              <w:t>65</w:t>
            </w:r>
          </w:p>
        </w:tc>
      </w:tr>
      <w:tr w:rsidR="00373327" w:rsidRPr="00373327" w:rsidTr="00373327">
        <w:trPr>
          <w:trHeight w:val="50"/>
          <w:jc w:val="right"/>
        </w:trPr>
        <w:tc>
          <w:tcPr>
            <w:tcW w:w="1004" w:type="pct"/>
            <w:tcBorders>
              <w:top w:val="nil"/>
              <w:left w:val="single" w:sz="4" w:space="0" w:color="auto"/>
              <w:bottom w:val="single" w:sz="4" w:space="0" w:color="auto"/>
              <w:right w:val="single" w:sz="4" w:space="0" w:color="auto"/>
            </w:tcBorders>
            <w:shd w:val="clear" w:color="auto" w:fill="auto"/>
            <w:noWrap/>
            <w:hideMark/>
          </w:tcPr>
          <w:p w:rsidR="00373327" w:rsidRPr="00373327" w:rsidRDefault="00373327" w:rsidP="0017198D">
            <w:pPr>
              <w:jc w:val="left"/>
              <w:rPr>
                <w:rFonts w:eastAsia="Calibri"/>
                <w:bCs/>
                <w:sz w:val="18"/>
                <w:szCs w:val="18"/>
                <w:lang w:eastAsia="en-GB"/>
              </w:rPr>
            </w:pPr>
            <w:r w:rsidRPr="00373327">
              <w:rPr>
                <w:rFonts w:eastAsia="Calibri"/>
                <w:bCs/>
                <w:sz w:val="18"/>
                <w:szCs w:val="18"/>
                <w:lang w:eastAsia="en-GB"/>
              </w:rPr>
              <w:t xml:space="preserve">Additional non-eligible consumption being phased out </w:t>
            </w:r>
          </w:p>
        </w:tc>
        <w:tc>
          <w:tcPr>
            <w:tcW w:w="388" w:type="pct"/>
            <w:tcBorders>
              <w:top w:val="nil"/>
              <w:left w:val="nil"/>
              <w:bottom w:val="single" w:sz="4" w:space="0" w:color="auto"/>
              <w:right w:val="single" w:sz="4" w:space="0" w:color="auto"/>
            </w:tcBorders>
            <w:shd w:val="clear" w:color="auto" w:fill="auto"/>
            <w:noWrap/>
            <w:hideMark/>
          </w:tcPr>
          <w:p w:rsidR="00373327" w:rsidRPr="001D6929" w:rsidRDefault="00373327" w:rsidP="0017198D">
            <w:pPr>
              <w:jc w:val="right"/>
              <w:rPr>
                <w:bCs/>
                <w:sz w:val="18"/>
                <w:szCs w:val="18"/>
                <w:lang w:val="en-US"/>
              </w:rPr>
            </w:pPr>
            <w:r w:rsidRPr="001D6929">
              <w:rPr>
                <w:bCs/>
                <w:sz w:val="18"/>
                <w:szCs w:val="18"/>
                <w:lang w:val="en-US"/>
              </w:rPr>
              <w:t>*</w:t>
            </w:r>
          </w:p>
        </w:tc>
        <w:tc>
          <w:tcPr>
            <w:tcW w:w="620" w:type="pct"/>
            <w:tcBorders>
              <w:top w:val="nil"/>
              <w:left w:val="nil"/>
              <w:bottom w:val="single" w:sz="4" w:space="0" w:color="auto"/>
              <w:right w:val="single" w:sz="4" w:space="0" w:color="auto"/>
            </w:tcBorders>
            <w:shd w:val="clear" w:color="auto" w:fill="auto"/>
            <w:noWrap/>
            <w:hideMark/>
          </w:tcPr>
          <w:p w:rsidR="00373327" w:rsidRPr="001D6929" w:rsidRDefault="00373327" w:rsidP="0017198D">
            <w:pPr>
              <w:jc w:val="right"/>
              <w:rPr>
                <w:rFonts w:eastAsia="Calibri"/>
                <w:bCs/>
                <w:sz w:val="18"/>
                <w:szCs w:val="18"/>
                <w:lang w:eastAsia="en-GB"/>
              </w:rPr>
            </w:pPr>
            <w:r w:rsidRPr="001D6929">
              <w:rPr>
                <w:rFonts w:eastAsia="Calibri"/>
                <w:bCs/>
                <w:sz w:val="18"/>
                <w:szCs w:val="18"/>
                <w:lang w:eastAsia="en-GB"/>
              </w:rPr>
              <w:t>89.23</w:t>
            </w:r>
          </w:p>
        </w:tc>
        <w:tc>
          <w:tcPr>
            <w:tcW w:w="380" w:type="pct"/>
            <w:tcBorders>
              <w:top w:val="nil"/>
              <w:left w:val="nil"/>
              <w:bottom w:val="single" w:sz="4" w:space="0" w:color="auto"/>
              <w:right w:val="single" w:sz="4" w:space="0" w:color="auto"/>
            </w:tcBorders>
            <w:shd w:val="clear" w:color="auto" w:fill="auto"/>
            <w:noWrap/>
            <w:hideMark/>
          </w:tcPr>
          <w:p w:rsidR="00373327" w:rsidRPr="001D6929" w:rsidRDefault="00373327" w:rsidP="0017198D">
            <w:pPr>
              <w:jc w:val="right"/>
              <w:rPr>
                <w:bCs/>
                <w:sz w:val="18"/>
                <w:szCs w:val="18"/>
                <w:lang w:val="en-US"/>
              </w:rPr>
            </w:pPr>
            <w:r w:rsidRPr="001D6929">
              <w:rPr>
                <w:bCs/>
                <w:sz w:val="18"/>
                <w:szCs w:val="18"/>
                <w:lang w:val="en-US"/>
              </w:rPr>
              <w:t>9.82</w:t>
            </w:r>
          </w:p>
        </w:tc>
        <w:tc>
          <w:tcPr>
            <w:tcW w:w="620" w:type="pct"/>
            <w:tcBorders>
              <w:top w:val="nil"/>
              <w:left w:val="nil"/>
              <w:bottom w:val="single" w:sz="4" w:space="0" w:color="auto"/>
              <w:right w:val="single" w:sz="4" w:space="0" w:color="auto"/>
            </w:tcBorders>
            <w:shd w:val="clear" w:color="auto" w:fill="auto"/>
            <w:noWrap/>
            <w:hideMark/>
          </w:tcPr>
          <w:p w:rsidR="00373327" w:rsidRPr="00577666" w:rsidRDefault="007E36F3" w:rsidP="0017198D">
            <w:pPr>
              <w:jc w:val="right"/>
              <w:rPr>
                <w:rFonts w:eastAsia="Calibri"/>
                <w:bCs/>
                <w:sz w:val="18"/>
                <w:szCs w:val="18"/>
                <w:lang w:eastAsia="en-GB"/>
              </w:rPr>
            </w:pPr>
            <w:r w:rsidRPr="00577666">
              <w:rPr>
                <w:rFonts w:eastAsia="Calibri"/>
                <w:bCs/>
                <w:sz w:val="18"/>
                <w:szCs w:val="18"/>
                <w:lang w:eastAsia="en-GB"/>
              </w:rPr>
              <w:t>n/a</w:t>
            </w:r>
          </w:p>
        </w:tc>
        <w:tc>
          <w:tcPr>
            <w:tcW w:w="571" w:type="pct"/>
            <w:tcBorders>
              <w:top w:val="nil"/>
              <w:left w:val="nil"/>
              <w:bottom w:val="single" w:sz="4" w:space="0" w:color="auto"/>
              <w:right w:val="single" w:sz="4" w:space="0" w:color="auto"/>
            </w:tcBorders>
            <w:shd w:val="clear" w:color="auto" w:fill="auto"/>
            <w:noWrap/>
            <w:hideMark/>
          </w:tcPr>
          <w:p w:rsidR="00373327" w:rsidRPr="00577666" w:rsidRDefault="007E36F3" w:rsidP="0017198D">
            <w:pPr>
              <w:jc w:val="right"/>
              <w:rPr>
                <w:rFonts w:eastAsia="Calibri"/>
                <w:bCs/>
                <w:sz w:val="18"/>
                <w:szCs w:val="18"/>
                <w:lang w:eastAsia="en-GB"/>
              </w:rPr>
            </w:pPr>
            <w:r w:rsidRPr="00577666">
              <w:rPr>
                <w:rFonts w:eastAsia="Calibri"/>
                <w:bCs/>
                <w:sz w:val="18"/>
                <w:szCs w:val="18"/>
                <w:lang w:eastAsia="en-GB"/>
              </w:rPr>
              <w:t>n/a</w:t>
            </w:r>
          </w:p>
        </w:tc>
        <w:tc>
          <w:tcPr>
            <w:tcW w:w="561" w:type="pct"/>
            <w:tcBorders>
              <w:top w:val="nil"/>
              <w:left w:val="nil"/>
              <w:bottom w:val="single" w:sz="4" w:space="0" w:color="auto"/>
              <w:right w:val="single" w:sz="4" w:space="0" w:color="auto"/>
            </w:tcBorders>
            <w:shd w:val="clear" w:color="auto" w:fill="auto"/>
            <w:noWrap/>
            <w:hideMark/>
          </w:tcPr>
          <w:p w:rsidR="00373327" w:rsidRPr="00577666" w:rsidRDefault="007E36F3" w:rsidP="0017198D">
            <w:pPr>
              <w:jc w:val="right"/>
              <w:rPr>
                <w:rFonts w:eastAsia="Calibri"/>
                <w:bCs/>
                <w:sz w:val="18"/>
                <w:szCs w:val="18"/>
                <w:lang w:eastAsia="en-GB"/>
              </w:rPr>
            </w:pPr>
            <w:r w:rsidRPr="00577666">
              <w:rPr>
                <w:rFonts w:eastAsia="Calibri"/>
                <w:bCs/>
                <w:sz w:val="18"/>
                <w:szCs w:val="18"/>
                <w:lang w:eastAsia="en-GB"/>
              </w:rPr>
              <w:t>n/a</w:t>
            </w:r>
          </w:p>
        </w:tc>
        <w:tc>
          <w:tcPr>
            <w:tcW w:w="523" w:type="pct"/>
            <w:tcBorders>
              <w:top w:val="nil"/>
              <w:left w:val="nil"/>
              <w:bottom w:val="single" w:sz="4" w:space="0" w:color="auto"/>
              <w:right w:val="single" w:sz="4" w:space="0" w:color="auto"/>
            </w:tcBorders>
            <w:shd w:val="clear" w:color="auto" w:fill="auto"/>
            <w:noWrap/>
            <w:hideMark/>
          </w:tcPr>
          <w:p w:rsidR="00373327" w:rsidRPr="00577666" w:rsidRDefault="007E36F3" w:rsidP="0017198D">
            <w:pPr>
              <w:jc w:val="right"/>
              <w:rPr>
                <w:rFonts w:eastAsia="Calibri"/>
                <w:bCs/>
                <w:sz w:val="18"/>
                <w:szCs w:val="18"/>
                <w:lang w:eastAsia="en-GB"/>
              </w:rPr>
            </w:pPr>
            <w:r w:rsidRPr="00577666">
              <w:rPr>
                <w:rFonts w:eastAsia="Calibri"/>
                <w:bCs/>
                <w:sz w:val="18"/>
                <w:szCs w:val="18"/>
                <w:lang w:eastAsia="en-GB"/>
              </w:rPr>
              <w:t>n/a</w:t>
            </w:r>
          </w:p>
        </w:tc>
        <w:tc>
          <w:tcPr>
            <w:tcW w:w="333" w:type="pct"/>
            <w:tcBorders>
              <w:top w:val="nil"/>
              <w:left w:val="nil"/>
              <w:bottom w:val="single" w:sz="4" w:space="0" w:color="auto"/>
              <w:right w:val="single" w:sz="4" w:space="0" w:color="auto"/>
            </w:tcBorders>
            <w:shd w:val="clear" w:color="auto" w:fill="auto"/>
            <w:noWrap/>
            <w:hideMark/>
          </w:tcPr>
          <w:p w:rsidR="00373327" w:rsidRPr="00577666" w:rsidRDefault="007E36F3" w:rsidP="0017198D">
            <w:pPr>
              <w:jc w:val="right"/>
              <w:rPr>
                <w:rFonts w:eastAsia="Calibri"/>
                <w:bCs/>
                <w:sz w:val="18"/>
                <w:szCs w:val="18"/>
                <w:lang w:eastAsia="en-GB"/>
              </w:rPr>
            </w:pPr>
            <w:r w:rsidRPr="00577666">
              <w:rPr>
                <w:rFonts w:eastAsia="Calibri"/>
                <w:bCs/>
                <w:sz w:val="18"/>
                <w:szCs w:val="18"/>
                <w:lang w:eastAsia="en-GB"/>
              </w:rPr>
              <w:t>n/a</w:t>
            </w:r>
          </w:p>
        </w:tc>
      </w:tr>
    </w:tbl>
    <w:p w:rsidR="00BC7B56" w:rsidRPr="00BC7B56" w:rsidRDefault="00BC7B56" w:rsidP="00F0403F">
      <w:pPr>
        <w:widowControl w:val="0"/>
        <w:rPr>
          <w:sz w:val="18"/>
          <w:szCs w:val="18"/>
        </w:rPr>
      </w:pPr>
      <w:r w:rsidRPr="00BC7B56">
        <w:rPr>
          <w:sz w:val="18"/>
          <w:szCs w:val="18"/>
        </w:rPr>
        <w:t>*</w:t>
      </w:r>
      <w:r w:rsidR="00577666">
        <w:rPr>
          <w:sz w:val="18"/>
          <w:szCs w:val="18"/>
        </w:rPr>
        <w:t>U</w:t>
      </w:r>
      <w:r w:rsidRPr="00BC7B56">
        <w:rPr>
          <w:sz w:val="18"/>
          <w:szCs w:val="18"/>
        </w:rPr>
        <w:t>nknown</w:t>
      </w:r>
      <w:r w:rsidR="007E36F3">
        <w:rPr>
          <w:sz w:val="18"/>
          <w:szCs w:val="18"/>
        </w:rPr>
        <w:t>.</w:t>
      </w:r>
    </w:p>
    <w:p w:rsidR="000A44F0" w:rsidRPr="00EA50EA" w:rsidRDefault="00EA50EA" w:rsidP="00F0403F">
      <w:pPr>
        <w:keepNext/>
        <w:spacing w:after="240"/>
        <w:outlineLvl w:val="0"/>
        <w:rPr>
          <w:sz w:val="18"/>
          <w:szCs w:val="18"/>
        </w:rPr>
      </w:pPr>
      <w:r w:rsidRPr="00EA50EA">
        <w:rPr>
          <w:sz w:val="18"/>
          <w:szCs w:val="18"/>
        </w:rPr>
        <w:t>**Project for Perfiles Revestidos was</w:t>
      </w:r>
      <w:r>
        <w:rPr>
          <w:sz w:val="18"/>
          <w:szCs w:val="18"/>
        </w:rPr>
        <w:t xml:space="preserve"> added </w:t>
      </w:r>
      <w:r w:rsidRPr="00EA50EA">
        <w:rPr>
          <w:sz w:val="18"/>
          <w:szCs w:val="18"/>
        </w:rPr>
        <w:t>during the project review process</w:t>
      </w:r>
      <w:r w:rsidR="00D90275">
        <w:rPr>
          <w:sz w:val="18"/>
          <w:szCs w:val="18"/>
        </w:rPr>
        <w:t xml:space="preserve"> on 1 June 2017.</w:t>
      </w:r>
    </w:p>
    <w:p w:rsidR="00F0403F" w:rsidRPr="00141CF6" w:rsidRDefault="00F0403F" w:rsidP="00F0403F">
      <w:pPr>
        <w:keepNext/>
        <w:spacing w:after="240"/>
        <w:outlineLvl w:val="0"/>
        <w:rPr>
          <w:u w:val="single"/>
        </w:rPr>
      </w:pPr>
      <w:r w:rsidRPr="00141CF6">
        <w:rPr>
          <w:u w:val="single"/>
        </w:rPr>
        <w:t>Activities in the refrigeration servicing sector</w:t>
      </w:r>
    </w:p>
    <w:p w:rsidR="00F0403F" w:rsidRPr="00A5722B" w:rsidRDefault="00F0403F" w:rsidP="00F0403F">
      <w:pPr>
        <w:keepNext/>
        <w:numPr>
          <w:ilvl w:val="0"/>
          <w:numId w:val="1"/>
        </w:numPr>
        <w:spacing w:after="240"/>
        <w:outlineLvl w:val="0"/>
      </w:pPr>
      <w:r w:rsidRPr="00141CF6">
        <w:t xml:space="preserve">Stage II of the HPMP also proposes to phase out </w:t>
      </w:r>
      <w:r w:rsidR="0014253B">
        <w:t>748.36</w:t>
      </w:r>
      <w:r w:rsidR="00673FC0">
        <w:t> mt</w:t>
      </w:r>
      <w:r w:rsidRPr="00141CF6">
        <w:t xml:space="preserve"> (</w:t>
      </w:r>
      <w:r w:rsidR="0014253B">
        <w:t>41.16</w:t>
      </w:r>
      <w:r w:rsidR="00673FC0">
        <w:t> ODP tonnes</w:t>
      </w:r>
      <w:r w:rsidRPr="00141CF6">
        <w:t xml:space="preserve">) of HCFC-22 used in the refrigeration servicing sector with a total </w:t>
      </w:r>
      <w:r w:rsidRPr="00A5722B">
        <w:t xml:space="preserve">cost of </w:t>
      </w:r>
      <w:r w:rsidR="009A3BBD" w:rsidRPr="00A5722B">
        <w:t>US $</w:t>
      </w:r>
      <w:r w:rsidR="0014253B" w:rsidRPr="00A5722B">
        <w:t>3,591,070</w:t>
      </w:r>
      <w:r w:rsidR="00D90275">
        <w:t xml:space="preserve"> </w:t>
      </w:r>
      <w:r w:rsidR="00D90275" w:rsidRPr="00577666">
        <w:t>(c</w:t>
      </w:r>
      <w:r w:rsidR="004153DE" w:rsidRPr="00577666">
        <w:t>alculated at US $4.80/kg</w:t>
      </w:r>
      <w:r w:rsidR="00D90275" w:rsidRPr="00577666">
        <w:t>)</w:t>
      </w:r>
      <w:r w:rsidR="004153DE" w:rsidRPr="00577666">
        <w:t>.</w:t>
      </w:r>
      <w:r w:rsidR="004153DE" w:rsidRPr="00A5722B">
        <w:t xml:space="preserve"> </w:t>
      </w:r>
      <w:r w:rsidRPr="00A5722B">
        <w:t>An overview of activities to be implemented in this sector is summarized below:</w:t>
      </w:r>
    </w:p>
    <w:p w:rsidR="00F0403F" w:rsidRPr="005817BC" w:rsidRDefault="00F0403F" w:rsidP="00F0403F">
      <w:pPr>
        <w:widowControl w:val="0"/>
        <w:numPr>
          <w:ilvl w:val="1"/>
          <w:numId w:val="1"/>
        </w:numPr>
        <w:spacing w:after="240"/>
        <w:outlineLvl w:val="1"/>
      </w:pPr>
      <w:r w:rsidRPr="00141CF6">
        <w:rPr>
          <w:i/>
        </w:rPr>
        <w:t>Training and equipment for technicians in the AC and commercial refrigeration servicing sector (</w:t>
      </w:r>
      <w:r w:rsidR="009A3BBD">
        <w:rPr>
          <w:i/>
        </w:rPr>
        <w:t>US $</w:t>
      </w:r>
      <w:r w:rsidR="005817BC">
        <w:rPr>
          <w:i/>
        </w:rPr>
        <w:t>2,624,070</w:t>
      </w:r>
      <w:r w:rsidRPr="00141CF6">
        <w:rPr>
          <w:i/>
        </w:rPr>
        <w:t>)</w:t>
      </w:r>
      <w:r w:rsidRPr="00141CF6">
        <w:t xml:space="preserve">: This includes development of training courses; update of technicians training manuals; development of a guide on energy efficiency and good practices; distribution of equipment to 12 training centres and 1,000 service kits among trained </w:t>
      </w:r>
      <w:r w:rsidRPr="005817BC">
        <w:t>technicians (i.e., HC manifolds, HC leak detectors, charging scale and HC tank stand, vacuum pump, evacuation hose, hand tools and HC cans; flushing equipment); and training o</w:t>
      </w:r>
      <w:r w:rsidR="00273837">
        <w:t>f</w:t>
      </w:r>
      <w:r w:rsidRPr="005817BC">
        <w:t xml:space="preserve"> 15 trainers and 4,000 technicians on </w:t>
      </w:r>
      <w:r w:rsidRPr="005817BC">
        <w:rPr>
          <w:i/>
        </w:rPr>
        <w:t>inter-alia</w:t>
      </w:r>
      <w:r w:rsidRPr="005817BC">
        <w:t xml:space="preserve"> best practices working with emerging alternatives (HC, ammonia, </w:t>
      </w:r>
      <w:r w:rsidR="009A3BBD" w:rsidRPr="005817BC">
        <w:t>CO</w:t>
      </w:r>
      <w:r w:rsidR="009A3BBD" w:rsidRPr="00273837">
        <w:rPr>
          <w:vertAlign w:val="subscript"/>
        </w:rPr>
        <w:t>2</w:t>
      </w:r>
      <w:r w:rsidRPr="005817BC">
        <w:t>), appropriate cleaning and flushing techniques, recovery and management of HCFC and HFC refrigerants, available and emerging alternatives to HCFC and HFC refrigerants, and impact of installation and good service practices on energy efficiency of systems;</w:t>
      </w:r>
    </w:p>
    <w:p w:rsidR="00F0403F" w:rsidRPr="005817BC" w:rsidRDefault="00F0403F" w:rsidP="00F0403F">
      <w:pPr>
        <w:widowControl w:val="0"/>
        <w:numPr>
          <w:ilvl w:val="1"/>
          <w:numId w:val="1"/>
        </w:numPr>
        <w:spacing w:after="240"/>
        <w:outlineLvl w:val="1"/>
      </w:pPr>
      <w:r w:rsidRPr="00141CF6">
        <w:rPr>
          <w:i/>
        </w:rPr>
        <w:t>Certification of technicians in the handling and use of flammable refrigerants (</w:t>
      </w:r>
      <w:r w:rsidR="009A3BBD">
        <w:rPr>
          <w:i/>
        </w:rPr>
        <w:t>US $</w:t>
      </w:r>
      <w:r w:rsidR="005817BC" w:rsidRPr="005817BC">
        <w:rPr>
          <w:i/>
        </w:rPr>
        <w:t>396,000</w:t>
      </w:r>
      <w:r w:rsidRPr="005817BC">
        <w:rPr>
          <w:i/>
        </w:rPr>
        <w:t>)</w:t>
      </w:r>
      <w:r w:rsidRPr="005817BC">
        <w:t>: This includes the development of a refrigeration</w:t>
      </w:r>
      <w:r w:rsidR="00273837">
        <w:t xml:space="preserve"> </w:t>
      </w:r>
      <w:r w:rsidRPr="005817BC">
        <w:t>technician certification scheme for handling flammable refrigerants; the establishment of provincial certification bodies; the development of an e-learning scheme for technicians; and certificat</w:t>
      </w:r>
      <w:r w:rsidR="005817BC" w:rsidRPr="005817BC">
        <w:t>ion</w:t>
      </w:r>
      <w:r w:rsidRPr="005817BC">
        <w:t xml:space="preserve"> to technicians that have successfully completed the theoretical and practical examination. The certification scheme will have capacity to certify 1,000 technicians per year; and</w:t>
      </w:r>
    </w:p>
    <w:p w:rsidR="00F0403F" w:rsidRPr="000B2541" w:rsidRDefault="00F0403F" w:rsidP="00D90275">
      <w:pPr>
        <w:keepNext/>
        <w:numPr>
          <w:ilvl w:val="1"/>
          <w:numId w:val="1"/>
        </w:numPr>
        <w:spacing w:after="240"/>
        <w:outlineLvl w:val="1"/>
      </w:pPr>
      <w:r w:rsidRPr="00C97329">
        <w:rPr>
          <w:i/>
        </w:rPr>
        <w:lastRenderedPageBreak/>
        <w:t xml:space="preserve">Technical assistance </w:t>
      </w:r>
      <w:r w:rsidR="00CE0389">
        <w:rPr>
          <w:i/>
        </w:rPr>
        <w:t xml:space="preserve">(TA) </w:t>
      </w:r>
      <w:r w:rsidRPr="00C97329">
        <w:rPr>
          <w:i/>
        </w:rPr>
        <w:t>to reduce refrigerant leaks in supermarkets (</w:t>
      </w:r>
      <w:r w:rsidR="009A3BBD" w:rsidRPr="00C97329">
        <w:rPr>
          <w:i/>
        </w:rPr>
        <w:t>US $</w:t>
      </w:r>
      <w:r w:rsidR="008A350C" w:rsidRPr="00C97329">
        <w:rPr>
          <w:i/>
        </w:rPr>
        <w:t>471,000</w:t>
      </w:r>
      <w:r w:rsidRPr="00C97329">
        <w:rPr>
          <w:i/>
        </w:rPr>
        <w:t>):</w:t>
      </w:r>
      <w:r w:rsidRPr="00C97329">
        <w:t xml:space="preserve"> This component proposes expert advice for 40 supermarkets comprising </w:t>
      </w:r>
      <w:r w:rsidR="00C97329" w:rsidRPr="00C97329">
        <w:t xml:space="preserve">an </w:t>
      </w:r>
      <w:r w:rsidRPr="00C97329">
        <w:t>induction workshop</w:t>
      </w:r>
      <w:r w:rsidR="008A350C" w:rsidRPr="000B2541">
        <w:t>;</w:t>
      </w:r>
      <w:r w:rsidRPr="000B2541">
        <w:t xml:space="preserve"> </w:t>
      </w:r>
      <w:r w:rsidR="008A350C" w:rsidRPr="000B2541">
        <w:t xml:space="preserve">system </w:t>
      </w:r>
      <w:r w:rsidRPr="000B2541">
        <w:t xml:space="preserve">diagnostic </w:t>
      </w:r>
      <w:r w:rsidR="008A350C" w:rsidRPr="000B2541">
        <w:t>v</w:t>
      </w:r>
      <w:r w:rsidRPr="000B2541">
        <w:t>isits</w:t>
      </w:r>
      <w:r w:rsidR="00CB4269" w:rsidRPr="000B2541">
        <w:t xml:space="preserve"> to review the condition of the refrigeration/AC systems and provide recommendations on ways to reduce leakages</w:t>
      </w:r>
      <w:r w:rsidR="008A350C" w:rsidRPr="000B2541">
        <w:t>;</w:t>
      </w:r>
      <w:r w:rsidRPr="000B2541">
        <w:t xml:space="preserve"> follow-up visits </w:t>
      </w:r>
      <w:r w:rsidR="008A350C" w:rsidRPr="000B2541">
        <w:t xml:space="preserve">for a year </w:t>
      </w:r>
      <w:r w:rsidR="00C97329" w:rsidRPr="000B2541">
        <w:t xml:space="preserve">to </w:t>
      </w:r>
      <w:r w:rsidRPr="000B2541">
        <w:t>monitor implementation of recommendations and action plan proposed by the expert; a report containing major findings</w:t>
      </w:r>
      <w:r w:rsidR="00C97329" w:rsidRPr="000B2541">
        <w:t xml:space="preserve"> </w:t>
      </w:r>
      <w:r w:rsidR="00CB4269" w:rsidRPr="000B2541">
        <w:t xml:space="preserve">from the monitoring of the refrigeration/AC systems, </w:t>
      </w:r>
      <w:r w:rsidR="00C97329" w:rsidRPr="000B2541">
        <w:t xml:space="preserve">including </w:t>
      </w:r>
      <w:r w:rsidRPr="000B2541">
        <w:t>cost and financial/environment benefits</w:t>
      </w:r>
      <w:r w:rsidR="00CB4269" w:rsidRPr="000B2541">
        <w:t xml:space="preserve"> of </w:t>
      </w:r>
      <w:r w:rsidR="008478DE" w:rsidRPr="000B2541">
        <w:t xml:space="preserve">applying the </w:t>
      </w:r>
      <w:r w:rsidR="00CB4269" w:rsidRPr="000B2541">
        <w:t>leakage reduction recommendations</w:t>
      </w:r>
      <w:r w:rsidRPr="000B2541">
        <w:t>; a workshop for supermarket managers to report and demonstrate experience collected and recommendations; and dissemination of in</w:t>
      </w:r>
      <w:r w:rsidR="00A5722B" w:rsidRPr="000B2541">
        <w:t>formation to other supermarkets;</w:t>
      </w:r>
    </w:p>
    <w:p w:rsidR="00A5722B" w:rsidRPr="00C97329" w:rsidRDefault="00A5722B" w:rsidP="007E36F3">
      <w:pPr>
        <w:keepNext/>
        <w:numPr>
          <w:ilvl w:val="1"/>
          <w:numId w:val="1"/>
        </w:numPr>
        <w:spacing w:after="240"/>
        <w:outlineLvl w:val="1"/>
      </w:pPr>
      <w:r>
        <w:rPr>
          <w:i/>
        </w:rPr>
        <w:t>Public awareness activities</w:t>
      </w:r>
      <w:r w:rsidR="007A23F5">
        <w:rPr>
          <w:rStyle w:val="FootnoteReference"/>
          <w:i/>
        </w:rPr>
        <w:footnoteReference w:id="10"/>
      </w:r>
      <w:r>
        <w:rPr>
          <w:i/>
        </w:rPr>
        <w:t xml:space="preserve"> (US $100,000):</w:t>
      </w:r>
      <w:r>
        <w:t xml:space="preserve"> It includes activities to increase consumer’s awareness on HCFC-free products (e.g., media campaign, dissemination material, press conferences, participation in specialized exhibitions). </w:t>
      </w:r>
    </w:p>
    <w:p w:rsidR="00F0403F" w:rsidRPr="00141CF6" w:rsidRDefault="00F0403F" w:rsidP="00F0403F">
      <w:pPr>
        <w:keepNext/>
        <w:rPr>
          <w:u w:val="single"/>
        </w:rPr>
      </w:pPr>
      <w:r w:rsidRPr="00141CF6">
        <w:rPr>
          <w:u w:val="single"/>
        </w:rPr>
        <w:t>Policy measures</w:t>
      </w:r>
      <w:r w:rsidR="0000468C">
        <w:rPr>
          <w:u w:val="single"/>
        </w:rPr>
        <w:t>,</w:t>
      </w:r>
      <w:r w:rsidRPr="00141CF6">
        <w:rPr>
          <w:u w:val="single"/>
        </w:rPr>
        <w:t xml:space="preserve"> project implementation and monitoring unit (PMU)</w:t>
      </w:r>
      <w:r w:rsidR="0000468C">
        <w:rPr>
          <w:u w:val="single"/>
        </w:rPr>
        <w:t xml:space="preserve"> and monitoring of HCFC production</w:t>
      </w:r>
    </w:p>
    <w:p w:rsidR="00F0403F" w:rsidRPr="00141CF6" w:rsidRDefault="00F0403F" w:rsidP="00F0403F">
      <w:pPr>
        <w:keepNext/>
      </w:pPr>
    </w:p>
    <w:p w:rsidR="00F0403F" w:rsidRPr="00577666" w:rsidRDefault="00F0403F" w:rsidP="00F0403F">
      <w:pPr>
        <w:keepNext/>
        <w:numPr>
          <w:ilvl w:val="0"/>
          <w:numId w:val="1"/>
        </w:numPr>
        <w:spacing w:after="240"/>
        <w:outlineLvl w:val="0"/>
      </w:pPr>
      <w:r w:rsidRPr="00577666">
        <w:t xml:space="preserve">The following non-investment activities are proposed to support and ensure sustainability of the HCFC phase-out projects: </w:t>
      </w:r>
      <w:r w:rsidR="00DB6BA3" w:rsidRPr="00577666">
        <w:t xml:space="preserve">public awareness (already described under servicing); improvement of the quota and licensing system; standards, bans and policy control; </w:t>
      </w:r>
      <w:r w:rsidRPr="00577666">
        <w:t>coordination and monitoring of the HPMP (</w:t>
      </w:r>
      <w:r w:rsidR="009A3BBD" w:rsidRPr="00577666">
        <w:t>US $</w:t>
      </w:r>
      <w:r w:rsidR="00FF42B0" w:rsidRPr="00577666">
        <w:t>424,000</w:t>
      </w:r>
      <w:r w:rsidRPr="00577666">
        <w:t>); and a project monitoring and implementation unit for the implementation of the foam sector projects (</w:t>
      </w:r>
      <w:r w:rsidR="009A3BBD" w:rsidRPr="00577666">
        <w:t>US $</w:t>
      </w:r>
      <w:r w:rsidRPr="00577666">
        <w:t>672,</w:t>
      </w:r>
      <w:r w:rsidR="00273837" w:rsidRPr="00577666">
        <w:t>18</w:t>
      </w:r>
      <w:r w:rsidRPr="00577666">
        <w:t>0).</w:t>
      </w:r>
    </w:p>
    <w:p w:rsidR="00F0403F" w:rsidRPr="00020D73" w:rsidRDefault="00020D73" w:rsidP="00020D73">
      <w:pPr>
        <w:pStyle w:val="Heading1"/>
      </w:pPr>
      <w:r>
        <w:t xml:space="preserve">In addition, </w:t>
      </w:r>
      <w:r w:rsidRPr="00020D73">
        <w:t>US</w:t>
      </w:r>
      <w:r>
        <w:t> </w:t>
      </w:r>
      <w:r w:rsidRPr="00020D73">
        <w:t>$76,000</w:t>
      </w:r>
      <w:r>
        <w:t xml:space="preserve"> are requested to continue </w:t>
      </w:r>
      <w:r w:rsidRPr="00020D73">
        <w:t>m</w:t>
      </w:r>
      <w:r w:rsidR="00F0403F" w:rsidRPr="00020D73">
        <w:t xml:space="preserve">onitoring </w:t>
      </w:r>
      <w:r w:rsidR="00273837">
        <w:t xml:space="preserve"> yearly </w:t>
      </w:r>
      <w:r w:rsidR="00F0403F" w:rsidRPr="00020D73">
        <w:t xml:space="preserve">domestic HCFC production and stockpiles </w:t>
      </w:r>
      <w:r w:rsidR="0000468C">
        <w:t>including ver</w:t>
      </w:r>
      <w:r w:rsidR="00F0403F" w:rsidRPr="00020D73">
        <w:t>ification visits by experts</w:t>
      </w:r>
      <w:r w:rsidR="0000468C">
        <w:t xml:space="preserve">; </w:t>
      </w:r>
      <w:r w:rsidR="00F0403F" w:rsidRPr="00020D73">
        <w:t>strengthening of the management information system to track domestic sales</w:t>
      </w:r>
      <w:r w:rsidR="0000468C">
        <w:t xml:space="preserve"> </w:t>
      </w:r>
      <w:r w:rsidR="00F0403F" w:rsidRPr="00020D73">
        <w:t>and monitor the movement of stockpile</w:t>
      </w:r>
      <w:r>
        <w:t>s</w:t>
      </w:r>
      <w:r w:rsidR="0000468C">
        <w:t xml:space="preserve">; and production of quarter </w:t>
      </w:r>
      <w:r>
        <w:t>reports</w:t>
      </w:r>
      <w:r w:rsidR="0014469B">
        <w:t xml:space="preserve"> </w:t>
      </w:r>
      <w:r w:rsidR="00273837">
        <w:t>(a</w:t>
      </w:r>
      <w:r w:rsidR="00D90275">
        <w:t>s</w:t>
      </w:r>
      <w:r w:rsidR="00273837">
        <w:t xml:space="preserve"> done during stage I).</w:t>
      </w:r>
    </w:p>
    <w:p w:rsidR="00F0403F" w:rsidRPr="00141CF6" w:rsidRDefault="00F0403F" w:rsidP="00F0403F">
      <w:pPr>
        <w:contextualSpacing/>
        <w:rPr>
          <w:color w:val="000000" w:themeColor="text1"/>
          <w:szCs w:val="32"/>
        </w:rPr>
      </w:pPr>
      <w:r w:rsidRPr="00141CF6">
        <w:rPr>
          <w:color w:val="000000" w:themeColor="text1"/>
          <w:szCs w:val="32"/>
          <w:u w:val="single"/>
        </w:rPr>
        <w:t>Total cost of stage II of the HPMP</w:t>
      </w:r>
    </w:p>
    <w:p w:rsidR="00F0403F" w:rsidRPr="00141CF6" w:rsidRDefault="00F0403F" w:rsidP="00F0403F"/>
    <w:p w:rsidR="00F0403F" w:rsidRPr="00EA50EA" w:rsidRDefault="00F0403F" w:rsidP="00F0403F">
      <w:pPr>
        <w:numPr>
          <w:ilvl w:val="0"/>
          <w:numId w:val="1"/>
        </w:numPr>
        <w:spacing w:after="240"/>
        <w:outlineLvl w:val="0"/>
      </w:pPr>
      <w:r w:rsidRPr="00141CF6">
        <w:t xml:space="preserve">The </w:t>
      </w:r>
      <w:r w:rsidRPr="00B67BE6">
        <w:t xml:space="preserve">total cost of stage II of the HPMP for Argentina to be funded has been estimated at </w:t>
      </w:r>
      <w:r w:rsidR="009A3BBD" w:rsidRPr="00B67BE6">
        <w:t>US $</w:t>
      </w:r>
      <w:r w:rsidR="00EA50EA" w:rsidRPr="00B67BE6">
        <w:t>12,207,</w:t>
      </w:r>
      <w:r w:rsidR="00B67BE6" w:rsidRPr="00B67BE6">
        <w:t>484</w:t>
      </w:r>
      <w:r w:rsidRPr="00B67BE6">
        <w:t>, as originally</w:t>
      </w:r>
      <w:r w:rsidRPr="00141CF6">
        <w:t xml:space="preserve"> submitted </w:t>
      </w:r>
      <w:r w:rsidRPr="00EA50EA">
        <w:t xml:space="preserve">(excluding support costs). The proposed activities will result in the phase-out of </w:t>
      </w:r>
      <w:r w:rsidR="00EA50EA" w:rsidRPr="00EA50EA">
        <w:t>115.19</w:t>
      </w:r>
      <w:r w:rsidR="00673FC0" w:rsidRPr="00EA50EA">
        <w:t> ODP tonnes</w:t>
      </w:r>
      <w:r w:rsidRPr="00EA50EA">
        <w:t xml:space="preserve"> of HCFCs representing </w:t>
      </w:r>
      <w:r w:rsidR="00EA50EA" w:rsidRPr="00EA50EA">
        <w:t>28.7</w:t>
      </w:r>
      <w:r w:rsidRPr="00EA50EA">
        <w:t xml:space="preserve"> per cent of the HCFC baseline</w:t>
      </w:r>
      <w:r w:rsidR="00273837">
        <w:t>,</w:t>
      </w:r>
      <w:r w:rsidRPr="00EA50EA">
        <w:t xml:space="preserve"> with an cost</w:t>
      </w:r>
      <w:r w:rsidR="00273837">
        <w:t>-</w:t>
      </w:r>
      <w:r w:rsidRPr="00EA50EA">
        <w:t xml:space="preserve">effectiveness of </w:t>
      </w:r>
      <w:r w:rsidR="009A3BBD" w:rsidRPr="00EA50EA">
        <w:t>US $</w:t>
      </w:r>
      <w:r w:rsidR="00EA50EA" w:rsidRPr="00EA50EA">
        <w:t>8.43</w:t>
      </w:r>
      <w:r w:rsidRPr="00EA50EA">
        <w:t xml:space="preserve">/kg, as summarized in </w:t>
      </w:r>
      <w:r w:rsidR="00B81199">
        <w:t>T</w:t>
      </w:r>
      <w:r w:rsidRPr="00EA50EA">
        <w:t>able</w:t>
      </w:r>
      <w:r w:rsidR="00B81199">
        <w:t xml:space="preserve"> 7.</w:t>
      </w:r>
    </w:p>
    <w:p w:rsidR="006E4792" w:rsidRPr="00D90275" w:rsidRDefault="00F0403F" w:rsidP="00F0403F">
      <w:pPr>
        <w:widowControl w:val="0"/>
        <w:outlineLvl w:val="0"/>
        <w:rPr>
          <w:b/>
          <w:sz w:val="18"/>
          <w:szCs w:val="18"/>
        </w:rPr>
      </w:pPr>
      <w:proofErr w:type="gramStart"/>
      <w:r w:rsidRPr="00D90275">
        <w:rPr>
          <w:b/>
          <w:sz w:val="18"/>
          <w:szCs w:val="18"/>
        </w:rPr>
        <w:t>Table 7.</w:t>
      </w:r>
      <w:proofErr w:type="gramEnd"/>
      <w:r w:rsidRPr="00D90275">
        <w:rPr>
          <w:b/>
          <w:sz w:val="18"/>
          <w:szCs w:val="18"/>
        </w:rPr>
        <w:t xml:space="preserve"> Total cost of stage II of the HPMP for Argentina</w:t>
      </w:r>
    </w:p>
    <w:tbl>
      <w:tblPr>
        <w:tblW w:w="9473" w:type="dxa"/>
        <w:tblInd w:w="103" w:type="dxa"/>
        <w:tblLook w:val="04A0" w:firstRow="1" w:lastRow="0" w:firstColumn="1" w:lastColumn="0" w:noHBand="0" w:noVBand="1"/>
      </w:tblPr>
      <w:tblGrid>
        <w:gridCol w:w="3514"/>
        <w:gridCol w:w="1261"/>
        <w:gridCol w:w="981"/>
        <w:gridCol w:w="1273"/>
        <w:gridCol w:w="1389"/>
        <w:gridCol w:w="1055"/>
      </w:tblGrid>
      <w:tr w:rsidR="00247532" w:rsidRPr="00D90275" w:rsidTr="00D90275">
        <w:trPr>
          <w:trHeight w:val="107"/>
          <w:tblHeader/>
        </w:trPr>
        <w:tc>
          <w:tcPr>
            <w:tcW w:w="35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7532" w:rsidRPr="00D90275" w:rsidRDefault="00247532" w:rsidP="00EA50EA">
            <w:pPr>
              <w:jc w:val="center"/>
              <w:rPr>
                <w:b/>
                <w:color w:val="000000"/>
                <w:sz w:val="18"/>
                <w:szCs w:val="18"/>
                <w:lang w:val="en-US"/>
              </w:rPr>
            </w:pPr>
            <w:r w:rsidRPr="00D90275">
              <w:rPr>
                <w:b/>
                <w:color w:val="000000"/>
                <w:sz w:val="18"/>
                <w:szCs w:val="18"/>
                <w:lang w:val="en-US"/>
              </w:rPr>
              <w:t>Activity</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7532" w:rsidRPr="00D90275" w:rsidRDefault="00247532" w:rsidP="006E4792">
            <w:pPr>
              <w:jc w:val="center"/>
              <w:rPr>
                <w:b/>
                <w:color w:val="000000"/>
                <w:sz w:val="18"/>
                <w:szCs w:val="18"/>
                <w:lang w:val="en-US"/>
              </w:rPr>
            </w:pPr>
            <w:r w:rsidRPr="00D90275">
              <w:rPr>
                <w:b/>
                <w:color w:val="000000"/>
                <w:sz w:val="18"/>
                <w:szCs w:val="18"/>
                <w:lang w:val="en-US"/>
              </w:rPr>
              <w:t>Agency</w:t>
            </w:r>
          </w:p>
        </w:tc>
        <w:tc>
          <w:tcPr>
            <w:tcW w:w="2254" w:type="dxa"/>
            <w:gridSpan w:val="2"/>
            <w:tcBorders>
              <w:top w:val="single" w:sz="4" w:space="0" w:color="auto"/>
              <w:left w:val="nil"/>
              <w:bottom w:val="single" w:sz="4" w:space="0" w:color="auto"/>
              <w:right w:val="single" w:sz="4" w:space="0" w:color="auto"/>
            </w:tcBorders>
            <w:shd w:val="clear" w:color="auto" w:fill="auto"/>
            <w:noWrap/>
            <w:hideMark/>
          </w:tcPr>
          <w:p w:rsidR="00247532" w:rsidRPr="00D90275" w:rsidRDefault="00247532" w:rsidP="00247532">
            <w:pPr>
              <w:jc w:val="center"/>
              <w:rPr>
                <w:b/>
                <w:color w:val="000000"/>
                <w:sz w:val="18"/>
                <w:szCs w:val="18"/>
                <w:lang w:val="en-US"/>
              </w:rPr>
            </w:pPr>
            <w:r w:rsidRPr="00D90275">
              <w:rPr>
                <w:b/>
                <w:color w:val="000000"/>
                <w:sz w:val="18"/>
                <w:szCs w:val="18"/>
                <w:lang w:val="en-US"/>
              </w:rPr>
              <w:t xml:space="preserve">HCFC phase-out </w:t>
            </w:r>
          </w:p>
        </w:tc>
        <w:tc>
          <w:tcPr>
            <w:tcW w:w="1389" w:type="dxa"/>
            <w:vMerge w:val="restart"/>
            <w:tcBorders>
              <w:top w:val="single" w:sz="4" w:space="0" w:color="auto"/>
              <w:left w:val="nil"/>
              <w:right w:val="single" w:sz="4" w:space="0" w:color="auto"/>
            </w:tcBorders>
            <w:shd w:val="clear" w:color="auto" w:fill="auto"/>
          </w:tcPr>
          <w:p w:rsidR="00247532" w:rsidRPr="00D90275" w:rsidRDefault="00247532" w:rsidP="006E4792">
            <w:pPr>
              <w:jc w:val="center"/>
              <w:rPr>
                <w:b/>
                <w:color w:val="000000"/>
                <w:sz w:val="18"/>
                <w:szCs w:val="18"/>
                <w:lang w:val="en-US"/>
              </w:rPr>
            </w:pPr>
            <w:r w:rsidRPr="00D90275">
              <w:rPr>
                <w:b/>
                <w:color w:val="000000"/>
                <w:sz w:val="18"/>
                <w:szCs w:val="18"/>
                <w:lang w:val="en-US"/>
              </w:rPr>
              <w:t>Total cost</w:t>
            </w:r>
          </w:p>
          <w:p w:rsidR="00247532" w:rsidRPr="00D90275" w:rsidRDefault="00247532" w:rsidP="006E4792">
            <w:pPr>
              <w:jc w:val="center"/>
              <w:rPr>
                <w:b/>
                <w:color w:val="000000"/>
                <w:sz w:val="18"/>
                <w:szCs w:val="18"/>
                <w:lang w:val="en-US"/>
              </w:rPr>
            </w:pPr>
            <w:r w:rsidRPr="00D90275">
              <w:rPr>
                <w:b/>
                <w:color w:val="000000"/>
                <w:sz w:val="18"/>
                <w:szCs w:val="18"/>
                <w:lang w:val="en-US"/>
              </w:rPr>
              <w:t>(US $)</w:t>
            </w:r>
          </w:p>
        </w:tc>
        <w:tc>
          <w:tcPr>
            <w:tcW w:w="1055" w:type="dxa"/>
            <w:vMerge w:val="restart"/>
            <w:tcBorders>
              <w:top w:val="single" w:sz="4" w:space="0" w:color="auto"/>
              <w:left w:val="nil"/>
              <w:right w:val="single" w:sz="4" w:space="0" w:color="auto"/>
            </w:tcBorders>
            <w:shd w:val="clear" w:color="auto" w:fill="auto"/>
          </w:tcPr>
          <w:p w:rsidR="00247532" w:rsidRPr="00D90275" w:rsidRDefault="00247532" w:rsidP="006E4792">
            <w:pPr>
              <w:jc w:val="center"/>
              <w:rPr>
                <w:b/>
                <w:color w:val="000000"/>
                <w:sz w:val="18"/>
                <w:szCs w:val="18"/>
                <w:lang w:val="en-US"/>
              </w:rPr>
            </w:pPr>
            <w:r w:rsidRPr="00D90275">
              <w:rPr>
                <w:b/>
                <w:color w:val="000000"/>
                <w:sz w:val="18"/>
                <w:szCs w:val="18"/>
                <w:lang w:val="en-US"/>
              </w:rPr>
              <w:t xml:space="preserve">CE </w:t>
            </w:r>
          </w:p>
          <w:p w:rsidR="00247532" w:rsidRPr="00D90275" w:rsidRDefault="00247532" w:rsidP="006E4792">
            <w:pPr>
              <w:jc w:val="center"/>
              <w:rPr>
                <w:b/>
                <w:color w:val="000000"/>
                <w:sz w:val="18"/>
                <w:szCs w:val="18"/>
                <w:lang w:val="en-US"/>
              </w:rPr>
            </w:pPr>
            <w:r w:rsidRPr="00D90275">
              <w:rPr>
                <w:b/>
                <w:color w:val="000000"/>
                <w:sz w:val="18"/>
                <w:szCs w:val="18"/>
                <w:lang w:val="en-US"/>
              </w:rPr>
              <w:t>(US $/kg)</w:t>
            </w:r>
          </w:p>
        </w:tc>
      </w:tr>
      <w:tr w:rsidR="00247532" w:rsidRPr="00D90275" w:rsidTr="00D90275">
        <w:trPr>
          <w:trHeight w:val="312"/>
          <w:tblHeader/>
        </w:trPr>
        <w:tc>
          <w:tcPr>
            <w:tcW w:w="3514" w:type="dxa"/>
            <w:vMerge/>
            <w:tcBorders>
              <w:top w:val="single" w:sz="4" w:space="0" w:color="auto"/>
              <w:left w:val="single" w:sz="4" w:space="0" w:color="auto"/>
              <w:bottom w:val="single" w:sz="4" w:space="0" w:color="auto"/>
              <w:right w:val="single" w:sz="4" w:space="0" w:color="auto"/>
            </w:tcBorders>
            <w:hideMark/>
          </w:tcPr>
          <w:p w:rsidR="00247532" w:rsidRPr="00D90275" w:rsidRDefault="00247532" w:rsidP="00EA50EA">
            <w:pPr>
              <w:jc w:val="left"/>
              <w:rPr>
                <w:b/>
                <w:color w:val="000000"/>
                <w:sz w:val="18"/>
                <w:szCs w:val="18"/>
                <w:lang w:val="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247532" w:rsidRPr="00D90275" w:rsidRDefault="00247532" w:rsidP="006E4792">
            <w:pPr>
              <w:jc w:val="left"/>
              <w:rPr>
                <w:b/>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247532" w:rsidRPr="00D90275" w:rsidRDefault="00273837" w:rsidP="00273837">
            <w:pPr>
              <w:jc w:val="center"/>
              <w:rPr>
                <w:b/>
                <w:color w:val="000000"/>
                <w:sz w:val="18"/>
                <w:szCs w:val="18"/>
                <w:lang w:val="en-US"/>
              </w:rPr>
            </w:pPr>
            <w:r w:rsidRPr="00D90275">
              <w:rPr>
                <w:b/>
                <w:color w:val="000000"/>
                <w:sz w:val="18"/>
                <w:szCs w:val="18"/>
                <w:lang w:val="en-US"/>
              </w:rPr>
              <w:t>(mt)</w:t>
            </w:r>
          </w:p>
        </w:tc>
        <w:tc>
          <w:tcPr>
            <w:tcW w:w="1273" w:type="dxa"/>
            <w:tcBorders>
              <w:top w:val="nil"/>
              <w:left w:val="nil"/>
              <w:bottom w:val="single" w:sz="4" w:space="0" w:color="auto"/>
              <w:right w:val="single" w:sz="4" w:space="0" w:color="auto"/>
            </w:tcBorders>
            <w:shd w:val="clear" w:color="auto" w:fill="auto"/>
            <w:noWrap/>
            <w:hideMark/>
          </w:tcPr>
          <w:p w:rsidR="00247532" w:rsidRPr="00D90275" w:rsidRDefault="00273837" w:rsidP="00247532">
            <w:pPr>
              <w:jc w:val="center"/>
              <w:rPr>
                <w:b/>
                <w:color w:val="000000"/>
                <w:sz w:val="18"/>
                <w:szCs w:val="18"/>
                <w:lang w:val="en-US"/>
              </w:rPr>
            </w:pPr>
            <w:r w:rsidRPr="00D90275">
              <w:rPr>
                <w:b/>
                <w:color w:val="000000"/>
                <w:sz w:val="18"/>
                <w:szCs w:val="18"/>
                <w:lang w:val="en-US"/>
              </w:rPr>
              <w:t>(</w:t>
            </w:r>
            <w:r w:rsidR="00247532" w:rsidRPr="00D90275">
              <w:rPr>
                <w:b/>
                <w:color w:val="000000"/>
                <w:sz w:val="18"/>
                <w:szCs w:val="18"/>
                <w:lang w:val="en-US"/>
              </w:rPr>
              <w:t>ODP tonnes</w:t>
            </w:r>
            <w:r w:rsidRPr="00D90275">
              <w:rPr>
                <w:b/>
                <w:color w:val="000000"/>
                <w:sz w:val="18"/>
                <w:szCs w:val="18"/>
                <w:lang w:val="en-US"/>
              </w:rPr>
              <w:t>)</w:t>
            </w:r>
          </w:p>
        </w:tc>
        <w:tc>
          <w:tcPr>
            <w:tcW w:w="1389" w:type="dxa"/>
            <w:vMerge/>
            <w:tcBorders>
              <w:left w:val="nil"/>
              <w:bottom w:val="single" w:sz="4" w:space="0" w:color="auto"/>
              <w:right w:val="single" w:sz="4" w:space="0" w:color="auto"/>
            </w:tcBorders>
            <w:shd w:val="clear" w:color="auto" w:fill="auto"/>
            <w:noWrap/>
            <w:hideMark/>
          </w:tcPr>
          <w:p w:rsidR="00247532" w:rsidRPr="00D90275" w:rsidRDefault="00247532" w:rsidP="006E4792">
            <w:pPr>
              <w:jc w:val="center"/>
              <w:rPr>
                <w:b/>
                <w:color w:val="000000"/>
                <w:sz w:val="18"/>
                <w:szCs w:val="18"/>
                <w:lang w:val="en-US"/>
              </w:rPr>
            </w:pPr>
          </w:p>
        </w:tc>
        <w:tc>
          <w:tcPr>
            <w:tcW w:w="1055" w:type="dxa"/>
            <w:vMerge/>
            <w:tcBorders>
              <w:left w:val="nil"/>
              <w:bottom w:val="single" w:sz="4" w:space="0" w:color="auto"/>
              <w:right w:val="single" w:sz="4" w:space="0" w:color="auto"/>
            </w:tcBorders>
            <w:shd w:val="clear" w:color="auto" w:fill="auto"/>
            <w:noWrap/>
            <w:hideMark/>
          </w:tcPr>
          <w:p w:rsidR="00247532" w:rsidRPr="00D90275" w:rsidRDefault="00247532" w:rsidP="006E4792">
            <w:pPr>
              <w:jc w:val="center"/>
              <w:rPr>
                <w:b/>
                <w:color w:val="000000"/>
                <w:sz w:val="18"/>
                <w:szCs w:val="18"/>
                <w:lang w:val="en-US"/>
              </w:rPr>
            </w:pPr>
          </w:p>
        </w:tc>
      </w:tr>
      <w:tr w:rsidR="00EA50EA" w:rsidRPr="00D90275" w:rsidTr="00104263">
        <w:trPr>
          <w:trHeight w:val="50"/>
        </w:trPr>
        <w:tc>
          <w:tcPr>
            <w:tcW w:w="3514" w:type="dxa"/>
            <w:tcBorders>
              <w:top w:val="nil"/>
              <w:left w:val="single" w:sz="4" w:space="0" w:color="auto"/>
              <w:bottom w:val="single" w:sz="4" w:space="0" w:color="auto"/>
              <w:right w:val="single" w:sz="4" w:space="0" w:color="auto"/>
            </w:tcBorders>
            <w:shd w:val="clear" w:color="auto" w:fill="auto"/>
            <w:noWrap/>
            <w:hideMark/>
          </w:tcPr>
          <w:p w:rsidR="00EA50EA" w:rsidRPr="00D90275" w:rsidRDefault="00EA50EA" w:rsidP="00EA50EA">
            <w:pPr>
              <w:jc w:val="left"/>
              <w:rPr>
                <w:color w:val="000000"/>
                <w:sz w:val="18"/>
                <w:szCs w:val="18"/>
                <w:lang w:val="en-US"/>
              </w:rPr>
            </w:pPr>
            <w:r w:rsidRPr="00D90275">
              <w:rPr>
                <w:color w:val="000000"/>
                <w:sz w:val="18"/>
                <w:szCs w:val="18"/>
                <w:lang w:val="en-US"/>
              </w:rPr>
              <w:t>Subtotal individual projects PU foam</w:t>
            </w:r>
          </w:p>
        </w:tc>
        <w:tc>
          <w:tcPr>
            <w:tcW w:w="1261" w:type="dxa"/>
            <w:vMerge w:val="restart"/>
            <w:tcBorders>
              <w:top w:val="nil"/>
              <w:left w:val="nil"/>
              <w:right w:val="single" w:sz="4" w:space="0" w:color="auto"/>
            </w:tcBorders>
            <w:shd w:val="clear" w:color="auto" w:fill="auto"/>
            <w:noWrap/>
            <w:vAlign w:val="center"/>
            <w:hideMark/>
          </w:tcPr>
          <w:p w:rsidR="00EA50EA" w:rsidRPr="00D90275" w:rsidRDefault="00EA50EA" w:rsidP="00EA50EA">
            <w:pPr>
              <w:jc w:val="left"/>
              <w:rPr>
                <w:color w:val="000000"/>
                <w:sz w:val="18"/>
                <w:szCs w:val="18"/>
                <w:lang w:val="en-US"/>
              </w:rPr>
            </w:pPr>
            <w:r w:rsidRPr="00D90275">
              <w:rPr>
                <w:color w:val="000000"/>
                <w:sz w:val="18"/>
                <w:szCs w:val="18"/>
                <w:lang w:val="en-US"/>
              </w:rPr>
              <w:t>World Bank</w:t>
            </w:r>
          </w:p>
        </w:tc>
        <w:tc>
          <w:tcPr>
            <w:tcW w:w="981"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67.24</w:t>
            </w:r>
          </w:p>
        </w:tc>
        <w:tc>
          <w:tcPr>
            <w:tcW w:w="1273"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7.40</w:t>
            </w:r>
          </w:p>
        </w:tc>
        <w:tc>
          <w:tcPr>
            <w:tcW w:w="1389"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658,127</w:t>
            </w:r>
          </w:p>
        </w:tc>
        <w:tc>
          <w:tcPr>
            <w:tcW w:w="1055"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9.79</w:t>
            </w:r>
          </w:p>
        </w:tc>
      </w:tr>
      <w:tr w:rsidR="00EA50EA" w:rsidRPr="00D90275" w:rsidTr="00104263">
        <w:trPr>
          <w:trHeight w:val="161"/>
        </w:trPr>
        <w:tc>
          <w:tcPr>
            <w:tcW w:w="3514" w:type="dxa"/>
            <w:tcBorders>
              <w:top w:val="nil"/>
              <w:left w:val="single" w:sz="4" w:space="0" w:color="auto"/>
              <w:bottom w:val="single" w:sz="4" w:space="0" w:color="auto"/>
              <w:right w:val="single" w:sz="4" w:space="0" w:color="auto"/>
            </w:tcBorders>
            <w:shd w:val="clear" w:color="auto" w:fill="auto"/>
            <w:noWrap/>
            <w:hideMark/>
          </w:tcPr>
          <w:p w:rsidR="00EA50EA" w:rsidRPr="00D90275" w:rsidRDefault="00EA50EA" w:rsidP="00EA50EA">
            <w:pPr>
              <w:jc w:val="left"/>
              <w:rPr>
                <w:color w:val="000000"/>
                <w:sz w:val="18"/>
                <w:szCs w:val="18"/>
                <w:lang w:val="en-US"/>
              </w:rPr>
            </w:pPr>
            <w:r w:rsidRPr="00D90275">
              <w:rPr>
                <w:color w:val="000000"/>
                <w:sz w:val="18"/>
                <w:szCs w:val="18"/>
                <w:lang w:val="en-US"/>
              </w:rPr>
              <w:t>Subtotal systems houses PU foam</w:t>
            </w:r>
          </w:p>
        </w:tc>
        <w:tc>
          <w:tcPr>
            <w:tcW w:w="1261" w:type="dxa"/>
            <w:vMerge/>
            <w:tcBorders>
              <w:left w:val="nil"/>
              <w:right w:val="single" w:sz="4" w:space="0" w:color="auto"/>
            </w:tcBorders>
            <w:shd w:val="clear" w:color="auto" w:fill="auto"/>
            <w:noWrap/>
            <w:vAlign w:val="center"/>
            <w:hideMark/>
          </w:tcPr>
          <w:p w:rsidR="00EA50EA" w:rsidRPr="00D90275" w:rsidRDefault="00EA50EA" w:rsidP="00EA50EA">
            <w:pPr>
              <w:jc w:val="left"/>
              <w:rPr>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574.70</w:t>
            </w:r>
          </w:p>
        </w:tc>
        <w:tc>
          <w:tcPr>
            <w:tcW w:w="1273"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63.22</w:t>
            </w:r>
          </w:p>
        </w:tc>
        <w:tc>
          <w:tcPr>
            <w:tcW w:w="1389"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6,197,344</w:t>
            </w:r>
          </w:p>
        </w:tc>
        <w:tc>
          <w:tcPr>
            <w:tcW w:w="1055"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10.78</w:t>
            </w:r>
          </w:p>
        </w:tc>
      </w:tr>
      <w:tr w:rsidR="00EA50EA" w:rsidRPr="00D90275" w:rsidTr="00104263">
        <w:trPr>
          <w:trHeight w:val="50"/>
        </w:trPr>
        <w:tc>
          <w:tcPr>
            <w:tcW w:w="3514" w:type="dxa"/>
            <w:tcBorders>
              <w:top w:val="nil"/>
              <w:left w:val="single" w:sz="4" w:space="0" w:color="auto"/>
              <w:bottom w:val="single" w:sz="4" w:space="0" w:color="auto"/>
              <w:right w:val="single" w:sz="4" w:space="0" w:color="auto"/>
            </w:tcBorders>
            <w:shd w:val="clear" w:color="auto" w:fill="auto"/>
            <w:noWrap/>
            <w:hideMark/>
          </w:tcPr>
          <w:p w:rsidR="00EA50EA" w:rsidRPr="00D90275" w:rsidRDefault="00EA50EA" w:rsidP="00EA50EA">
            <w:pPr>
              <w:jc w:val="left"/>
              <w:rPr>
                <w:color w:val="000000"/>
                <w:sz w:val="18"/>
                <w:szCs w:val="18"/>
                <w:lang w:val="en-US"/>
              </w:rPr>
            </w:pPr>
            <w:r w:rsidRPr="00D90275">
              <w:rPr>
                <w:color w:val="000000"/>
                <w:sz w:val="18"/>
                <w:szCs w:val="18"/>
                <w:lang w:val="en-US"/>
              </w:rPr>
              <w:t>Subtotal XPS foam</w:t>
            </w:r>
          </w:p>
        </w:tc>
        <w:tc>
          <w:tcPr>
            <w:tcW w:w="1261" w:type="dxa"/>
            <w:vMerge/>
            <w:tcBorders>
              <w:left w:val="nil"/>
              <w:right w:val="single" w:sz="4" w:space="0" w:color="auto"/>
            </w:tcBorders>
            <w:shd w:val="clear" w:color="auto" w:fill="auto"/>
            <w:noWrap/>
            <w:vAlign w:val="center"/>
            <w:hideMark/>
          </w:tcPr>
          <w:p w:rsidR="00EA50EA" w:rsidRPr="00D90275" w:rsidRDefault="00EA50EA" w:rsidP="00EA50EA">
            <w:pPr>
              <w:jc w:val="left"/>
              <w:rPr>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57.30</w:t>
            </w:r>
          </w:p>
        </w:tc>
        <w:tc>
          <w:tcPr>
            <w:tcW w:w="1273"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3.42</w:t>
            </w:r>
          </w:p>
        </w:tc>
        <w:tc>
          <w:tcPr>
            <w:tcW w:w="1389"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588,763</w:t>
            </w:r>
          </w:p>
        </w:tc>
        <w:tc>
          <w:tcPr>
            <w:tcW w:w="1055"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color w:val="000000"/>
                <w:sz w:val="18"/>
                <w:szCs w:val="18"/>
                <w:lang w:val="en-US"/>
              </w:rPr>
            </w:pPr>
            <w:r w:rsidRPr="00D90275">
              <w:rPr>
                <w:color w:val="000000"/>
                <w:sz w:val="18"/>
                <w:szCs w:val="18"/>
                <w:lang w:val="en-US"/>
              </w:rPr>
              <w:t>10.28</w:t>
            </w:r>
          </w:p>
        </w:tc>
      </w:tr>
      <w:tr w:rsidR="00EA50EA" w:rsidRPr="00D90275" w:rsidTr="00104263">
        <w:trPr>
          <w:trHeight w:val="50"/>
        </w:trPr>
        <w:tc>
          <w:tcPr>
            <w:tcW w:w="3514" w:type="dxa"/>
            <w:tcBorders>
              <w:top w:val="nil"/>
              <w:left w:val="single" w:sz="4" w:space="0" w:color="auto"/>
              <w:bottom w:val="single" w:sz="4" w:space="0" w:color="auto"/>
              <w:right w:val="single" w:sz="4" w:space="0" w:color="auto"/>
            </w:tcBorders>
            <w:shd w:val="clear" w:color="auto" w:fill="auto"/>
            <w:noWrap/>
            <w:hideMark/>
          </w:tcPr>
          <w:p w:rsidR="00EA50EA" w:rsidRPr="00D90275" w:rsidRDefault="00EA50EA" w:rsidP="00EA50EA">
            <w:pPr>
              <w:jc w:val="left"/>
              <w:rPr>
                <w:b/>
                <w:color w:val="000000"/>
                <w:sz w:val="18"/>
                <w:szCs w:val="18"/>
                <w:lang w:val="en-US"/>
              </w:rPr>
            </w:pPr>
            <w:r w:rsidRPr="00D90275">
              <w:rPr>
                <w:b/>
                <w:color w:val="000000"/>
                <w:sz w:val="18"/>
                <w:szCs w:val="18"/>
                <w:lang w:val="en-US"/>
              </w:rPr>
              <w:t>Sub-total PU and XPS foam</w:t>
            </w:r>
          </w:p>
        </w:tc>
        <w:tc>
          <w:tcPr>
            <w:tcW w:w="1261" w:type="dxa"/>
            <w:vMerge/>
            <w:tcBorders>
              <w:left w:val="nil"/>
              <w:bottom w:val="single" w:sz="4" w:space="0" w:color="auto"/>
              <w:right w:val="single" w:sz="4" w:space="0" w:color="auto"/>
            </w:tcBorders>
            <w:shd w:val="clear" w:color="auto" w:fill="auto"/>
            <w:noWrap/>
            <w:vAlign w:val="center"/>
            <w:hideMark/>
          </w:tcPr>
          <w:p w:rsidR="00EA50EA" w:rsidRPr="00D90275" w:rsidRDefault="00EA50EA" w:rsidP="00EA50EA">
            <w:pPr>
              <w:jc w:val="left"/>
              <w:rPr>
                <w:b/>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b/>
                <w:color w:val="000000"/>
                <w:sz w:val="18"/>
                <w:szCs w:val="18"/>
                <w:lang w:val="en-US"/>
              </w:rPr>
            </w:pPr>
            <w:r w:rsidRPr="00D90275">
              <w:rPr>
                <w:b/>
                <w:color w:val="000000"/>
                <w:sz w:val="18"/>
                <w:szCs w:val="18"/>
                <w:lang w:val="en-US"/>
              </w:rPr>
              <w:t>699.24</w:t>
            </w:r>
          </w:p>
        </w:tc>
        <w:tc>
          <w:tcPr>
            <w:tcW w:w="1273"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b/>
                <w:color w:val="000000"/>
                <w:sz w:val="18"/>
                <w:szCs w:val="18"/>
                <w:lang w:val="en-US"/>
              </w:rPr>
            </w:pPr>
            <w:r w:rsidRPr="00D90275">
              <w:rPr>
                <w:b/>
                <w:color w:val="000000"/>
                <w:sz w:val="18"/>
                <w:szCs w:val="18"/>
                <w:lang w:val="en-US"/>
              </w:rPr>
              <w:t>74.03</w:t>
            </w:r>
          </w:p>
        </w:tc>
        <w:tc>
          <w:tcPr>
            <w:tcW w:w="1389"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b/>
                <w:color w:val="000000"/>
                <w:sz w:val="18"/>
                <w:szCs w:val="18"/>
                <w:lang w:val="en-US"/>
              </w:rPr>
            </w:pPr>
            <w:r w:rsidRPr="00D90275">
              <w:rPr>
                <w:b/>
                <w:color w:val="000000"/>
                <w:sz w:val="18"/>
                <w:szCs w:val="18"/>
                <w:lang w:val="en-US"/>
              </w:rPr>
              <w:t>7,444,234</w:t>
            </w:r>
          </w:p>
        </w:tc>
        <w:tc>
          <w:tcPr>
            <w:tcW w:w="1055" w:type="dxa"/>
            <w:tcBorders>
              <w:top w:val="nil"/>
              <w:left w:val="nil"/>
              <w:bottom w:val="single" w:sz="4" w:space="0" w:color="auto"/>
              <w:right w:val="single" w:sz="4" w:space="0" w:color="auto"/>
            </w:tcBorders>
            <w:shd w:val="clear" w:color="auto" w:fill="auto"/>
            <w:noWrap/>
            <w:hideMark/>
          </w:tcPr>
          <w:p w:rsidR="00EA50EA" w:rsidRPr="00D90275" w:rsidRDefault="00C86DD2" w:rsidP="00C86DD2">
            <w:pPr>
              <w:jc w:val="right"/>
              <w:rPr>
                <w:b/>
                <w:color w:val="000000"/>
                <w:sz w:val="18"/>
                <w:szCs w:val="18"/>
                <w:lang w:val="en-US"/>
              </w:rPr>
            </w:pPr>
            <w:r w:rsidRPr="00D90275">
              <w:rPr>
                <w:b/>
                <w:color w:val="000000"/>
                <w:sz w:val="18"/>
                <w:szCs w:val="18"/>
                <w:lang w:val="en-US"/>
              </w:rPr>
              <w:t>10.65</w:t>
            </w:r>
          </w:p>
        </w:tc>
      </w:tr>
      <w:tr w:rsidR="00CE0389" w:rsidRPr="00D90275" w:rsidTr="00CE0389">
        <w:trPr>
          <w:trHeight w:val="89"/>
        </w:trPr>
        <w:tc>
          <w:tcPr>
            <w:tcW w:w="3514" w:type="dxa"/>
            <w:tcBorders>
              <w:top w:val="nil"/>
              <w:left w:val="single" w:sz="4" w:space="0" w:color="auto"/>
              <w:bottom w:val="single" w:sz="4" w:space="0" w:color="auto"/>
              <w:right w:val="single" w:sz="4" w:space="0" w:color="auto"/>
            </w:tcBorders>
            <w:shd w:val="clear" w:color="auto" w:fill="auto"/>
            <w:noWrap/>
            <w:hideMark/>
          </w:tcPr>
          <w:p w:rsidR="00CE0389" w:rsidRPr="00D90275" w:rsidRDefault="00CE0389" w:rsidP="00F65CCB">
            <w:pPr>
              <w:jc w:val="left"/>
              <w:rPr>
                <w:color w:val="000000"/>
                <w:sz w:val="18"/>
                <w:szCs w:val="18"/>
                <w:lang w:val="en-US"/>
              </w:rPr>
            </w:pPr>
            <w:r w:rsidRPr="00D90275">
              <w:rPr>
                <w:color w:val="000000"/>
                <w:sz w:val="18"/>
                <w:szCs w:val="18"/>
                <w:lang w:val="en-US"/>
              </w:rPr>
              <w:t>Training and equipment for technicians</w:t>
            </w:r>
          </w:p>
        </w:tc>
        <w:tc>
          <w:tcPr>
            <w:tcW w:w="1261" w:type="dxa"/>
            <w:vMerge w:val="restart"/>
            <w:tcBorders>
              <w:top w:val="nil"/>
              <w:left w:val="nil"/>
              <w:right w:val="single" w:sz="4" w:space="0" w:color="auto"/>
            </w:tcBorders>
            <w:shd w:val="clear" w:color="auto" w:fill="auto"/>
            <w:noWrap/>
            <w:vAlign w:val="center"/>
            <w:hideMark/>
          </w:tcPr>
          <w:p w:rsidR="00CE0389" w:rsidRPr="00D90275" w:rsidRDefault="00CE0389" w:rsidP="00EA50EA">
            <w:pPr>
              <w:jc w:val="left"/>
              <w:rPr>
                <w:color w:val="000000"/>
                <w:sz w:val="18"/>
                <w:szCs w:val="18"/>
                <w:lang w:val="en-US"/>
              </w:rPr>
            </w:pPr>
            <w:r w:rsidRPr="00D90275">
              <w:rPr>
                <w:color w:val="000000"/>
                <w:sz w:val="18"/>
                <w:szCs w:val="18"/>
                <w:lang w:val="en-US"/>
              </w:rPr>
              <w:t>UNIDO</w:t>
            </w:r>
          </w:p>
        </w:tc>
        <w:tc>
          <w:tcPr>
            <w:tcW w:w="981" w:type="dxa"/>
            <w:tcBorders>
              <w:top w:val="nil"/>
              <w:left w:val="nil"/>
              <w:bottom w:val="single" w:sz="4" w:space="0" w:color="auto"/>
              <w:right w:val="single" w:sz="4" w:space="0" w:color="auto"/>
            </w:tcBorders>
            <w:shd w:val="clear" w:color="auto" w:fill="auto"/>
            <w:noWrap/>
            <w:hideMark/>
          </w:tcPr>
          <w:p w:rsidR="00CE0389" w:rsidRPr="00D90275" w:rsidRDefault="00CE0389" w:rsidP="00104263">
            <w:pPr>
              <w:jc w:val="right"/>
              <w:rPr>
                <w:color w:val="000000"/>
                <w:sz w:val="18"/>
                <w:szCs w:val="18"/>
                <w:lang w:val="en-US"/>
              </w:rPr>
            </w:pPr>
            <w:r w:rsidRPr="00D90275">
              <w:rPr>
                <w:color w:val="000000"/>
                <w:sz w:val="18"/>
                <w:szCs w:val="18"/>
                <w:lang w:val="en-US"/>
              </w:rPr>
              <w:t xml:space="preserve">546.73 </w:t>
            </w:r>
          </w:p>
        </w:tc>
        <w:tc>
          <w:tcPr>
            <w:tcW w:w="1273"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30.07</w:t>
            </w:r>
          </w:p>
        </w:tc>
        <w:tc>
          <w:tcPr>
            <w:tcW w:w="1389"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2,624,070</w:t>
            </w:r>
          </w:p>
        </w:tc>
        <w:tc>
          <w:tcPr>
            <w:tcW w:w="1055"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4.80</w:t>
            </w:r>
          </w:p>
        </w:tc>
      </w:tr>
      <w:tr w:rsidR="00CE0389" w:rsidRPr="00D90275" w:rsidTr="00104263">
        <w:trPr>
          <w:trHeight w:val="107"/>
        </w:trPr>
        <w:tc>
          <w:tcPr>
            <w:tcW w:w="3514" w:type="dxa"/>
            <w:tcBorders>
              <w:top w:val="nil"/>
              <w:left w:val="single" w:sz="4" w:space="0" w:color="auto"/>
              <w:bottom w:val="single" w:sz="4" w:space="0" w:color="auto"/>
              <w:right w:val="single" w:sz="4" w:space="0" w:color="auto"/>
            </w:tcBorders>
            <w:shd w:val="clear" w:color="auto" w:fill="auto"/>
            <w:noWrap/>
            <w:hideMark/>
          </w:tcPr>
          <w:p w:rsidR="00CE0389" w:rsidRPr="00D90275" w:rsidRDefault="00CE0389" w:rsidP="00F65CCB">
            <w:pPr>
              <w:jc w:val="left"/>
              <w:rPr>
                <w:color w:val="000000"/>
                <w:sz w:val="18"/>
                <w:szCs w:val="18"/>
                <w:lang w:val="en-US"/>
              </w:rPr>
            </w:pPr>
            <w:r w:rsidRPr="00D90275">
              <w:rPr>
                <w:color w:val="000000"/>
                <w:sz w:val="18"/>
                <w:szCs w:val="18"/>
                <w:lang w:val="en-US"/>
              </w:rPr>
              <w:t xml:space="preserve">Technicians certification </w:t>
            </w:r>
          </w:p>
        </w:tc>
        <w:tc>
          <w:tcPr>
            <w:tcW w:w="1261" w:type="dxa"/>
            <w:vMerge/>
            <w:tcBorders>
              <w:left w:val="nil"/>
              <w:right w:val="single" w:sz="4" w:space="0" w:color="auto"/>
            </w:tcBorders>
            <w:shd w:val="clear" w:color="auto" w:fill="auto"/>
            <w:noWrap/>
            <w:vAlign w:val="center"/>
            <w:hideMark/>
          </w:tcPr>
          <w:p w:rsidR="00CE0389" w:rsidRPr="00D90275" w:rsidRDefault="00CE0389" w:rsidP="00EA50EA">
            <w:pPr>
              <w:jc w:val="left"/>
              <w:rPr>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CE0389" w:rsidRPr="00D90275" w:rsidRDefault="00CE0389" w:rsidP="00104263">
            <w:pPr>
              <w:jc w:val="right"/>
              <w:rPr>
                <w:color w:val="000000"/>
                <w:sz w:val="18"/>
                <w:szCs w:val="18"/>
                <w:lang w:val="en-US"/>
              </w:rPr>
            </w:pPr>
            <w:r w:rsidRPr="00D90275">
              <w:rPr>
                <w:color w:val="000000"/>
                <w:sz w:val="18"/>
                <w:szCs w:val="18"/>
                <w:lang w:val="en-US"/>
              </w:rPr>
              <w:t xml:space="preserve">82.55 </w:t>
            </w:r>
          </w:p>
        </w:tc>
        <w:tc>
          <w:tcPr>
            <w:tcW w:w="1273"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4.54</w:t>
            </w:r>
          </w:p>
        </w:tc>
        <w:tc>
          <w:tcPr>
            <w:tcW w:w="1389"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396,000</w:t>
            </w:r>
          </w:p>
        </w:tc>
        <w:tc>
          <w:tcPr>
            <w:tcW w:w="1055"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4.80</w:t>
            </w:r>
          </w:p>
        </w:tc>
      </w:tr>
      <w:tr w:rsidR="00CE0389" w:rsidRPr="00D90275" w:rsidTr="00104263">
        <w:trPr>
          <w:trHeight w:val="50"/>
        </w:trPr>
        <w:tc>
          <w:tcPr>
            <w:tcW w:w="3514" w:type="dxa"/>
            <w:tcBorders>
              <w:top w:val="nil"/>
              <w:left w:val="single" w:sz="4" w:space="0" w:color="auto"/>
              <w:bottom w:val="single" w:sz="4" w:space="0" w:color="auto"/>
              <w:right w:val="single" w:sz="4" w:space="0" w:color="auto"/>
            </w:tcBorders>
            <w:shd w:val="clear" w:color="auto" w:fill="auto"/>
            <w:noWrap/>
            <w:hideMark/>
          </w:tcPr>
          <w:p w:rsidR="00CE0389" w:rsidRPr="00D90275" w:rsidRDefault="00CE0389" w:rsidP="00F65CCB">
            <w:pPr>
              <w:jc w:val="left"/>
              <w:rPr>
                <w:color w:val="000000"/>
                <w:sz w:val="18"/>
                <w:szCs w:val="18"/>
                <w:lang w:val="en-US"/>
              </w:rPr>
            </w:pPr>
            <w:r w:rsidRPr="00D90275">
              <w:rPr>
                <w:color w:val="000000"/>
                <w:sz w:val="18"/>
                <w:szCs w:val="18"/>
                <w:lang w:val="en-US"/>
              </w:rPr>
              <w:t>TA for supermarkets</w:t>
            </w:r>
          </w:p>
        </w:tc>
        <w:tc>
          <w:tcPr>
            <w:tcW w:w="1261" w:type="dxa"/>
            <w:vMerge/>
            <w:tcBorders>
              <w:left w:val="nil"/>
              <w:right w:val="single" w:sz="4" w:space="0" w:color="auto"/>
            </w:tcBorders>
            <w:shd w:val="clear" w:color="auto" w:fill="auto"/>
            <w:noWrap/>
            <w:vAlign w:val="center"/>
            <w:hideMark/>
          </w:tcPr>
          <w:p w:rsidR="00CE0389" w:rsidRPr="00D90275" w:rsidRDefault="00CE0389" w:rsidP="00EA50EA">
            <w:pPr>
              <w:jc w:val="left"/>
              <w:rPr>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CE0389" w:rsidRPr="00D90275" w:rsidRDefault="00CE0389" w:rsidP="00104263">
            <w:pPr>
              <w:jc w:val="right"/>
              <w:rPr>
                <w:color w:val="000000"/>
                <w:sz w:val="18"/>
                <w:szCs w:val="18"/>
                <w:lang w:val="en-US"/>
              </w:rPr>
            </w:pPr>
            <w:r w:rsidRPr="00D90275">
              <w:rPr>
                <w:color w:val="000000"/>
                <w:sz w:val="18"/>
                <w:szCs w:val="18"/>
                <w:lang w:val="en-US"/>
              </w:rPr>
              <w:t xml:space="preserve">98.18 </w:t>
            </w:r>
          </w:p>
        </w:tc>
        <w:tc>
          <w:tcPr>
            <w:tcW w:w="1273"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5.40</w:t>
            </w:r>
          </w:p>
        </w:tc>
        <w:tc>
          <w:tcPr>
            <w:tcW w:w="1389"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471,000</w:t>
            </w:r>
          </w:p>
        </w:tc>
        <w:tc>
          <w:tcPr>
            <w:tcW w:w="1055"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4.80</w:t>
            </w:r>
          </w:p>
        </w:tc>
      </w:tr>
      <w:tr w:rsidR="00CE0389" w:rsidRPr="00D90275" w:rsidTr="00104263">
        <w:trPr>
          <w:trHeight w:val="80"/>
        </w:trPr>
        <w:tc>
          <w:tcPr>
            <w:tcW w:w="3514" w:type="dxa"/>
            <w:tcBorders>
              <w:top w:val="nil"/>
              <w:left w:val="single" w:sz="4" w:space="0" w:color="auto"/>
              <w:bottom w:val="single" w:sz="4" w:space="0" w:color="auto"/>
              <w:right w:val="single" w:sz="4" w:space="0" w:color="auto"/>
            </w:tcBorders>
            <w:shd w:val="clear" w:color="auto" w:fill="auto"/>
            <w:noWrap/>
            <w:hideMark/>
          </w:tcPr>
          <w:p w:rsidR="00CE0389" w:rsidRPr="00577666" w:rsidRDefault="00C86FE2" w:rsidP="00F65CCB">
            <w:pPr>
              <w:jc w:val="left"/>
              <w:rPr>
                <w:color w:val="000000"/>
                <w:sz w:val="18"/>
                <w:szCs w:val="18"/>
                <w:lang w:val="en-US"/>
              </w:rPr>
            </w:pPr>
            <w:r w:rsidRPr="00577666">
              <w:rPr>
                <w:color w:val="000000"/>
                <w:sz w:val="18"/>
                <w:szCs w:val="18"/>
                <w:lang w:val="en-US"/>
              </w:rPr>
              <w:t>Public</w:t>
            </w:r>
            <w:r w:rsidR="00CE0389" w:rsidRPr="00577666">
              <w:rPr>
                <w:color w:val="000000"/>
                <w:sz w:val="18"/>
                <w:szCs w:val="18"/>
                <w:lang w:val="en-US"/>
              </w:rPr>
              <w:t xml:space="preserve"> awareness</w:t>
            </w:r>
          </w:p>
        </w:tc>
        <w:tc>
          <w:tcPr>
            <w:tcW w:w="1261" w:type="dxa"/>
            <w:vMerge/>
            <w:tcBorders>
              <w:left w:val="nil"/>
              <w:right w:val="single" w:sz="4" w:space="0" w:color="auto"/>
            </w:tcBorders>
            <w:shd w:val="clear" w:color="auto" w:fill="auto"/>
            <w:noWrap/>
            <w:vAlign w:val="center"/>
            <w:hideMark/>
          </w:tcPr>
          <w:p w:rsidR="00CE0389" w:rsidRPr="00D90275" w:rsidRDefault="00CE0389" w:rsidP="00EA50EA">
            <w:pPr>
              <w:jc w:val="left"/>
              <w:rPr>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CE0389" w:rsidRPr="00D90275" w:rsidRDefault="00CE0389" w:rsidP="00104263">
            <w:pPr>
              <w:jc w:val="right"/>
              <w:rPr>
                <w:color w:val="000000"/>
                <w:sz w:val="18"/>
                <w:szCs w:val="18"/>
                <w:lang w:val="en-US"/>
              </w:rPr>
            </w:pPr>
            <w:r w:rsidRPr="00D90275">
              <w:rPr>
                <w:color w:val="000000"/>
                <w:sz w:val="18"/>
                <w:szCs w:val="18"/>
                <w:lang w:val="en-US"/>
              </w:rPr>
              <w:t xml:space="preserve">20.91 </w:t>
            </w:r>
          </w:p>
        </w:tc>
        <w:tc>
          <w:tcPr>
            <w:tcW w:w="1273"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1.15</w:t>
            </w:r>
          </w:p>
        </w:tc>
        <w:tc>
          <w:tcPr>
            <w:tcW w:w="1389"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100,000</w:t>
            </w:r>
          </w:p>
        </w:tc>
        <w:tc>
          <w:tcPr>
            <w:tcW w:w="1055" w:type="dxa"/>
            <w:tcBorders>
              <w:top w:val="nil"/>
              <w:left w:val="nil"/>
              <w:bottom w:val="single" w:sz="4" w:space="0" w:color="auto"/>
              <w:right w:val="single" w:sz="4" w:space="0" w:color="auto"/>
            </w:tcBorders>
            <w:shd w:val="clear" w:color="auto" w:fill="auto"/>
            <w:noWrap/>
            <w:hideMark/>
          </w:tcPr>
          <w:p w:rsidR="00CE0389" w:rsidRPr="00D90275" w:rsidRDefault="00CE0389" w:rsidP="00EA50EA">
            <w:pPr>
              <w:jc w:val="right"/>
              <w:rPr>
                <w:color w:val="000000"/>
                <w:sz w:val="18"/>
                <w:szCs w:val="18"/>
                <w:lang w:val="en-US"/>
              </w:rPr>
            </w:pPr>
            <w:r w:rsidRPr="00D90275">
              <w:rPr>
                <w:color w:val="000000"/>
                <w:sz w:val="18"/>
                <w:szCs w:val="18"/>
                <w:lang w:val="en-US"/>
              </w:rPr>
              <w:t>4.78</w:t>
            </w:r>
          </w:p>
        </w:tc>
      </w:tr>
      <w:tr w:rsidR="00EA50EA" w:rsidRPr="00D90275" w:rsidTr="004153DE">
        <w:trPr>
          <w:trHeight w:val="197"/>
        </w:trPr>
        <w:tc>
          <w:tcPr>
            <w:tcW w:w="3514" w:type="dxa"/>
            <w:tcBorders>
              <w:top w:val="nil"/>
              <w:left w:val="single" w:sz="4" w:space="0" w:color="auto"/>
              <w:bottom w:val="single" w:sz="4" w:space="0" w:color="auto"/>
              <w:right w:val="single" w:sz="4" w:space="0" w:color="auto"/>
            </w:tcBorders>
            <w:shd w:val="clear" w:color="auto" w:fill="auto"/>
            <w:noWrap/>
            <w:hideMark/>
          </w:tcPr>
          <w:p w:rsidR="00EA50EA" w:rsidRPr="00D90275" w:rsidRDefault="00EA50EA" w:rsidP="00EA50EA">
            <w:pPr>
              <w:jc w:val="left"/>
              <w:rPr>
                <w:b/>
                <w:bCs/>
                <w:color w:val="000000"/>
                <w:sz w:val="18"/>
                <w:szCs w:val="18"/>
                <w:lang w:val="en-US"/>
              </w:rPr>
            </w:pPr>
            <w:r w:rsidRPr="00D90275">
              <w:rPr>
                <w:b/>
                <w:bCs/>
                <w:color w:val="000000"/>
                <w:sz w:val="18"/>
                <w:szCs w:val="18"/>
                <w:lang w:val="en-US"/>
              </w:rPr>
              <w:t>Subtotal servicing</w:t>
            </w:r>
          </w:p>
        </w:tc>
        <w:tc>
          <w:tcPr>
            <w:tcW w:w="1261" w:type="dxa"/>
            <w:vMerge/>
            <w:tcBorders>
              <w:left w:val="nil"/>
              <w:bottom w:val="single" w:sz="4" w:space="0" w:color="auto"/>
              <w:right w:val="single" w:sz="4" w:space="0" w:color="auto"/>
            </w:tcBorders>
            <w:shd w:val="clear" w:color="auto" w:fill="auto"/>
            <w:noWrap/>
            <w:vAlign w:val="center"/>
            <w:hideMark/>
          </w:tcPr>
          <w:p w:rsidR="00EA50EA" w:rsidRPr="00D90275" w:rsidRDefault="00EA50EA" w:rsidP="00EA50EA">
            <w:pPr>
              <w:jc w:val="left"/>
              <w:rPr>
                <w:b/>
                <w:bCs/>
                <w:color w:val="000000"/>
                <w:sz w:val="18"/>
                <w:szCs w:val="18"/>
                <w:lang w:val="en-US"/>
              </w:rPr>
            </w:pPr>
          </w:p>
        </w:tc>
        <w:tc>
          <w:tcPr>
            <w:tcW w:w="981" w:type="dxa"/>
            <w:tcBorders>
              <w:top w:val="nil"/>
              <w:left w:val="nil"/>
              <w:bottom w:val="single" w:sz="4" w:space="0" w:color="auto"/>
              <w:right w:val="single" w:sz="4" w:space="0" w:color="auto"/>
            </w:tcBorders>
            <w:shd w:val="clear" w:color="auto" w:fill="auto"/>
            <w:noWrap/>
            <w:hideMark/>
          </w:tcPr>
          <w:p w:rsidR="00EA50EA" w:rsidRPr="00D90275" w:rsidRDefault="00104263" w:rsidP="00104263">
            <w:pPr>
              <w:jc w:val="right"/>
              <w:rPr>
                <w:b/>
                <w:bCs/>
                <w:color w:val="000000"/>
                <w:sz w:val="18"/>
                <w:szCs w:val="18"/>
                <w:lang w:val="en-US"/>
              </w:rPr>
            </w:pPr>
            <w:r w:rsidRPr="00D90275">
              <w:rPr>
                <w:b/>
                <w:bCs/>
                <w:color w:val="000000"/>
                <w:sz w:val="18"/>
                <w:szCs w:val="18"/>
                <w:lang w:val="en-US"/>
              </w:rPr>
              <w:t xml:space="preserve">748.36 </w:t>
            </w:r>
          </w:p>
        </w:tc>
        <w:tc>
          <w:tcPr>
            <w:tcW w:w="1273" w:type="dxa"/>
            <w:tcBorders>
              <w:top w:val="nil"/>
              <w:left w:val="nil"/>
              <w:bottom w:val="single" w:sz="4" w:space="0" w:color="auto"/>
              <w:right w:val="single" w:sz="4" w:space="0" w:color="auto"/>
            </w:tcBorders>
            <w:shd w:val="clear" w:color="auto" w:fill="auto"/>
            <w:noWrap/>
            <w:hideMark/>
          </w:tcPr>
          <w:p w:rsidR="00EA50EA" w:rsidRPr="00D90275" w:rsidRDefault="00104263" w:rsidP="00EA50EA">
            <w:pPr>
              <w:jc w:val="right"/>
              <w:rPr>
                <w:b/>
                <w:bCs/>
                <w:color w:val="000000"/>
                <w:sz w:val="18"/>
                <w:szCs w:val="18"/>
                <w:lang w:val="en-US"/>
              </w:rPr>
            </w:pPr>
            <w:r w:rsidRPr="00D90275">
              <w:rPr>
                <w:b/>
                <w:bCs/>
                <w:color w:val="000000"/>
                <w:sz w:val="18"/>
                <w:szCs w:val="18"/>
                <w:lang w:val="en-US"/>
              </w:rPr>
              <w:t>41.16</w:t>
            </w:r>
          </w:p>
        </w:tc>
        <w:tc>
          <w:tcPr>
            <w:tcW w:w="1389"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b/>
                <w:bCs/>
                <w:color w:val="000000"/>
                <w:sz w:val="18"/>
                <w:szCs w:val="18"/>
                <w:lang w:val="en-US"/>
              </w:rPr>
            </w:pPr>
            <w:r w:rsidRPr="00D90275">
              <w:rPr>
                <w:b/>
                <w:bCs/>
                <w:color w:val="000000"/>
                <w:sz w:val="18"/>
                <w:szCs w:val="18"/>
                <w:lang w:val="en-US"/>
              </w:rPr>
              <w:t>3,591,070</w:t>
            </w:r>
          </w:p>
        </w:tc>
        <w:tc>
          <w:tcPr>
            <w:tcW w:w="1055" w:type="dxa"/>
            <w:tcBorders>
              <w:top w:val="nil"/>
              <w:left w:val="nil"/>
              <w:bottom w:val="single" w:sz="4" w:space="0" w:color="auto"/>
              <w:right w:val="single" w:sz="4" w:space="0" w:color="auto"/>
            </w:tcBorders>
            <w:shd w:val="clear" w:color="auto" w:fill="auto"/>
            <w:noWrap/>
            <w:hideMark/>
          </w:tcPr>
          <w:p w:rsidR="00EA50EA" w:rsidRPr="00D90275" w:rsidRDefault="00EA50EA" w:rsidP="00EA50EA">
            <w:pPr>
              <w:jc w:val="right"/>
              <w:rPr>
                <w:b/>
                <w:bCs/>
                <w:color w:val="000000"/>
                <w:sz w:val="18"/>
                <w:szCs w:val="18"/>
                <w:lang w:val="en-US"/>
              </w:rPr>
            </w:pPr>
            <w:r w:rsidRPr="00D90275">
              <w:rPr>
                <w:b/>
                <w:bCs/>
                <w:color w:val="000000"/>
                <w:sz w:val="18"/>
                <w:szCs w:val="18"/>
                <w:lang w:val="en-US"/>
              </w:rPr>
              <w:t>4.80</w:t>
            </w:r>
          </w:p>
        </w:tc>
      </w:tr>
      <w:tr w:rsidR="00D90275" w:rsidRPr="00D90275" w:rsidTr="004153DE">
        <w:trPr>
          <w:trHeight w:val="233"/>
        </w:trPr>
        <w:tc>
          <w:tcPr>
            <w:tcW w:w="3514" w:type="dxa"/>
            <w:tcBorders>
              <w:top w:val="nil"/>
              <w:left w:val="single" w:sz="4" w:space="0" w:color="auto"/>
              <w:bottom w:val="single" w:sz="4" w:space="0" w:color="auto"/>
              <w:right w:val="single" w:sz="4" w:space="0" w:color="auto"/>
            </w:tcBorders>
            <w:shd w:val="clear" w:color="auto" w:fill="auto"/>
            <w:noWrap/>
            <w:hideMark/>
          </w:tcPr>
          <w:p w:rsidR="00D90275" w:rsidRPr="00D90275" w:rsidRDefault="00D90275" w:rsidP="00EA50EA">
            <w:pPr>
              <w:jc w:val="left"/>
              <w:rPr>
                <w:color w:val="000000"/>
                <w:sz w:val="18"/>
                <w:szCs w:val="18"/>
                <w:lang w:val="en-US"/>
              </w:rPr>
            </w:pPr>
            <w:r w:rsidRPr="00D90275">
              <w:rPr>
                <w:color w:val="000000"/>
                <w:sz w:val="18"/>
                <w:szCs w:val="18"/>
                <w:lang w:val="en-US"/>
              </w:rPr>
              <w:t>Monitoring of HCFC-22 production</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90275" w:rsidRPr="00D90275" w:rsidRDefault="00D90275" w:rsidP="00EA50EA">
            <w:pPr>
              <w:jc w:val="left"/>
              <w:rPr>
                <w:color w:val="000000"/>
                <w:sz w:val="18"/>
                <w:szCs w:val="18"/>
                <w:lang w:val="en-US"/>
              </w:rPr>
            </w:pPr>
            <w:r w:rsidRPr="00D90275">
              <w:rPr>
                <w:color w:val="000000"/>
                <w:sz w:val="18"/>
                <w:szCs w:val="18"/>
                <w:lang w:val="en-US"/>
              </w:rPr>
              <w:t>World Bank</w:t>
            </w:r>
          </w:p>
        </w:tc>
        <w:tc>
          <w:tcPr>
            <w:tcW w:w="981"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Pr>
                <w:color w:val="000000"/>
                <w:sz w:val="18"/>
                <w:szCs w:val="18"/>
                <w:lang w:val="en-US"/>
              </w:rPr>
              <w:t>0</w:t>
            </w:r>
          </w:p>
        </w:tc>
        <w:tc>
          <w:tcPr>
            <w:tcW w:w="1273"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c>
          <w:tcPr>
            <w:tcW w:w="1389"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sidRPr="00D90275">
              <w:rPr>
                <w:color w:val="000000"/>
                <w:sz w:val="18"/>
                <w:szCs w:val="18"/>
                <w:lang w:val="en-US"/>
              </w:rPr>
              <w:t>76,000</w:t>
            </w:r>
          </w:p>
        </w:tc>
        <w:tc>
          <w:tcPr>
            <w:tcW w:w="1055"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r>
      <w:tr w:rsidR="00D90275" w:rsidRPr="00D90275" w:rsidTr="004153DE">
        <w:trPr>
          <w:trHeight w:val="170"/>
        </w:trPr>
        <w:tc>
          <w:tcPr>
            <w:tcW w:w="3514" w:type="dxa"/>
            <w:vMerge w:val="restart"/>
            <w:tcBorders>
              <w:top w:val="nil"/>
              <w:left w:val="single" w:sz="4" w:space="0" w:color="auto"/>
              <w:right w:val="single" w:sz="4" w:space="0" w:color="auto"/>
            </w:tcBorders>
            <w:shd w:val="clear" w:color="auto" w:fill="auto"/>
            <w:noWrap/>
            <w:hideMark/>
          </w:tcPr>
          <w:p w:rsidR="00D90275" w:rsidRPr="00D90275" w:rsidRDefault="00D90275" w:rsidP="00EA50EA">
            <w:pPr>
              <w:jc w:val="left"/>
              <w:rPr>
                <w:color w:val="000000"/>
                <w:sz w:val="18"/>
                <w:szCs w:val="18"/>
                <w:lang w:val="en-US"/>
              </w:rPr>
            </w:pPr>
            <w:r w:rsidRPr="00D90275">
              <w:rPr>
                <w:color w:val="000000"/>
                <w:sz w:val="18"/>
                <w:szCs w:val="18"/>
                <w:lang w:val="en-US"/>
              </w:rPr>
              <w:t xml:space="preserve">PMU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90275" w:rsidRPr="00D90275" w:rsidRDefault="00D90275" w:rsidP="00EA50EA">
            <w:pPr>
              <w:jc w:val="left"/>
              <w:rPr>
                <w:color w:val="000000"/>
                <w:sz w:val="18"/>
                <w:szCs w:val="18"/>
                <w:lang w:val="en-US"/>
              </w:rPr>
            </w:pPr>
            <w:r w:rsidRPr="00D90275">
              <w:rPr>
                <w:color w:val="000000"/>
                <w:sz w:val="18"/>
                <w:szCs w:val="18"/>
                <w:lang w:val="en-US"/>
              </w:rPr>
              <w:t>World Bank</w:t>
            </w:r>
          </w:p>
        </w:tc>
        <w:tc>
          <w:tcPr>
            <w:tcW w:w="981"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Pr>
                <w:color w:val="000000"/>
                <w:sz w:val="18"/>
                <w:szCs w:val="18"/>
                <w:lang w:val="en-US"/>
              </w:rPr>
              <w:t>0</w:t>
            </w:r>
          </w:p>
        </w:tc>
        <w:tc>
          <w:tcPr>
            <w:tcW w:w="1273"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c>
          <w:tcPr>
            <w:tcW w:w="1389"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sidRPr="00D90275">
              <w:rPr>
                <w:color w:val="000000"/>
                <w:sz w:val="18"/>
                <w:szCs w:val="18"/>
                <w:lang w:val="en-US"/>
              </w:rPr>
              <w:t>672,180</w:t>
            </w:r>
          </w:p>
        </w:tc>
        <w:tc>
          <w:tcPr>
            <w:tcW w:w="1055"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r>
      <w:tr w:rsidR="00D90275" w:rsidRPr="00D90275" w:rsidTr="004153DE">
        <w:trPr>
          <w:trHeight w:val="50"/>
        </w:trPr>
        <w:tc>
          <w:tcPr>
            <w:tcW w:w="3514" w:type="dxa"/>
            <w:vMerge/>
            <w:tcBorders>
              <w:left w:val="single" w:sz="4" w:space="0" w:color="auto"/>
              <w:bottom w:val="single" w:sz="4" w:space="0" w:color="auto"/>
              <w:right w:val="single" w:sz="4" w:space="0" w:color="auto"/>
            </w:tcBorders>
            <w:shd w:val="clear" w:color="auto" w:fill="auto"/>
            <w:noWrap/>
            <w:hideMark/>
          </w:tcPr>
          <w:p w:rsidR="00D90275" w:rsidRPr="00D90275" w:rsidRDefault="00D90275" w:rsidP="00EA50EA">
            <w:pPr>
              <w:jc w:val="left"/>
              <w:rPr>
                <w:color w:val="000000"/>
                <w:sz w:val="18"/>
                <w:szCs w:val="18"/>
                <w:lang w:val="en-US"/>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90275" w:rsidRPr="00D90275" w:rsidRDefault="00D90275" w:rsidP="00EA50EA">
            <w:pPr>
              <w:jc w:val="left"/>
              <w:rPr>
                <w:color w:val="000000"/>
                <w:sz w:val="18"/>
                <w:szCs w:val="18"/>
                <w:lang w:val="en-US"/>
              </w:rPr>
            </w:pPr>
            <w:r w:rsidRPr="00D90275">
              <w:rPr>
                <w:color w:val="000000"/>
                <w:sz w:val="18"/>
                <w:szCs w:val="18"/>
                <w:lang w:val="en-US"/>
              </w:rPr>
              <w:t>UNIDO</w:t>
            </w:r>
          </w:p>
        </w:tc>
        <w:tc>
          <w:tcPr>
            <w:tcW w:w="981"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Pr>
                <w:color w:val="000000"/>
                <w:sz w:val="18"/>
                <w:szCs w:val="18"/>
                <w:lang w:val="en-US"/>
              </w:rPr>
              <w:t>0</w:t>
            </w:r>
          </w:p>
        </w:tc>
        <w:tc>
          <w:tcPr>
            <w:tcW w:w="1273"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c>
          <w:tcPr>
            <w:tcW w:w="1389"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sidRPr="00D90275">
              <w:rPr>
                <w:color w:val="000000"/>
                <w:sz w:val="18"/>
                <w:szCs w:val="18"/>
                <w:lang w:val="en-US"/>
              </w:rPr>
              <w:t>424,000</w:t>
            </w:r>
          </w:p>
        </w:tc>
        <w:tc>
          <w:tcPr>
            <w:tcW w:w="1055" w:type="dxa"/>
            <w:tcBorders>
              <w:top w:val="nil"/>
              <w:left w:val="nil"/>
              <w:bottom w:val="single" w:sz="4" w:space="0" w:color="auto"/>
              <w:right w:val="single" w:sz="4" w:space="0" w:color="auto"/>
            </w:tcBorders>
            <w:shd w:val="clear" w:color="auto" w:fill="auto"/>
            <w:noWrap/>
            <w:hideMark/>
          </w:tcPr>
          <w:p w:rsidR="00D90275" w:rsidRPr="00D90275" w:rsidRDefault="00D90275" w:rsidP="005C026A">
            <w:pPr>
              <w:jc w:val="right"/>
              <w:rPr>
                <w:color w:val="000000"/>
                <w:sz w:val="18"/>
                <w:szCs w:val="18"/>
                <w:lang w:val="en-US"/>
              </w:rPr>
            </w:pPr>
            <w:r>
              <w:rPr>
                <w:color w:val="000000"/>
                <w:sz w:val="18"/>
                <w:szCs w:val="18"/>
                <w:lang w:val="en-US"/>
              </w:rPr>
              <w:t>0</w:t>
            </w:r>
          </w:p>
        </w:tc>
      </w:tr>
      <w:tr w:rsidR="00D90275" w:rsidRPr="00D90275" w:rsidTr="00104263">
        <w:trPr>
          <w:trHeight w:val="233"/>
        </w:trPr>
        <w:tc>
          <w:tcPr>
            <w:tcW w:w="3514" w:type="dxa"/>
            <w:tcBorders>
              <w:top w:val="nil"/>
              <w:left w:val="single" w:sz="4" w:space="0" w:color="auto"/>
              <w:bottom w:val="single" w:sz="4" w:space="0" w:color="auto"/>
              <w:right w:val="single" w:sz="4" w:space="0" w:color="auto"/>
            </w:tcBorders>
            <w:shd w:val="clear" w:color="auto" w:fill="auto"/>
            <w:noWrap/>
            <w:hideMark/>
          </w:tcPr>
          <w:p w:rsidR="00D90275" w:rsidRPr="00D90275" w:rsidRDefault="00D90275" w:rsidP="00EA50EA">
            <w:pPr>
              <w:jc w:val="left"/>
              <w:rPr>
                <w:b/>
                <w:bCs/>
                <w:color w:val="000000"/>
                <w:sz w:val="18"/>
                <w:szCs w:val="18"/>
                <w:lang w:val="en-US"/>
              </w:rPr>
            </w:pPr>
            <w:r w:rsidRPr="00D90275">
              <w:rPr>
                <w:b/>
                <w:bCs/>
                <w:color w:val="000000"/>
                <w:sz w:val="18"/>
                <w:szCs w:val="18"/>
                <w:lang w:val="en-US"/>
              </w:rPr>
              <w:t>Total</w:t>
            </w:r>
          </w:p>
        </w:tc>
        <w:tc>
          <w:tcPr>
            <w:tcW w:w="1261" w:type="dxa"/>
            <w:tcBorders>
              <w:top w:val="nil"/>
              <w:left w:val="nil"/>
              <w:bottom w:val="single" w:sz="4" w:space="0" w:color="auto"/>
              <w:right w:val="single" w:sz="4" w:space="0" w:color="auto"/>
            </w:tcBorders>
            <w:shd w:val="clear" w:color="auto" w:fill="auto"/>
            <w:noWrap/>
            <w:vAlign w:val="center"/>
            <w:hideMark/>
          </w:tcPr>
          <w:p w:rsidR="00D90275" w:rsidRPr="00D90275" w:rsidRDefault="00D90275" w:rsidP="00EA50EA">
            <w:pPr>
              <w:jc w:val="left"/>
              <w:rPr>
                <w:b/>
                <w:bCs/>
                <w:color w:val="000000"/>
                <w:sz w:val="18"/>
                <w:szCs w:val="18"/>
                <w:lang w:val="en-US"/>
              </w:rPr>
            </w:pPr>
            <w:r w:rsidRPr="00D90275">
              <w:rPr>
                <w:b/>
                <w:bCs/>
                <w:color w:val="000000"/>
                <w:sz w:val="18"/>
                <w:szCs w:val="18"/>
                <w:lang w:val="en-US"/>
              </w:rPr>
              <w:t> </w:t>
            </w:r>
          </w:p>
        </w:tc>
        <w:tc>
          <w:tcPr>
            <w:tcW w:w="981" w:type="dxa"/>
            <w:tcBorders>
              <w:top w:val="nil"/>
              <w:left w:val="nil"/>
              <w:bottom w:val="single" w:sz="4" w:space="0" w:color="auto"/>
              <w:right w:val="single" w:sz="4" w:space="0" w:color="auto"/>
            </w:tcBorders>
            <w:shd w:val="clear" w:color="auto" w:fill="auto"/>
            <w:noWrap/>
            <w:hideMark/>
          </w:tcPr>
          <w:p w:rsidR="00D90275" w:rsidRPr="00D90275" w:rsidRDefault="00D90275" w:rsidP="000943D6">
            <w:pPr>
              <w:jc w:val="right"/>
              <w:rPr>
                <w:b/>
                <w:bCs/>
                <w:color w:val="000000"/>
                <w:sz w:val="18"/>
                <w:szCs w:val="18"/>
                <w:lang w:val="en-US"/>
              </w:rPr>
            </w:pPr>
            <w:r w:rsidRPr="00D90275">
              <w:rPr>
                <w:b/>
                <w:bCs/>
                <w:color w:val="000000"/>
                <w:sz w:val="18"/>
                <w:szCs w:val="18"/>
                <w:lang w:val="en-US"/>
              </w:rPr>
              <w:t xml:space="preserve">1,447.60 </w:t>
            </w:r>
          </w:p>
        </w:tc>
        <w:tc>
          <w:tcPr>
            <w:tcW w:w="1273"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b/>
                <w:bCs/>
                <w:color w:val="000000"/>
                <w:sz w:val="18"/>
                <w:szCs w:val="18"/>
                <w:lang w:val="en-US"/>
              </w:rPr>
            </w:pPr>
            <w:r w:rsidRPr="00D90275">
              <w:rPr>
                <w:b/>
                <w:bCs/>
                <w:color w:val="000000"/>
                <w:sz w:val="18"/>
                <w:szCs w:val="18"/>
                <w:lang w:val="en-US"/>
              </w:rPr>
              <w:t>115.19</w:t>
            </w:r>
          </w:p>
        </w:tc>
        <w:tc>
          <w:tcPr>
            <w:tcW w:w="1389" w:type="dxa"/>
            <w:tcBorders>
              <w:top w:val="nil"/>
              <w:left w:val="nil"/>
              <w:bottom w:val="single" w:sz="4" w:space="0" w:color="auto"/>
              <w:right w:val="single" w:sz="4" w:space="0" w:color="auto"/>
            </w:tcBorders>
            <w:shd w:val="clear" w:color="auto" w:fill="auto"/>
            <w:noWrap/>
            <w:hideMark/>
          </w:tcPr>
          <w:p w:rsidR="00D90275" w:rsidRPr="00D90275" w:rsidRDefault="00D90275" w:rsidP="00852C8C">
            <w:pPr>
              <w:jc w:val="right"/>
              <w:rPr>
                <w:b/>
                <w:bCs/>
                <w:color w:val="000000"/>
                <w:sz w:val="18"/>
                <w:szCs w:val="18"/>
                <w:lang w:val="en-US"/>
              </w:rPr>
            </w:pPr>
            <w:r w:rsidRPr="00D90275">
              <w:rPr>
                <w:b/>
                <w:bCs/>
                <w:color w:val="000000"/>
                <w:sz w:val="18"/>
                <w:szCs w:val="18"/>
                <w:lang w:val="en-US"/>
              </w:rPr>
              <w:t>12,207,484</w:t>
            </w:r>
          </w:p>
        </w:tc>
        <w:tc>
          <w:tcPr>
            <w:tcW w:w="1055" w:type="dxa"/>
            <w:tcBorders>
              <w:top w:val="nil"/>
              <w:left w:val="nil"/>
              <w:bottom w:val="single" w:sz="4" w:space="0" w:color="auto"/>
              <w:right w:val="single" w:sz="4" w:space="0" w:color="auto"/>
            </w:tcBorders>
            <w:shd w:val="clear" w:color="auto" w:fill="auto"/>
            <w:noWrap/>
            <w:hideMark/>
          </w:tcPr>
          <w:p w:rsidR="00D90275" w:rsidRPr="00D90275" w:rsidRDefault="00D90275" w:rsidP="00EA50EA">
            <w:pPr>
              <w:jc w:val="right"/>
              <w:rPr>
                <w:b/>
                <w:bCs/>
                <w:color w:val="000000"/>
                <w:sz w:val="18"/>
                <w:szCs w:val="18"/>
                <w:lang w:val="en-US"/>
              </w:rPr>
            </w:pPr>
            <w:r w:rsidRPr="00D90275">
              <w:rPr>
                <w:b/>
                <w:bCs/>
                <w:color w:val="000000"/>
                <w:sz w:val="18"/>
                <w:szCs w:val="18"/>
                <w:lang w:val="en-US"/>
              </w:rPr>
              <w:t>8.43</w:t>
            </w:r>
          </w:p>
        </w:tc>
      </w:tr>
      <w:tr w:rsidR="00D90275" w:rsidRPr="00D90275" w:rsidTr="00373327">
        <w:trPr>
          <w:trHeight w:val="50"/>
        </w:trPr>
        <w:tc>
          <w:tcPr>
            <w:tcW w:w="3514" w:type="dxa"/>
            <w:tcBorders>
              <w:top w:val="single" w:sz="4" w:space="0" w:color="auto"/>
              <w:left w:val="single" w:sz="4" w:space="0" w:color="auto"/>
              <w:bottom w:val="single" w:sz="4" w:space="0" w:color="auto"/>
              <w:right w:val="single" w:sz="4" w:space="0" w:color="auto"/>
            </w:tcBorders>
            <w:shd w:val="clear" w:color="auto" w:fill="auto"/>
            <w:noWrap/>
            <w:hideMark/>
          </w:tcPr>
          <w:p w:rsidR="00D90275" w:rsidRPr="00D90275" w:rsidRDefault="00D90275" w:rsidP="00D90275">
            <w:pPr>
              <w:keepNext/>
              <w:jc w:val="left"/>
              <w:rPr>
                <w:color w:val="000000"/>
                <w:sz w:val="18"/>
                <w:szCs w:val="18"/>
                <w:lang w:val="en-US"/>
              </w:rPr>
            </w:pPr>
            <w:r w:rsidRPr="00D90275">
              <w:rPr>
                <w:color w:val="000000"/>
                <w:sz w:val="18"/>
                <w:szCs w:val="18"/>
                <w:lang w:val="en-US"/>
              </w:rPr>
              <w:lastRenderedPageBreak/>
              <w:t>Additional non-eligible tonnage to be phased out in the PU foam sector</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90275" w:rsidRPr="00D90275" w:rsidRDefault="00D90275" w:rsidP="00EA50EA">
            <w:pPr>
              <w:jc w:val="left"/>
              <w:rPr>
                <w:color w:val="000000"/>
                <w:sz w:val="18"/>
                <w:szCs w:val="18"/>
                <w:lang w:val="en-US"/>
              </w:rPr>
            </w:pPr>
          </w:p>
        </w:tc>
        <w:tc>
          <w:tcPr>
            <w:tcW w:w="981" w:type="dxa"/>
            <w:tcBorders>
              <w:top w:val="single" w:sz="4" w:space="0" w:color="auto"/>
              <w:left w:val="nil"/>
              <w:bottom w:val="single" w:sz="4" w:space="0" w:color="auto"/>
              <w:right w:val="single" w:sz="4" w:space="0" w:color="auto"/>
            </w:tcBorders>
            <w:shd w:val="clear" w:color="auto" w:fill="auto"/>
            <w:noWrap/>
            <w:hideMark/>
          </w:tcPr>
          <w:p w:rsidR="00D90275" w:rsidRPr="00D90275" w:rsidRDefault="00D90275" w:rsidP="001718D9">
            <w:pPr>
              <w:jc w:val="right"/>
              <w:rPr>
                <w:color w:val="000000"/>
                <w:sz w:val="18"/>
                <w:szCs w:val="18"/>
                <w:lang w:val="en-US"/>
              </w:rPr>
            </w:pPr>
            <w:r w:rsidRPr="00D90275">
              <w:rPr>
                <w:color w:val="000000"/>
                <w:sz w:val="18"/>
                <w:szCs w:val="18"/>
                <w:lang w:val="en-US"/>
              </w:rPr>
              <w:t>89.23</w:t>
            </w:r>
          </w:p>
        </w:tc>
        <w:tc>
          <w:tcPr>
            <w:tcW w:w="1273" w:type="dxa"/>
            <w:tcBorders>
              <w:top w:val="single" w:sz="4" w:space="0" w:color="auto"/>
              <w:left w:val="nil"/>
              <w:bottom w:val="single" w:sz="4" w:space="0" w:color="auto"/>
              <w:right w:val="single" w:sz="4" w:space="0" w:color="auto"/>
            </w:tcBorders>
            <w:shd w:val="clear" w:color="auto" w:fill="auto"/>
            <w:noWrap/>
            <w:hideMark/>
          </w:tcPr>
          <w:p w:rsidR="00D90275" w:rsidRPr="00D90275" w:rsidRDefault="00D90275" w:rsidP="001718D9">
            <w:pPr>
              <w:jc w:val="right"/>
              <w:rPr>
                <w:color w:val="000000"/>
                <w:sz w:val="18"/>
                <w:szCs w:val="18"/>
                <w:lang w:val="en-US"/>
              </w:rPr>
            </w:pPr>
            <w:r w:rsidRPr="00D90275">
              <w:rPr>
                <w:color w:val="000000"/>
                <w:sz w:val="18"/>
                <w:szCs w:val="18"/>
                <w:lang w:val="en-US"/>
              </w:rPr>
              <w:t>9.82</w:t>
            </w:r>
          </w:p>
        </w:tc>
        <w:tc>
          <w:tcPr>
            <w:tcW w:w="1389" w:type="dxa"/>
            <w:tcBorders>
              <w:top w:val="single" w:sz="4" w:space="0" w:color="auto"/>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Pr>
                <w:color w:val="000000"/>
                <w:sz w:val="18"/>
                <w:szCs w:val="18"/>
                <w:lang w:val="en-US"/>
              </w:rPr>
              <w:t>0</w:t>
            </w:r>
          </w:p>
        </w:tc>
        <w:tc>
          <w:tcPr>
            <w:tcW w:w="1055" w:type="dxa"/>
            <w:tcBorders>
              <w:top w:val="single" w:sz="4" w:space="0" w:color="auto"/>
              <w:left w:val="nil"/>
              <w:bottom w:val="single" w:sz="4" w:space="0" w:color="auto"/>
              <w:right w:val="single" w:sz="4" w:space="0" w:color="auto"/>
            </w:tcBorders>
            <w:shd w:val="clear" w:color="auto" w:fill="auto"/>
            <w:noWrap/>
            <w:hideMark/>
          </w:tcPr>
          <w:p w:rsidR="00D90275" w:rsidRPr="00D90275" w:rsidRDefault="00D90275" w:rsidP="00EA50EA">
            <w:pPr>
              <w:jc w:val="right"/>
              <w:rPr>
                <w:color w:val="000000"/>
                <w:sz w:val="18"/>
                <w:szCs w:val="18"/>
                <w:lang w:val="en-US"/>
              </w:rPr>
            </w:pPr>
            <w:r>
              <w:rPr>
                <w:color w:val="000000"/>
                <w:sz w:val="18"/>
                <w:szCs w:val="18"/>
                <w:lang w:val="en-US"/>
              </w:rPr>
              <w:t>0</w:t>
            </w:r>
          </w:p>
        </w:tc>
      </w:tr>
      <w:tr w:rsidR="00D90275" w:rsidRPr="00D90275" w:rsidTr="00373327">
        <w:trPr>
          <w:trHeight w:val="50"/>
        </w:trPr>
        <w:tc>
          <w:tcPr>
            <w:tcW w:w="3514" w:type="dxa"/>
            <w:tcBorders>
              <w:top w:val="single" w:sz="4" w:space="0" w:color="auto"/>
              <w:left w:val="single" w:sz="4" w:space="0" w:color="auto"/>
              <w:bottom w:val="single" w:sz="4" w:space="0" w:color="auto"/>
              <w:right w:val="single" w:sz="4" w:space="0" w:color="auto"/>
            </w:tcBorders>
            <w:shd w:val="clear" w:color="auto" w:fill="auto"/>
            <w:noWrap/>
          </w:tcPr>
          <w:p w:rsidR="00D90275" w:rsidRPr="00D90275" w:rsidRDefault="00D90275" w:rsidP="00373327">
            <w:pPr>
              <w:jc w:val="left"/>
              <w:rPr>
                <w:b/>
                <w:color w:val="000000"/>
                <w:sz w:val="18"/>
                <w:szCs w:val="18"/>
                <w:lang w:val="en-US"/>
              </w:rPr>
            </w:pPr>
            <w:r w:rsidRPr="00D90275">
              <w:rPr>
                <w:b/>
                <w:color w:val="000000"/>
                <w:sz w:val="18"/>
                <w:szCs w:val="18"/>
                <w:lang w:val="en-US"/>
              </w:rPr>
              <w:t>Total HCFC phase out in stage II</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D90275" w:rsidRPr="00D90275" w:rsidRDefault="00D90275" w:rsidP="00EA50EA">
            <w:pPr>
              <w:jc w:val="left"/>
              <w:rPr>
                <w:b/>
                <w:color w:val="000000"/>
                <w:sz w:val="18"/>
                <w:szCs w:val="18"/>
                <w:lang w:val="en-US"/>
              </w:rPr>
            </w:pPr>
          </w:p>
        </w:tc>
        <w:tc>
          <w:tcPr>
            <w:tcW w:w="981" w:type="dxa"/>
            <w:tcBorders>
              <w:top w:val="single" w:sz="4" w:space="0" w:color="auto"/>
              <w:left w:val="nil"/>
              <w:bottom w:val="single" w:sz="4" w:space="0" w:color="auto"/>
              <w:right w:val="single" w:sz="4" w:space="0" w:color="auto"/>
            </w:tcBorders>
            <w:shd w:val="clear" w:color="auto" w:fill="auto"/>
            <w:noWrap/>
          </w:tcPr>
          <w:p w:rsidR="00D90275" w:rsidRPr="00D90275" w:rsidRDefault="00D90275" w:rsidP="001718D9">
            <w:pPr>
              <w:jc w:val="right"/>
              <w:rPr>
                <w:b/>
                <w:color w:val="000000"/>
                <w:sz w:val="18"/>
                <w:szCs w:val="18"/>
                <w:lang w:val="en-US"/>
              </w:rPr>
            </w:pPr>
            <w:r w:rsidRPr="00D90275">
              <w:rPr>
                <w:b/>
                <w:color w:val="000000"/>
                <w:sz w:val="18"/>
                <w:szCs w:val="18"/>
                <w:lang w:val="en-US"/>
              </w:rPr>
              <w:t>1,536.83</w:t>
            </w:r>
          </w:p>
        </w:tc>
        <w:tc>
          <w:tcPr>
            <w:tcW w:w="1273" w:type="dxa"/>
            <w:tcBorders>
              <w:top w:val="single" w:sz="4" w:space="0" w:color="auto"/>
              <w:left w:val="nil"/>
              <w:bottom w:val="single" w:sz="4" w:space="0" w:color="auto"/>
              <w:right w:val="single" w:sz="4" w:space="0" w:color="auto"/>
            </w:tcBorders>
            <w:shd w:val="clear" w:color="auto" w:fill="auto"/>
            <w:noWrap/>
          </w:tcPr>
          <w:p w:rsidR="00D90275" w:rsidRPr="00D90275" w:rsidRDefault="00D90275" w:rsidP="001718D9">
            <w:pPr>
              <w:jc w:val="right"/>
              <w:rPr>
                <w:b/>
                <w:color w:val="000000"/>
                <w:sz w:val="18"/>
                <w:szCs w:val="18"/>
                <w:lang w:val="en-US"/>
              </w:rPr>
            </w:pPr>
            <w:r w:rsidRPr="00D90275">
              <w:rPr>
                <w:b/>
                <w:color w:val="000000"/>
                <w:sz w:val="18"/>
                <w:szCs w:val="18"/>
                <w:lang w:val="en-US"/>
              </w:rPr>
              <w:t>125.01</w:t>
            </w:r>
          </w:p>
        </w:tc>
        <w:tc>
          <w:tcPr>
            <w:tcW w:w="1389" w:type="dxa"/>
            <w:tcBorders>
              <w:top w:val="single" w:sz="4" w:space="0" w:color="auto"/>
              <w:left w:val="nil"/>
              <w:bottom w:val="single" w:sz="4" w:space="0" w:color="auto"/>
              <w:right w:val="single" w:sz="4" w:space="0" w:color="auto"/>
            </w:tcBorders>
            <w:shd w:val="clear" w:color="auto" w:fill="auto"/>
            <w:noWrap/>
          </w:tcPr>
          <w:p w:rsidR="00D90275" w:rsidRPr="00D90275" w:rsidRDefault="00D90275" w:rsidP="00EA50EA">
            <w:pPr>
              <w:jc w:val="right"/>
              <w:rPr>
                <w:b/>
                <w:color w:val="000000"/>
                <w:sz w:val="18"/>
                <w:szCs w:val="18"/>
                <w:lang w:val="en-US"/>
              </w:rPr>
            </w:pPr>
            <w:r>
              <w:rPr>
                <w:b/>
                <w:color w:val="000000"/>
                <w:sz w:val="18"/>
                <w:szCs w:val="18"/>
                <w:lang w:val="en-US"/>
              </w:rPr>
              <w:t>0</w:t>
            </w:r>
          </w:p>
        </w:tc>
        <w:tc>
          <w:tcPr>
            <w:tcW w:w="1055" w:type="dxa"/>
            <w:tcBorders>
              <w:top w:val="single" w:sz="4" w:space="0" w:color="auto"/>
              <w:left w:val="nil"/>
              <w:bottom w:val="single" w:sz="4" w:space="0" w:color="auto"/>
              <w:right w:val="single" w:sz="4" w:space="0" w:color="auto"/>
            </w:tcBorders>
            <w:shd w:val="clear" w:color="auto" w:fill="auto"/>
            <w:noWrap/>
          </w:tcPr>
          <w:p w:rsidR="00D90275" w:rsidRPr="00D90275" w:rsidRDefault="00D90275" w:rsidP="00EA50EA">
            <w:pPr>
              <w:jc w:val="right"/>
              <w:rPr>
                <w:b/>
                <w:color w:val="000000"/>
                <w:sz w:val="18"/>
                <w:szCs w:val="18"/>
                <w:lang w:val="en-US"/>
              </w:rPr>
            </w:pPr>
            <w:r>
              <w:rPr>
                <w:b/>
                <w:color w:val="000000"/>
                <w:sz w:val="18"/>
                <w:szCs w:val="18"/>
                <w:lang w:val="en-US"/>
              </w:rPr>
              <w:t>0</w:t>
            </w:r>
          </w:p>
        </w:tc>
      </w:tr>
      <w:tr w:rsidR="00D90275" w:rsidRPr="00D90275" w:rsidTr="0017198D">
        <w:trPr>
          <w:trHeight w:val="50"/>
        </w:trPr>
        <w:tc>
          <w:tcPr>
            <w:tcW w:w="7029" w:type="dxa"/>
            <w:gridSpan w:val="4"/>
            <w:tcBorders>
              <w:top w:val="single" w:sz="4" w:space="0" w:color="auto"/>
              <w:left w:val="single" w:sz="4" w:space="0" w:color="auto"/>
              <w:bottom w:val="single" w:sz="4" w:space="0" w:color="auto"/>
              <w:right w:val="single" w:sz="4" w:space="0" w:color="auto"/>
            </w:tcBorders>
            <w:shd w:val="clear" w:color="auto" w:fill="auto"/>
            <w:noWrap/>
          </w:tcPr>
          <w:p w:rsidR="00D90275" w:rsidRPr="00D90275" w:rsidRDefault="00D90275" w:rsidP="0017198D">
            <w:pPr>
              <w:jc w:val="left"/>
              <w:rPr>
                <w:color w:val="000000"/>
                <w:sz w:val="18"/>
                <w:szCs w:val="18"/>
                <w:lang w:val="en-US"/>
              </w:rPr>
            </w:pPr>
            <w:r w:rsidRPr="00D90275">
              <w:rPr>
                <w:color w:val="000000"/>
                <w:sz w:val="18"/>
                <w:szCs w:val="18"/>
                <w:lang w:val="en-US"/>
              </w:rPr>
              <w:t>Total UNIDO</w:t>
            </w:r>
          </w:p>
        </w:tc>
        <w:tc>
          <w:tcPr>
            <w:tcW w:w="2444" w:type="dxa"/>
            <w:gridSpan w:val="2"/>
            <w:tcBorders>
              <w:top w:val="single" w:sz="4" w:space="0" w:color="auto"/>
              <w:left w:val="nil"/>
              <w:bottom w:val="single" w:sz="4" w:space="0" w:color="auto"/>
              <w:right w:val="single" w:sz="4" w:space="0" w:color="auto"/>
            </w:tcBorders>
            <w:shd w:val="clear" w:color="auto" w:fill="auto"/>
            <w:noWrap/>
          </w:tcPr>
          <w:p w:rsidR="00D90275" w:rsidRPr="00D90275" w:rsidRDefault="00D90275" w:rsidP="0017198D">
            <w:pPr>
              <w:jc w:val="right"/>
              <w:rPr>
                <w:color w:val="000000"/>
                <w:sz w:val="18"/>
                <w:szCs w:val="18"/>
                <w:lang w:val="en-US"/>
              </w:rPr>
            </w:pPr>
            <w:r w:rsidRPr="00D90275">
              <w:rPr>
                <w:color w:val="000000"/>
                <w:sz w:val="18"/>
                <w:szCs w:val="18"/>
                <w:lang w:val="en-US"/>
              </w:rPr>
              <w:t>4,015,070</w:t>
            </w:r>
          </w:p>
        </w:tc>
      </w:tr>
      <w:tr w:rsidR="00D90275" w:rsidRPr="00D90275" w:rsidTr="0017198D">
        <w:trPr>
          <w:trHeight w:val="50"/>
        </w:trPr>
        <w:tc>
          <w:tcPr>
            <w:tcW w:w="7029" w:type="dxa"/>
            <w:gridSpan w:val="4"/>
            <w:tcBorders>
              <w:top w:val="single" w:sz="4" w:space="0" w:color="auto"/>
              <w:left w:val="single" w:sz="4" w:space="0" w:color="auto"/>
              <w:bottom w:val="single" w:sz="4" w:space="0" w:color="auto"/>
              <w:right w:val="single" w:sz="4" w:space="0" w:color="auto"/>
            </w:tcBorders>
            <w:shd w:val="clear" w:color="auto" w:fill="auto"/>
            <w:noWrap/>
          </w:tcPr>
          <w:p w:rsidR="00D90275" w:rsidRPr="00D90275" w:rsidRDefault="00D90275" w:rsidP="0017198D">
            <w:pPr>
              <w:jc w:val="left"/>
              <w:rPr>
                <w:color w:val="000000"/>
                <w:sz w:val="18"/>
                <w:szCs w:val="18"/>
                <w:lang w:val="en-US"/>
              </w:rPr>
            </w:pPr>
            <w:r w:rsidRPr="00D90275">
              <w:rPr>
                <w:color w:val="000000"/>
                <w:sz w:val="18"/>
                <w:szCs w:val="18"/>
                <w:lang w:val="en-US"/>
              </w:rPr>
              <w:t>Total World Bank</w:t>
            </w:r>
          </w:p>
        </w:tc>
        <w:tc>
          <w:tcPr>
            <w:tcW w:w="2444" w:type="dxa"/>
            <w:gridSpan w:val="2"/>
            <w:tcBorders>
              <w:top w:val="single" w:sz="4" w:space="0" w:color="auto"/>
              <w:left w:val="nil"/>
              <w:bottom w:val="single" w:sz="4" w:space="0" w:color="auto"/>
              <w:right w:val="single" w:sz="4" w:space="0" w:color="auto"/>
            </w:tcBorders>
            <w:shd w:val="clear" w:color="auto" w:fill="auto"/>
            <w:noWrap/>
          </w:tcPr>
          <w:p w:rsidR="00D90275" w:rsidRPr="00D90275" w:rsidRDefault="00D90275" w:rsidP="0017198D">
            <w:pPr>
              <w:jc w:val="right"/>
              <w:rPr>
                <w:color w:val="000000"/>
                <w:sz w:val="18"/>
                <w:szCs w:val="18"/>
                <w:lang w:val="en-US"/>
              </w:rPr>
            </w:pPr>
            <w:r w:rsidRPr="00D90275">
              <w:rPr>
                <w:color w:val="000000"/>
                <w:sz w:val="18"/>
                <w:szCs w:val="18"/>
                <w:lang w:val="en-US"/>
              </w:rPr>
              <w:t>8,192,414</w:t>
            </w:r>
          </w:p>
        </w:tc>
      </w:tr>
    </w:tbl>
    <w:p w:rsidR="009B2B92" w:rsidRDefault="009B2B92" w:rsidP="00F0403F">
      <w:pPr>
        <w:widowControl w:val="0"/>
        <w:outlineLvl w:val="0"/>
        <w:rPr>
          <w:b/>
          <w:highlight w:val="yellow"/>
        </w:rPr>
      </w:pPr>
    </w:p>
    <w:p w:rsidR="00F0403F" w:rsidRPr="00141CF6" w:rsidRDefault="00F0403F" w:rsidP="00F0403F">
      <w:pPr>
        <w:keepNext/>
        <w:rPr>
          <w:u w:val="single"/>
        </w:rPr>
      </w:pPr>
      <w:r w:rsidRPr="00141CF6">
        <w:rPr>
          <w:u w:val="single"/>
        </w:rPr>
        <w:t>Activities planned for the first tranche</w:t>
      </w:r>
    </w:p>
    <w:p w:rsidR="00F0403F" w:rsidRPr="00141CF6" w:rsidRDefault="00F0403F" w:rsidP="00F0403F"/>
    <w:p w:rsidR="00F0403F" w:rsidRPr="00577666" w:rsidRDefault="00F0403F" w:rsidP="009A5409">
      <w:pPr>
        <w:pStyle w:val="Heading1"/>
      </w:pPr>
      <w:r w:rsidRPr="00141CF6">
        <w:t xml:space="preserve">The first funding tranche of stage II of the HPMP at the total amount of </w:t>
      </w:r>
      <w:r w:rsidR="009A3BBD">
        <w:t>US $</w:t>
      </w:r>
      <w:r w:rsidR="00154492">
        <w:t>4,620,746</w:t>
      </w:r>
      <w:r w:rsidRPr="00141CF6">
        <w:t xml:space="preserve"> will be implemented until </w:t>
      </w:r>
      <w:r w:rsidR="00DF2BFC">
        <w:t>December 2019</w:t>
      </w:r>
      <w:r w:rsidRPr="00141CF6">
        <w:t xml:space="preserve">, and will include: </w:t>
      </w:r>
      <w:r w:rsidR="00D90275">
        <w:t>i</w:t>
      </w:r>
      <w:r w:rsidR="00DF2BFC">
        <w:t>nitiation of the conversion of individual projects and systems house projects in the PU and XPS foam sectors</w:t>
      </w:r>
      <w:r w:rsidR="00273837">
        <w:t xml:space="preserve"> </w:t>
      </w:r>
      <w:r w:rsidR="00273837" w:rsidRPr="00577666">
        <w:t>(US $</w:t>
      </w:r>
      <w:r w:rsidR="009A5409" w:rsidRPr="00577666">
        <w:t>2,888,874);</w:t>
      </w:r>
      <w:r w:rsidR="00DF2BFC" w:rsidRPr="00577666">
        <w:t xml:space="preserve"> provision of part of the equipment kits for refrigeration</w:t>
      </w:r>
      <w:r w:rsidR="00273837" w:rsidRPr="00577666">
        <w:t xml:space="preserve"> </w:t>
      </w:r>
      <w:r w:rsidR="009A5409" w:rsidRPr="00577666">
        <w:t xml:space="preserve">and </w:t>
      </w:r>
      <w:r w:rsidR="00DF2BFC" w:rsidRPr="00577666">
        <w:t>continuation of the training of technicians on good servicing practices</w:t>
      </w:r>
      <w:r w:rsidR="00071259" w:rsidRPr="00577666">
        <w:t xml:space="preserve"> </w:t>
      </w:r>
      <w:r w:rsidR="009A5409" w:rsidRPr="00577666">
        <w:t xml:space="preserve">(US $900,000); </w:t>
      </w:r>
      <w:r w:rsidR="00DF2BFC" w:rsidRPr="00577666">
        <w:t xml:space="preserve">initiation of the </w:t>
      </w:r>
      <w:r w:rsidR="009A5409" w:rsidRPr="00577666">
        <w:t xml:space="preserve">technicians </w:t>
      </w:r>
      <w:r w:rsidR="00DF2BFC" w:rsidRPr="00577666">
        <w:t>certification programme</w:t>
      </w:r>
      <w:r w:rsidR="009A5409" w:rsidRPr="00577666">
        <w:t xml:space="preserve"> (US $150,000)</w:t>
      </w:r>
      <w:r w:rsidR="00DF2BFC" w:rsidRPr="00577666">
        <w:t>; start of the technical assistance project to reduce refrigerant leaks in supermarkets</w:t>
      </w:r>
      <w:r w:rsidR="009A5409" w:rsidRPr="00577666">
        <w:t xml:space="preserve"> (US $200,000)</w:t>
      </w:r>
      <w:r w:rsidR="00DF2BFC" w:rsidRPr="00577666">
        <w:t>; monitoring of HCFC-22 production for the years 2017 and 2018</w:t>
      </w:r>
      <w:r w:rsidR="006C0CCE" w:rsidRPr="00577666">
        <w:t xml:space="preserve"> (US $28,000)</w:t>
      </w:r>
      <w:r w:rsidR="00DF2BFC" w:rsidRPr="00577666">
        <w:t xml:space="preserve">; awareness activities </w:t>
      </w:r>
      <w:r w:rsidR="006C0CCE" w:rsidRPr="00577666">
        <w:t xml:space="preserve">(US $35,000); </w:t>
      </w:r>
      <w:r w:rsidR="00DF2BFC" w:rsidRPr="00577666">
        <w:t>and monitoring and coordination</w:t>
      </w:r>
      <w:r w:rsidR="00071259" w:rsidRPr="00577666">
        <w:t xml:space="preserve"> (US $</w:t>
      </w:r>
      <w:r w:rsidR="006C0CCE" w:rsidRPr="00577666">
        <w:t>418,872</w:t>
      </w:r>
      <w:r w:rsidR="00DD6DE1" w:rsidRPr="00577666">
        <w:t xml:space="preserve"> </w:t>
      </w:r>
      <w:r w:rsidR="00071259" w:rsidRPr="00577666">
        <w:t>)</w:t>
      </w:r>
      <w:r w:rsidR="00AB62C6" w:rsidRPr="00577666">
        <w:t>.</w:t>
      </w:r>
    </w:p>
    <w:p w:rsidR="00053749" w:rsidRPr="008D56FD" w:rsidRDefault="00053749" w:rsidP="00053749">
      <w:pPr>
        <w:jc w:val="center"/>
        <w:rPr>
          <w:b/>
          <w:lang w:val="en-CA"/>
        </w:rPr>
      </w:pPr>
      <w:r w:rsidRPr="008D56FD">
        <w:rPr>
          <w:b/>
          <w:lang w:val="en-CA"/>
        </w:rPr>
        <w:t>SECRETARIAT’S COMMENTS AND RECOMMENDATION</w:t>
      </w:r>
    </w:p>
    <w:p w:rsidR="00053749" w:rsidRPr="008D56FD" w:rsidRDefault="00053749" w:rsidP="00053749">
      <w:pPr>
        <w:jc w:val="center"/>
        <w:rPr>
          <w:b/>
          <w:lang w:val="en-CA"/>
        </w:rPr>
      </w:pPr>
    </w:p>
    <w:p w:rsidR="00053749" w:rsidRPr="00160585" w:rsidRDefault="00053749" w:rsidP="00053749">
      <w:pPr>
        <w:rPr>
          <w:b/>
          <w:szCs w:val="32"/>
        </w:rPr>
      </w:pPr>
      <w:r w:rsidRPr="00160585">
        <w:rPr>
          <w:b/>
          <w:szCs w:val="32"/>
        </w:rPr>
        <w:t>COMMENTS</w:t>
      </w:r>
    </w:p>
    <w:p w:rsidR="00053749" w:rsidRPr="00160585" w:rsidRDefault="00053749" w:rsidP="00053749">
      <w:pPr>
        <w:rPr>
          <w:b/>
          <w:szCs w:val="32"/>
        </w:rPr>
      </w:pPr>
    </w:p>
    <w:p w:rsidR="00771356" w:rsidRPr="00E80B4A" w:rsidRDefault="00771356" w:rsidP="00771356">
      <w:pPr>
        <w:pStyle w:val="Heading1"/>
        <w:keepNext/>
        <w:rPr>
          <w:szCs w:val="32"/>
          <w:u w:val="single"/>
        </w:rPr>
      </w:pPr>
      <w:r w:rsidRPr="00E80B4A">
        <w:t xml:space="preserve">The Secretariat reviewed stage II of the HPMP for Argentina in light of stage I, the policies and the guidelines of the Multilateral Fund, including the criteria for funding HCFC phase-out in the consumption sector for stage II of HPMPs (decision 74/50), and the 2017-2019 business plan of the Multilateral Fund. </w:t>
      </w:r>
    </w:p>
    <w:p w:rsidR="00771356" w:rsidRPr="00E80B4A" w:rsidRDefault="00771356" w:rsidP="00771356">
      <w:pPr>
        <w:pStyle w:val="Heading1"/>
        <w:keepNext/>
        <w:numPr>
          <w:ilvl w:val="0"/>
          <w:numId w:val="0"/>
        </w:numPr>
        <w:rPr>
          <w:szCs w:val="32"/>
          <w:u w:val="single"/>
        </w:rPr>
      </w:pPr>
      <w:r w:rsidRPr="00E80B4A">
        <w:rPr>
          <w:szCs w:val="32"/>
          <w:u w:val="single"/>
        </w:rPr>
        <w:t>Overarching strategy for stage II</w:t>
      </w:r>
    </w:p>
    <w:p w:rsidR="00771356" w:rsidRPr="00CE2C85" w:rsidRDefault="00771356" w:rsidP="00771356">
      <w:pPr>
        <w:pStyle w:val="Heading1"/>
      </w:pPr>
      <w:r w:rsidRPr="00CE2C85">
        <w:rPr>
          <w:szCs w:val="32"/>
        </w:rPr>
        <w:t>Stage II, as submitted, proposed</w:t>
      </w:r>
      <w:r w:rsidR="00373327" w:rsidRPr="00CE2C85">
        <w:rPr>
          <w:szCs w:val="32"/>
        </w:rPr>
        <w:t xml:space="preserve"> activities in the </w:t>
      </w:r>
      <w:r w:rsidRPr="00CE2C85">
        <w:t>PU foam, XPS foam and refrigeration servicing sectors. Taking into consideration that with the PU foam sector plan alone (80</w:t>
      </w:r>
      <w:r w:rsidR="00373327" w:rsidRPr="00CE2C85">
        <w:t>.43</w:t>
      </w:r>
      <w:r w:rsidRPr="00CE2C85">
        <w:t xml:space="preserve"> ODP tonnes) Argentina could achieve compliance with the next HCFC consumption target (35 per cent reduction from the baseline in 2020), the Secretariat requested justification for the remaining activities included in stage II.</w:t>
      </w:r>
    </w:p>
    <w:p w:rsidR="00771356" w:rsidRPr="00CE2C85" w:rsidRDefault="00771356" w:rsidP="00771356">
      <w:pPr>
        <w:pStyle w:val="Heading1"/>
      </w:pPr>
      <w:r w:rsidRPr="00CE2C85">
        <w:t xml:space="preserve">UNIDO indicated that the Government’s strategy to prioritize the phase-out in both the PU and XPS foam sectors is in line with existing policies aimed at phasing out first those HCFCs with higher ODP and in the manufacturing sectors. By addressing all eligible enterprises in the PU foam sector, the Government will be able to establish a ban on the import and use of HCFC-141b pure or contained in </w:t>
      </w:r>
      <w:r w:rsidR="00071259" w:rsidRPr="00CE2C85">
        <w:t xml:space="preserve">imported </w:t>
      </w:r>
      <w:r w:rsidRPr="00CE2C85">
        <w:t xml:space="preserve">pre-blended polyols for the manufacture of PU foam by 1 January 2022, thus ensuring the phase-out of an additional </w:t>
      </w:r>
      <w:r w:rsidR="00A61617" w:rsidRPr="00CE2C85">
        <w:t>9.82</w:t>
      </w:r>
      <w:r w:rsidRPr="00CE2C85">
        <w:t xml:space="preserve"> ODP tonnes of non-eligible consumption in </w:t>
      </w:r>
      <w:r w:rsidR="00373327" w:rsidRPr="00CE2C85">
        <w:t>the sector</w:t>
      </w:r>
      <w:r w:rsidRPr="00CE2C85">
        <w:t xml:space="preserve">. The Government will also establish a ban on the import and use of HCFC-22 and HCFC-142b for the manufacture of XPS foam by 1 January 2022. </w:t>
      </w:r>
    </w:p>
    <w:p w:rsidR="0094510E" w:rsidRPr="002933AE" w:rsidRDefault="00771356" w:rsidP="00771356">
      <w:pPr>
        <w:pStyle w:val="Heading1"/>
        <w:rPr>
          <w:lang w:val="en-CA"/>
        </w:rPr>
      </w:pPr>
      <w:r w:rsidRPr="00700868">
        <w:t>In addition, the refrigeration servicing sector component is required to continue activities being implemented under stage I</w:t>
      </w:r>
      <w:r w:rsidR="00071259">
        <w:t xml:space="preserve">, and </w:t>
      </w:r>
      <w:r w:rsidRPr="00700868">
        <w:t>to achieve additional HCFC reductions. The economic situation and difficulties with imports in recent years slowed down the industry, market demand and consumption</w:t>
      </w:r>
      <w:r w:rsidR="00071259">
        <w:t xml:space="preserve"> of HCFCs</w:t>
      </w:r>
      <w:r w:rsidRPr="00700868">
        <w:t>; however, as the economy is normalizing, it is expected that consumption will resume its growth in the absence of the proposed activities</w:t>
      </w:r>
      <w:r w:rsidR="002933AE">
        <w:rPr>
          <w:lang w:val="en-CA"/>
        </w:rPr>
        <w:t>.</w:t>
      </w:r>
      <w:r w:rsidR="006278FD">
        <w:rPr>
          <w:lang w:val="en-CA"/>
        </w:rPr>
        <w:t xml:space="preserve"> Considering that 61 per cent of the HCFC consumption is in this sector, the impact of the activities implemented will have an impact in maintaining compliance with the Montreal Protocol. </w:t>
      </w:r>
    </w:p>
    <w:p w:rsidR="00131227" w:rsidRDefault="00131227" w:rsidP="00D90275">
      <w:pPr>
        <w:keepNext/>
        <w:rPr>
          <w:szCs w:val="32"/>
          <w:u w:val="single"/>
        </w:rPr>
      </w:pPr>
      <w:r w:rsidRPr="00131227">
        <w:rPr>
          <w:szCs w:val="32"/>
          <w:u w:val="single"/>
        </w:rPr>
        <w:lastRenderedPageBreak/>
        <w:t>Technical and cost issues related to the PU foam sector plan</w:t>
      </w:r>
    </w:p>
    <w:p w:rsidR="00131227" w:rsidRDefault="00131227" w:rsidP="00D90275">
      <w:pPr>
        <w:keepNext/>
        <w:rPr>
          <w:i/>
          <w:lang w:val="en-CA"/>
        </w:rPr>
      </w:pPr>
    </w:p>
    <w:p w:rsidR="00131227" w:rsidRDefault="00131227" w:rsidP="00D90275">
      <w:pPr>
        <w:pStyle w:val="Heading1"/>
        <w:keepNext/>
        <w:numPr>
          <w:ilvl w:val="0"/>
          <w:numId w:val="0"/>
        </w:numPr>
        <w:rPr>
          <w:i/>
          <w:lang w:val="en-CA"/>
        </w:rPr>
      </w:pPr>
      <w:r>
        <w:rPr>
          <w:i/>
          <w:lang w:val="en-CA"/>
        </w:rPr>
        <w:t>Enterprises included</w:t>
      </w:r>
    </w:p>
    <w:p w:rsidR="00C8328B" w:rsidRPr="00577666" w:rsidRDefault="00071259" w:rsidP="00C8328B">
      <w:pPr>
        <w:pStyle w:val="Heading1"/>
      </w:pPr>
      <w:r w:rsidRPr="00577666">
        <w:t>D</w:t>
      </w:r>
      <w:r w:rsidR="00771356" w:rsidRPr="00577666">
        <w:t xml:space="preserve">uring the project review process it was </w:t>
      </w:r>
      <w:r w:rsidR="00BB0E1F" w:rsidRPr="00577666">
        <w:t xml:space="preserve">found </w:t>
      </w:r>
      <w:r w:rsidR="00771356" w:rsidRPr="00577666">
        <w:t xml:space="preserve">that a total of </w:t>
      </w:r>
      <w:r w:rsidR="00BB0E1F" w:rsidRPr="00577666">
        <w:t>22</w:t>
      </w:r>
      <w:r w:rsidR="00771356" w:rsidRPr="00577666">
        <w:t xml:space="preserve"> enterprises</w:t>
      </w:r>
      <w:r w:rsidRPr="00577666">
        <w:t xml:space="preserve"> with an estimate</w:t>
      </w:r>
      <w:r w:rsidR="00CE2C85" w:rsidRPr="00577666">
        <w:t xml:space="preserve">d </w:t>
      </w:r>
      <w:r w:rsidRPr="00577666">
        <w:t xml:space="preserve">consumption of </w:t>
      </w:r>
      <w:r w:rsidR="001A5CA7" w:rsidRPr="00577666">
        <w:t>8</w:t>
      </w:r>
      <w:r w:rsidR="00CE2C85" w:rsidRPr="00577666">
        <w:t>4.76</w:t>
      </w:r>
      <w:r w:rsidR="001A5CA7" w:rsidRPr="00577666">
        <w:t xml:space="preserve"> mt </w:t>
      </w:r>
      <w:r w:rsidRPr="00577666">
        <w:t>(</w:t>
      </w:r>
      <w:r w:rsidR="001A5CA7" w:rsidRPr="00577666">
        <w:t>9.</w:t>
      </w:r>
      <w:r w:rsidR="00CE2C85" w:rsidRPr="00577666">
        <w:t>3</w:t>
      </w:r>
      <w:r w:rsidR="001A5CA7" w:rsidRPr="00577666">
        <w:t xml:space="preserve">2 ODP tonnes) </w:t>
      </w:r>
      <w:r w:rsidR="00771356" w:rsidRPr="00577666">
        <w:t xml:space="preserve">included </w:t>
      </w:r>
      <w:r w:rsidR="00C8328B" w:rsidRPr="00577666">
        <w:t xml:space="preserve">for funding </w:t>
      </w:r>
      <w:r w:rsidR="00771356" w:rsidRPr="00577666">
        <w:t xml:space="preserve">in the systems houses proposal </w:t>
      </w:r>
      <w:r w:rsidR="00BB0E1F" w:rsidRPr="00577666">
        <w:t xml:space="preserve">were ineligible </w:t>
      </w:r>
      <w:r w:rsidRPr="00577666">
        <w:t>either</w:t>
      </w:r>
      <w:r w:rsidR="00BB0E1F" w:rsidRPr="00577666">
        <w:t xml:space="preserve"> because of the cut-off date or because they </w:t>
      </w:r>
      <w:r w:rsidR="00771356" w:rsidRPr="00577666">
        <w:t>had already received funding in the past to conve</w:t>
      </w:r>
      <w:r w:rsidR="00BB0E1F" w:rsidRPr="00577666">
        <w:t>rt to a final technology (i.e., </w:t>
      </w:r>
      <w:r w:rsidR="00771356" w:rsidRPr="00577666">
        <w:t xml:space="preserve">cyclopentane, water, methylene chloride). </w:t>
      </w:r>
      <w:r w:rsidRPr="00577666">
        <w:t>On this basis, t</w:t>
      </w:r>
      <w:r w:rsidR="00771356" w:rsidRPr="00577666">
        <w:t>he tonnage and funding associated with these enterprises w</w:t>
      </w:r>
      <w:r w:rsidR="001A5CA7" w:rsidRPr="00577666">
        <w:t>ere</w:t>
      </w:r>
      <w:r w:rsidR="00771356" w:rsidRPr="00577666">
        <w:t xml:space="preserve"> removed </w:t>
      </w:r>
      <w:r w:rsidR="001A5CA7" w:rsidRPr="00577666">
        <w:t>from the systems house projects</w:t>
      </w:r>
      <w:r w:rsidR="00771356" w:rsidRPr="00577666">
        <w:t xml:space="preserve">. </w:t>
      </w:r>
      <w:r w:rsidR="0059342A" w:rsidRPr="00577666">
        <w:t xml:space="preserve"> </w:t>
      </w:r>
      <w:r w:rsidR="00C8328B" w:rsidRPr="00577666">
        <w:t xml:space="preserve">It was </w:t>
      </w:r>
      <w:r w:rsidR="0059342A" w:rsidRPr="00577666">
        <w:t xml:space="preserve">also </w:t>
      </w:r>
      <w:r w:rsidR="00C8328B" w:rsidRPr="00577666">
        <w:t xml:space="preserve">agreed to remove the </w:t>
      </w:r>
      <w:r w:rsidR="000D71D7" w:rsidRPr="00577666">
        <w:t xml:space="preserve">requested </w:t>
      </w:r>
      <w:r w:rsidR="0059342A" w:rsidRPr="00577666">
        <w:t>assistance to ad</w:t>
      </w:r>
      <w:r w:rsidR="00C8328B" w:rsidRPr="00577666">
        <w:t xml:space="preserve">dress 29.64 mt (3.26 ODP tonnes) </w:t>
      </w:r>
      <w:r w:rsidR="005E2392" w:rsidRPr="00577666">
        <w:t xml:space="preserve">associated </w:t>
      </w:r>
      <w:r w:rsidR="00577666" w:rsidRPr="00577666">
        <w:t>with</w:t>
      </w:r>
      <w:r w:rsidR="005E2392" w:rsidRPr="00577666">
        <w:t xml:space="preserve"> </w:t>
      </w:r>
      <w:r w:rsidR="00685004" w:rsidRPr="00577666">
        <w:t xml:space="preserve">ineligible and very </w:t>
      </w:r>
      <w:r w:rsidR="0059342A" w:rsidRPr="00577666">
        <w:t>small enterprises</w:t>
      </w:r>
      <w:r w:rsidR="00685004" w:rsidRPr="00577666">
        <w:t xml:space="preserve"> not identified in the survey</w:t>
      </w:r>
      <w:r w:rsidR="00C8328B" w:rsidRPr="00577666">
        <w:t>.</w:t>
      </w:r>
    </w:p>
    <w:p w:rsidR="00771356" w:rsidRDefault="00771356" w:rsidP="00771356">
      <w:pPr>
        <w:pStyle w:val="Heading1"/>
      </w:pPr>
      <w:r w:rsidRPr="00A06755">
        <w:t xml:space="preserve">Given the difficulty of collecting data from very small enterprises at the preparatory stage, it was agreed, as for other </w:t>
      </w:r>
      <w:r w:rsidR="00071259">
        <w:t xml:space="preserve">similar </w:t>
      </w:r>
      <w:r w:rsidRPr="00A06755">
        <w:t>projects assisting SMEs</w:t>
      </w:r>
      <w:r w:rsidR="00071259">
        <w:t xml:space="preserve"> through system houses</w:t>
      </w:r>
      <w:r w:rsidRPr="00A06755">
        <w:t>, that the World Bank would report at each tranche on the eligibility of enterprises receiving assistance, as they are incorporated into the implementation of the HPMP. The World Bank agreed to continue updating the list of enterprises, and ensuring that funding would only be provided to eligible enterprises and lines</w:t>
      </w:r>
      <w:r w:rsidRPr="00A06755">
        <w:rPr>
          <w:rStyle w:val="FootnoteReference"/>
        </w:rPr>
        <w:footnoteReference w:id="11"/>
      </w:r>
      <w:r w:rsidRPr="00A06755">
        <w:t>. Funding associated with enterprises found to be non-eligible for funding would be returned to the Fund.</w:t>
      </w:r>
    </w:p>
    <w:p w:rsidR="00F77C11" w:rsidRDefault="00F77C11" w:rsidP="00F77C11">
      <w:pPr>
        <w:pStyle w:val="Heading1"/>
        <w:widowControl w:val="0"/>
        <w:numPr>
          <w:ilvl w:val="0"/>
          <w:numId w:val="0"/>
        </w:numPr>
        <w:rPr>
          <w:i/>
        </w:rPr>
      </w:pPr>
      <w:r>
        <w:rPr>
          <w:i/>
        </w:rPr>
        <w:t xml:space="preserve">HCFC-141b consumption addressed by the PU foam sector plan </w:t>
      </w:r>
    </w:p>
    <w:p w:rsidR="00F77C11" w:rsidRDefault="00F77C11" w:rsidP="00F77C11">
      <w:pPr>
        <w:pStyle w:val="Heading1"/>
      </w:pPr>
      <w:r>
        <w:t>The</w:t>
      </w:r>
      <w:r w:rsidR="00B60430">
        <w:t xml:space="preserve"> level of </w:t>
      </w:r>
      <w:r>
        <w:t>HCFC</w:t>
      </w:r>
      <w:r w:rsidR="00B60430">
        <w:t>-141b</w:t>
      </w:r>
      <w:r>
        <w:t xml:space="preserve"> consumption identified in the PU foam sector (731.17 mt or 80.43</w:t>
      </w:r>
      <w:r w:rsidR="00C12CEE">
        <w:t> </w:t>
      </w:r>
      <w:r>
        <w:t>OD</w:t>
      </w:r>
      <w:r w:rsidR="00C12CEE">
        <w:t>P </w:t>
      </w:r>
      <w:r>
        <w:t xml:space="preserve">tonnes) is larger than the remaining eligible consumption of HCFC-141b as per the </w:t>
      </w:r>
      <w:r w:rsidR="00A61617">
        <w:t xml:space="preserve">stage I </w:t>
      </w:r>
      <w:r>
        <w:t>Agreement between the Government and the Executive Committee (641.91 mt or 70.61</w:t>
      </w:r>
      <w:r w:rsidR="00A61617">
        <w:t> </w:t>
      </w:r>
      <w:r>
        <w:t>ODP</w:t>
      </w:r>
      <w:r w:rsidR="00A61617">
        <w:t> </w:t>
      </w:r>
      <w:r>
        <w:t>tonnes).</w:t>
      </w:r>
      <w:r w:rsidR="00B60430">
        <w:t xml:space="preserve"> </w:t>
      </w:r>
      <w:r>
        <w:t xml:space="preserve">However, as the </w:t>
      </w:r>
      <w:r w:rsidR="00A61617">
        <w:t xml:space="preserve">aggregate </w:t>
      </w:r>
      <w:r>
        <w:t>consumption by</w:t>
      </w:r>
      <w:r w:rsidR="00A61617">
        <w:t xml:space="preserve"> all</w:t>
      </w:r>
      <w:r>
        <w:t xml:space="preserve"> eligible enterprises identified in the projects is lower than the remaining eligible consumption, all </w:t>
      </w:r>
      <w:r w:rsidR="00B60430">
        <w:t>of them</w:t>
      </w:r>
      <w:r>
        <w:t xml:space="preserve"> can receive assistance. The remaining HCFC-141b consumption by ineligible enterprises will be deducted from the remaining eligible consumption</w:t>
      </w:r>
      <w:r w:rsidR="00B60430">
        <w:t>. Table</w:t>
      </w:r>
      <w:r w:rsidR="00AB62C6">
        <w:t xml:space="preserve"> 8 </w:t>
      </w:r>
      <w:r w:rsidR="00B60430">
        <w:t>shows the eligible and ineligible consumption in the sector as submitted and after project review</w:t>
      </w:r>
      <w:r>
        <w:t>.</w:t>
      </w:r>
    </w:p>
    <w:p w:rsidR="00F77C11" w:rsidRPr="00B60430" w:rsidRDefault="00F77C11" w:rsidP="00F77C11">
      <w:pPr>
        <w:rPr>
          <w:b/>
        </w:rPr>
      </w:pPr>
      <w:r w:rsidRPr="00B60430">
        <w:rPr>
          <w:b/>
        </w:rPr>
        <w:t xml:space="preserve">Table </w:t>
      </w:r>
      <w:r w:rsidR="00AB62C6">
        <w:rPr>
          <w:b/>
        </w:rPr>
        <w:t>8</w:t>
      </w:r>
      <w:r w:rsidRPr="00B60430">
        <w:rPr>
          <w:b/>
        </w:rPr>
        <w:t xml:space="preserve">. </w:t>
      </w:r>
      <w:r w:rsidR="00B60430" w:rsidRPr="00B60430">
        <w:rPr>
          <w:b/>
        </w:rPr>
        <w:t>HCFC-141b consumption addressed by the PU foam sector plan</w:t>
      </w:r>
    </w:p>
    <w:tbl>
      <w:tblPr>
        <w:tblW w:w="5000" w:type="pct"/>
        <w:tblLook w:val="04A0" w:firstRow="1" w:lastRow="0" w:firstColumn="1" w:lastColumn="0" w:noHBand="0" w:noVBand="1"/>
      </w:tblPr>
      <w:tblGrid>
        <w:gridCol w:w="4460"/>
        <w:gridCol w:w="1194"/>
        <w:gridCol w:w="1245"/>
        <w:gridCol w:w="1433"/>
        <w:gridCol w:w="1244"/>
      </w:tblGrid>
      <w:tr w:rsidR="00F77C11" w:rsidRPr="00F77C11" w:rsidTr="00B60430">
        <w:trPr>
          <w:trHeight w:val="89"/>
        </w:trPr>
        <w:tc>
          <w:tcPr>
            <w:tcW w:w="2329" w:type="pct"/>
            <w:vMerge w:val="restart"/>
            <w:tcBorders>
              <w:top w:val="single" w:sz="4" w:space="0" w:color="auto"/>
              <w:left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Activity</w:t>
            </w:r>
          </w:p>
        </w:tc>
        <w:tc>
          <w:tcPr>
            <w:tcW w:w="1274" w:type="pct"/>
            <w:gridSpan w:val="2"/>
            <w:tcBorders>
              <w:top w:val="single" w:sz="4" w:space="0" w:color="auto"/>
              <w:left w:val="nil"/>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As submitted</w:t>
            </w:r>
          </w:p>
        </w:tc>
        <w:tc>
          <w:tcPr>
            <w:tcW w:w="1397" w:type="pct"/>
            <w:gridSpan w:val="2"/>
            <w:tcBorders>
              <w:top w:val="single" w:sz="4" w:space="0" w:color="auto"/>
              <w:left w:val="nil"/>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After review</w:t>
            </w:r>
          </w:p>
        </w:tc>
      </w:tr>
      <w:tr w:rsidR="00F77C11" w:rsidRPr="00F77C11" w:rsidTr="00B60430">
        <w:trPr>
          <w:trHeight w:val="116"/>
        </w:trPr>
        <w:tc>
          <w:tcPr>
            <w:tcW w:w="2329" w:type="pct"/>
            <w:vMerge/>
            <w:tcBorders>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59342A" w:rsidP="00F77C11">
            <w:pPr>
              <w:jc w:val="center"/>
              <w:rPr>
                <w:b/>
                <w:color w:val="000000"/>
                <w:sz w:val="20"/>
                <w:szCs w:val="20"/>
                <w:lang w:val="en-US"/>
              </w:rPr>
            </w:pPr>
            <w:r w:rsidRPr="00F77C11">
              <w:rPr>
                <w:b/>
                <w:color w:val="000000"/>
                <w:sz w:val="20"/>
                <w:szCs w:val="20"/>
                <w:lang w:val="en-US"/>
              </w:rPr>
              <w:t>M</w:t>
            </w:r>
            <w:r w:rsidR="00F77C11" w:rsidRPr="00F77C11">
              <w:rPr>
                <w:b/>
                <w:color w:val="000000"/>
                <w:sz w:val="20"/>
                <w:szCs w:val="20"/>
                <w:lang w:val="en-US"/>
              </w:rPr>
              <w:t>t</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ODP</w:t>
            </w:r>
            <w:r>
              <w:rPr>
                <w:b/>
                <w:color w:val="000000"/>
                <w:sz w:val="20"/>
                <w:szCs w:val="20"/>
                <w:lang w:val="en-US"/>
              </w:rPr>
              <w:t xml:space="preserve"> tonnes</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mt</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center"/>
              <w:rPr>
                <w:b/>
                <w:color w:val="000000"/>
                <w:sz w:val="20"/>
                <w:szCs w:val="20"/>
                <w:lang w:val="en-US"/>
              </w:rPr>
            </w:pPr>
            <w:r w:rsidRPr="00F77C11">
              <w:rPr>
                <w:b/>
                <w:color w:val="000000"/>
                <w:sz w:val="20"/>
                <w:szCs w:val="20"/>
                <w:lang w:val="en-US"/>
              </w:rPr>
              <w:t>ODP</w:t>
            </w:r>
            <w:r>
              <w:rPr>
                <w:b/>
                <w:color w:val="000000"/>
                <w:sz w:val="20"/>
                <w:szCs w:val="20"/>
                <w:lang w:val="en-US"/>
              </w:rPr>
              <w:t xml:space="preserve"> tonnes</w:t>
            </w:r>
          </w:p>
        </w:tc>
      </w:tr>
      <w:tr w:rsidR="00F77C11" w:rsidRPr="00F77C11" w:rsidTr="00B60430">
        <w:trPr>
          <w:trHeight w:val="50"/>
        </w:trPr>
        <w:tc>
          <w:tcPr>
            <w:tcW w:w="5000" w:type="pct"/>
            <w:gridSpan w:val="5"/>
            <w:tcBorders>
              <w:top w:val="nil"/>
              <w:left w:val="single" w:sz="4" w:space="0" w:color="auto"/>
              <w:bottom w:val="single" w:sz="4" w:space="0" w:color="auto"/>
              <w:right w:val="single" w:sz="4" w:space="0" w:color="auto"/>
            </w:tcBorders>
            <w:shd w:val="clear" w:color="auto" w:fill="auto"/>
            <w:noWrap/>
          </w:tcPr>
          <w:p w:rsidR="00F77C11" w:rsidRPr="00F77C11" w:rsidRDefault="00F77C11" w:rsidP="00F77C11">
            <w:pPr>
              <w:jc w:val="left"/>
              <w:rPr>
                <w:b/>
                <w:color w:val="000000"/>
                <w:sz w:val="20"/>
                <w:szCs w:val="20"/>
                <w:lang w:val="en-US"/>
              </w:rPr>
            </w:pPr>
            <w:r w:rsidRPr="00F77C11">
              <w:rPr>
                <w:b/>
                <w:color w:val="000000"/>
                <w:sz w:val="20"/>
                <w:szCs w:val="20"/>
                <w:lang w:val="en-US"/>
              </w:rPr>
              <w:t xml:space="preserve">Eligible consumption </w:t>
            </w:r>
          </w:p>
        </w:tc>
      </w:tr>
      <w:tr w:rsidR="00F77C11" w:rsidRPr="00F77C11" w:rsidTr="00B60430">
        <w:trPr>
          <w:trHeight w:val="50"/>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color w:val="000000"/>
                <w:sz w:val="20"/>
                <w:szCs w:val="20"/>
                <w:lang w:val="en-US"/>
              </w:rPr>
            </w:pPr>
            <w:r w:rsidRPr="00F77C11">
              <w:rPr>
                <w:color w:val="000000"/>
                <w:sz w:val="20"/>
                <w:szCs w:val="20"/>
                <w:lang w:val="en-US"/>
              </w:rPr>
              <w:t xml:space="preserve">Individual projects </w:t>
            </w: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67.24</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7.40</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C12CEE" w:rsidP="00F77C11">
            <w:pPr>
              <w:jc w:val="right"/>
              <w:rPr>
                <w:color w:val="000000"/>
                <w:sz w:val="20"/>
                <w:szCs w:val="20"/>
              </w:rPr>
            </w:pPr>
            <w:r>
              <w:rPr>
                <w:color w:val="000000"/>
                <w:sz w:val="20"/>
                <w:szCs w:val="20"/>
              </w:rPr>
              <w:t>*</w:t>
            </w:r>
            <w:r w:rsidR="00F77C11" w:rsidRPr="00F77C11">
              <w:rPr>
                <w:color w:val="000000"/>
                <w:sz w:val="20"/>
                <w:szCs w:val="20"/>
              </w:rPr>
              <w:t>60.53</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rPr>
            </w:pPr>
            <w:r w:rsidRPr="00F77C11">
              <w:rPr>
                <w:color w:val="000000"/>
                <w:sz w:val="20"/>
                <w:szCs w:val="20"/>
              </w:rPr>
              <w:t>6.66</w:t>
            </w:r>
          </w:p>
        </w:tc>
      </w:tr>
      <w:tr w:rsidR="00F77C11" w:rsidRPr="00F77C11" w:rsidTr="00B60430">
        <w:trPr>
          <w:trHeight w:val="50"/>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color w:val="000000"/>
                <w:sz w:val="20"/>
                <w:szCs w:val="20"/>
                <w:lang w:val="en-US"/>
              </w:rPr>
            </w:pPr>
            <w:r w:rsidRPr="00F77C11">
              <w:rPr>
                <w:color w:val="000000"/>
                <w:sz w:val="20"/>
                <w:szCs w:val="20"/>
                <w:lang w:val="en-US"/>
              </w:rPr>
              <w:t>Umbrella project</w:t>
            </w: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545.06</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59.96</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C12CEE" w:rsidP="00F77C11">
            <w:pPr>
              <w:jc w:val="right"/>
              <w:rPr>
                <w:color w:val="000000"/>
                <w:sz w:val="20"/>
                <w:szCs w:val="20"/>
              </w:rPr>
            </w:pPr>
            <w:r>
              <w:rPr>
                <w:color w:val="000000"/>
                <w:sz w:val="20"/>
                <w:szCs w:val="20"/>
              </w:rPr>
              <w:t>**</w:t>
            </w:r>
            <w:r w:rsidR="00F77C11" w:rsidRPr="00F77C11">
              <w:rPr>
                <w:color w:val="000000"/>
                <w:sz w:val="20"/>
                <w:szCs w:val="20"/>
              </w:rPr>
              <w:t>467.02</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rPr>
            </w:pPr>
            <w:r w:rsidRPr="00F77C11">
              <w:rPr>
                <w:color w:val="000000"/>
                <w:sz w:val="20"/>
                <w:szCs w:val="20"/>
              </w:rPr>
              <w:t>51.37</w:t>
            </w:r>
          </w:p>
        </w:tc>
      </w:tr>
      <w:tr w:rsidR="00F77C11" w:rsidRPr="00F77C11" w:rsidTr="00B60430">
        <w:trPr>
          <w:trHeight w:val="242"/>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b/>
                <w:color w:val="000000"/>
                <w:sz w:val="20"/>
                <w:szCs w:val="20"/>
                <w:lang w:val="en-US"/>
              </w:rPr>
            </w:pPr>
            <w:r w:rsidRPr="00F77C11">
              <w:rPr>
                <w:b/>
                <w:color w:val="000000"/>
                <w:sz w:val="20"/>
                <w:szCs w:val="20"/>
                <w:lang w:val="en-US"/>
              </w:rPr>
              <w:t xml:space="preserve">Total eligible consumption </w:t>
            </w: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lang w:val="en-US"/>
              </w:rPr>
            </w:pPr>
            <w:r w:rsidRPr="00F77C11">
              <w:rPr>
                <w:b/>
                <w:color w:val="000000"/>
                <w:sz w:val="20"/>
                <w:szCs w:val="20"/>
                <w:lang w:val="en-US"/>
              </w:rPr>
              <w:t>612.30</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577666">
            <w:pPr>
              <w:jc w:val="right"/>
              <w:rPr>
                <w:b/>
                <w:color w:val="000000"/>
                <w:sz w:val="20"/>
                <w:szCs w:val="20"/>
                <w:lang w:val="en-US"/>
              </w:rPr>
            </w:pPr>
            <w:r w:rsidRPr="00F77C11">
              <w:rPr>
                <w:b/>
                <w:color w:val="000000"/>
                <w:sz w:val="20"/>
                <w:szCs w:val="20"/>
                <w:lang w:val="en-US"/>
              </w:rPr>
              <w:t>67.</w:t>
            </w:r>
            <w:r w:rsidRPr="00CD544B">
              <w:rPr>
                <w:b/>
                <w:color w:val="000000"/>
                <w:sz w:val="20"/>
                <w:szCs w:val="20"/>
                <w:lang w:val="en-US"/>
              </w:rPr>
              <w:t>3</w:t>
            </w:r>
            <w:r w:rsidR="00577666">
              <w:rPr>
                <w:b/>
                <w:color w:val="000000"/>
                <w:sz w:val="20"/>
                <w:szCs w:val="20"/>
                <w:lang w:val="en-US"/>
              </w:rPr>
              <w:t>5</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rPr>
            </w:pPr>
            <w:r w:rsidRPr="00F77C11">
              <w:rPr>
                <w:b/>
                <w:color w:val="000000"/>
                <w:sz w:val="20"/>
                <w:szCs w:val="20"/>
              </w:rPr>
              <w:t>527.54</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rPr>
            </w:pPr>
            <w:r w:rsidRPr="00F77C11">
              <w:rPr>
                <w:b/>
                <w:color w:val="000000"/>
                <w:sz w:val="20"/>
                <w:szCs w:val="20"/>
              </w:rPr>
              <w:t>58.03</w:t>
            </w:r>
          </w:p>
        </w:tc>
      </w:tr>
      <w:tr w:rsidR="00F77C11" w:rsidRPr="00F77C11" w:rsidTr="00B60430">
        <w:trPr>
          <w:trHeight w:val="260"/>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color w:val="000000"/>
                <w:sz w:val="20"/>
                <w:szCs w:val="20"/>
                <w:lang w:val="en-US"/>
              </w:rPr>
            </w:pPr>
            <w:r w:rsidRPr="00F77C11">
              <w:rPr>
                <w:color w:val="000000"/>
                <w:sz w:val="20"/>
                <w:szCs w:val="20"/>
                <w:lang w:val="en-US"/>
              </w:rPr>
              <w:t>Ineligible within starting point</w:t>
            </w:r>
            <w:r>
              <w:rPr>
                <w:color w:val="000000"/>
                <w:sz w:val="20"/>
                <w:szCs w:val="20"/>
                <w:lang w:val="en-US"/>
              </w:rPr>
              <w:t xml:space="preserve"> (can be deducted)</w:t>
            </w: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29.64</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lang w:val="en-US"/>
              </w:rPr>
            </w:pPr>
            <w:r w:rsidRPr="00F77C11">
              <w:rPr>
                <w:color w:val="000000"/>
                <w:sz w:val="20"/>
                <w:szCs w:val="20"/>
                <w:lang w:val="en-US"/>
              </w:rPr>
              <w:t>3.26</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rPr>
            </w:pPr>
            <w:r w:rsidRPr="00F77C11">
              <w:rPr>
                <w:color w:val="000000"/>
                <w:sz w:val="20"/>
                <w:szCs w:val="20"/>
              </w:rPr>
              <w:t>114.39</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color w:val="000000"/>
                <w:sz w:val="20"/>
                <w:szCs w:val="20"/>
              </w:rPr>
            </w:pPr>
            <w:r w:rsidRPr="00F77C11">
              <w:rPr>
                <w:color w:val="000000"/>
                <w:sz w:val="20"/>
                <w:szCs w:val="20"/>
              </w:rPr>
              <w:t>12.58</w:t>
            </w:r>
          </w:p>
        </w:tc>
      </w:tr>
      <w:tr w:rsidR="00F77C11" w:rsidRPr="00F77C11" w:rsidTr="00B60430">
        <w:trPr>
          <w:trHeight w:val="50"/>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color w:val="000000"/>
                <w:sz w:val="20"/>
                <w:szCs w:val="20"/>
                <w:lang w:val="en-US"/>
              </w:rPr>
            </w:pPr>
            <w:r w:rsidRPr="00F77C11">
              <w:rPr>
                <w:color w:val="000000"/>
                <w:sz w:val="20"/>
                <w:szCs w:val="20"/>
                <w:lang w:val="en-US"/>
              </w:rPr>
              <w:t>Ineligible beyond starting point</w:t>
            </w:r>
            <w:r>
              <w:rPr>
                <w:color w:val="000000"/>
                <w:sz w:val="20"/>
                <w:szCs w:val="20"/>
                <w:lang w:val="en-US"/>
              </w:rPr>
              <w:t xml:space="preserve"> (cannot be deducted)</w:t>
            </w:r>
          </w:p>
        </w:tc>
        <w:tc>
          <w:tcPr>
            <w:tcW w:w="624" w:type="pct"/>
            <w:tcBorders>
              <w:top w:val="nil"/>
              <w:left w:val="nil"/>
              <w:bottom w:val="single" w:sz="4" w:space="0" w:color="auto"/>
              <w:right w:val="single" w:sz="4" w:space="0" w:color="auto"/>
            </w:tcBorders>
            <w:shd w:val="clear" w:color="auto" w:fill="auto"/>
            <w:noWrap/>
            <w:hideMark/>
          </w:tcPr>
          <w:p w:rsidR="00F77C11" w:rsidRPr="00CD544B" w:rsidRDefault="00F77C11" w:rsidP="00F77C11">
            <w:pPr>
              <w:jc w:val="right"/>
              <w:rPr>
                <w:color w:val="000000"/>
                <w:sz w:val="20"/>
                <w:szCs w:val="20"/>
                <w:lang w:val="en-US"/>
              </w:rPr>
            </w:pPr>
            <w:r w:rsidRPr="00CD544B">
              <w:rPr>
                <w:color w:val="000000"/>
                <w:sz w:val="20"/>
                <w:szCs w:val="20"/>
                <w:lang w:val="en-US"/>
              </w:rPr>
              <w:t>89.23</w:t>
            </w:r>
          </w:p>
        </w:tc>
        <w:tc>
          <w:tcPr>
            <w:tcW w:w="650" w:type="pct"/>
            <w:tcBorders>
              <w:top w:val="nil"/>
              <w:left w:val="nil"/>
              <w:bottom w:val="single" w:sz="4" w:space="0" w:color="auto"/>
              <w:right w:val="single" w:sz="4" w:space="0" w:color="auto"/>
            </w:tcBorders>
            <w:shd w:val="clear" w:color="auto" w:fill="auto"/>
            <w:noWrap/>
            <w:hideMark/>
          </w:tcPr>
          <w:p w:rsidR="00F77C11" w:rsidRPr="00CD544B" w:rsidRDefault="00F77C11" w:rsidP="00F77C11">
            <w:pPr>
              <w:jc w:val="right"/>
              <w:rPr>
                <w:color w:val="000000"/>
                <w:sz w:val="20"/>
                <w:szCs w:val="20"/>
                <w:lang w:val="en-US"/>
              </w:rPr>
            </w:pPr>
            <w:r w:rsidRPr="00CD544B">
              <w:rPr>
                <w:color w:val="000000"/>
                <w:sz w:val="20"/>
                <w:szCs w:val="20"/>
                <w:lang w:val="en-US"/>
              </w:rPr>
              <w:t>9.82</w:t>
            </w:r>
          </w:p>
        </w:tc>
        <w:tc>
          <w:tcPr>
            <w:tcW w:w="748" w:type="pct"/>
            <w:tcBorders>
              <w:top w:val="nil"/>
              <w:left w:val="nil"/>
              <w:bottom w:val="single" w:sz="4" w:space="0" w:color="auto"/>
              <w:right w:val="single" w:sz="4" w:space="0" w:color="auto"/>
            </w:tcBorders>
            <w:shd w:val="clear" w:color="auto" w:fill="auto"/>
            <w:noWrap/>
            <w:hideMark/>
          </w:tcPr>
          <w:p w:rsidR="00F77C11" w:rsidRPr="00CD544B" w:rsidRDefault="00F77C11" w:rsidP="00F77C11">
            <w:pPr>
              <w:jc w:val="right"/>
              <w:rPr>
                <w:color w:val="000000"/>
                <w:sz w:val="20"/>
                <w:szCs w:val="20"/>
              </w:rPr>
            </w:pPr>
            <w:r w:rsidRPr="00CD544B">
              <w:rPr>
                <w:color w:val="000000"/>
                <w:sz w:val="20"/>
                <w:szCs w:val="20"/>
              </w:rPr>
              <w:t>89.23</w:t>
            </w:r>
          </w:p>
        </w:tc>
        <w:tc>
          <w:tcPr>
            <w:tcW w:w="650" w:type="pct"/>
            <w:tcBorders>
              <w:top w:val="nil"/>
              <w:left w:val="nil"/>
              <w:bottom w:val="single" w:sz="4" w:space="0" w:color="auto"/>
              <w:right w:val="single" w:sz="4" w:space="0" w:color="auto"/>
            </w:tcBorders>
            <w:shd w:val="clear" w:color="auto" w:fill="auto"/>
            <w:noWrap/>
            <w:hideMark/>
          </w:tcPr>
          <w:p w:rsidR="00F77C11" w:rsidRPr="00CD544B" w:rsidRDefault="00F77C11" w:rsidP="00F77C11">
            <w:pPr>
              <w:jc w:val="right"/>
              <w:rPr>
                <w:color w:val="000000"/>
                <w:sz w:val="20"/>
                <w:szCs w:val="20"/>
              </w:rPr>
            </w:pPr>
            <w:r w:rsidRPr="00CD544B">
              <w:rPr>
                <w:color w:val="000000"/>
                <w:sz w:val="20"/>
                <w:szCs w:val="20"/>
              </w:rPr>
              <w:t>9.82</w:t>
            </w:r>
          </w:p>
        </w:tc>
      </w:tr>
      <w:tr w:rsidR="00F77C11" w:rsidRPr="00F77C11" w:rsidTr="00B60430">
        <w:trPr>
          <w:trHeight w:val="107"/>
        </w:trPr>
        <w:tc>
          <w:tcPr>
            <w:tcW w:w="2329" w:type="pct"/>
            <w:tcBorders>
              <w:top w:val="nil"/>
              <w:left w:val="single" w:sz="4" w:space="0" w:color="auto"/>
              <w:bottom w:val="single" w:sz="4" w:space="0" w:color="auto"/>
              <w:right w:val="single" w:sz="4" w:space="0" w:color="auto"/>
            </w:tcBorders>
            <w:shd w:val="clear" w:color="auto" w:fill="auto"/>
            <w:noWrap/>
            <w:hideMark/>
          </w:tcPr>
          <w:p w:rsidR="00F77C11" w:rsidRPr="00F77C11" w:rsidRDefault="00F77C11" w:rsidP="00F77C11">
            <w:pPr>
              <w:jc w:val="left"/>
              <w:rPr>
                <w:b/>
                <w:color w:val="000000"/>
                <w:sz w:val="20"/>
                <w:szCs w:val="20"/>
                <w:lang w:val="en-US"/>
              </w:rPr>
            </w:pPr>
            <w:r>
              <w:rPr>
                <w:b/>
                <w:color w:val="000000"/>
                <w:sz w:val="20"/>
                <w:szCs w:val="20"/>
                <w:lang w:val="en-US"/>
              </w:rPr>
              <w:t xml:space="preserve">Total HCFC-141b consumption in PU </w:t>
            </w:r>
            <w:r w:rsidRPr="00F77C11">
              <w:rPr>
                <w:b/>
                <w:color w:val="000000"/>
                <w:sz w:val="20"/>
                <w:szCs w:val="20"/>
                <w:lang w:val="en-US"/>
              </w:rPr>
              <w:t>foam</w:t>
            </w:r>
          </w:p>
        </w:tc>
        <w:tc>
          <w:tcPr>
            <w:tcW w:w="624"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lang w:val="en-US"/>
              </w:rPr>
            </w:pPr>
            <w:r w:rsidRPr="00F77C11">
              <w:rPr>
                <w:b/>
                <w:color w:val="000000"/>
                <w:sz w:val="20"/>
                <w:szCs w:val="20"/>
                <w:lang w:val="en-US"/>
              </w:rPr>
              <w:t>731.17</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lang w:val="en-US"/>
              </w:rPr>
            </w:pPr>
            <w:r w:rsidRPr="00F77C11">
              <w:rPr>
                <w:b/>
                <w:color w:val="000000"/>
                <w:sz w:val="20"/>
                <w:szCs w:val="20"/>
                <w:lang w:val="en-US"/>
              </w:rPr>
              <w:t>80.43</w:t>
            </w:r>
          </w:p>
        </w:tc>
        <w:tc>
          <w:tcPr>
            <w:tcW w:w="748"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rPr>
            </w:pPr>
            <w:r w:rsidRPr="00F77C11">
              <w:rPr>
                <w:b/>
                <w:color w:val="000000"/>
                <w:sz w:val="20"/>
                <w:szCs w:val="20"/>
              </w:rPr>
              <w:t>731.17</w:t>
            </w:r>
          </w:p>
        </w:tc>
        <w:tc>
          <w:tcPr>
            <w:tcW w:w="650" w:type="pct"/>
            <w:tcBorders>
              <w:top w:val="nil"/>
              <w:left w:val="nil"/>
              <w:bottom w:val="single" w:sz="4" w:space="0" w:color="auto"/>
              <w:right w:val="single" w:sz="4" w:space="0" w:color="auto"/>
            </w:tcBorders>
            <w:shd w:val="clear" w:color="auto" w:fill="auto"/>
            <w:noWrap/>
            <w:hideMark/>
          </w:tcPr>
          <w:p w:rsidR="00F77C11" w:rsidRPr="00F77C11" w:rsidRDefault="00F77C11" w:rsidP="00F77C11">
            <w:pPr>
              <w:jc w:val="right"/>
              <w:rPr>
                <w:b/>
                <w:color w:val="000000"/>
                <w:sz w:val="20"/>
                <w:szCs w:val="20"/>
              </w:rPr>
            </w:pPr>
            <w:r w:rsidRPr="00F77C11">
              <w:rPr>
                <w:b/>
                <w:color w:val="000000"/>
                <w:sz w:val="20"/>
                <w:szCs w:val="20"/>
              </w:rPr>
              <w:t>80.43</w:t>
            </w:r>
          </w:p>
        </w:tc>
      </w:tr>
    </w:tbl>
    <w:p w:rsidR="00C12CEE" w:rsidRPr="00C12CEE" w:rsidRDefault="00C12CEE" w:rsidP="00C12CEE">
      <w:pPr>
        <w:pStyle w:val="Heading1"/>
        <w:numPr>
          <w:ilvl w:val="0"/>
          <w:numId w:val="0"/>
        </w:numPr>
        <w:spacing w:after="0"/>
        <w:rPr>
          <w:sz w:val="18"/>
          <w:szCs w:val="18"/>
        </w:rPr>
      </w:pPr>
      <w:r w:rsidRPr="00C12CEE">
        <w:rPr>
          <w:sz w:val="18"/>
          <w:szCs w:val="18"/>
        </w:rPr>
        <w:t xml:space="preserve">* One individual project (Argenpur spray) was moved to the systems houses projects </w:t>
      </w:r>
    </w:p>
    <w:p w:rsidR="00C12CEE" w:rsidRPr="00A97BF8" w:rsidRDefault="00C12CEE" w:rsidP="00327A9E">
      <w:pPr>
        <w:pStyle w:val="Heading1"/>
        <w:numPr>
          <w:ilvl w:val="0"/>
          <w:numId w:val="0"/>
        </w:numPr>
        <w:spacing w:after="0"/>
        <w:rPr>
          <w:sz w:val="18"/>
          <w:szCs w:val="18"/>
        </w:rPr>
      </w:pPr>
      <w:r w:rsidRPr="00C12CEE">
        <w:rPr>
          <w:sz w:val="18"/>
          <w:szCs w:val="18"/>
        </w:rPr>
        <w:t xml:space="preserve">**Includes the removal of 22 ineligible enterprises and the addition of one individual project (Argenpur spray) in the systems </w:t>
      </w:r>
      <w:r w:rsidRPr="00A97BF8">
        <w:rPr>
          <w:sz w:val="18"/>
          <w:szCs w:val="18"/>
        </w:rPr>
        <w:t>houses projects</w:t>
      </w:r>
    </w:p>
    <w:p w:rsidR="00327A9E" w:rsidRDefault="00327A9E" w:rsidP="00327A9E"/>
    <w:p w:rsidR="009F04B9" w:rsidRPr="00A97BF8" w:rsidRDefault="009F04B9" w:rsidP="009F04B9">
      <w:pPr>
        <w:pStyle w:val="Heading1"/>
        <w:numPr>
          <w:ilvl w:val="0"/>
          <w:numId w:val="0"/>
        </w:numPr>
        <w:rPr>
          <w:i/>
          <w:lang w:val="en-CA"/>
        </w:rPr>
      </w:pPr>
      <w:r w:rsidRPr="00A97BF8">
        <w:rPr>
          <w:i/>
          <w:lang w:val="en-CA"/>
        </w:rPr>
        <w:t>Second-stage conversions</w:t>
      </w:r>
    </w:p>
    <w:p w:rsidR="00940B1D" w:rsidRPr="00A97BF8" w:rsidRDefault="000C7E98" w:rsidP="009F04B9">
      <w:pPr>
        <w:pStyle w:val="Heading1"/>
        <w:widowControl w:val="0"/>
        <w:rPr>
          <w:lang w:val="en-CA"/>
        </w:rPr>
      </w:pPr>
      <w:r w:rsidRPr="00A97BF8">
        <w:rPr>
          <w:lang w:val="en-CA"/>
        </w:rPr>
        <w:t>The Secretariat</w:t>
      </w:r>
      <w:r w:rsidR="00BA742D" w:rsidRPr="00A97BF8">
        <w:rPr>
          <w:lang w:val="en-CA"/>
        </w:rPr>
        <w:t xml:space="preserve"> </w:t>
      </w:r>
      <w:r w:rsidRPr="00A97BF8">
        <w:rPr>
          <w:lang w:val="en-CA"/>
        </w:rPr>
        <w:t xml:space="preserve">identified </w:t>
      </w:r>
      <w:r w:rsidR="00327A9E" w:rsidRPr="00A97BF8">
        <w:rPr>
          <w:lang w:val="en-CA"/>
        </w:rPr>
        <w:t>38</w:t>
      </w:r>
      <w:r w:rsidRPr="00A97BF8">
        <w:rPr>
          <w:lang w:val="en-CA"/>
        </w:rPr>
        <w:t xml:space="preserve"> enterprises that had already received funding to convert from </w:t>
      </w:r>
      <w:r w:rsidRPr="00A97BF8">
        <w:t>CFC</w:t>
      </w:r>
      <w:r w:rsidR="00327A9E" w:rsidRPr="00A97BF8">
        <w:noBreakHyphen/>
      </w:r>
      <w:r w:rsidRPr="00A97BF8">
        <w:t>11</w:t>
      </w:r>
      <w:r w:rsidRPr="00A97BF8">
        <w:rPr>
          <w:lang w:val="en-CA"/>
        </w:rPr>
        <w:t xml:space="preserve"> to HCFC-141b. </w:t>
      </w:r>
      <w:r w:rsidR="009F04B9" w:rsidRPr="00A97BF8">
        <w:rPr>
          <w:lang w:val="en-CA"/>
        </w:rPr>
        <w:t xml:space="preserve">In accordance with decision 74/50(b)(i), all eligible enterprises included in stage II are eligible for full funding of eligible incremental costs, as it has been clearly demonstrated that all of them are converting to low-GWP technologies. </w:t>
      </w:r>
    </w:p>
    <w:p w:rsidR="00771356" w:rsidRPr="00A06755" w:rsidRDefault="00771356" w:rsidP="00D90275">
      <w:pPr>
        <w:pStyle w:val="Heading1"/>
        <w:keepNext/>
        <w:numPr>
          <w:ilvl w:val="0"/>
          <w:numId w:val="0"/>
        </w:numPr>
        <w:rPr>
          <w:i/>
        </w:rPr>
      </w:pPr>
      <w:r w:rsidRPr="00A06755">
        <w:rPr>
          <w:i/>
        </w:rPr>
        <w:lastRenderedPageBreak/>
        <w:t>Availability of technology selected in the local market</w:t>
      </w:r>
    </w:p>
    <w:p w:rsidR="00771356" w:rsidRPr="00700868" w:rsidRDefault="00771356" w:rsidP="00D90275">
      <w:pPr>
        <w:pStyle w:val="Heading1"/>
        <w:keepNext/>
      </w:pPr>
      <w:r w:rsidRPr="00A06755">
        <w:t>In line with decision 74/20(a)(iii)</w:t>
      </w:r>
      <w:r w:rsidRPr="00A06755">
        <w:rPr>
          <w:rStyle w:val="FootnoteReference"/>
        </w:rPr>
        <w:footnoteReference w:id="12"/>
      </w:r>
      <w:r w:rsidRPr="00A06755">
        <w:t>, the World Bank provided letters from two HFO suppliers confirming the commercial availability of HFOs in Argentina for the consumption of systems houses and PU foam enterprises from 2018 on</w:t>
      </w:r>
      <w:r w:rsidR="00071259">
        <w:t>ward</w:t>
      </w:r>
      <w:r w:rsidRPr="00A06755">
        <w:t xml:space="preserve">. </w:t>
      </w:r>
      <w:r w:rsidR="00C92FC4">
        <w:t xml:space="preserve">The World Bank also indicated that no issues are foreseen for the supply of </w:t>
      </w:r>
      <w:r w:rsidR="00C92FC4" w:rsidRPr="00A06755">
        <w:t>polyols and other additiv</w:t>
      </w:r>
      <w:r w:rsidR="00C92FC4">
        <w:t xml:space="preserve">es associated </w:t>
      </w:r>
      <w:r w:rsidR="00071259">
        <w:t>with</w:t>
      </w:r>
      <w:r w:rsidR="00C92FC4">
        <w:t xml:space="preserve"> the technology.</w:t>
      </w:r>
    </w:p>
    <w:p w:rsidR="00771356" w:rsidRPr="00700868" w:rsidRDefault="00771356" w:rsidP="00771356">
      <w:pPr>
        <w:pStyle w:val="Heading1"/>
        <w:keepNext/>
        <w:numPr>
          <w:ilvl w:val="0"/>
          <w:numId w:val="0"/>
        </w:numPr>
        <w:rPr>
          <w:i/>
        </w:rPr>
      </w:pPr>
      <w:r w:rsidRPr="00700868">
        <w:rPr>
          <w:i/>
        </w:rPr>
        <w:t>Incremental cost</w:t>
      </w:r>
    </w:p>
    <w:p w:rsidR="00771356" w:rsidRPr="00700868" w:rsidRDefault="00771356" w:rsidP="00771356">
      <w:pPr>
        <w:pStyle w:val="Heading1"/>
      </w:pPr>
      <w:r w:rsidRPr="00700868">
        <w:t>The incremental costs in the PU foam proposal submitted under stage II were largely consistent with comparable projects addressing SMEs approved in other Article 5 countries.  The Secretariat and the World Bank discussed in detail specific items where there were differences, and used previous approvals as reference whe</w:t>
      </w:r>
      <w:r w:rsidR="00071259">
        <w:t>n</w:t>
      </w:r>
      <w:r w:rsidRPr="00700868">
        <w:t xml:space="preserve"> needed. </w:t>
      </w:r>
    </w:p>
    <w:p w:rsidR="00771356" w:rsidRPr="00700868" w:rsidRDefault="00771356" w:rsidP="00771356">
      <w:pPr>
        <w:pStyle w:val="Heading1"/>
      </w:pPr>
      <w:r w:rsidRPr="00700868">
        <w:t>With regard to the two individual projects converting to cyclopentane, main adjustments were applied to equipment (i.e., retrofit of foam dispensers and mixing heads were reduced from US $145,000/90,000 to US $100,000/60,000 depending on the case) and safety items (i.e., ventilation, electrical modifications, alarms, nitrogen generators and fire and lightning protection were reduced from US $209,000 to US $140,500 in one enterprise). Minor cost adjustments were also made to technical assistance, trials and testing. The World Bank also agreed not to request funding for incremental operational costs for these two projects (initially submitted at US $0.4</w:t>
      </w:r>
      <w:r w:rsidR="00071259">
        <w:t>0</w:t>
      </w:r>
      <w:r w:rsidRPr="00700868">
        <w:t xml:space="preserve">/kg). </w:t>
      </w:r>
    </w:p>
    <w:p w:rsidR="00771356" w:rsidRPr="00700868" w:rsidRDefault="00771356" w:rsidP="00771356">
      <w:pPr>
        <w:pStyle w:val="Heading1"/>
      </w:pPr>
      <w:r w:rsidRPr="00700868">
        <w:t>It was also agreed that an individual project to convert the use of 6.71 mt in spray foam to reduced HFO would be integrated into the umbrella project through systems houses, as it would facilitate implementation and reduce costs for technical assistance, trials and testing.</w:t>
      </w:r>
    </w:p>
    <w:p w:rsidR="00771356" w:rsidRPr="00700868" w:rsidRDefault="00771356" w:rsidP="00771356">
      <w:pPr>
        <w:pStyle w:val="Heading1"/>
      </w:pPr>
      <w:r w:rsidRPr="00700868">
        <w:t>For the umbrella project through systems houses, the Secretariat and the World Bank discussed costs related to assistance for developing formulations and thermal conductivity testers for two local systems houses</w:t>
      </w:r>
      <w:r w:rsidR="00CD544B">
        <w:t>;</w:t>
      </w:r>
      <w:r w:rsidRPr="00700868">
        <w:t xml:space="preserve"> the need for cooling systems</w:t>
      </w:r>
      <w:r w:rsidR="00071259">
        <w:t>;</w:t>
      </w:r>
      <w:r w:rsidRPr="00700868">
        <w:t xml:space="preserve"> and the cost of technical assistance, trials and testing. As a result, incremental capital costs (ICC) were adjusted</w:t>
      </w:r>
      <w:r w:rsidR="002F4AF5">
        <w:t xml:space="preserve"> by</w:t>
      </w:r>
      <w:r w:rsidRPr="00700868">
        <w:t xml:space="preserve"> US $</w:t>
      </w:r>
      <w:r w:rsidR="002F4AF5">
        <w:t>1,610,170</w:t>
      </w:r>
      <w:r w:rsidRPr="00700868">
        <w:t>.</w:t>
      </w:r>
      <w:r w:rsidR="00071259">
        <w:t xml:space="preserve"> </w:t>
      </w:r>
      <w:r w:rsidR="00CD544B">
        <w:t>The level of IOC agreed was</w:t>
      </w:r>
      <w:r w:rsidR="00071259">
        <w:t xml:space="preserve"> </w:t>
      </w:r>
      <w:r w:rsidRPr="00700868">
        <w:t>similar to that of neighbouring countries, resulting in a reduction of US $</w:t>
      </w:r>
      <w:r w:rsidR="002F4AF5">
        <w:t>1,189,561</w:t>
      </w:r>
      <w:r w:rsidRPr="00700868">
        <w:t xml:space="preserve">. </w:t>
      </w:r>
    </w:p>
    <w:p w:rsidR="00771356" w:rsidRPr="00700868" w:rsidRDefault="00771356" w:rsidP="00771356">
      <w:pPr>
        <w:pStyle w:val="Heading1"/>
      </w:pPr>
      <w:r w:rsidRPr="00700868">
        <w:t xml:space="preserve">The agreed costs for the PU foam sector are presented in Table </w:t>
      </w:r>
      <w:r w:rsidR="00AB62C6">
        <w:t>9</w:t>
      </w:r>
      <w:r w:rsidRPr="00700868">
        <w:t>.</w:t>
      </w:r>
    </w:p>
    <w:p w:rsidR="00053749" w:rsidRDefault="00053749" w:rsidP="00053749">
      <w:pPr>
        <w:pStyle w:val="Heading1"/>
        <w:numPr>
          <w:ilvl w:val="0"/>
          <w:numId w:val="0"/>
        </w:numPr>
        <w:spacing w:after="0"/>
        <w:rPr>
          <w:b/>
        </w:rPr>
      </w:pPr>
      <w:r w:rsidRPr="006F74F6">
        <w:rPr>
          <w:b/>
        </w:rPr>
        <w:t xml:space="preserve">Table </w:t>
      </w:r>
      <w:r w:rsidR="00AB62C6">
        <w:rPr>
          <w:b/>
        </w:rPr>
        <w:t>9</w:t>
      </w:r>
      <w:r w:rsidRPr="006F74F6">
        <w:rPr>
          <w:b/>
        </w:rPr>
        <w:t>. Agreed activities and costs for the foam sector</w:t>
      </w:r>
    </w:p>
    <w:tbl>
      <w:tblPr>
        <w:tblW w:w="5000" w:type="pct"/>
        <w:jc w:val="right"/>
        <w:tblLayout w:type="fixed"/>
        <w:tblLook w:val="04A0" w:firstRow="1" w:lastRow="0" w:firstColumn="1" w:lastColumn="0" w:noHBand="0" w:noVBand="1"/>
      </w:tblPr>
      <w:tblGrid>
        <w:gridCol w:w="2000"/>
        <w:gridCol w:w="719"/>
        <w:gridCol w:w="1170"/>
        <w:gridCol w:w="812"/>
        <w:gridCol w:w="1080"/>
        <w:gridCol w:w="1080"/>
        <w:gridCol w:w="1080"/>
        <w:gridCol w:w="988"/>
        <w:gridCol w:w="647"/>
      </w:tblGrid>
      <w:tr w:rsidR="00622A98" w:rsidRPr="00622A98" w:rsidTr="00D90275">
        <w:trPr>
          <w:trHeight w:val="312"/>
          <w:tblHeader/>
          <w:jc w:val="right"/>
        </w:trPr>
        <w:tc>
          <w:tcPr>
            <w:tcW w:w="10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Project</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Enterprises</w:t>
            </w:r>
          </w:p>
        </w:tc>
        <w:tc>
          <w:tcPr>
            <w:tcW w:w="1035" w:type="pct"/>
            <w:gridSpan w:val="2"/>
            <w:tcBorders>
              <w:top w:val="single" w:sz="4" w:space="0" w:color="auto"/>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HCFC consumption</w:t>
            </w:r>
          </w:p>
        </w:tc>
        <w:tc>
          <w:tcPr>
            <w:tcW w:w="1692" w:type="pct"/>
            <w:gridSpan w:val="3"/>
            <w:tcBorders>
              <w:top w:val="single" w:sz="4" w:space="0" w:color="auto"/>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Incremental cost (US $)</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2A98" w:rsidRPr="00622A98" w:rsidRDefault="00071259" w:rsidP="00071259">
            <w:pPr>
              <w:jc w:val="center"/>
              <w:rPr>
                <w:b/>
                <w:bCs/>
                <w:color w:val="000000"/>
                <w:sz w:val="19"/>
                <w:szCs w:val="19"/>
                <w:lang w:val="en-US"/>
              </w:rPr>
            </w:pPr>
            <w:r>
              <w:rPr>
                <w:b/>
                <w:bCs/>
                <w:color w:val="000000"/>
                <w:sz w:val="19"/>
                <w:szCs w:val="19"/>
                <w:lang w:val="en-US"/>
              </w:rPr>
              <w:t>Agreed costs</w:t>
            </w:r>
            <w:r w:rsidR="00622A98" w:rsidRPr="00622A98">
              <w:rPr>
                <w:b/>
                <w:bCs/>
                <w:color w:val="000000"/>
                <w:sz w:val="19"/>
                <w:szCs w:val="19"/>
                <w:lang w:val="en-US"/>
              </w:rPr>
              <w:t xml:space="preserve"> (US</w:t>
            </w:r>
            <w:r>
              <w:rPr>
                <w:b/>
                <w:bCs/>
                <w:color w:val="000000"/>
                <w:sz w:val="19"/>
                <w:szCs w:val="19"/>
                <w:lang w:val="en-US"/>
              </w:rPr>
              <w:t> </w:t>
            </w:r>
            <w:r w:rsidR="00622A98" w:rsidRPr="00622A98">
              <w:rPr>
                <w:b/>
                <w:bCs/>
                <w:color w:val="000000"/>
                <w:sz w:val="19"/>
                <w:szCs w:val="19"/>
                <w:lang w:val="en-US"/>
              </w:rPr>
              <w:t>$)</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2A98" w:rsidRPr="00622A98" w:rsidRDefault="00622A98" w:rsidP="006B6488">
            <w:pPr>
              <w:jc w:val="center"/>
              <w:rPr>
                <w:b/>
                <w:bCs/>
                <w:color w:val="000000"/>
                <w:sz w:val="19"/>
                <w:szCs w:val="19"/>
                <w:lang w:val="en-US"/>
              </w:rPr>
            </w:pPr>
            <w:r w:rsidRPr="00622A98">
              <w:rPr>
                <w:b/>
                <w:bCs/>
                <w:color w:val="000000"/>
                <w:sz w:val="19"/>
                <w:szCs w:val="19"/>
                <w:lang w:val="en-US"/>
              </w:rPr>
              <w:t>C.E. US</w:t>
            </w:r>
            <w:r w:rsidR="006B6488">
              <w:rPr>
                <w:b/>
                <w:bCs/>
                <w:color w:val="000000"/>
                <w:sz w:val="19"/>
                <w:szCs w:val="19"/>
                <w:lang w:val="en-US"/>
              </w:rPr>
              <w:t> </w:t>
            </w:r>
            <w:r w:rsidRPr="00622A98">
              <w:rPr>
                <w:b/>
                <w:bCs/>
                <w:color w:val="000000"/>
                <w:sz w:val="19"/>
                <w:szCs w:val="19"/>
                <w:lang w:val="en-US"/>
              </w:rPr>
              <w:t>$/kg</w:t>
            </w:r>
          </w:p>
        </w:tc>
      </w:tr>
      <w:tr w:rsidR="00622A98" w:rsidRPr="00622A98" w:rsidTr="00D90275">
        <w:trPr>
          <w:trHeight w:val="312"/>
          <w:tblHeader/>
          <w:jc w:val="right"/>
        </w:trPr>
        <w:tc>
          <w:tcPr>
            <w:tcW w:w="1044" w:type="pct"/>
            <w:vMerge/>
            <w:tcBorders>
              <w:top w:val="single" w:sz="4" w:space="0" w:color="auto"/>
              <w:left w:val="single" w:sz="4" w:space="0" w:color="auto"/>
              <w:bottom w:val="single" w:sz="4" w:space="0" w:color="auto"/>
              <w:right w:val="single" w:sz="4" w:space="0" w:color="auto"/>
            </w:tcBorders>
            <w:vAlign w:val="center"/>
            <w:hideMark/>
          </w:tcPr>
          <w:p w:rsidR="00622A98" w:rsidRPr="00622A98" w:rsidRDefault="00622A98" w:rsidP="00622A98">
            <w:pPr>
              <w:jc w:val="left"/>
              <w:rPr>
                <w:b/>
                <w:bCs/>
                <w:color w:val="000000"/>
                <w:sz w:val="19"/>
                <w:szCs w:val="19"/>
                <w:lang w:val="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622A98" w:rsidRPr="00622A98" w:rsidRDefault="00622A98" w:rsidP="00622A98">
            <w:pPr>
              <w:jc w:val="left"/>
              <w:rPr>
                <w:b/>
                <w:bCs/>
                <w:color w:val="000000"/>
                <w:sz w:val="19"/>
                <w:szCs w:val="19"/>
                <w:lang w:val="en-US"/>
              </w:rPr>
            </w:pP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mt</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ODP tonnes</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ICC</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IOC</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center"/>
              <w:rPr>
                <w:b/>
                <w:bCs/>
                <w:color w:val="000000"/>
                <w:sz w:val="19"/>
                <w:szCs w:val="19"/>
                <w:lang w:val="en-US"/>
              </w:rPr>
            </w:pPr>
            <w:r w:rsidRPr="00622A98">
              <w:rPr>
                <w:b/>
                <w:bCs/>
                <w:color w:val="000000"/>
                <w:sz w:val="19"/>
                <w:szCs w:val="19"/>
                <w:lang w:val="en-US"/>
              </w:rPr>
              <w:t>Total</w:t>
            </w: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622A98" w:rsidRPr="00622A98" w:rsidRDefault="00622A98" w:rsidP="00622A98">
            <w:pPr>
              <w:jc w:val="left"/>
              <w:rPr>
                <w:b/>
                <w:bCs/>
                <w:color w:val="000000"/>
                <w:sz w:val="19"/>
                <w:szCs w:val="19"/>
                <w:lang w:val="en-US"/>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622A98" w:rsidRPr="00622A98" w:rsidRDefault="00622A98" w:rsidP="00622A98">
            <w:pPr>
              <w:jc w:val="left"/>
              <w:rPr>
                <w:b/>
                <w:bCs/>
                <w:color w:val="000000"/>
                <w:sz w:val="19"/>
                <w:szCs w:val="19"/>
                <w:lang w:val="en-US"/>
              </w:rPr>
            </w:pPr>
          </w:p>
        </w:tc>
      </w:tr>
      <w:tr w:rsidR="00622A98" w:rsidRPr="00622A98" w:rsidTr="00622A98">
        <w:trPr>
          <w:trHeight w:val="98"/>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CE0389">
            <w:pPr>
              <w:jc w:val="left"/>
              <w:rPr>
                <w:sz w:val="19"/>
                <w:szCs w:val="19"/>
                <w:lang w:val="en-US"/>
              </w:rPr>
            </w:pPr>
            <w:r w:rsidRPr="00622A98">
              <w:rPr>
                <w:sz w:val="19"/>
                <w:szCs w:val="19"/>
                <w:lang w:val="en-US"/>
              </w:rPr>
              <w:t>Frio</w:t>
            </w:r>
            <w:r w:rsidR="00CE0389">
              <w:rPr>
                <w:sz w:val="19"/>
                <w:szCs w:val="19"/>
                <w:lang w:val="en-US"/>
              </w:rPr>
              <w:t>s</w:t>
            </w:r>
            <w:r w:rsidRPr="00622A98">
              <w:rPr>
                <w:sz w:val="19"/>
                <w:szCs w:val="19"/>
                <w:lang w:val="en-US"/>
              </w:rPr>
              <w:t xml:space="preserve">tar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38.92</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4.28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336,050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D90275" w:rsidP="00622A98">
            <w:pPr>
              <w:jc w:val="right"/>
              <w:rPr>
                <w:sz w:val="19"/>
                <w:szCs w:val="19"/>
                <w:lang w:val="en-US"/>
              </w:rPr>
            </w:pPr>
            <w:r>
              <w:rPr>
                <w:sz w:val="19"/>
                <w:szCs w:val="19"/>
                <w:lang w:val="en-US"/>
              </w:rPr>
              <w:t>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336,050</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336,050</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8.6</w:t>
            </w:r>
            <w:bookmarkStart w:id="0" w:name="_GoBack"/>
            <w:bookmarkEnd w:id="0"/>
            <w:r w:rsidRPr="00622A98">
              <w:rPr>
                <w:sz w:val="19"/>
                <w:szCs w:val="19"/>
                <w:lang w:val="en-US"/>
              </w:rPr>
              <w:t>4</w:t>
            </w:r>
          </w:p>
        </w:tc>
      </w:tr>
      <w:tr w:rsidR="00622A98" w:rsidRPr="00622A98" w:rsidTr="00622A98">
        <w:trPr>
          <w:trHeight w:val="143"/>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Argenpur block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21.61</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2.38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211,524</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D90275" w:rsidP="00622A98">
            <w:pPr>
              <w:jc w:val="right"/>
              <w:rPr>
                <w:sz w:val="19"/>
                <w:szCs w:val="19"/>
                <w:lang w:val="en-US"/>
              </w:rPr>
            </w:pPr>
            <w:r>
              <w:rPr>
                <w:sz w:val="19"/>
                <w:szCs w:val="19"/>
                <w:lang w:val="en-US"/>
              </w:rPr>
              <w:t>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211,524</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211,524</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9.79</w:t>
            </w:r>
          </w:p>
        </w:tc>
      </w:tr>
      <w:tr w:rsidR="00622A98" w:rsidRPr="00622A98" w:rsidTr="002F4AF5">
        <w:trPr>
          <w:trHeight w:val="179"/>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b/>
                <w:bCs/>
                <w:sz w:val="19"/>
                <w:szCs w:val="19"/>
                <w:lang w:val="en-US"/>
              </w:rPr>
            </w:pPr>
            <w:r w:rsidRPr="00622A98">
              <w:rPr>
                <w:b/>
                <w:bCs/>
                <w:sz w:val="19"/>
                <w:szCs w:val="19"/>
                <w:lang w:val="en-US"/>
              </w:rPr>
              <w:t xml:space="preserve">Subtotal individual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2</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60.53</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6.66</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547,574</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D90275" w:rsidP="00622A98">
            <w:pPr>
              <w:jc w:val="right"/>
              <w:rPr>
                <w:b/>
                <w:bCs/>
                <w:sz w:val="19"/>
                <w:szCs w:val="19"/>
                <w:lang w:val="en-US"/>
              </w:rPr>
            </w:pPr>
            <w:r>
              <w:rPr>
                <w:b/>
                <w:bCs/>
                <w:sz w:val="19"/>
                <w:szCs w:val="19"/>
                <w:lang w:val="en-US"/>
              </w:rPr>
              <w:t>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547,574</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547,574</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9.05</w:t>
            </w:r>
          </w:p>
        </w:tc>
      </w:tr>
      <w:tr w:rsidR="00622A98" w:rsidRPr="00622A98" w:rsidTr="002F4AF5">
        <w:trPr>
          <w:trHeight w:val="134"/>
          <w:jc w:val="right"/>
        </w:trPr>
        <w:tc>
          <w:tcPr>
            <w:tcW w:w="5000" w:type="pct"/>
            <w:gridSpan w:val="9"/>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b/>
                <w:bCs/>
                <w:sz w:val="19"/>
                <w:szCs w:val="19"/>
                <w:lang w:val="en-US"/>
              </w:rPr>
            </w:pPr>
            <w:r>
              <w:rPr>
                <w:b/>
                <w:bCs/>
                <w:sz w:val="19"/>
                <w:szCs w:val="19"/>
                <w:lang w:val="en-US"/>
              </w:rPr>
              <w:t>SH</w:t>
            </w:r>
            <w:r w:rsidRPr="00622A98">
              <w:rPr>
                <w:b/>
                <w:bCs/>
                <w:sz w:val="19"/>
                <w:szCs w:val="19"/>
                <w:lang w:val="en-US"/>
              </w:rPr>
              <w:t xml:space="preserve"> </w:t>
            </w:r>
          </w:p>
        </w:tc>
      </w:tr>
      <w:tr w:rsidR="00622A98" w:rsidRPr="00622A98" w:rsidTr="002F4AF5">
        <w:trPr>
          <w:trHeight w:val="50"/>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Alkanos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16</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96.02</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10.56</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123,935</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875,712</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999,647</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999,647</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10.41</w:t>
            </w:r>
          </w:p>
        </w:tc>
      </w:tr>
      <w:tr w:rsidR="00622A98" w:rsidRPr="00622A98" w:rsidTr="002F4AF5">
        <w:trPr>
          <w:trHeight w:val="50"/>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BASF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20</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107.98</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11.88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80,390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834,565</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914,955</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914,955</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8.47</w:t>
            </w:r>
          </w:p>
        </w:tc>
      </w:tr>
      <w:tr w:rsidR="00622A98" w:rsidRPr="00622A98" w:rsidTr="002F4AF5">
        <w:trPr>
          <w:trHeight w:val="50"/>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Dow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45.35</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4.99</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32,530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413,610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446,140</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446,140</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9.84</w:t>
            </w:r>
          </w:p>
        </w:tc>
      </w:tr>
      <w:tr w:rsidR="00622A98" w:rsidRPr="00622A98" w:rsidTr="002F4AF5">
        <w:trPr>
          <w:trHeight w:val="50"/>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Ecopur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38</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46.59</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5.13</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127,870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424,937</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552,807</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510,763</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10.96</w:t>
            </w:r>
          </w:p>
        </w:tc>
      </w:tr>
      <w:tr w:rsidR="00622A98" w:rsidRPr="00622A98" w:rsidTr="002F4AF5">
        <w:trPr>
          <w:trHeight w:val="242"/>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Huntsman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28</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92.55</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10.18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118,530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844,010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962,540</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962,540</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10.40</w:t>
            </w:r>
          </w:p>
        </w:tc>
      </w:tr>
      <w:tr w:rsidR="00622A98" w:rsidRPr="00622A98" w:rsidTr="002F4AF5">
        <w:trPr>
          <w:trHeight w:val="80"/>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Poliresinas San Luis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12</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22.03</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2.42</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104,865</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173,210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278,075</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241,438</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10.96</w:t>
            </w:r>
          </w:p>
        </w:tc>
      </w:tr>
      <w:tr w:rsidR="00622A98" w:rsidRPr="00622A98" w:rsidTr="002F4AF5">
        <w:trPr>
          <w:trHeight w:val="116"/>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sz w:val="19"/>
                <w:szCs w:val="19"/>
                <w:lang w:val="en-US"/>
              </w:rPr>
            </w:pPr>
            <w:r w:rsidRPr="00622A98">
              <w:rPr>
                <w:sz w:val="19"/>
                <w:szCs w:val="19"/>
                <w:lang w:val="en-US"/>
              </w:rPr>
              <w:t xml:space="preserve">Química del Caucho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17</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56.50</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6.21</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73,100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515,244</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588,344</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588,344</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10.41</w:t>
            </w:r>
          </w:p>
        </w:tc>
      </w:tr>
      <w:tr w:rsidR="00622A98" w:rsidRPr="00622A98" w:rsidTr="002F4AF5">
        <w:trPr>
          <w:trHeight w:val="71"/>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b/>
                <w:bCs/>
                <w:sz w:val="19"/>
                <w:szCs w:val="19"/>
                <w:lang w:val="en-US"/>
              </w:rPr>
            </w:pPr>
            <w:r w:rsidRPr="00622A98">
              <w:rPr>
                <w:b/>
                <w:bCs/>
                <w:sz w:val="19"/>
                <w:szCs w:val="19"/>
                <w:lang w:val="en-US"/>
              </w:rPr>
              <w:t xml:space="preserve">Subtotal </w:t>
            </w:r>
            <w:r>
              <w:rPr>
                <w:b/>
                <w:bCs/>
                <w:sz w:val="19"/>
                <w:szCs w:val="19"/>
                <w:lang w:val="en-US"/>
              </w:rPr>
              <w:t>SH</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139</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467.02</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51.37</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661,220</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4,081,288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4,742,508</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color w:val="000000"/>
                <w:sz w:val="19"/>
                <w:szCs w:val="19"/>
                <w:lang w:val="en-US"/>
              </w:rPr>
            </w:pPr>
            <w:r w:rsidRPr="00622A98">
              <w:rPr>
                <w:b/>
                <w:bCs/>
                <w:color w:val="000000"/>
                <w:sz w:val="19"/>
                <w:szCs w:val="19"/>
                <w:lang w:val="en-US"/>
              </w:rPr>
              <w:t>4,663,827</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9.99</w:t>
            </w:r>
          </w:p>
        </w:tc>
      </w:tr>
      <w:tr w:rsidR="00622A98" w:rsidRPr="00622A98" w:rsidTr="002F4AF5">
        <w:trPr>
          <w:trHeight w:val="206"/>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622A98" w:rsidP="00622A98">
            <w:pPr>
              <w:jc w:val="left"/>
              <w:rPr>
                <w:b/>
                <w:bCs/>
                <w:sz w:val="19"/>
                <w:szCs w:val="19"/>
                <w:lang w:val="en-US"/>
              </w:rPr>
            </w:pPr>
            <w:r>
              <w:rPr>
                <w:b/>
                <w:bCs/>
                <w:sz w:val="19"/>
                <w:szCs w:val="19"/>
                <w:lang w:val="en-US"/>
              </w:rPr>
              <w:t>Total</w:t>
            </w:r>
            <w:r w:rsidRPr="00622A98">
              <w:rPr>
                <w:b/>
                <w:bCs/>
                <w:sz w:val="19"/>
                <w:szCs w:val="19"/>
                <w:lang w:val="en-US"/>
              </w:rPr>
              <w:t xml:space="preserve"> PU foam </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141</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527.55</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58.03</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1,208,794</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4,081,288</w:t>
            </w:r>
          </w:p>
        </w:tc>
        <w:tc>
          <w:tcPr>
            <w:tcW w:w="564"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5,290,083</w:t>
            </w:r>
          </w:p>
        </w:tc>
        <w:tc>
          <w:tcPr>
            <w:tcW w:w="516"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5,211,401</w:t>
            </w:r>
          </w:p>
        </w:tc>
        <w:tc>
          <w:tcPr>
            <w:tcW w:w="338"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b/>
                <w:bCs/>
                <w:sz w:val="19"/>
                <w:szCs w:val="19"/>
                <w:lang w:val="en-US"/>
              </w:rPr>
            </w:pPr>
            <w:r w:rsidRPr="00622A98">
              <w:rPr>
                <w:b/>
                <w:bCs/>
                <w:sz w:val="19"/>
                <w:szCs w:val="19"/>
                <w:lang w:val="en-US"/>
              </w:rPr>
              <w:t>9.88</w:t>
            </w:r>
          </w:p>
        </w:tc>
      </w:tr>
      <w:tr w:rsidR="00622A98" w:rsidRPr="00622A98" w:rsidTr="00622A98">
        <w:trPr>
          <w:trHeight w:val="312"/>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622A98" w:rsidRDefault="00104263" w:rsidP="00071259">
            <w:pPr>
              <w:jc w:val="left"/>
              <w:rPr>
                <w:sz w:val="19"/>
                <w:szCs w:val="19"/>
                <w:lang w:val="en-US"/>
              </w:rPr>
            </w:pPr>
            <w:r w:rsidRPr="00104263">
              <w:rPr>
                <w:sz w:val="19"/>
                <w:szCs w:val="19"/>
                <w:lang w:val="en-US"/>
              </w:rPr>
              <w:lastRenderedPageBreak/>
              <w:t xml:space="preserve">Non-eligible </w:t>
            </w:r>
            <w:r w:rsidR="00071259">
              <w:rPr>
                <w:sz w:val="19"/>
                <w:szCs w:val="19"/>
                <w:lang w:val="en-US"/>
              </w:rPr>
              <w:t xml:space="preserve">for funding and </w:t>
            </w:r>
            <w:r w:rsidRPr="00104263">
              <w:rPr>
                <w:sz w:val="19"/>
                <w:szCs w:val="19"/>
                <w:lang w:val="en-US"/>
              </w:rPr>
              <w:t>deducted from starting point</w:t>
            </w:r>
          </w:p>
        </w:tc>
        <w:tc>
          <w:tcPr>
            <w:tcW w:w="375" w:type="pct"/>
            <w:tcBorders>
              <w:top w:val="nil"/>
              <w:left w:val="nil"/>
              <w:bottom w:val="single" w:sz="4" w:space="0" w:color="auto"/>
              <w:right w:val="single" w:sz="4" w:space="0" w:color="auto"/>
            </w:tcBorders>
            <w:shd w:val="clear" w:color="auto" w:fill="auto"/>
            <w:noWrap/>
            <w:hideMark/>
          </w:tcPr>
          <w:p w:rsidR="00622A98" w:rsidRPr="00622A98" w:rsidRDefault="002F4AF5" w:rsidP="00622A98">
            <w:pPr>
              <w:jc w:val="right"/>
              <w:rPr>
                <w:sz w:val="19"/>
                <w:szCs w:val="19"/>
                <w:lang w:val="en-US"/>
              </w:rPr>
            </w:pPr>
            <w:r>
              <w:rPr>
                <w:sz w:val="19"/>
                <w:szCs w:val="19"/>
                <w:lang w:val="en-US"/>
              </w:rPr>
              <w:t>*</w:t>
            </w:r>
            <w:r w:rsidR="00622A98" w:rsidRPr="00622A98">
              <w:rPr>
                <w:sz w:val="19"/>
                <w:szCs w:val="19"/>
                <w:lang w:val="en-US"/>
              </w:rPr>
              <w:t xml:space="preserve"> </w:t>
            </w:r>
          </w:p>
        </w:tc>
        <w:tc>
          <w:tcPr>
            <w:tcW w:w="611"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114.39</w:t>
            </w:r>
          </w:p>
        </w:tc>
        <w:tc>
          <w:tcPr>
            <w:tcW w:w="423" w:type="pct"/>
            <w:tcBorders>
              <w:top w:val="nil"/>
              <w:left w:val="nil"/>
              <w:bottom w:val="single" w:sz="4" w:space="0" w:color="auto"/>
              <w:right w:val="single" w:sz="4" w:space="0" w:color="auto"/>
            </w:tcBorders>
            <w:shd w:val="clear" w:color="auto" w:fill="auto"/>
            <w:noWrap/>
            <w:hideMark/>
          </w:tcPr>
          <w:p w:rsidR="00622A98" w:rsidRPr="00622A98" w:rsidRDefault="00622A98" w:rsidP="00622A98">
            <w:pPr>
              <w:jc w:val="right"/>
              <w:rPr>
                <w:sz w:val="19"/>
                <w:szCs w:val="19"/>
                <w:lang w:val="en-US"/>
              </w:rPr>
            </w:pPr>
            <w:r w:rsidRPr="00622A98">
              <w:rPr>
                <w:sz w:val="19"/>
                <w:szCs w:val="19"/>
                <w:lang w:val="en-US"/>
              </w:rPr>
              <w:t>12.58</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16"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338"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r w:rsidR="00622A98" w:rsidRPr="00577666">
              <w:rPr>
                <w:sz w:val="19"/>
                <w:szCs w:val="19"/>
                <w:lang w:val="en-US"/>
              </w:rPr>
              <w:t> </w:t>
            </w:r>
          </w:p>
        </w:tc>
      </w:tr>
      <w:tr w:rsidR="00622A98" w:rsidRPr="00622A98" w:rsidTr="00622A98">
        <w:trPr>
          <w:trHeight w:val="312"/>
          <w:jc w:val="right"/>
        </w:trPr>
        <w:tc>
          <w:tcPr>
            <w:tcW w:w="1044" w:type="pct"/>
            <w:tcBorders>
              <w:top w:val="nil"/>
              <w:left w:val="single" w:sz="4" w:space="0" w:color="auto"/>
              <w:bottom w:val="single" w:sz="4" w:space="0" w:color="auto"/>
              <w:right w:val="single" w:sz="4" w:space="0" w:color="auto"/>
            </w:tcBorders>
            <w:shd w:val="clear" w:color="auto" w:fill="auto"/>
            <w:noWrap/>
            <w:hideMark/>
          </w:tcPr>
          <w:p w:rsidR="00622A98" w:rsidRPr="00146FC8" w:rsidRDefault="00104263" w:rsidP="00071259">
            <w:pPr>
              <w:jc w:val="left"/>
              <w:rPr>
                <w:sz w:val="19"/>
                <w:szCs w:val="19"/>
                <w:lang w:val="en-US"/>
              </w:rPr>
            </w:pPr>
            <w:r w:rsidRPr="00146FC8">
              <w:rPr>
                <w:sz w:val="19"/>
                <w:szCs w:val="19"/>
                <w:lang w:val="en-US"/>
              </w:rPr>
              <w:t xml:space="preserve">Non-eligible </w:t>
            </w:r>
            <w:r w:rsidR="00071259" w:rsidRPr="00146FC8">
              <w:rPr>
                <w:sz w:val="19"/>
                <w:szCs w:val="19"/>
                <w:lang w:val="en-US"/>
              </w:rPr>
              <w:t>for funding</w:t>
            </w:r>
          </w:p>
        </w:tc>
        <w:tc>
          <w:tcPr>
            <w:tcW w:w="375" w:type="pct"/>
            <w:tcBorders>
              <w:top w:val="nil"/>
              <w:left w:val="nil"/>
              <w:bottom w:val="single" w:sz="4" w:space="0" w:color="auto"/>
              <w:right w:val="single" w:sz="4" w:space="0" w:color="auto"/>
            </w:tcBorders>
            <w:shd w:val="clear" w:color="auto" w:fill="auto"/>
            <w:noWrap/>
            <w:hideMark/>
          </w:tcPr>
          <w:p w:rsidR="00622A98" w:rsidRPr="00146FC8" w:rsidRDefault="002F4AF5" w:rsidP="002F4AF5">
            <w:pPr>
              <w:jc w:val="right"/>
              <w:rPr>
                <w:sz w:val="19"/>
                <w:szCs w:val="19"/>
                <w:lang w:val="en-US"/>
              </w:rPr>
            </w:pPr>
            <w:r w:rsidRPr="00146FC8">
              <w:rPr>
                <w:sz w:val="19"/>
                <w:szCs w:val="19"/>
                <w:lang w:val="en-US"/>
              </w:rPr>
              <w:t>*</w:t>
            </w:r>
          </w:p>
        </w:tc>
        <w:tc>
          <w:tcPr>
            <w:tcW w:w="611" w:type="pct"/>
            <w:tcBorders>
              <w:top w:val="nil"/>
              <w:left w:val="nil"/>
              <w:bottom w:val="single" w:sz="4" w:space="0" w:color="auto"/>
              <w:right w:val="single" w:sz="4" w:space="0" w:color="auto"/>
            </w:tcBorders>
            <w:shd w:val="clear" w:color="auto" w:fill="auto"/>
            <w:noWrap/>
            <w:hideMark/>
          </w:tcPr>
          <w:p w:rsidR="00622A98" w:rsidRPr="00146FC8" w:rsidRDefault="004A05DB" w:rsidP="00622A98">
            <w:pPr>
              <w:jc w:val="right"/>
              <w:rPr>
                <w:sz w:val="19"/>
                <w:szCs w:val="19"/>
                <w:lang w:val="en-US"/>
              </w:rPr>
            </w:pPr>
            <w:r w:rsidRPr="00146FC8">
              <w:rPr>
                <w:sz w:val="19"/>
                <w:szCs w:val="19"/>
                <w:lang w:val="en-US"/>
              </w:rPr>
              <w:t>89.23</w:t>
            </w:r>
          </w:p>
        </w:tc>
        <w:tc>
          <w:tcPr>
            <w:tcW w:w="423" w:type="pct"/>
            <w:tcBorders>
              <w:top w:val="nil"/>
              <w:left w:val="nil"/>
              <w:bottom w:val="single" w:sz="4" w:space="0" w:color="auto"/>
              <w:right w:val="single" w:sz="4" w:space="0" w:color="auto"/>
            </w:tcBorders>
            <w:shd w:val="clear" w:color="auto" w:fill="auto"/>
            <w:noWrap/>
            <w:hideMark/>
          </w:tcPr>
          <w:p w:rsidR="00622A98" w:rsidRPr="00146FC8" w:rsidRDefault="004A05DB" w:rsidP="00622A98">
            <w:pPr>
              <w:jc w:val="right"/>
              <w:rPr>
                <w:sz w:val="19"/>
                <w:szCs w:val="19"/>
                <w:lang w:val="en-US"/>
              </w:rPr>
            </w:pPr>
            <w:r w:rsidRPr="00146FC8">
              <w:rPr>
                <w:sz w:val="19"/>
                <w:szCs w:val="19"/>
                <w:lang w:val="en-US"/>
              </w:rPr>
              <w:t>9.82</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64"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516"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p>
        </w:tc>
        <w:tc>
          <w:tcPr>
            <w:tcW w:w="338" w:type="pct"/>
            <w:tcBorders>
              <w:top w:val="nil"/>
              <w:left w:val="nil"/>
              <w:bottom w:val="single" w:sz="4" w:space="0" w:color="auto"/>
              <w:right w:val="single" w:sz="4" w:space="0" w:color="auto"/>
            </w:tcBorders>
            <w:shd w:val="clear" w:color="auto" w:fill="auto"/>
            <w:noWrap/>
            <w:hideMark/>
          </w:tcPr>
          <w:p w:rsidR="00622A98" w:rsidRPr="00577666" w:rsidRDefault="007E36F3" w:rsidP="00622A98">
            <w:pPr>
              <w:jc w:val="right"/>
              <w:rPr>
                <w:sz w:val="19"/>
                <w:szCs w:val="19"/>
                <w:lang w:val="en-US"/>
              </w:rPr>
            </w:pPr>
            <w:r w:rsidRPr="00577666">
              <w:rPr>
                <w:sz w:val="19"/>
                <w:szCs w:val="19"/>
                <w:lang w:val="en-US"/>
              </w:rPr>
              <w:t>n/a</w:t>
            </w:r>
            <w:r w:rsidR="00622A98" w:rsidRPr="00577666">
              <w:rPr>
                <w:sz w:val="19"/>
                <w:szCs w:val="19"/>
                <w:lang w:val="en-US"/>
              </w:rPr>
              <w:t> </w:t>
            </w:r>
          </w:p>
        </w:tc>
      </w:tr>
    </w:tbl>
    <w:p w:rsidR="00622A98" w:rsidRPr="002F4AF5" w:rsidRDefault="002F4AF5" w:rsidP="00622A98">
      <w:pPr>
        <w:rPr>
          <w:sz w:val="18"/>
          <w:szCs w:val="18"/>
        </w:rPr>
      </w:pPr>
      <w:r w:rsidRPr="002F4AF5">
        <w:rPr>
          <w:sz w:val="18"/>
          <w:szCs w:val="18"/>
        </w:rPr>
        <w:t>*</w:t>
      </w:r>
      <w:r w:rsidR="009D2368">
        <w:rPr>
          <w:sz w:val="18"/>
          <w:szCs w:val="18"/>
        </w:rPr>
        <w:t>Number of enterprises is unknown. Their consumption will be phase</w:t>
      </w:r>
      <w:r w:rsidR="00D90275">
        <w:rPr>
          <w:sz w:val="18"/>
          <w:szCs w:val="18"/>
        </w:rPr>
        <w:t>d</w:t>
      </w:r>
      <w:r w:rsidR="009D2368">
        <w:rPr>
          <w:sz w:val="18"/>
          <w:szCs w:val="18"/>
        </w:rPr>
        <w:t xml:space="preserve"> out without assistance from the Fund. </w:t>
      </w:r>
    </w:p>
    <w:p w:rsidR="00771356" w:rsidRPr="00700868" w:rsidRDefault="00771356" w:rsidP="00771356"/>
    <w:p w:rsidR="00771356" w:rsidRPr="00577666" w:rsidRDefault="00771356" w:rsidP="00771356">
      <w:pPr>
        <w:pStyle w:val="Heading1"/>
      </w:pPr>
      <w:r w:rsidRPr="00577666">
        <w:t>As a result of the discussion, the PU foam sector plan will assist</w:t>
      </w:r>
      <w:r w:rsidR="002F4AF5" w:rsidRPr="00577666">
        <w:t xml:space="preserve"> 141 </w:t>
      </w:r>
      <w:r w:rsidRPr="00577666">
        <w:t xml:space="preserve">eligible enterprises to phase out </w:t>
      </w:r>
      <w:r w:rsidR="002F4AF5" w:rsidRPr="00577666">
        <w:t>58.03</w:t>
      </w:r>
      <w:r w:rsidR="004A05DB" w:rsidRPr="00577666">
        <w:t> </w:t>
      </w:r>
      <w:r w:rsidRPr="00577666">
        <w:t>ODP</w:t>
      </w:r>
      <w:r w:rsidR="004A05DB" w:rsidRPr="00577666">
        <w:t> </w:t>
      </w:r>
      <w:r w:rsidRPr="00577666">
        <w:t xml:space="preserve">tonnes of HCFC-141b pure or contained in </w:t>
      </w:r>
      <w:r w:rsidR="009D2368" w:rsidRPr="00577666">
        <w:t xml:space="preserve">imported/locally </w:t>
      </w:r>
      <w:r w:rsidRPr="00577666">
        <w:t>pre-blended polyols</w:t>
      </w:r>
      <w:r w:rsidR="002F4AF5" w:rsidRPr="00577666">
        <w:t>. A</w:t>
      </w:r>
      <w:r w:rsidRPr="00577666">
        <w:t xml:space="preserve">dditional </w:t>
      </w:r>
      <w:r w:rsidR="002F4AF5" w:rsidRPr="00577666">
        <w:t xml:space="preserve">non-eligible </w:t>
      </w:r>
      <w:r w:rsidR="00F65CCB" w:rsidRPr="00577666">
        <w:t>22.40 </w:t>
      </w:r>
      <w:r w:rsidRPr="00577666">
        <w:t>ODP</w:t>
      </w:r>
      <w:r w:rsidR="00F65CCB" w:rsidRPr="00577666">
        <w:t> </w:t>
      </w:r>
      <w:r w:rsidRPr="00577666">
        <w:t>tonnes will be</w:t>
      </w:r>
      <w:r w:rsidR="002F4AF5" w:rsidRPr="00577666">
        <w:t xml:space="preserve"> phased out</w:t>
      </w:r>
      <w:r w:rsidR="009D2368" w:rsidRPr="00577666">
        <w:t xml:space="preserve"> without assistance from the </w:t>
      </w:r>
      <w:r w:rsidR="00146FC8" w:rsidRPr="00577666">
        <w:t>Multilateral Fund</w:t>
      </w:r>
      <w:r w:rsidR="002F4AF5" w:rsidRPr="00577666">
        <w:t>, out of which 12.58</w:t>
      </w:r>
      <w:r w:rsidR="004A05DB" w:rsidRPr="00577666">
        <w:t> </w:t>
      </w:r>
      <w:r w:rsidR="002F4AF5" w:rsidRPr="00577666">
        <w:t>ODP</w:t>
      </w:r>
      <w:r w:rsidR="004A05DB" w:rsidRPr="00577666">
        <w:t> </w:t>
      </w:r>
      <w:r w:rsidR="002F4AF5" w:rsidRPr="00577666">
        <w:t xml:space="preserve">tonnes will be </w:t>
      </w:r>
      <w:r w:rsidRPr="00577666">
        <w:t xml:space="preserve">deducted from the </w:t>
      </w:r>
      <w:r w:rsidR="002F4AF5" w:rsidRPr="00577666">
        <w:t>starting point</w:t>
      </w:r>
      <w:r w:rsidRPr="00577666">
        <w:t>.</w:t>
      </w:r>
    </w:p>
    <w:p w:rsidR="00771356" w:rsidRPr="00700868" w:rsidRDefault="00771356" w:rsidP="007E36F3">
      <w:pPr>
        <w:pStyle w:val="Heading1"/>
        <w:keepNext/>
        <w:numPr>
          <w:ilvl w:val="0"/>
          <w:numId w:val="0"/>
        </w:numPr>
        <w:rPr>
          <w:i/>
        </w:rPr>
      </w:pPr>
      <w:r w:rsidRPr="00700868">
        <w:rPr>
          <w:i/>
        </w:rPr>
        <w:t>Other manufacturing sectors using HCFC-141b</w:t>
      </w:r>
    </w:p>
    <w:p w:rsidR="00771356" w:rsidRPr="00700868" w:rsidRDefault="00771356" w:rsidP="007E36F3">
      <w:pPr>
        <w:pStyle w:val="Heading1"/>
        <w:keepNext/>
      </w:pPr>
      <w:r w:rsidRPr="00700868">
        <w:t xml:space="preserve">While HCFC-141b will be </w:t>
      </w:r>
      <w:r w:rsidR="009D2368">
        <w:t xml:space="preserve">completely </w:t>
      </w:r>
      <w:r w:rsidRPr="00700868">
        <w:t>phased out from the PU foam sector, it was noted that there are small amounts of this substance in aerosols, solvents and fire extinguishing applications</w:t>
      </w:r>
      <w:r w:rsidR="00F05384">
        <w:rPr>
          <w:rStyle w:val="FootnoteReference"/>
        </w:rPr>
        <w:footnoteReference w:id="13"/>
      </w:r>
      <w:r w:rsidRPr="00700868">
        <w:t>. UNIDO indicated that the strategy to address aerosol and solvent uses will be included in stage III of the HPMP. The Secretariat asked whether the Government of Argentina would consider imposing a ban on the use of HCFC-141b in fire extinguishing, which is an unsafe practice, but UNIDO indicated that it would be difficult for Argentina to do so at present, as alternative solutions would need to be offered, and their adoption would need to be funded prior to a ban.</w:t>
      </w:r>
    </w:p>
    <w:p w:rsidR="00771356" w:rsidRPr="00700868" w:rsidRDefault="00771356" w:rsidP="00771356">
      <w:pPr>
        <w:rPr>
          <w:i/>
        </w:rPr>
      </w:pPr>
      <w:r w:rsidRPr="00700868">
        <w:rPr>
          <w:i/>
        </w:rPr>
        <w:t xml:space="preserve">XPS foam </w:t>
      </w:r>
    </w:p>
    <w:p w:rsidR="00771356" w:rsidRPr="00700868" w:rsidRDefault="00771356" w:rsidP="00771356">
      <w:pPr>
        <w:rPr>
          <w:i/>
        </w:rPr>
      </w:pPr>
    </w:p>
    <w:p w:rsidR="00771356" w:rsidRPr="00700868" w:rsidRDefault="009D2368" w:rsidP="00771356">
      <w:pPr>
        <w:pStyle w:val="Heading1"/>
      </w:pPr>
      <w:r>
        <w:t>During the project review process, t</w:t>
      </w:r>
      <w:r w:rsidR="00771356" w:rsidRPr="00700868">
        <w:t>he Secretariat noted that a project for only one out of two eligible enterprises</w:t>
      </w:r>
      <w:r w:rsidR="00771356" w:rsidRPr="00700868" w:rsidDel="00C45544">
        <w:t xml:space="preserve"> </w:t>
      </w:r>
      <w:r w:rsidR="00771356" w:rsidRPr="00700868">
        <w:t xml:space="preserve">had been </w:t>
      </w:r>
      <w:r w:rsidR="00771356">
        <w:t xml:space="preserve">initially </w:t>
      </w:r>
      <w:r w:rsidR="00771356" w:rsidRPr="00700868">
        <w:t xml:space="preserve">submitted. Upon confirmation by the World Bank that the second enterprise was still consuming HCFC and was eligible for funding, additional time was granted for the submission of the proposal. </w:t>
      </w:r>
      <w:r>
        <w:t>I</w:t>
      </w:r>
      <w:r w:rsidR="00771356" w:rsidRPr="00700868">
        <w:t xml:space="preserve">n reviewing the two proposals it was noted that the aggregated </w:t>
      </w:r>
      <w:r>
        <w:t xml:space="preserve">HCFC </w:t>
      </w:r>
      <w:r w:rsidR="00771356" w:rsidRPr="00700868">
        <w:t>consumption of 57.30 mt (3.42 ODP tonnes) was substantially higher than that reported under the CP implementation report of 33.94 mt (2.12 ODP tonnes)</w:t>
      </w:r>
      <w:r w:rsidR="00771356" w:rsidRPr="00700868">
        <w:rPr>
          <w:rStyle w:val="FootnoteReference"/>
        </w:rPr>
        <w:footnoteReference w:id="14"/>
      </w:r>
      <w:r w:rsidR="00771356" w:rsidRPr="00700868">
        <w:t xml:space="preserve">. Given the inconsistency, the </w:t>
      </w:r>
      <w:r>
        <w:t xml:space="preserve">World Bank </w:t>
      </w:r>
      <w:r w:rsidR="00771356" w:rsidRPr="00700868">
        <w:t xml:space="preserve">agreed </w:t>
      </w:r>
      <w:r>
        <w:t xml:space="preserve">to consider </w:t>
      </w:r>
      <w:r w:rsidR="00771356" w:rsidRPr="00700868">
        <w:t>the consumption reported under the CP implementation report</w:t>
      </w:r>
      <w:r>
        <w:t xml:space="preserve"> as the consumption eligible for funding.</w:t>
      </w:r>
    </w:p>
    <w:p w:rsidR="00771356" w:rsidRPr="00700868" w:rsidRDefault="00771356" w:rsidP="00771356">
      <w:pPr>
        <w:pStyle w:val="Heading1"/>
      </w:pPr>
      <w:r w:rsidRPr="00700868">
        <w:t xml:space="preserve">In addition, the Celpack enterprise, originally converting to isobutene, </w:t>
      </w:r>
      <w:r w:rsidR="00F44952">
        <w:t xml:space="preserve">during the project review process </w:t>
      </w:r>
      <w:r w:rsidRPr="00700868">
        <w:t>decided to convert to CO</w:t>
      </w:r>
      <w:r w:rsidRPr="00700868">
        <w:rPr>
          <w:vertAlign w:val="subscript"/>
        </w:rPr>
        <w:t>2</w:t>
      </w:r>
      <w:r w:rsidRPr="00700868">
        <w:t xml:space="preserve"> and ethanol, like the Perfiles Revestidos enterprise. Given the similarities in size and technology selected, the analysis of incremental costs completed for Perfiles Revestidos was used as reference in estimating the incremental costs for Celpack. </w:t>
      </w:r>
    </w:p>
    <w:p w:rsidR="00771356" w:rsidRPr="00700868" w:rsidRDefault="00771356" w:rsidP="00771356">
      <w:pPr>
        <w:pStyle w:val="Heading1"/>
      </w:pPr>
      <w:r w:rsidRPr="00700868">
        <w:t>Main adjustments in ICC per enterprise were applied to the storage tanks, transfer lines and pumps (from US</w:t>
      </w:r>
      <w:r w:rsidR="009D2368">
        <w:t> </w:t>
      </w:r>
      <w:r w:rsidRPr="00700868">
        <w:t>$111,000 to US</w:t>
      </w:r>
      <w:r w:rsidR="009D2368">
        <w:t> </w:t>
      </w:r>
      <w:r w:rsidRPr="00700868">
        <w:t>$95,000); extrusion lines (i.e., primary and secondary twin extruders, CO</w:t>
      </w:r>
      <w:r w:rsidRPr="00700868">
        <w:rPr>
          <w:vertAlign w:val="subscript"/>
        </w:rPr>
        <w:t>2</w:t>
      </w:r>
      <w:r w:rsidRPr="00700868">
        <w:t xml:space="preserve">, DME and ethanol metering pumps, from US $656,500 to US $113,500) and safety-related items (i.e., gas sensors, ventilation system metering area, extruders, grounding, standby electric generator, lightning protection from </w:t>
      </w:r>
      <w:r w:rsidR="009D2368" w:rsidRPr="00700868">
        <w:t>US</w:t>
      </w:r>
      <w:r w:rsidR="009D2368">
        <w:t> </w:t>
      </w:r>
      <w:r w:rsidR="009D2368" w:rsidRPr="00700868">
        <w:t>$</w:t>
      </w:r>
      <w:r w:rsidRPr="00700868">
        <w:t xml:space="preserve">62,500 to </w:t>
      </w:r>
      <w:r w:rsidR="009D2368" w:rsidRPr="00700868">
        <w:t>US</w:t>
      </w:r>
      <w:r w:rsidR="009D2368">
        <w:t> </w:t>
      </w:r>
      <w:r w:rsidR="009D2368" w:rsidRPr="00700868">
        <w:t>$</w:t>
      </w:r>
      <w:r w:rsidRPr="00700868">
        <w:t>57,500) and general works (i.e., civil work/plant modification, safety audit, technology transfer training and certification, trials from US</w:t>
      </w:r>
      <w:r w:rsidR="009D2368">
        <w:t> </w:t>
      </w:r>
      <w:r w:rsidRPr="00700868">
        <w:t xml:space="preserve">$65,000 to </w:t>
      </w:r>
      <w:r w:rsidR="00DF7EC1">
        <w:lastRenderedPageBreak/>
        <w:t>US $</w:t>
      </w:r>
      <w:r w:rsidRPr="00700868">
        <w:t xml:space="preserve">60,000). As a result, the ICC per enterprise </w:t>
      </w:r>
      <w:r w:rsidR="009D2368">
        <w:t xml:space="preserve">including contingencies </w:t>
      </w:r>
      <w:r w:rsidRPr="00700868">
        <w:t xml:space="preserve">was </w:t>
      </w:r>
      <w:r w:rsidR="009D2368">
        <w:t>agreed</w:t>
      </w:r>
      <w:r w:rsidRPr="00700868">
        <w:t xml:space="preserve"> at US</w:t>
      </w:r>
      <w:r w:rsidR="009D2368">
        <w:t> </w:t>
      </w:r>
      <w:r w:rsidRPr="00700868">
        <w:t xml:space="preserve">$358,600. </w:t>
      </w:r>
      <w:r w:rsidR="009E0498">
        <w:t xml:space="preserve">Deducting the </w:t>
      </w:r>
      <w:r w:rsidRPr="00700868">
        <w:t>incremental operational savings</w:t>
      </w:r>
      <w:r w:rsidR="009D2368">
        <w:t xml:space="preserve"> of US $</w:t>
      </w:r>
      <w:r w:rsidR="00DF7EC1">
        <w:t>139,000</w:t>
      </w:r>
      <w:r w:rsidR="000B1A0A">
        <w:t>, t</w:t>
      </w:r>
      <w:r w:rsidR="009E0498">
        <w:t xml:space="preserve">he estimated </w:t>
      </w:r>
      <w:r w:rsidRPr="00700868">
        <w:t xml:space="preserve">total incremental cost per enterprise </w:t>
      </w:r>
      <w:r w:rsidR="000B1A0A">
        <w:t>is</w:t>
      </w:r>
      <w:r w:rsidRPr="00700868">
        <w:t xml:space="preserve"> US</w:t>
      </w:r>
      <w:r>
        <w:t> </w:t>
      </w:r>
      <w:r w:rsidRPr="00700868">
        <w:t>$</w:t>
      </w:r>
      <w:r w:rsidR="00DF7EC1">
        <w:t>219,600</w:t>
      </w:r>
      <w:r w:rsidRPr="00700868">
        <w:t>.</w:t>
      </w:r>
    </w:p>
    <w:p w:rsidR="00771356" w:rsidRPr="00700868" w:rsidRDefault="00771356" w:rsidP="00771356">
      <w:pPr>
        <w:pStyle w:val="Heading1"/>
      </w:pPr>
      <w:r w:rsidRPr="00700868">
        <w:t>Applying the cost-effectiveness threshold for XPS foam (US</w:t>
      </w:r>
      <w:r w:rsidR="009D2368">
        <w:t> </w:t>
      </w:r>
      <w:r w:rsidRPr="00700868">
        <w:t>$</w:t>
      </w:r>
      <w:r w:rsidR="009D2368">
        <w:t>10.2</w:t>
      </w:r>
      <w:r w:rsidR="00DF7EC1">
        <w:t>7</w:t>
      </w:r>
      <w:r w:rsidR="009D2368">
        <w:t>/</w:t>
      </w:r>
      <w:r w:rsidRPr="00700868">
        <w:t xml:space="preserve">kg </w:t>
      </w:r>
      <w:r w:rsidR="009D2368">
        <w:t>including</w:t>
      </w:r>
      <w:r w:rsidRPr="00700868">
        <w:t xml:space="preserve"> 25 per cent for the introduction of a low-GWP technology) to the agreed consumption for funding (33.94 mt or 2.12</w:t>
      </w:r>
      <w:r>
        <w:t> </w:t>
      </w:r>
      <w:r w:rsidRPr="00700868">
        <w:t>ODP</w:t>
      </w:r>
      <w:r>
        <w:t> </w:t>
      </w:r>
      <w:r w:rsidRPr="00700868">
        <w:t>tonnes), the total cost of the projects is US</w:t>
      </w:r>
      <w:r w:rsidR="009D2368">
        <w:t> </w:t>
      </w:r>
      <w:r w:rsidRPr="00700868">
        <w:t>$348,767. It was agreed that the Government of Argentina would have flexibility in the allocation of funds among the two enterprises, on the understanding that both enterprises w</w:t>
      </w:r>
      <w:r w:rsidR="009D2368">
        <w:t>ill</w:t>
      </w:r>
      <w:r w:rsidRPr="00700868">
        <w:t xml:space="preserve"> convert to the selected technology</w:t>
      </w:r>
      <w:r w:rsidR="009D2368">
        <w:t xml:space="preserve"> on time.</w:t>
      </w:r>
    </w:p>
    <w:p w:rsidR="00771356" w:rsidRPr="00700868" w:rsidRDefault="00771356" w:rsidP="00771356">
      <w:pPr>
        <w:pStyle w:val="Heading1"/>
        <w:numPr>
          <w:ilvl w:val="0"/>
          <w:numId w:val="0"/>
        </w:numPr>
        <w:rPr>
          <w:i/>
        </w:rPr>
      </w:pPr>
      <w:r w:rsidRPr="00700868">
        <w:rPr>
          <w:i/>
        </w:rPr>
        <w:t>Refrigeration servicing sector</w:t>
      </w:r>
    </w:p>
    <w:p w:rsidR="00771356" w:rsidRPr="000B2541" w:rsidRDefault="00771356" w:rsidP="00771356">
      <w:pPr>
        <w:pStyle w:val="Heading1"/>
      </w:pPr>
      <w:r w:rsidRPr="00700868">
        <w:t xml:space="preserve">The Secretariat noted that the strategy prepared for the refrigeration servicing sector was comprehensive and would account for </w:t>
      </w:r>
      <w:r w:rsidR="004A35E5">
        <w:t>10.3</w:t>
      </w:r>
      <w:r w:rsidRPr="00700868">
        <w:t xml:space="preserve"> per cent </w:t>
      </w:r>
      <w:r w:rsidR="009D2368">
        <w:t xml:space="preserve">reduction </w:t>
      </w:r>
      <w:r w:rsidRPr="00700868">
        <w:t xml:space="preserve">of Argentina’s baseline. However, while a number of activities were included in stage I and stage II to address the use of HCFC-141b as a flushing agent during refrigeration servicing (i.e., training, equipment inclusion in manuals, demonstration), there was not a clear indication that this use of HCFC would be completely phased out. Given the emissive nature of this practice, the Secretariat discussed with UNIDO the need to eliminate it as soon as possible in a sustainable manner. It was agreed that the use of HCFC-141b would be completely phased out during stage II with the assistance received under the servicing sector component, and that a ban on the use of HCFC-141b for flushing would be established </w:t>
      </w:r>
      <w:r w:rsidRPr="000B2541">
        <w:t>by 1 January 202</w:t>
      </w:r>
      <w:r w:rsidR="00757E9E" w:rsidRPr="000B2541">
        <w:t>2</w:t>
      </w:r>
      <w:r w:rsidRPr="000B2541">
        <w:t>.</w:t>
      </w:r>
    </w:p>
    <w:p w:rsidR="00771356" w:rsidRPr="00700868" w:rsidRDefault="009D2368" w:rsidP="00771356">
      <w:pPr>
        <w:pStyle w:val="Heading1"/>
      </w:pPr>
      <w:r>
        <w:t xml:space="preserve">With regard to the </w:t>
      </w:r>
      <w:r w:rsidR="00771356" w:rsidRPr="00700868">
        <w:t>long-term sustainability of training in good practices in refrigeration and in the safe use of flammable or toxic alternatives</w:t>
      </w:r>
      <w:r>
        <w:t>,</w:t>
      </w:r>
      <w:r w:rsidR="00771356" w:rsidRPr="00700868">
        <w:t xml:space="preserve"> UNIDO indicated that the training programme will be upgraded and a certification scheme for handling flammable refrigerants will be established and incorporated into the national legislation. Part of the plan is to try to make certification compulsory for handling flammable refrigerants. On the plans to reach the more than 3,000 supermarkets in the country to show the results of the leakage prevention project for supermarkets, UNIDO explained that workshops and publications to disseminate the results of the project will be prepared for the main supermarket chains, which own most of the branches in the country.</w:t>
      </w:r>
    </w:p>
    <w:p w:rsidR="00771356" w:rsidRPr="00700868" w:rsidRDefault="00771356" w:rsidP="00771356">
      <w:pPr>
        <w:pStyle w:val="Heading1"/>
      </w:pPr>
      <w:r w:rsidRPr="00700868">
        <w:t>During the project review process, UNIDO indicated that the Government of Italy would be included in stage II of the HPMP</w:t>
      </w:r>
      <w:r w:rsidR="009D2368">
        <w:t>,</w:t>
      </w:r>
      <w:r w:rsidRPr="00700868">
        <w:t xml:space="preserve"> </w:t>
      </w:r>
      <w:r w:rsidR="009D2368">
        <w:t xml:space="preserve">to </w:t>
      </w:r>
      <w:r w:rsidR="007F7B82">
        <w:t xml:space="preserve">provide assistance to the certification of technicians in the handling and use of flammable refrigerants and the technical assistance activities to reduce refrigerant leakage in supermarkets. Accordingly, a total of </w:t>
      </w:r>
      <w:r w:rsidR="007F7B82" w:rsidRPr="000B2541">
        <w:t>US $2</w:t>
      </w:r>
      <w:r w:rsidR="00757E9E" w:rsidRPr="000B2541">
        <w:t>82,500 including</w:t>
      </w:r>
      <w:r w:rsidR="009B61A3" w:rsidRPr="000B2541">
        <w:t xml:space="preserve"> agency support cost</w:t>
      </w:r>
      <w:r w:rsidR="007F7B82" w:rsidRPr="000B2541">
        <w:t xml:space="preserve"> from the</w:t>
      </w:r>
      <w:r w:rsidR="007F7B82">
        <w:t xml:space="preserve"> total funds in the refrigeration servicing sector are being reallocated to the Government of Italy and reflected in the draft Agreement between the Government or Argentina and the Executive Committee</w:t>
      </w:r>
      <w:r w:rsidR="009B61A3">
        <w:t>.</w:t>
      </w:r>
    </w:p>
    <w:p w:rsidR="00053749" w:rsidRPr="009973FB" w:rsidRDefault="00053749" w:rsidP="008E4557">
      <w:pPr>
        <w:pStyle w:val="Heading1"/>
        <w:numPr>
          <w:ilvl w:val="0"/>
          <w:numId w:val="0"/>
        </w:numPr>
        <w:spacing w:after="0"/>
        <w:rPr>
          <w:i/>
          <w:lang w:val="en-CA"/>
        </w:rPr>
      </w:pPr>
      <w:r w:rsidRPr="009973FB">
        <w:rPr>
          <w:i/>
          <w:lang w:val="en-CA"/>
        </w:rPr>
        <w:t>Project implementation and monitoring unit (PMU)</w:t>
      </w:r>
    </w:p>
    <w:p w:rsidR="00053749" w:rsidRPr="009973FB" w:rsidRDefault="00053749" w:rsidP="00053749">
      <w:pPr>
        <w:rPr>
          <w:lang w:val="en-CA"/>
        </w:rPr>
      </w:pPr>
    </w:p>
    <w:p w:rsidR="008B50D6" w:rsidRPr="00700868" w:rsidRDefault="008B50D6" w:rsidP="008B50D6">
      <w:pPr>
        <w:pStyle w:val="Heading1"/>
      </w:pPr>
      <w:r w:rsidRPr="00700868">
        <w:t>Based on discussions on the need for personnel, experts and local consultants to implement the activities in stage II</w:t>
      </w:r>
      <w:r w:rsidR="009D2368">
        <w:t xml:space="preserve">, </w:t>
      </w:r>
      <w:r w:rsidR="00757E9E">
        <w:t>the cost of the</w:t>
      </w:r>
      <w:r w:rsidR="009D2368">
        <w:t xml:space="preserve"> PMU was agreed at </w:t>
      </w:r>
      <w:r w:rsidRPr="00700868">
        <w:t>US $740,000</w:t>
      </w:r>
      <w:r w:rsidR="00710D9E">
        <w:t xml:space="preserve"> (</w:t>
      </w:r>
      <w:r w:rsidRPr="00700868">
        <w:t>US $300,000 for UNIDO and US</w:t>
      </w:r>
      <w:r w:rsidR="00710D9E">
        <w:t> </w:t>
      </w:r>
      <w:r w:rsidRPr="00700868">
        <w:t>$440,000 for the World Bank</w:t>
      </w:r>
      <w:r w:rsidR="00757E9E">
        <w:t>)</w:t>
      </w:r>
      <w:r w:rsidR="009D2368">
        <w:t>.</w:t>
      </w:r>
    </w:p>
    <w:p w:rsidR="008B50D6" w:rsidRPr="00700868" w:rsidRDefault="008B50D6" w:rsidP="008B50D6">
      <w:pPr>
        <w:rPr>
          <w:u w:val="single"/>
        </w:rPr>
      </w:pPr>
      <w:r w:rsidRPr="00700868">
        <w:rPr>
          <w:u w:val="single"/>
        </w:rPr>
        <w:t>Agreed cost of stage II of the HPMP</w:t>
      </w:r>
    </w:p>
    <w:p w:rsidR="008B50D6" w:rsidRPr="00700868" w:rsidRDefault="008B50D6" w:rsidP="008B50D6">
      <w:pPr>
        <w:rPr>
          <w:u w:val="single"/>
        </w:rPr>
      </w:pPr>
    </w:p>
    <w:p w:rsidR="008B50D6" w:rsidRPr="00700868" w:rsidRDefault="008B50D6" w:rsidP="008B50D6">
      <w:pPr>
        <w:pStyle w:val="Heading1"/>
      </w:pPr>
      <w:r w:rsidRPr="00700868">
        <w:t>The agreed cost of the activities proposed in stage II of the HPMP amounts to US $</w:t>
      </w:r>
      <w:r w:rsidR="0065773A">
        <w:t>9,941,238</w:t>
      </w:r>
      <w:r w:rsidRPr="00700868">
        <w:t xml:space="preserve"> </w:t>
      </w:r>
      <w:r w:rsidR="0065773A">
        <w:t>(excluding agency support cost) as summarized i</w:t>
      </w:r>
      <w:r w:rsidRPr="00700868">
        <w:t xml:space="preserve">n Table </w:t>
      </w:r>
      <w:r w:rsidR="00AB62C6">
        <w:t>10</w:t>
      </w:r>
      <w:r w:rsidRPr="00700868">
        <w:t>.</w:t>
      </w:r>
    </w:p>
    <w:p w:rsidR="001A565A" w:rsidRDefault="00053749" w:rsidP="00D90275">
      <w:pPr>
        <w:keepNext/>
        <w:rPr>
          <w:b/>
        </w:rPr>
      </w:pPr>
      <w:r w:rsidRPr="00AA1CBA">
        <w:rPr>
          <w:b/>
        </w:rPr>
        <w:lastRenderedPageBreak/>
        <w:t xml:space="preserve">Table </w:t>
      </w:r>
      <w:r w:rsidR="00AB62C6">
        <w:rPr>
          <w:b/>
        </w:rPr>
        <w:t>10</w:t>
      </w:r>
      <w:r w:rsidRPr="00AA1CBA">
        <w:rPr>
          <w:b/>
        </w:rPr>
        <w:t xml:space="preserve">. Agreed cost for stage II of the HPMP for </w:t>
      </w:r>
      <w:r w:rsidR="00030BAB">
        <w:rPr>
          <w:b/>
        </w:rPr>
        <w:t>Argentina</w:t>
      </w:r>
    </w:p>
    <w:tbl>
      <w:tblPr>
        <w:tblW w:w="9473" w:type="dxa"/>
        <w:tblInd w:w="103" w:type="dxa"/>
        <w:tblLook w:val="04A0" w:firstRow="1" w:lastRow="0" w:firstColumn="1" w:lastColumn="0" w:noHBand="0" w:noVBand="1"/>
      </w:tblPr>
      <w:tblGrid>
        <w:gridCol w:w="3425"/>
        <w:gridCol w:w="1350"/>
        <w:gridCol w:w="66"/>
        <w:gridCol w:w="915"/>
        <w:gridCol w:w="1273"/>
        <w:gridCol w:w="1389"/>
        <w:gridCol w:w="1055"/>
      </w:tblGrid>
      <w:tr w:rsidR="001A565A" w:rsidRPr="006E4792" w:rsidTr="003C28D3">
        <w:trPr>
          <w:trHeight w:val="107"/>
          <w:tblHeader/>
        </w:trPr>
        <w:tc>
          <w:tcPr>
            <w:tcW w:w="3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r w:rsidRPr="006E4792">
              <w:rPr>
                <w:b/>
                <w:color w:val="000000"/>
                <w:sz w:val="20"/>
                <w:szCs w:val="20"/>
                <w:lang w:val="en-US"/>
              </w:rPr>
              <w:t>Activity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r w:rsidRPr="006E4792">
              <w:rPr>
                <w:b/>
                <w:color w:val="000000"/>
                <w:sz w:val="20"/>
                <w:szCs w:val="20"/>
                <w:lang w:val="en-US"/>
              </w:rPr>
              <w:t>Agency</w:t>
            </w:r>
          </w:p>
        </w:tc>
        <w:tc>
          <w:tcPr>
            <w:tcW w:w="2254" w:type="dxa"/>
            <w:gridSpan w:val="3"/>
            <w:tcBorders>
              <w:top w:val="single" w:sz="4" w:space="0" w:color="auto"/>
              <w:left w:val="nil"/>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r w:rsidRPr="006E4792">
              <w:rPr>
                <w:b/>
                <w:color w:val="000000"/>
                <w:sz w:val="20"/>
                <w:szCs w:val="20"/>
                <w:lang w:val="en-US"/>
              </w:rPr>
              <w:t>HCFC</w:t>
            </w:r>
            <w:r>
              <w:rPr>
                <w:b/>
                <w:color w:val="000000"/>
                <w:sz w:val="20"/>
                <w:szCs w:val="20"/>
                <w:lang w:val="en-US"/>
              </w:rPr>
              <w:t xml:space="preserve"> </w:t>
            </w:r>
            <w:r w:rsidRPr="006E4792">
              <w:rPr>
                <w:b/>
                <w:color w:val="000000"/>
                <w:sz w:val="20"/>
                <w:szCs w:val="20"/>
                <w:lang w:val="en-US"/>
              </w:rPr>
              <w:t>phase</w:t>
            </w:r>
            <w:r>
              <w:rPr>
                <w:b/>
                <w:color w:val="000000"/>
                <w:sz w:val="20"/>
                <w:szCs w:val="20"/>
                <w:lang w:val="en-US"/>
              </w:rPr>
              <w:t>-</w:t>
            </w:r>
            <w:r w:rsidRPr="006E4792">
              <w:rPr>
                <w:b/>
                <w:color w:val="000000"/>
                <w:sz w:val="20"/>
                <w:szCs w:val="20"/>
                <w:lang w:val="en-US"/>
              </w:rPr>
              <w:t xml:space="preserve">out </w:t>
            </w:r>
          </w:p>
        </w:tc>
        <w:tc>
          <w:tcPr>
            <w:tcW w:w="1389" w:type="dxa"/>
            <w:vMerge w:val="restart"/>
            <w:tcBorders>
              <w:top w:val="single" w:sz="4" w:space="0" w:color="auto"/>
              <w:left w:val="nil"/>
              <w:right w:val="single" w:sz="4" w:space="0" w:color="auto"/>
            </w:tcBorders>
            <w:shd w:val="clear" w:color="auto" w:fill="auto"/>
          </w:tcPr>
          <w:p w:rsidR="001A565A" w:rsidRPr="006E4792" w:rsidRDefault="001A565A" w:rsidP="00D90275">
            <w:pPr>
              <w:keepNext/>
              <w:jc w:val="center"/>
              <w:rPr>
                <w:b/>
                <w:color w:val="000000"/>
                <w:sz w:val="20"/>
                <w:szCs w:val="20"/>
                <w:lang w:val="en-US"/>
              </w:rPr>
            </w:pPr>
            <w:r>
              <w:rPr>
                <w:b/>
                <w:color w:val="000000"/>
                <w:sz w:val="20"/>
                <w:szCs w:val="20"/>
                <w:lang w:val="en-US"/>
              </w:rPr>
              <w:t>Total cost</w:t>
            </w:r>
          </w:p>
          <w:p w:rsidR="001A565A" w:rsidRPr="006E4792" w:rsidRDefault="001A565A" w:rsidP="00D90275">
            <w:pPr>
              <w:keepNext/>
              <w:jc w:val="center"/>
              <w:rPr>
                <w:b/>
                <w:color w:val="000000"/>
                <w:sz w:val="20"/>
                <w:szCs w:val="20"/>
                <w:lang w:val="en-US"/>
              </w:rPr>
            </w:pPr>
            <w:r>
              <w:rPr>
                <w:b/>
                <w:color w:val="000000"/>
                <w:sz w:val="20"/>
                <w:szCs w:val="20"/>
                <w:lang w:val="en-US"/>
              </w:rPr>
              <w:t>(</w:t>
            </w:r>
            <w:r w:rsidRPr="006E4792">
              <w:rPr>
                <w:b/>
                <w:color w:val="000000"/>
                <w:sz w:val="20"/>
                <w:szCs w:val="20"/>
                <w:lang w:val="en-US"/>
              </w:rPr>
              <w:t>US</w:t>
            </w:r>
            <w:r w:rsidR="003C28D3">
              <w:rPr>
                <w:b/>
                <w:color w:val="000000"/>
                <w:sz w:val="20"/>
                <w:szCs w:val="20"/>
                <w:lang w:val="en-US"/>
              </w:rPr>
              <w:t> </w:t>
            </w:r>
            <w:r w:rsidRPr="006E4792">
              <w:rPr>
                <w:b/>
                <w:color w:val="000000"/>
                <w:sz w:val="20"/>
                <w:szCs w:val="20"/>
                <w:lang w:val="en-US"/>
              </w:rPr>
              <w:t>$</w:t>
            </w:r>
            <w:r>
              <w:rPr>
                <w:b/>
                <w:color w:val="000000"/>
                <w:sz w:val="20"/>
                <w:szCs w:val="20"/>
                <w:lang w:val="en-US"/>
              </w:rPr>
              <w:t>)</w:t>
            </w:r>
          </w:p>
        </w:tc>
        <w:tc>
          <w:tcPr>
            <w:tcW w:w="1055" w:type="dxa"/>
            <w:vMerge w:val="restart"/>
            <w:tcBorders>
              <w:top w:val="single" w:sz="4" w:space="0" w:color="auto"/>
              <w:left w:val="nil"/>
              <w:right w:val="single" w:sz="4" w:space="0" w:color="auto"/>
            </w:tcBorders>
            <w:shd w:val="clear" w:color="auto" w:fill="auto"/>
          </w:tcPr>
          <w:p w:rsidR="001A565A" w:rsidRDefault="001A565A" w:rsidP="00D90275">
            <w:pPr>
              <w:keepNext/>
              <w:jc w:val="center"/>
              <w:rPr>
                <w:b/>
                <w:color w:val="000000"/>
                <w:sz w:val="20"/>
                <w:szCs w:val="20"/>
                <w:lang w:val="en-US"/>
              </w:rPr>
            </w:pPr>
            <w:r w:rsidRPr="006E4792">
              <w:rPr>
                <w:b/>
                <w:color w:val="000000"/>
                <w:sz w:val="20"/>
                <w:szCs w:val="20"/>
                <w:lang w:val="en-US"/>
              </w:rPr>
              <w:t xml:space="preserve">CE </w:t>
            </w:r>
          </w:p>
          <w:p w:rsidR="001A565A" w:rsidRPr="006E4792" w:rsidRDefault="001A565A" w:rsidP="00D90275">
            <w:pPr>
              <w:keepNext/>
              <w:jc w:val="center"/>
              <w:rPr>
                <w:b/>
                <w:color w:val="000000"/>
                <w:sz w:val="20"/>
                <w:szCs w:val="20"/>
                <w:lang w:val="en-US"/>
              </w:rPr>
            </w:pPr>
            <w:r>
              <w:rPr>
                <w:b/>
                <w:color w:val="000000"/>
                <w:sz w:val="20"/>
                <w:szCs w:val="20"/>
                <w:lang w:val="en-US"/>
              </w:rPr>
              <w:t>(</w:t>
            </w:r>
            <w:r w:rsidRPr="006E4792">
              <w:rPr>
                <w:b/>
                <w:color w:val="000000"/>
                <w:sz w:val="20"/>
                <w:szCs w:val="20"/>
                <w:lang w:val="en-US"/>
              </w:rPr>
              <w:t>US</w:t>
            </w:r>
            <w:r w:rsidR="003C28D3">
              <w:rPr>
                <w:b/>
                <w:color w:val="000000"/>
                <w:sz w:val="20"/>
                <w:szCs w:val="20"/>
                <w:lang w:val="en-US"/>
              </w:rPr>
              <w:t> </w:t>
            </w:r>
            <w:r w:rsidRPr="006E4792">
              <w:rPr>
                <w:b/>
                <w:color w:val="000000"/>
                <w:sz w:val="20"/>
                <w:szCs w:val="20"/>
                <w:lang w:val="en-US"/>
              </w:rPr>
              <w:t>$/kg</w:t>
            </w:r>
            <w:r>
              <w:rPr>
                <w:b/>
                <w:color w:val="000000"/>
                <w:sz w:val="20"/>
                <w:szCs w:val="20"/>
                <w:lang w:val="en-US"/>
              </w:rPr>
              <w:t>)</w:t>
            </w:r>
          </w:p>
        </w:tc>
      </w:tr>
      <w:tr w:rsidR="001A565A" w:rsidRPr="006E4792" w:rsidTr="003C28D3">
        <w:trPr>
          <w:trHeight w:val="312"/>
          <w:tblHeader/>
        </w:trPr>
        <w:tc>
          <w:tcPr>
            <w:tcW w:w="3425" w:type="dxa"/>
            <w:vMerge/>
            <w:tcBorders>
              <w:top w:val="single" w:sz="4" w:space="0" w:color="auto"/>
              <w:left w:val="single" w:sz="4" w:space="0" w:color="auto"/>
              <w:bottom w:val="single" w:sz="4" w:space="0" w:color="auto"/>
              <w:right w:val="single" w:sz="4" w:space="0" w:color="auto"/>
            </w:tcBorders>
            <w:hideMark/>
          </w:tcPr>
          <w:p w:rsidR="001A565A" w:rsidRPr="006E4792" w:rsidRDefault="001A565A" w:rsidP="00D90275">
            <w:pPr>
              <w:keepNext/>
              <w:jc w:val="left"/>
              <w:rPr>
                <w:b/>
                <w:color w:val="000000"/>
                <w:sz w:val="20"/>
                <w:szCs w:val="20"/>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A565A" w:rsidRPr="006E4792" w:rsidRDefault="001A565A" w:rsidP="00D90275">
            <w:pPr>
              <w:keepNext/>
              <w:jc w:val="left"/>
              <w:rPr>
                <w:b/>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hideMark/>
          </w:tcPr>
          <w:p w:rsidR="001A565A" w:rsidRPr="006E4792" w:rsidRDefault="0065773A" w:rsidP="00D90275">
            <w:pPr>
              <w:keepNext/>
              <w:jc w:val="center"/>
              <w:rPr>
                <w:b/>
                <w:color w:val="000000"/>
                <w:sz w:val="20"/>
                <w:szCs w:val="20"/>
                <w:lang w:val="en-US"/>
              </w:rPr>
            </w:pPr>
            <w:r>
              <w:rPr>
                <w:b/>
                <w:color w:val="000000"/>
                <w:sz w:val="20"/>
                <w:szCs w:val="20"/>
                <w:lang w:val="en-US"/>
              </w:rPr>
              <w:t>M</w:t>
            </w:r>
            <w:r w:rsidR="001A565A" w:rsidRPr="006E4792">
              <w:rPr>
                <w:b/>
                <w:color w:val="000000"/>
                <w:sz w:val="20"/>
                <w:szCs w:val="20"/>
                <w:lang w:val="en-US"/>
              </w:rPr>
              <w:t>t</w:t>
            </w:r>
          </w:p>
        </w:tc>
        <w:tc>
          <w:tcPr>
            <w:tcW w:w="1273" w:type="dxa"/>
            <w:tcBorders>
              <w:top w:val="nil"/>
              <w:left w:val="nil"/>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r w:rsidRPr="006E4792">
              <w:rPr>
                <w:b/>
                <w:color w:val="000000"/>
                <w:sz w:val="20"/>
                <w:szCs w:val="20"/>
                <w:lang w:val="en-US"/>
              </w:rPr>
              <w:t>ODP</w:t>
            </w:r>
            <w:r>
              <w:rPr>
                <w:b/>
                <w:color w:val="000000"/>
                <w:sz w:val="20"/>
                <w:szCs w:val="20"/>
                <w:lang w:val="en-US"/>
              </w:rPr>
              <w:t xml:space="preserve"> </w:t>
            </w:r>
            <w:r w:rsidRPr="006E4792">
              <w:rPr>
                <w:b/>
                <w:color w:val="000000"/>
                <w:sz w:val="20"/>
                <w:szCs w:val="20"/>
                <w:lang w:val="en-US"/>
              </w:rPr>
              <w:t>tonnes</w:t>
            </w:r>
          </w:p>
        </w:tc>
        <w:tc>
          <w:tcPr>
            <w:tcW w:w="1389" w:type="dxa"/>
            <w:vMerge/>
            <w:tcBorders>
              <w:left w:val="nil"/>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p>
        </w:tc>
        <w:tc>
          <w:tcPr>
            <w:tcW w:w="1055" w:type="dxa"/>
            <w:vMerge/>
            <w:tcBorders>
              <w:left w:val="nil"/>
              <w:bottom w:val="single" w:sz="4" w:space="0" w:color="auto"/>
              <w:right w:val="single" w:sz="4" w:space="0" w:color="auto"/>
            </w:tcBorders>
            <w:shd w:val="clear" w:color="auto" w:fill="auto"/>
            <w:noWrap/>
            <w:hideMark/>
          </w:tcPr>
          <w:p w:rsidR="001A565A" w:rsidRPr="006E4792" w:rsidRDefault="001A565A" w:rsidP="00D90275">
            <w:pPr>
              <w:keepNext/>
              <w:jc w:val="center"/>
              <w:rPr>
                <w:b/>
                <w:color w:val="000000"/>
                <w:sz w:val="20"/>
                <w:szCs w:val="20"/>
                <w:lang w:val="en-US"/>
              </w:rPr>
            </w:pPr>
          </w:p>
        </w:tc>
      </w:tr>
      <w:tr w:rsidR="009B2B92" w:rsidRPr="006E4792"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6E4792" w:rsidRDefault="009B2B92" w:rsidP="00D90275">
            <w:pPr>
              <w:keepNext/>
              <w:jc w:val="left"/>
              <w:rPr>
                <w:color w:val="000000"/>
                <w:sz w:val="20"/>
                <w:szCs w:val="20"/>
                <w:lang w:val="en-US"/>
              </w:rPr>
            </w:pPr>
            <w:r w:rsidRPr="006E4792">
              <w:rPr>
                <w:color w:val="000000"/>
                <w:sz w:val="20"/>
                <w:szCs w:val="20"/>
                <w:lang w:val="en-US"/>
              </w:rPr>
              <w:t>Subtotal individual projects PU foam</w:t>
            </w:r>
          </w:p>
        </w:tc>
        <w:tc>
          <w:tcPr>
            <w:tcW w:w="1350" w:type="dxa"/>
            <w:vMerge w:val="restart"/>
            <w:tcBorders>
              <w:top w:val="nil"/>
              <w:left w:val="nil"/>
              <w:right w:val="single" w:sz="4" w:space="0" w:color="auto"/>
            </w:tcBorders>
            <w:shd w:val="clear" w:color="auto" w:fill="auto"/>
            <w:noWrap/>
            <w:vAlign w:val="center"/>
            <w:hideMark/>
          </w:tcPr>
          <w:p w:rsidR="009B2B92" w:rsidRPr="006E4792" w:rsidRDefault="009B2B92" w:rsidP="00D90275">
            <w:pPr>
              <w:keepNext/>
              <w:jc w:val="left"/>
              <w:rPr>
                <w:color w:val="000000"/>
                <w:sz w:val="20"/>
                <w:szCs w:val="20"/>
                <w:lang w:val="en-US"/>
              </w:rPr>
            </w:pPr>
            <w:r>
              <w:rPr>
                <w:color w:val="000000"/>
                <w:sz w:val="20"/>
                <w:szCs w:val="20"/>
                <w:lang w:val="en-US"/>
              </w:rPr>
              <w:t>W</w:t>
            </w:r>
            <w:r w:rsidRPr="006E4792">
              <w:rPr>
                <w:color w:val="000000"/>
                <w:sz w:val="20"/>
                <w:szCs w:val="20"/>
                <w:lang w:val="en-US"/>
              </w:rPr>
              <w:t>orld Bank</w:t>
            </w: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60.53</w:t>
            </w:r>
          </w:p>
        </w:tc>
        <w:tc>
          <w:tcPr>
            <w:tcW w:w="1273"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6.66</w:t>
            </w:r>
          </w:p>
        </w:tc>
        <w:tc>
          <w:tcPr>
            <w:tcW w:w="1389"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547,574</w:t>
            </w:r>
          </w:p>
        </w:tc>
        <w:tc>
          <w:tcPr>
            <w:tcW w:w="1055"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9.05</w:t>
            </w:r>
          </w:p>
        </w:tc>
      </w:tr>
      <w:tr w:rsidR="009B2B92" w:rsidRPr="006E4792" w:rsidTr="0077417A">
        <w:trPr>
          <w:trHeight w:val="161"/>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6E4792" w:rsidRDefault="009B2B92" w:rsidP="00D90275">
            <w:pPr>
              <w:keepNext/>
              <w:jc w:val="left"/>
              <w:rPr>
                <w:color w:val="000000"/>
                <w:sz w:val="20"/>
                <w:szCs w:val="20"/>
                <w:lang w:val="en-US"/>
              </w:rPr>
            </w:pPr>
            <w:r w:rsidRPr="006E4792">
              <w:rPr>
                <w:color w:val="000000"/>
                <w:sz w:val="20"/>
                <w:szCs w:val="20"/>
                <w:lang w:val="en-US"/>
              </w:rPr>
              <w:t xml:space="preserve">Subtotal </w:t>
            </w:r>
            <w:r>
              <w:rPr>
                <w:color w:val="000000"/>
                <w:sz w:val="20"/>
                <w:szCs w:val="20"/>
                <w:lang w:val="en-US"/>
              </w:rPr>
              <w:t xml:space="preserve">systems houses </w:t>
            </w:r>
            <w:r w:rsidRPr="006E4792">
              <w:rPr>
                <w:color w:val="000000"/>
                <w:sz w:val="20"/>
                <w:szCs w:val="20"/>
                <w:lang w:val="en-US"/>
              </w:rPr>
              <w:t xml:space="preserve">PU </w:t>
            </w:r>
            <w:r>
              <w:rPr>
                <w:color w:val="000000"/>
                <w:sz w:val="20"/>
                <w:szCs w:val="20"/>
                <w:lang w:val="en-US"/>
              </w:rPr>
              <w:t>foam</w:t>
            </w:r>
          </w:p>
        </w:tc>
        <w:tc>
          <w:tcPr>
            <w:tcW w:w="1350" w:type="dxa"/>
            <w:vMerge/>
            <w:tcBorders>
              <w:left w:val="nil"/>
              <w:right w:val="single" w:sz="4" w:space="0" w:color="auto"/>
            </w:tcBorders>
            <w:shd w:val="clear" w:color="auto" w:fill="auto"/>
            <w:noWrap/>
            <w:vAlign w:val="center"/>
            <w:hideMark/>
          </w:tcPr>
          <w:p w:rsidR="009B2B92" w:rsidRPr="006E4792"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467.02</w:t>
            </w:r>
          </w:p>
        </w:tc>
        <w:tc>
          <w:tcPr>
            <w:tcW w:w="1273"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51.37</w:t>
            </w:r>
          </w:p>
        </w:tc>
        <w:tc>
          <w:tcPr>
            <w:tcW w:w="1389"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4,663,827</w:t>
            </w:r>
          </w:p>
        </w:tc>
        <w:tc>
          <w:tcPr>
            <w:tcW w:w="1055"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9.99</w:t>
            </w:r>
          </w:p>
        </w:tc>
      </w:tr>
      <w:tr w:rsidR="009B2B92" w:rsidRPr="006E4792" w:rsidTr="0077417A">
        <w:trPr>
          <w:trHeight w:val="161"/>
        </w:trPr>
        <w:tc>
          <w:tcPr>
            <w:tcW w:w="3425" w:type="dxa"/>
            <w:tcBorders>
              <w:top w:val="nil"/>
              <w:left w:val="single" w:sz="4" w:space="0" w:color="auto"/>
              <w:bottom w:val="single" w:sz="4" w:space="0" w:color="auto"/>
              <w:right w:val="single" w:sz="4" w:space="0" w:color="auto"/>
            </w:tcBorders>
            <w:shd w:val="clear" w:color="auto" w:fill="auto"/>
            <w:noWrap/>
          </w:tcPr>
          <w:p w:rsidR="009B2B92" w:rsidRPr="006E4792" w:rsidRDefault="009B2B92" w:rsidP="00D90275">
            <w:pPr>
              <w:keepNext/>
              <w:jc w:val="left"/>
              <w:rPr>
                <w:color w:val="000000"/>
                <w:sz w:val="20"/>
                <w:szCs w:val="20"/>
                <w:lang w:val="en-US"/>
              </w:rPr>
            </w:pPr>
            <w:r>
              <w:rPr>
                <w:color w:val="000000"/>
                <w:sz w:val="20"/>
                <w:szCs w:val="20"/>
                <w:lang w:val="en-US"/>
              </w:rPr>
              <w:t>Non</w:t>
            </w:r>
            <w:r w:rsidRPr="001A565A">
              <w:rPr>
                <w:color w:val="000000"/>
                <w:sz w:val="20"/>
                <w:szCs w:val="20"/>
                <w:lang w:val="en-US"/>
              </w:rPr>
              <w:t>-eligible HCFC-141b phased out in PU foam deducted from starting point</w:t>
            </w:r>
          </w:p>
        </w:tc>
        <w:tc>
          <w:tcPr>
            <w:tcW w:w="1350" w:type="dxa"/>
            <w:vMerge/>
            <w:tcBorders>
              <w:left w:val="nil"/>
              <w:right w:val="single" w:sz="4" w:space="0" w:color="auto"/>
            </w:tcBorders>
            <w:shd w:val="clear" w:color="auto" w:fill="auto"/>
            <w:noWrap/>
            <w:vAlign w:val="center"/>
          </w:tcPr>
          <w:p w:rsidR="009B2B92" w:rsidRPr="006E4792"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114.39</w:t>
            </w:r>
          </w:p>
        </w:tc>
        <w:tc>
          <w:tcPr>
            <w:tcW w:w="1273"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12.58</w:t>
            </w:r>
          </w:p>
        </w:tc>
        <w:tc>
          <w:tcPr>
            <w:tcW w:w="1389" w:type="dxa"/>
            <w:tcBorders>
              <w:top w:val="nil"/>
              <w:left w:val="nil"/>
              <w:bottom w:val="single" w:sz="4" w:space="0" w:color="auto"/>
              <w:right w:val="single" w:sz="4" w:space="0" w:color="auto"/>
            </w:tcBorders>
            <w:shd w:val="clear" w:color="auto" w:fill="auto"/>
            <w:noWrap/>
            <w:vAlign w:val="bottom"/>
          </w:tcPr>
          <w:p w:rsidR="009B2B92" w:rsidRPr="009B2B92" w:rsidRDefault="00D90275" w:rsidP="00D90275">
            <w:pPr>
              <w:keepNext/>
              <w:jc w:val="right"/>
              <w:rPr>
                <w:color w:val="000000"/>
                <w:sz w:val="20"/>
                <w:szCs w:val="20"/>
              </w:rPr>
            </w:pPr>
            <w:r>
              <w:rPr>
                <w:color w:val="000000"/>
                <w:sz w:val="20"/>
                <w:szCs w:val="20"/>
              </w:rPr>
              <w:t>0</w:t>
            </w:r>
          </w:p>
        </w:tc>
        <w:tc>
          <w:tcPr>
            <w:tcW w:w="1055" w:type="dxa"/>
            <w:tcBorders>
              <w:top w:val="nil"/>
              <w:left w:val="nil"/>
              <w:bottom w:val="single" w:sz="4" w:space="0" w:color="auto"/>
              <w:right w:val="single" w:sz="4" w:space="0" w:color="auto"/>
            </w:tcBorders>
            <w:shd w:val="clear" w:color="auto" w:fill="auto"/>
            <w:noWrap/>
            <w:vAlign w:val="bottom"/>
          </w:tcPr>
          <w:p w:rsidR="009B2B92" w:rsidRPr="009B2B92" w:rsidRDefault="00D90275" w:rsidP="00D90275">
            <w:pPr>
              <w:keepNext/>
              <w:jc w:val="right"/>
              <w:rPr>
                <w:color w:val="000000"/>
                <w:sz w:val="20"/>
                <w:szCs w:val="20"/>
              </w:rPr>
            </w:pPr>
            <w:r>
              <w:rPr>
                <w:color w:val="000000"/>
                <w:sz w:val="20"/>
                <w:szCs w:val="20"/>
              </w:rPr>
              <w:t>0</w:t>
            </w:r>
          </w:p>
        </w:tc>
      </w:tr>
      <w:tr w:rsidR="009B2B92" w:rsidRPr="006E4792"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6E4792" w:rsidRDefault="009B2B92" w:rsidP="00D90275">
            <w:pPr>
              <w:keepNext/>
              <w:jc w:val="left"/>
              <w:rPr>
                <w:color w:val="000000"/>
                <w:sz w:val="20"/>
                <w:szCs w:val="20"/>
                <w:lang w:val="en-US"/>
              </w:rPr>
            </w:pPr>
            <w:r w:rsidRPr="006E4792">
              <w:rPr>
                <w:color w:val="000000"/>
                <w:sz w:val="20"/>
                <w:szCs w:val="20"/>
                <w:lang w:val="en-US"/>
              </w:rPr>
              <w:t>Subtotal XPS foam</w:t>
            </w:r>
          </w:p>
        </w:tc>
        <w:tc>
          <w:tcPr>
            <w:tcW w:w="1350" w:type="dxa"/>
            <w:vMerge/>
            <w:tcBorders>
              <w:left w:val="nil"/>
              <w:right w:val="single" w:sz="4" w:space="0" w:color="auto"/>
            </w:tcBorders>
            <w:shd w:val="clear" w:color="auto" w:fill="auto"/>
            <w:noWrap/>
            <w:vAlign w:val="center"/>
            <w:hideMark/>
          </w:tcPr>
          <w:p w:rsidR="009B2B92" w:rsidRPr="006E4792"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57.30</w:t>
            </w:r>
          </w:p>
        </w:tc>
        <w:tc>
          <w:tcPr>
            <w:tcW w:w="1273"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3.42</w:t>
            </w:r>
          </w:p>
        </w:tc>
        <w:tc>
          <w:tcPr>
            <w:tcW w:w="1389"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348,767</w:t>
            </w:r>
          </w:p>
        </w:tc>
        <w:tc>
          <w:tcPr>
            <w:tcW w:w="1055"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color w:val="000000"/>
                <w:sz w:val="20"/>
                <w:szCs w:val="20"/>
              </w:rPr>
            </w:pPr>
            <w:r w:rsidRPr="009B2B92">
              <w:rPr>
                <w:color w:val="000000"/>
                <w:sz w:val="20"/>
                <w:szCs w:val="20"/>
              </w:rPr>
              <w:t>6.09</w:t>
            </w:r>
          </w:p>
        </w:tc>
      </w:tr>
      <w:tr w:rsidR="009B2B92" w:rsidRPr="006E4792"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6E4792" w:rsidRDefault="009B2B92" w:rsidP="00D90275">
            <w:pPr>
              <w:keepNext/>
              <w:jc w:val="left"/>
              <w:rPr>
                <w:b/>
                <w:color w:val="000000"/>
                <w:sz w:val="20"/>
                <w:szCs w:val="20"/>
                <w:lang w:val="en-US"/>
              </w:rPr>
            </w:pPr>
            <w:r w:rsidRPr="006E4792">
              <w:rPr>
                <w:b/>
                <w:color w:val="000000"/>
                <w:sz w:val="20"/>
                <w:szCs w:val="20"/>
                <w:lang w:val="en-US"/>
              </w:rPr>
              <w:t>Sub-total PU and XPS foam</w:t>
            </w:r>
          </w:p>
        </w:tc>
        <w:tc>
          <w:tcPr>
            <w:tcW w:w="1350" w:type="dxa"/>
            <w:vMerge/>
            <w:tcBorders>
              <w:left w:val="nil"/>
              <w:bottom w:val="single" w:sz="4" w:space="0" w:color="auto"/>
              <w:right w:val="single" w:sz="4" w:space="0" w:color="auto"/>
            </w:tcBorders>
            <w:shd w:val="clear" w:color="auto" w:fill="auto"/>
            <w:noWrap/>
            <w:vAlign w:val="center"/>
            <w:hideMark/>
          </w:tcPr>
          <w:p w:rsidR="009B2B92" w:rsidRPr="006E4792" w:rsidRDefault="009B2B92" w:rsidP="00D90275">
            <w:pPr>
              <w:keepNext/>
              <w:jc w:val="left"/>
              <w:rPr>
                <w:b/>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b/>
                <w:bCs/>
                <w:color w:val="000000"/>
                <w:sz w:val="20"/>
                <w:szCs w:val="20"/>
              </w:rPr>
            </w:pPr>
            <w:r w:rsidRPr="009B2B92">
              <w:rPr>
                <w:b/>
                <w:bCs/>
                <w:color w:val="000000"/>
                <w:sz w:val="20"/>
                <w:szCs w:val="20"/>
              </w:rPr>
              <w:t>699.24</w:t>
            </w:r>
          </w:p>
        </w:tc>
        <w:tc>
          <w:tcPr>
            <w:tcW w:w="1273"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b/>
                <w:bCs/>
                <w:color w:val="000000"/>
                <w:sz w:val="20"/>
                <w:szCs w:val="20"/>
              </w:rPr>
            </w:pPr>
            <w:r w:rsidRPr="009B2B92">
              <w:rPr>
                <w:b/>
                <w:bCs/>
                <w:color w:val="000000"/>
                <w:sz w:val="20"/>
                <w:szCs w:val="20"/>
              </w:rPr>
              <w:t>74.03</w:t>
            </w:r>
          </w:p>
        </w:tc>
        <w:tc>
          <w:tcPr>
            <w:tcW w:w="1389" w:type="dxa"/>
            <w:tcBorders>
              <w:top w:val="nil"/>
              <w:left w:val="nil"/>
              <w:bottom w:val="single" w:sz="4" w:space="0" w:color="auto"/>
              <w:right w:val="single" w:sz="4" w:space="0" w:color="auto"/>
            </w:tcBorders>
            <w:shd w:val="clear" w:color="auto" w:fill="auto"/>
            <w:noWrap/>
            <w:vAlign w:val="bottom"/>
          </w:tcPr>
          <w:p w:rsidR="009B2B92" w:rsidRPr="009B2B92" w:rsidRDefault="009B2B92" w:rsidP="00D90275">
            <w:pPr>
              <w:keepNext/>
              <w:jc w:val="right"/>
              <w:rPr>
                <w:b/>
                <w:bCs/>
                <w:color w:val="000000"/>
                <w:sz w:val="20"/>
                <w:szCs w:val="20"/>
              </w:rPr>
            </w:pPr>
            <w:r w:rsidRPr="009B2B92">
              <w:rPr>
                <w:b/>
                <w:bCs/>
                <w:color w:val="000000"/>
                <w:sz w:val="20"/>
                <w:szCs w:val="20"/>
              </w:rPr>
              <w:t>5,560,168</w:t>
            </w:r>
          </w:p>
        </w:tc>
        <w:tc>
          <w:tcPr>
            <w:tcW w:w="1055" w:type="dxa"/>
            <w:tcBorders>
              <w:top w:val="nil"/>
              <w:left w:val="nil"/>
              <w:bottom w:val="single" w:sz="4" w:space="0" w:color="auto"/>
              <w:right w:val="single" w:sz="4" w:space="0" w:color="auto"/>
            </w:tcBorders>
            <w:shd w:val="clear" w:color="auto" w:fill="auto"/>
            <w:noWrap/>
            <w:vAlign w:val="bottom"/>
          </w:tcPr>
          <w:p w:rsidR="009B2B92" w:rsidRPr="009B2B92" w:rsidRDefault="00497C62" w:rsidP="00D90275">
            <w:pPr>
              <w:keepNext/>
              <w:jc w:val="right"/>
              <w:rPr>
                <w:b/>
                <w:bCs/>
                <w:color w:val="000000"/>
                <w:sz w:val="20"/>
                <w:szCs w:val="20"/>
              </w:rPr>
            </w:pPr>
            <w:r>
              <w:rPr>
                <w:b/>
                <w:bCs/>
                <w:color w:val="000000"/>
                <w:sz w:val="20"/>
                <w:szCs w:val="20"/>
              </w:rPr>
              <w:t>*</w:t>
            </w:r>
            <w:r w:rsidR="009B2B92" w:rsidRPr="009B2B92">
              <w:rPr>
                <w:b/>
                <w:bCs/>
                <w:color w:val="000000"/>
                <w:sz w:val="20"/>
                <w:szCs w:val="20"/>
              </w:rPr>
              <w:t>9.51</w:t>
            </w:r>
          </w:p>
        </w:tc>
      </w:tr>
      <w:tr w:rsidR="009B2B92" w:rsidRPr="006E4792"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CE0389" w:rsidRDefault="00C37908" w:rsidP="00D90275">
            <w:pPr>
              <w:keepNext/>
              <w:jc w:val="left"/>
              <w:rPr>
                <w:color w:val="000000"/>
                <w:sz w:val="20"/>
                <w:szCs w:val="20"/>
                <w:lang w:val="en-US"/>
              </w:rPr>
            </w:pPr>
            <w:r w:rsidRPr="00CE0389">
              <w:rPr>
                <w:color w:val="000000"/>
                <w:sz w:val="20"/>
                <w:szCs w:val="20"/>
                <w:lang w:val="en-US"/>
              </w:rPr>
              <w:t>Training and equipment for technicians</w:t>
            </w:r>
          </w:p>
        </w:tc>
        <w:tc>
          <w:tcPr>
            <w:tcW w:w="1350" w:type="dxa"/>
            <w:vMerge w:val="restart"/>
            <w:tcBorders>
              <w:top w:val="nil"/>
              <w:left w:val="nil"/>
              <w:right w:val="single" w:sz="4" w:space="0" w:color="auto"/>
            </w:tcBorders>
            <w:shd w:val="clear" w:color="auto" w:fill="auto"/>
            <w:noWrap/>
            <w:vAlign w:val="center"/>
            <w:hideMark/>
          </w:tcPr>
          <w:p w:rsidR="009B2B92" w:rsidRPr="0077417A" w:rsidRDefault="009B2B92" w:rsidP="00D90275">
            <w:pPr>
              <w:keepNext/>
              <w:jc w:val="left"/>
              <w:rPr>
                <w:color w:val="000000"/>
                <w:sz w:val="20"/>
                <w:szCs w:val="20"/>
                <w:lang w:val="en-US"/>
              </w:rPr>
            </w:pPr>
            <w:r w:rsidRPr="0077417A">
              <w:rPr>
                <w:color w:val="000000"/>
                <w:sz w:val="20"/>
                <w:szCs w:val="20"/>
                <w:lang w:val="en-US"/>
              </w:rPr>
              <w:t>UNIDO/ Italy</w:t>
            </w: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546.73</w:t>
            </w:r>
          </w:p>
        </w:tc>
        <w:tc>
          <w:tcPr>
            <w:tcW w:w="1273"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30.07</w:t>
            </w:r>
          </w:p>
        </w:tc>
        <w:tc>
          <w:tcPr>
            <w:tcW w:w="1389"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2,624,070</w:t>
            </w:r>
          </w:p>
        </w:tc>
        <w:tc>
          <w:tcPr>
            <w:tcW w:w="1055"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4.80</w:t>
            </w:r>
          </w:p>
        </w:tc>
      </w:tr>
      <w:tr w:rsidR="009B2B92" w:rsidRPr="006E4792" w:rsidTr="0077417A">
        <w:trPr>
          <w:trHeight w:val="107"/>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CE0389" w:rsidRDefault="00F46AE0" w:rsidP="00D90275">
            <w:pPr>
              <w:keepNext/>
              <w:jc w:val="left"/>
              <w:rPr>
                <w:color w:val="000000"/>
                <w:sz w:val="20"/>
                <w:szCs w:val="20"/>
                <w:lang w:val="en-US"/>
              </w:rPr>
            </w:pPr>
            <w:r w:rsidRPr="00CE0389">
              <w:rPr>
                <w:color w:val="000000"/>
                <w:sz w:val="20"/>
                <w:szCs w:val="20"/>
                <w:lang w:val="en-US"/>
              </w:rPr>
              <w:t xml:space="preserve">Technicians </w:t>
            </w:r>
            <w:r w:rsidR="009B2B92" w:rsidRPr="00CE0389">
              <w:rPr>
                <w:color w:val="000000"/>
                <w:sz w:val="20"/>
                <w:szCs w:val="20"/>
                <w:lang w:val="en-US"/>
              </w:rPr>
              <w:t>certif</w:t>
            </w:r>
            <w:r w:rsidRPr="00CE0389">
              <w:rPr>
                <w:color w:val="000000"/>
                <w:sz w:val="20"/>
                <w:szCs w:val="20"/>
                <w:lang w:val="en-US"/>
              </w:rPr>
              <w:t xml:space="preserve">ication </w:t>
            </w:r>
          </w:p>
        </w:tc>
        <w:tc>
          <w:tcPr>
            <w:tcW w:w="1350" w:type="dxa"/>
            <w:vMerge/>
            <w:tcBorders>
              <w:left w:val="nil"/>
              <w:right w:val="single" w:sz="4" w:space="0" w:color="auto"/>
            </w:tcBorders>
            <w:shd w:val="clear" w:color="auto" w:fill="auto"/>
            <w:noWrap/>
            <w:vAlign w:val="center"/>
            <w:hideMark/>
          </w:tcPr>
          <w:p w:rsidR="009B2B92" w:rsidRPr="0077417A"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82.55</w:t>
            </w:r>
          </w:p>
        </w:tc>
        <w:tc>
          <w:tcPr>
            <w:tcW w:w="1273"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4.54</w:t>
            </w:r>
          </w:p>
        </w:tc>
        <w:tc>
          <w:tcPr>
            <w:tcW w:w="1389"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396,000</w:t>
            </w:r>
          </w:p>
        </w:tc>
        <w:tc>
          <w:tcPr>
            <w:tcW w:w="1055"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4.80</w:t>
            </w:r>
          </w:p>
        </w:tc>
      </w:tr>
      <w:tr w:rsidR="009B2B92" w:rsidRPr="006E4792"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CE0389" w:rsidRDefault="00CE0389" w:rsidP="00D90275">
            <w:pPr>
              <w:keepNext/>
              <w:jc w:val="left"/>
              <w:rPr>
                <w:color w:val="000000"/>
                <w:sz w:val="20"/>
                <w:szCs w:val="20"/>
                <w:lang w:val="en-US"/>
              </w:rPr>
            </w:pPr>
            <w:r w:rsidRPr="00CE0389">
              <w:rPr>
                <w:color w:val="000000"/>
                <w:sz w:val="20"/>
                <w:szCs w:val="20"/>
                <w:lang w:val="en-US"/>
              </w:rPr>
              <w:t>TA for supermarkets</w:t>
            </w:r>
          </w:p>
        </w:tc>
        <w:tc>
          <w:tcPr>
            <w:tcW w:w="1350" w:type="dxa"/>
            <w:vMerge/>
            <w:tcBorders>
              <w:left w:val="nil"/>
              <w:right w:val="single" w:sz="4" w:space="0" w:color="auto"/>
            </w:tcBorders>
            <w:shd w:val="clear" w:color="auto" w:fill="auto"/>
            <w:noWrap/>
            <w:vAlign w:val="center"/>
            <w:hideMark/>
          </w:tcPr>
          <w:p w:rsidR="009B2B92" w:rsidRPr="0077417A"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98.18</w:t>
            </w:r>
          </w:p>
        </w:tc>
        <w:tc>
          <w:tcPr>
            <w:tcW w:w="1273"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5.40</w:t>
            </w:r>
          </w:p>
        </w:tc>
        <w:tc>
          <w:tcPr>
            <w:tcW w:w="1389"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471,000</w:t>
            </w:r>
          </w:p>
        </w:tc>
        <w:tc>
          <w:tcPr>
            <w:tcW w:w="1055" w:type="dxa"/>
            <w:tcBorders>
              <w:top w:val="nil"/>
              <w:left w:val="nil"/>
              <w:bottom w:val="single" w:sz="4" w:space="0" w:color="auto"/>
              <w:right w:val="single" w:sz="4" w:space="0" w:color="auto"/>
            </w:tcBorders>
            <w:shd w:val="clear" w:color="auto" w:fill="auto"/>
            <w:noWrap/>
            <w:vAlign w:val="bottom"/>
          </w:tcPr>
          <w:p w:rsidR="009B2B92" w:rsidRDefault="009B2B92" w:rsidP="00D90275">
            <w:pPr>
              <w:keepNext/>
              <w:jc w:val="right"/>
              <w:rPr>
                <w:color w:val="000000"/>
                <w:sz w:val="20"/>
                <w:szCs w:val="20"/>
              </w:rPr>
            </w:pPr>
            <w:r>
              <w:rPr>
                <w:color w:val="000000"/>
                <w:sz w:val="20"/>
                <w:szCs w:val="20"/>
              </w:rPr>
              <w:t>4.80</w:t>
            </w:r>
          </w:p>
        </w:tc>
      </w:tr>
      <w:tr w:rsidR="009B2B92" w:rsidRPr="000B2541" w:rsidTr="0077417A">
        <w:trPr>
          <w:trHeight w:val="80"/>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0B2541" w:rsidRDefault="00C86FE2" w:rsidP="00D90275">
            <w:pPr>
              <w:keepNext/>
              <w:jc w:val="left"/>
              <w:rPr>
                <w:color w:val="000000"/>
                <w:sz w:val="20"/>
                <w:szCs w:val="20"/>
                <w:lang w:val="en-US"/>
              </w:rPr>
            </w:pPr>
            <w:r w:rsidRPr="000B2541">
              <w:rPr>
                <w:color w:val="000000"/>
                <w:sz w:val="20"/>
                <w:szCs w:val="20"/>
                <w:lang w:val="en-US"/>
              </w:rPr>
              <w:t>Public</w:t>
            </w:r>
            <w:r w:rsidR="009B2B92" w:rsidRPr="000B2541">
              <w:rPr>
                <w:color w:val="000000"/>
                <w:sz w:val="20"/>
                <w:szCs w:val="20"/>
                <w:lang w:val="en-US"/>
              </w:rPr>
              <w:t xml:space="preserve"> awareness</w:t>
            </w:r>
          </w:p>
        </w:tc>
        <w:tc>
          <w:tcPr>
            <w:tcW w:w="1350" w:type="dxa"/>
            <w:vMerge/>
            <w:tcBorders>
              <w:left w:val="nil"/>
              <w:right w:val="single" w:sz="4" w:space="0" w:color="auto"/>
            </w:tcBorders>
            <w:shd w:val="clear" w:color="auto" w:fill="auto"/>
            <w:noWrap/>
            <w:vAlign w:val="center"/>
            <w:hideMark/>
          </w:tcPr>
          <w:p w:rsidR="009B2B92" w:rsidRPr="000B2541" w:rsidRDefault="009B2B92" w:rsidP="00D90275">
            <w:pPr>
              <w:keepNext/>
              <w:jc w:val="left"/>
              <w:rPr>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color w:val="000000"/>
                <w:sz w:val="20"/>
                <w:szCs w:val="20"/>
              </w:rPr>
            </w:pPr>
            <w:r w:rsidRPr="000B2541">
              <w:rPr>
                <w:color w:val="000000"/>
                <w:sz w:val="20"/>
                <w:szCs w:val="20"/>
              </w:rPr>
              <w:t>20.91</w:t>
            </w:r>
          </w:p>
        </w:tc>
        <w:tc>
          <w:tcPr>
            <w:tcW w:w="1273" w:type="dxa"/>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color w:val="000000"/>
                <w:sz w:val="20"/>
                <w:szCs w:val="20"/>
              </w:rPr>
            </w:pPr>
            <w:r w:rsidRPr="000B2541">
              <w:rPr>
                <w:color w:val="000000"/>
                <w:sz w:val="20"/>
                <w:szCs w:val="20"/>
              </w:rPr>
              <w:t>1.15</w:t>
            </w:r>
          </w:p>
        </w:tc>
        <w:tc>
          <w:tcPr>
            <w:tcW w:w="1389" w:type="dxa"/>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color w:val="000000"/>
                <w:sz w:val="20"/>
                <w:szCs w:val="20"/>
              </w:rPr>
            </w:pPr>
            <w:r w:rsidRPr="000B2541">
              <w:rPr>
                <w:color w:val="000000"/>
                <w:sz w:val="20"/>
                <w:szCs w:val="20"/>
              </w:rPr>
              <w:t>100,000</w:t>
            </w:r>
          </w:p>
        </w:tc>
        <w:tc>
          <w:tcPr>
            <w:tcW w:w="1055" w:type="dxa"/>
            <w:tcBorders>
              <w:top w:val="nil"/>
              <w:left w:val="nil"/>
              <w:bottom w:val="single" w:sz="4" w:space="0" w:color="auto"/>
              <w:right w:val="single" w:sz="4" w:space="0" w:color="auto"/>
            </w:tcBorders>
            <w:shd w:val="clear" w:color="auto" w:fill="auto"/>
            <w:noWrap/>
            <w:vAlign w:val="bottom"/>
          </w:tcPr>
          <w:p w:rsidR="009B2B92" w:rsidRPr="000B2541" w:rsidRDefault="00BA15FF" w:rsidP="00D90275">
            <w:pPr>
              <w:keepNext/>
              <w:jc w:val="right"/>
              <w:rPr>
                <w:color w:val="000000"/>
                <w:sz w:val="20"/>
                <w:szCs w:val="20"/>
              </w:rPr>
            </w:pPr>
            <w:r w:rsidRPr="000B2541">
              <w:rPr>
                <w:color w:val="000000"/>
                <w:sz w:val="20"/>
                <w:szCs w:val="20"/>
              </w:rPr>
              <w:t>4.78</w:t>
            </w:r>
          </w:p>
        </w:tc>
      </w:tr>
      <w:tr w:rsidR="009B2B92" w:rsidRPr="000B2541" w:rsidTr="0077417A">
        <w:trPr>
          <w:trHeight w:val="197"/>
        </w:trPr>
        <w:tc>
          <w:tcPr>
            <w:tcW w:w="3425" w:type="dxa"/>
            <w:tcBorders>
              <w:top w:val="nil"/>
              <w:left w:val="single" w:sz="4" w:space="0" w:color="auto"/>
              <w:bottom w:val="single" w:sz="4" w:space="0" w:color="auto"/>
              <w:right w:val="single" w:sz="4" w:space="0" w:color="auto"/>
            </w:tcBorders>
            <w:shd w:val="clear" w:color="auto" w:fill="auto"/>
            <w:noWrap/>
            <w:hideMark/>
          </w:tcPr>
          <w:p w:rsidR="009B2B92" w:rsidRPr="000B2541" w:rsidRDefault="009B2B92" w:rsidP="00D90275">
            <w:pPr>
              <w:keepNext/>
              <w:jc w:val="left"/>
              <w:rPr>
                <w:b/>
                <w:bCs/>
                <w:color w:val="000000"/>
                <w:sz w:val="20"/>
                <w:szCs w:val="20"/>
                <w:lang w:val="en-US"/>
              </w:rPr>
            </w:pPr>
            <w:r w:rsidRPr="000B2541">
              <w:rPr>
                <w:b/>
                <w:bCs/>
                <w:color w:val="000000"/>
                <w:sz w:val="20"/>
                <w:szCs w:val="20"/>
                <w:lang w:val="en-US"/>
              </w:rPr>
              <w:t xml:space="preserve">Subtotal </w:t>
            </w:r>
            <w:r w:rsidR="00F46AE0" w:rsidRPr="000B2541">
              <w:rPr>
                <w:b/>
                <w:bCs/>
                <w:color w:val="000000"/>
                <w:sz w:val="20"/>
                <w:szCs w:val="20"/>
                <w:lang w:val="en-US"/>
              </w:rPr>
              <w:t xml:space="preserve">refrigeration </w:t>
            </w:r>
            <w:r w:rsidRPr="000B2541">
              <w:rPr>
                <w:b/>
                <w:bCs/>
                <w:color w:val="000000"/>
                <w:sz w:val="20"/>
                <w:szCs w:val="20"/>
                <w:lang w:val="en-US"/>
              </w:rPr>
              <w:t>servicing</w:t>
            </w:r>
          </w:p>
        </w:tc>
        <w:tc>
          <w:tcPr>
            <w:tcW w:w="1350" w:type="dxa"/>
            <w:vMerge/>
            <w:tcBorders>
              <w:left w:val="nil"/>
              <w:bottom w:val="single" w:sz="4" w:space="0" w:color="auto"/>
              <w:right w:val="single" w:sz="4" w:space="0" w:color="auto"/>
            </w:tcBorders>
            <w:shd w:val="clear" w:color="auto" w:fill="auto"/>
            <w:noWrap/>
            <w:vAlign w:val="center"/>
            <w:hideMark/>
          </w:tcPr>
          <w:p w:rsidR="009B2B92" w:rsidRPr="000B2541" w:rsidRDefault="009B2B92" w:rsidP="00D90275">
            <w:pPr>
              <w:keepNext/>
              <w:jc w:val="left"/>
              <w:rPr>
                <w:b/>
                <w:bCs/>
                <w:color w:val="000000"/>
                <w:sz w:val="20"/>
                <w:szCs w:val="20"/>
                <w:lang w:val="en-US"/>
              </w:rPr>
            </w:pPr>
          </w:p>
        </w:tc>
        <w:tc>
          <w:tcPr>
            <w:tcW w:w="981" w:type="dxa"/>
            <w:gridSpan w:val="2"/>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b/>
                <w:bCs/>
                <w:color w:val="000000"/>
                <w:sz w:val="20"/>
                <w:szCs w:val="20"/>
              </w:rPr>
            </w:pPr>
            <w:r w:rsidRPr="000B2541">
              <w:rPr>
                <w:b/>
                <w:bCs/>
                <w:color w:val="000000"/>
                <w:sz w:val="20"/>
                <w:szCs w:val="20"/>
              </w:rPr>
              <w:t>748.36</w:t>
            </w:r>
          </w:p>
        </w:tc>
        <w:tc>
          <w:tcPr>
            <w:tcW w:w="1273" w:type="dxa"/>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b/>
                <w:bCs/>
                <w:color w:val="000000"/>
                <w:sz w:val="20"/>
                <w:szCs w:val="20"/>
              </w:rPr>
            </w:pPr>
            <w:r w:rsidRPr="000B2541">
              <w:rPr>
                <w:b/>
                <w:bCs/>
                <w:color w:val="000000"/>
                <w:sz w:val="20"/>
                <w:szCs w:val="20"/>
              </w:rPr>
              <w:t>41.16</w:t>
            </w:r>
          </w:p>
        </w:tc>
        <w:tc>
          <w:tcPr>
            <w:tcW w:w="1389" w:type="dxa"/>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b/>
                <w:bCs/>
                <w:color w:val="000000"/>
                <w:sz w:val="20"/>
                <w:szCs w:val="20"/>
              </w:rPr>
            </w:pPr>
            <w:r w:rsidRPr="000B2541">
              <w:rPr>
                <w:b/>
                <w:bCs/>
                <w:color w:val="000000"/>
                <w:sz w:val="20"/>
                <w:szCs w:val="20"/>
              </w:rPr>
              <w:t>3,591,070</w:t>
            </w:r>
          </w:p>
        </w:tc>
        <w:tc>
          <w:tcPr>
            <w:tcW w:w="1055" w:type="dxa"/>
            <w:tcBorders>
              <w:top w:val="nil"/>
              <w:left w:val="nil"/>
              <w:bottom w:val="single" w:sz="4" w:space="0" w:color="auto"/>
              <w:right w:val="single" w:sz="4" w:space="0" w:color="auto"/>
            </w:tcBorders>
            <w:shd w:val="clear" w:color="auto" w:fill="auto"/>
            <w:noWrap/>
            <w:vAlign w:val="bottom"/>
          </w:tcPr>
          <w:p w:rsidR="009B2B92" w:rsidRPr="000B2541" w:rsidRDefault="009B2B92" w:rsidP="00D90275">
            <w:pPr>
              <w:keepNext/>
              <w:jc w:val="right"/>
              <w:rPr>
                <w:b/>
                <w:bCs/>
                <w:color w:val="000000"/>
                <w:sz w:val="20"/>
                <w:szCs w:val="20"/>
              </w:rPr>
            </w:pPr>
            <w:r w:rsidRPr="000B2541">
              <w:rPr>
                <w:b/>
                <w:bCs/>
                <w:color w:val="000000"/>
                <w:sz w:val="20"/>
                <w:szCs w:val="20"/>
              </w:rPr>
              <w:t>4.80</w:t>
            </w:r>
          </w:p>
        </w:tc>
      </w:tr>
      <w:tr w:rsidR="00D90275" w:rsidRPr="000B2541" w:rsidTr="0077417A">
        <w:trPr>
          <w:trHeight w:val="233"/>
        </w:trPr>
        <w:tc>
          <w:tcPr>
            <w:tcW w:w="3425" w:type="dxa"/>
            <w:tcBorders>
              <w:top w:val="nil"/>
              <w:left w:val="single" w:sz="4" w:space="0" w:color="auto"/>
              <w:bottom w:val="single" w:sz="4" w:space="0" w:color="auto"/>
              <w:right w:val="single" w:sz="4" w:space="0" w:color="auto"/>
            </w:tcBorders>
            <w:shd w:val="clear" w:color="auto" w:fill="auto"/>
            <w:noWrap/>
            <w:hideMark/>
          </w:tcPr>
          <w:p w:rsidR="00D90275" w:rsidRPr="000B2541" w:rsidRDefault="00D90275" w:rsidP="00D90275">
            <w:pPr>
              <w:keepNext/>
              <w:jc w:val="left"/>
              <w:rPr>
                <w:color w:val="000000"/>
                <w:sz w:val="20"/>
                <w:szCs w:val="20"/>
                <w:lang w:val="en-US"/>
              </w:rPr>
            </w:pPr>
            <w:r w:rsidRPr="000B2541">
              <w:rPr>
                <w:color w:val="000000"/>
                <w:sz w:val="20"/>
                <w:szCs w:val="20"/>
                <w:lang w:val="en-US"/>
              </w:rPr>
              <w:t>Monitoring of HCFC-22 production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90275" w:rsidRPr="000B2541" w:rsidRDefault="00D90275" w:rsidP="00D90275">
            <w:pPr>
              <w:keepNext/>
              <w:jc w:val="left"/>
              <w:rPr>
                <w:color w:val="000000"/>
                <w:sz w:val="20"/>
                <w:szCs w:val="20"/>
                <w:lang w:val="en-US"/>
              </w:rPr>
            </w:pPr>
            <w:r w:rsidRPr="000B2541">
              <w:rPr>
                <w:color w:val="000000"/>
                <w:sz w:val="20"/>
                <w:szCs w:val="20"/>
                <w:lang w:val="en-US"/>
              </w:rPr>
              <w:t>World Bank</w:t>
            </w:r>
          </w:p>
        </w:tc>
        <w:tc>
          <w:tcPr>
            <w:tcW w:w="981" w:type="dxa"/>
            <w:gridSpan w:val="2"/>
            <w:tcBorders>
              <w:top w:val="nil"/>
              <w:left w:val="nil"/>
              <w:bottom w:val="single" w:sz="4" w:space="0" w:color="auto"/>
              <w:right w:val="single" w:sz="4" w:space="0" w:color="auto"/>
            </w:tcBorders>
            <w:shd w:val="clear" w:color="auto" w:fill="auto"/>
            <w:noWrap/>
          </w:tcPr>
          <w:p w:rsidR="00D90275" w:rsidRPr="000B2541" w:rsidRDefault="00D90275" w:rsidP="00D90275">
            <w:pPr>
              <w:keepNext/>
              <w:jc w:val="right"/>
              <w:rPr>
                <w:color w:val="000000"/>
                <w:sz w:val="20"/>
                <w:szCs w:val="20"/>
                <w:lang w:val="en-US"/>
              </w:rPr>
            </w:pPr>
            <w:r w:rsidRPr="000B2541">
              <w:rPr>
                <w:color w:val="000000"/>
                <w:sz w:val="20"/>
                <w:szCs w:val="20"/>
                <w:lang w:val="en-US"/>
              </w:rPr>
              <w:t>0</w:t>
            </w:r>
          </w:p>
        </w:tc>
        <w:tc>
          <w:tcPr>
            <w:tcW w:w="1273" w:type="dxa"/>
            <w:tcBorders>
              <w:top w:val="nil"/>
              <w:left w:val="nil"/>
              <w:bottom w:val="single" w:sz="4" w:space="0" w:color="auto"/>
              <w:right w:val="single" w:sz="4" w:space="0" w:color="auto"/>
            </w:tcBorders>
            <w:shd w:val="clear" w:color="auto" w:fill="auto"/>
            <w:noWrap/>
          </w:tcPr>
          <w:p w:rsidR="00D90275" w:rsidRPr="000B2541" w:rsidRDefault="00D90275" w:rsidP="005C026A">
            <w:pPr>
              <w:keepNext/>
              <w:jc w:val="right"/>
              <w:rPr>
                <w:color w:val="000000"/>
                <w:sz w:val="20"/>
                <w:szCs w:val="20"/>
                <w:lang w:val="en-US"/>
              </w:rPr>
            </w:pPr>
            <w:r w:rsidRPr="000B2541">
              <w:rPr>
                <w:color w:val="000000"/>
                <w:sz w:val="20"/>
                <w:szCs w:val="20"/>
                <w:lang w:val="en-US"/>
              </w:rPr>
              <w:t>0</w:t>
            </w:r>
          </w:p>
        </w:tc>
        <w:tc>
          <w:tcPr>
            <w:tcW w:w="1389" w:type="dxa"/>
            <w:tcBorders>
              <w:top w:val="nil"/>
              <w:left w:val="nil"/>
              <w:bottom w:val="single" w:sz="4" w:space="0" w:color="auto"/>
              <w:right w:val="single" w:sz="4" w:space="0" w:color="auto"/>
            </w:tcBorders>
            <w:shd w:val="clear" w:color="auto" w:fill="auto"/>
            <w:noWrap/>
            <w:vAlign w:val="bottom"/>
          </w:tcPr>
          <w:p w:rsidR="00D90275" w:rsidRPr="000B2541" w:rsidRDefault="00D90275" w:rsidP="00D90275">
            <w:pPr>
              <w:keepNext/>
              <w:jc w:val="right"/>
              <w:rPr>
                <w:color w:val="000000"/>
                <w:sz w:val="20"/>
                <w:szCs w:val="20"/>
              </w:rPr>
            </w:pPr>
            <w:r w:rsidRPr="000B2541">
              <w:rPr>
                <w:color w:val="000000"/>
                <w:sz w:val="20"/>
                <w:szCs w:val="20"/>
              </w:rPr>
              <w:t>50,000</w:t>
            </w:r>
          </w:p>
        </w:tc>
        <w:tc>
          <w:tcPr>
            <w:tcW w:w="1055" w:type="dxa"/>
            <w:tcBorders>
              <w:top w:val="nil"/>
              <w:left w:val="nil"/>
              <w:bottom w:val="single" w:sz="4" w:space="0" w:color="auto"/>
              <w:right w:val="single" w:sz="4" w:space="0" w:color="auto"/>
            </w:tcBorders>
            <w:shd w:val="clear" w:color="auto" w:fill="auto"/>
            <w:noWrap/>
          </w:tcPr>
          <w:p w:rsidR="00D90275" w:rsidRPr="000B2541" w:rsidRDefault="00D90275" w:rsidP="005C026A">
            <w:pPr>
              <w:keepNext/>
              <w:jc w:val="right"/>
              <w:rPr>
                <w:color w:val="000000"/>
                <w:sz w:val="20"/>
                <w:szCs w:val="20"/>
                <w:lang w:val="en-US"/>
              </w:rPr>
            </w:pPr>
            <w:r w:rsidRPr="000B2541">
              <w:rPr>
                <w:color w:val="000000"/>
                <w:sz w:val="20"/>
                <w:szCs w:val="20"/>
                <w:lang w:val="en-US"/>
              </w:rPr>
              <w:t>0</w:t>
            </w:r>
          </w:p>
        </w:tc>
      </w:tr>
      <w:tr w:rsidR="00D90275" w:rsidRPr="000B2541" w:rsidTr="0077417A">
        <w:trPr>
          <w:trHeight w:val="170"/>
        </w:trPr>
        <w:tc>
          <w:tcPr>
            <w:tcW w:w="3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90275" w:rsidRPr="000B2541" w:rsidRDefault="00D90275" w:rsidP="001A565A">
            <w:pPr>
              <w:jc w:val="left"/>
              <w:rPr>
                <w:color w:val="000000"/>
                <w:sz w:val="20"/>
                <w:szCs w:val="20"/>
                <w:lang w:val="en-US"/>
              </w:rPr>
            </w:pPr>
            <w:r w:rsidRPr="000B2541">
              <w:rPr>
                <w:color w:val="000000"/>
                <w:sz w:val="20"/>
                <w:szCs w:val="20"/>
                <w:lang w:val="en-US"/>
              </w:rPr>
              <w:t xml:space="preserve">PMU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90275" w:rsidRPr="000B2541" w:rsidRDefault="00D90275" w:rsidP="001A565A">
            <w:pPr>
              <w:jc w:val="left"/>
              <w:rPr>
                <w:color w:val="000000"/>
                <w:sz w:val="20"/>
                <w:szCs w:val="20"/>
                <w:lang w:val="en-US"/>
              </w:rPr>
            </w:pPr>
            <w:r w:rsidRPr="000B2541">
              <w:rPr>
                <w:color w:val="000000"/>
                <w:sz w:val="20"/>
                <w:szCs w:val="20"/>
                <w:lang w:val="en-US"/>
              </w:rPr>
              <w:t>World Bank</w:t>
            </w:r>
          </w:p>
        </w:tc>
        <w:tc>
          <w:tcPr>
            <w:tcW w:w="981" w:type="dxa"/>
            <w:gridSpan w:val="2"/>
            <w:tcBorders>
              <w:top w:val="nil"/>
              <w:left w:val="nil"/>
              <w:bottom w:val="single" w:sz="4" w:space="0" w:color="auto"/>
              <w:right w:val="single" w:sz="4" w:space="0" w:color="auto"/>
            </w:tcBorders>
            <w:shd w:val="clear" w:color="auto" w:fill="auto"/>
            <w:noWrap/>
          </w:tcPr>
          <w:p w:rsidR="00D90275" w:rsidRPr="000B2541" w:rsidRDefault="00D90275" w:rsidP="001A565A">
            <w:pPr>
              <w:jc w:val="right"/>
              <w:rPr>
                <w:color w:val="000000"/>
                <w:sz w:val="20"/>
                <w:szCs w:val="20"/>
                <w:lang w:val="en-US"/>
              </w:rPr>
            </w:pPr>
            <w:r w:rsidRPr="000B2541">
              <w:rPr>
                <w:color w:val="000000"/>
                <w:sz w:val="20"/>
                <w:szCs w:val="20"/>
                <w:lang w:val="en-US"/>
              </w:rPr>
              <w:t>0</w:t>
            </w:r>
          </w:p>
        </w:tc>
        <w:tc>
          <w:tcPr>
            <w:tcW w:w="1273" w:type="dxa"/>
            <w:tcBorders>
              <w:top w:val="nil"/>
              <w:left w:val="nil"/>
              <w:bottom w:val="single" w:sz="4" w:space="0" w:color="auto"/>
              <w:right w:val="single" w:sz="4" w:space="0" w:color="auto"/>
            </w:tcBorders>
            <w:shd w:val="clear" w:color="auto" w:fill="auto"/>
            <w:noWrap/>
          </w:tcPr>
          <w:p w:rsidR="00D90275" w:rsidRPr="000B2541" w:rsidRDefault="00D90275" w:rsidP="005C026A">
            <w:pPr>
              <w:jc w:val="right"/>
              <w:rPr>
                <w:color w:val="000000"/>
                <w:sz w:val="20"/>
                <w:szCs w:val="20"/>
                <w:lang w:val="en-US"/>
              </w:rPr>
            </w:pPr>
            <w:r w:rsidRPr="000B2541">
              <w:rPr>
                <w:color w:val="000000"/>
                <w:sz w:val="20"/>
                <w:szCs w:val="20"/>
                <w:lang w:val="en-US"/>
              </w:rPr>
              <w:t>0</w:t>
            </w:r>
          </w:p>
        </w:tc>
        <w:tc>
          <w:tcPr>
            <w:tcW w:w="1389" w:type="dxa"/>
            <w:tcBorders>
              <w:top w:val="nil"/>
              <w:left w:val="nil"/>
              <w:bottom w:val="single" w:sz="4" w:space="0" w:color="auto"/>
              <w:right w:val="single" w:sz="4" w:space="0" w:color="auto"/>
            </w:tcBorders>
            <w:shd w:val="clear" w:color="auto" w:fill="auto"/>
            <w:noWrap/>
            <w:vAlign w:val="bottom"/>
          </w:tcPr>
          <w:p w:rsidR="00D90275" w:rsidRPr="000B2541" w:rsidRDefault="00D90275" w:rsidP="00E71992">
            <w:pPr>
              <w:jc w:val="right"/>
              <w:rPr>
                <w:color w:val="000000"/>
                <w:sz w:val="20"/>
                <w:szCs w:val="20"/>
              </w:rPr>
            </w:pPr>
            <w:r w:rsidRPr="000B2541">
              <w:rPr>
                <w:color w:val="000000"/>
                <w:sz w:val="20"/>
                <w:szCs w:val="20"/>
              </w:rPr>
              <w:t>440,000</w:t>
            </w:r>
          </w:p>
        </w:tc>
        <w:tc>
          <w:tcPr>
            <w:tcW w:w="1055" w:type="dxa"/>
            <w:tcBorders>
              <w:top w:val="nil"/>
              <w:left w:val="nil"/>
              <w:bottom w:val="single" w:sz="4" w:space="0" w:color="auto"/>
              <w:right w:val="single" w:sz="4" w:space="0" w:color="auto"/>
            </w:tcBorders>
            <w:shd w:val="clear" w:color="auto" w:fill="auto"/>
            <w:noWrap/>
          </w:tcPr>
          <w:p w:rsidR="00D90275" w:rsidRPr="000B2541" w:rsidRDefault="00D90275" w:rsidP="005C026A">
            <w:pPr>
              <w:jc w:val="right"/>
              <w:rPr>
                <w:color w:val="000000"/>
                <w:sz w:val="20"/>
                <w:szCs w:val="20"/>
                <w:lang w:val="en-US"/>
              </w:rPr>
            </w:pPr>
            <w:r w:rsidRPr="000B2541">
              <w:rPr>
                <w:color w:val="000000"/>
                <w:sz w:val="20"/>
                <w:szCs w:val="20"/>
                <w:lang w:val="en-US"/>
              </w:rPr>
              <w:t>0</w:t>
            </w:r>
          </w:p>
        </w:tc>
      </w:tr>
      <w:tr w:rsidR="00D90275" w:rsidRPr="000B2541" w:rsidTr="0077417A">
        <w:trPr>
          <w:trHeight w:val="50"/>
        </w:trPr>
        <w:tc>
          <w:tcPr>
            <w:tcW w:w="3425" w:type="dxa"/>
            <w:vMerge/>
            <w:tcBorders>
              <w:top w:val="single" w:sz="4" w:space="0" w:color="auto"/>
              <w:left w:val="single" w:sz="4" w:space="0" w:color="auto"/>
              <w:bottom w:val="single" w:sz="4" w:space="0" w:color="auto"/>
              <w:right w:val="single" w:sz="4" w:space="0" w:color="auto"/>
            </w:tcBorders>
            <w:shd w:val="clear" w:color="auto" w:fill="auto"/>
            <w:noWrap/>
            <w:hideMark/>
          </w:tcPr>
          <w:p w:rsidR="00D90275" w:rsidRPr="000B2541" w:rsidRDefault="00D90275" w:rsidP="001A565A">
            <w:pPr>
              <w:jc w:val="left"/>
              <w:rPr>
                <w:color w:val="000000"/>
                <w:sz w:val="20"/>
                <w:szCs w:val="20"/>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D90275" w:rsidRPr="000B2541" w:rsidRDefault="00D90275" w:rsidP="001A565A">
            <w:pPr>
              <w:jc w:val="left"/>
              <w:rPr>
                <w:color w:val="000000"/>
                <w:sz w:val="20"/>
                <w:szCs w:val="20"/>
                <w:lang w:val="en-US"/>
              </w:rPr>
            </w:pPr>
            <w:r w:rsidRPr="000B2541">
              <w:rPr>
                <w:color w:val="000000"/>
                <w:sz w:val="20"/>
                <w:szCs w:val="20"/>
                <w:lang w:val="en-US"/>
              </w:rPr>
              <w:t>UNIDO</w:t>
            </w:r>
          </w:p>
        </w:tc>
        <w:tc>
          <w:tcPr>
            <w:tcW w:w="981" w:type="dxa"/>
            <w:gridSpan w:val="2"/>
            <w:tcBorders>
              <w:top w:val="nil"/>
              <w:left w:val="nil"/>
              <w:bottom w:val="single" w:sz="4" w:space="0" w:color="auto"/>
              <w:right w:val="single" w:sz="4" w:space="0" w:color="auto"/>
            </w:tcBorders>
            <w:shd w:val="clear" w:color="auto" w:fill="auto"/>
            <w:noWrap/>
          </w:tcPr>
          <w:p w:rsidR="00D90275" w:rsidRPr="000B2541" w:rsidRDefault="00D90275" w:rsidP="001A565A">
            <w:pPr>
              <w:jc w:val="right"/>
              <w:rPr>
                <w:color w:val="000000"/>
                <w:sz w:val="20"/>
                <w:szCs w:val="20"/>
                <w:lang w:val="en-US"/>
              </w:rPr>
            </w:pPr>
            <w:r w:rsidRPr="000B2541">
              <w:rPr>
                <w:color w:val="000000"/>
                <w:sz w:val="20"/>
                <w:szCs w:val="20"/>
                <w:lang w:val="en-US"/>
              </w:rPr>
              <w:t>0</w:t>
            </w:r>
          </w:p>
        </w:tc>
        <w:tc>
          <w:tcPr>
            <w:tcW w:w="1273" w:type="dxa"/>
            <w:tcBorders>
              <w:top w:val="nil"/>
              <w:left w:val="nil"/>
              <w:bottom w:val="single" w:sz="4" w:space="0" w:color="auto"/>
              <w:right w:val="single" w:sz="4" w:space="0" w:color="auto"/>
            </w:tcBorders>
            <w:shd w:val="clear" w:color="auto" w:fill="auto"/>
            <w:noWrap/>
          </w:tcPr>
          <w:p w:rsidR="00D90275" w:rsidRPr="000B2541" w:rsidRDefault="00D90275" w:rsidP="005C026A">
            <w:pPr>
              <w:jc w:val="right"/>
              <w:rPr>
                <w:color w:val="000000"/>
                <w:sz w:val="20"/>
                <w:szCs w:val="20"/>
                <w:lang w:val="en-US"/>
              </w:rPr>
            </w:pPr>
            <w:r w:rsidRPr="000B2541">
              <w:rPr>
                <w:color w:val="000000"/>
                <w:sz w:val="20"/>
                <w:szCs w:val="20"/>
                <w:lang w:val="en-US"/>
              </w:rPr>
              <w:t>0</w:t>
            </w:r>
          </w:p>
        </w:tc>
        <w:tc>
          <w:tcPr>
            <w:tcW w:w="1389" w:type="dxa"/>
            <w:tcBorders>
              <w:top w:val="nil"/>
              <w:left w:val="nil"/>
              <w:bottom w:val="single" w:sz="4" w:space="0" w:color="auto"/>
              <w:right w:val="single" w:sz="4" w:space="0" w:color="auto"/>
            </w:tcBorders>
            <w:shd w:val="clear" w:color="auto" w:fill="auto"/>
            <w:noWrap/>
            <w:vAlign w:val="bottom"/>
          </w:tcPr>
          <w:p w:rsidR="00D90275" w:rsidRPr="000B2541" w:rsidRDefault="00D90275" w:rsidP="00E71992">
            <w:pPr>
              <w:jc w:val="right"/>
              <w:rPr>
                <w:color w:val="000000"/>
                <w:sz w:val="20"/>
                <w:szCs w:val="20"/>
              </w:rPr>
            </w:pPr>
            <w:r w:rsidRPr="000B2541">
              <w:rPr>
                <w:color w:val="000000"/>
                <w:sz w:val="20"/>
                <w:szCs w:val="20"/>
              </w:rPr>
              <w:t>300,000</w:t>
            </w:r>
          </w:p>
        </w:tc>
        <w:tc>
          <w:tcPr>
            <w:tcW w:w="1055" w:type="dxa"/>
            <w:tcBorders>
              <w:top w:val="nil"/>
              <w:left w:val="nil"/>
              <w:bottom w:val="single" w:sz="4" w:space="0" w:color="auto"/>
              <w:right w:val="single" w:sz="4" w:space="0" w:color="auto"/>
            </w:tcBorders>
            <w:shd w:val="clear" w:color="auto" w:fill="auto"/>
            <w:noWrap/>
          </w:tcPr>
          <w:p w:rsidR="00D90275" w:rsidRPr="000B2541" w:rsidRDefault="00D90275" w:rsidP="005C026A">
            <w:pPr>
              <w:jc w:val="right"/>
              <w:rPr>
                <w:color w:val="000000"/>
                <w:sz w:val="20"/>
                <w:szCs w:val="20"/>
                <w:lang w:val="en-US"/>
              </w:rPr>
            </w:pPr>
            <w:r w:rsidRPr="000B2541">
              <w:rPr>
                <w:color w:val="000000"/>
                <w:sz w:val="20"/>
                <w:szCs w:val="20"/>
                <w:lang w:val="en-US"/>
              </w:rPr>
              <w:t>0</w:t>
            </w:r>
          </w:p>
        </w:tc>
      </w:tr>
      <w:tr w:rsidR="00D90275" w:rsidRPr="000B2541" w:rsidTr="0077417A">
        <w:trPr>
          <w:trHeight w:val="233"/>
        </w:trPr>
        <w:tc>
          <w:tcPr>
            <w:tcW w:w="3425" w:type="dxa"/>
            <w:tcBorders>
              <w:top w:val="nil"/>
              <w:left w:val="single" w:sz="4" w:space="0" w:color="auto"/>
              <w:bottom w:val="single" w:sz="4" w:space="0" w:color="auto"/>
              <w:right w:val="single" w:sz="4" w:space="0" w:color="auto"/>
            </w:tcBorders>
            <w:shd w:val="clear" w:color="auto" w:fill="auto"/>
            <w:noWrap/>
            <w:hideMark/>
          </w:tcPr>
          <w:p w:rsidR="00D90275" w:rsidRPr="000B2541" w:rsidRDefault="00D90275" w:rsidP="001A565A">
            <w:pPr>
              <w:jc w:val="left"/>
              <w:rPr>
                <w:b/>
                <w:bCs/>
                <w:color w:val="000000"/>
                <w:sz w:val="20"/>
                <w:szCs w:val="20"/>
                <w:lang w:val="en-US"/>
              </w:rPr>
            </w:pPr>
            <w:r w:rsidRPr="000B2541">
              <w:rPr>
                <w:b/>
                <w:bCs/>
                <w:color w:val="000000"/>
                <w:sz w:val="20"/>
                <w:szCs w:val="20"/>
                <w:lang w:val="en-US"/>
              </w:rPr>
              <w:t>Total</w:t>
            </w:r>
          </w:p>
        </w:tc>
        <w:tc>
          <w:tcPr>
            <w:tcW w:w="1350" w:type="dxa"/>
            <w:tcBorders>
              <w:top w:val="nil"/>
              <w:left w:val="nil"/>
              <w:bottom w:val="single" w:sz="4" w:space="0" w:color="auto"/>
              <w:right w:val="single" w:sz="4" w:space="0" w:color="auto"/>
            </w:tcBorders>
            <w:shd w:val="clear" w:color="auto" w:fill="auto"/>
            <w:noWrap/>
            <w:vAlign w:val="center"/>
            <w:hideMark/>
          </w:tcPr>
          <w:p w:rsidR="00D90275" w:rsidRPr="000B2541" w:rsidRDefault="00D90275" w:rsidP="001A565A">
            <w:pPr>
              <w:jc w:val="left"/>
              <w:rPr>
                <w:b/>
                <w:bCs/>
                <w:color w:val="000000"/>
                <w:sz w:val="20"/>
                <w:szCs w:val="20"/>
                <w:lang w:val="en-US"/>
              </w:rPr>
            </w:pPr>
            <w:r w:rsidRPr="000B2541">
              <w:rPr>
                <w:b/>
                <w:bCs/>
                <w:color w:val="00000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tcPr>
          <w:p w:rsidR="00D90275" w:rsidRPr="000B2541" w:rsidRDefault="00D90275" w:rsidP="00DC1CDA">
            <w:pPr>
              <w:jc w:val="right"/>
              <w:rPr>
                <w:b/>
                <w:bCs/>
                <w:color w:val="000000"/>
                <w:sz w:val="20"/>
                <w:szCs w:val="20"/>
              </w:rPr>
            </w:pPr>
            <w:r w:rsidRPr="000B2541">
              <w:rPr>
                <w:b/>
                <w:bCs/>
                <w:color w:val="000000"/>
                <w:sz w:val="20"/>
                <w:szCs w:val="20"/>
              </w:rPr>
              <w:t>1,447.60</w:t>
            </w:r>
          </w:p>
        </w:tc>
        <w:tc>
          <w:tcPr>
            <w:tcW w:w="1273" w:type="dxa"/>
            <w:tcBorders>
              <w:top w:val="nil"/>
              <w:left w:val="nil"/>
              <w:bottom w:val="single" w:sz="4" w:space="0" w:color="auto"/>
              <w:right w:val="single" w:sz="4" w:space="0" w:color="auto"/>
            </w:tcBorders>
            <w:shd w:val="clear" w:color="auto" w:fill="auto"/>
            <w:noWrap/>
            <w:vAlign w:val="bottom"/>
          </w:tcPr>
          <w:p w:rsidR="00D90275" w:rsidRPr="000B2541" w:rsidRDefault="00D90275" w:rsidP="00DC1CDA">
            <w:pPr>
              <w:jc w:val="right"/>
              <w:rPr>
                <w:b/>
                <w:bCs/>
                <w:color w:val="000000"/>
                <w:sz w:val="20"/>
                <w:szCs w:val="20"/>
              </w:rPr>
            </w:pPr>
            <w:r w:rsidRPr="000B2541">
              <w:rPr>
                <w:b/>
                <w:bCs/>
                <w:color w:val="000000"/>
                <w:sz w:val="20"/>
                <w:szCs w:val="20"/>
              </w:rPr>
              <w:t>115.19</w:t>
            </w:r>
          </w:p>
        </w:tc>
        <w:tc>
          <w:tcPr>
            <w:tcW w:w="1389" w:type="dxa"/>
            <w:tcBorders>
              <w:top w:val="nil"/>
              <w:left w:val="nil"/>
              <w:bottom w:val="single" w:sz="4" w:space="0" w:color="auto"/>
              <w:right w:val="single" w:sz="4" w:space="0" w:color="auto"/>
            </w:tcBorders>
            <w:shd w:val="clear" w:color="auto" w:fill="auto"/>
            <w:noWrap/>
            <w:vAlign w:val="bottom"/>
          </w:tcPr>
          <w:p w:rsidR="00D90275" w:rsidRPr="000B2541" w:rsidRDefault="00D90275" w:rsidP="00DC1CDA">
            <w:pPr>
              <w:jc w:val="right"/>
              <w:rPr>
                <w:b/>
                <w:bCs/>
                <w:color w:val="000000"/>
                <w:sz w:val="20"/>
                <w:szCs w:val="20"/>
              </w:rPr>
            </w:pPr>
            <w:r w:rsidRPr="000B2541">
              <w:rPr>
                <w:b/>
                <w:bCs/>
                <w:color w:val="000000"/>
                <w:sz w:val="20"/>
                <w:szCs w:val="20"/>
              </w:rPr>
              <w:t>9,941,238</w:t>
            </w:r>
          </w:p>
        </w:tc>
        <w:tc>
          <w:tcPr>
            <w:tcW w:w="1055" w:type="dxa"/>
            <w:tcBorders>
              <w:top w:val="nil"/>
              <w:left w:val="nil"/>
              <w:bottom w:val="single" w:sz="4" w:space="0" w:color="auto"/>
              <w:right w:val="single" w:sz="4" w:space="0" w:color="auto"/>
            </w:tcBorders>
            <w:shd w:val="clear" w:color="auto" w:fill="auto"/>
            <w:noWrap/>
            <w:vAlign w:val="bottom"/>
          </w:tcPr>
          <w:p w:rsidR="00D90275" w:rsidRPr="000B2541" w:rsidRDefault="00D90275" w:rsidP="00DC1CDA">
            <w:pPr>
              <w:jc w:val="right"/>
              <w:rPr>
                <w:b/>
                <w:bCs/>
                <w:color w:val="000000"/>
                <w:sz w:val="20"/>
                <w:szCs w:val="20"/>
              </w:rPr>
            </w:pPr>
            <w:r w:rsidRPr="000B2541">
              <w:rPr>
                <w:b/>
                <w:bCs/>
                <w:color w:val="000000"/>
                <w:sz w:val="20"/>
                <w:szCs w:val="20"/>
              </w:rPr>
              <w:t>*7.46</w:t>
            </w:r>
          </w:p>
        </w:tc>
      </w:tr>
      <w:tr w:rsidR="00D90275" w:rsidRPr="000B2541" w:rsidTr="00DC1CDA">
        <w:trPr>
          <w:trHeight w:val="50"/>
        </w:trPr>
        <w:tc>
          <w:tcPr>
            <w:tcW w:w="7029" w:type="dxa"/>
            <w:gridSpan w:val="5"/>
            <w:tcBorders>
              <w:top w:val="single" w:sz="4" w:space="0" w:color="auto"/>
              <w:left w:val="single" w:sz="4" w:space="0" w:color="auto"/>
              <w:bottom w:val="single" w:sz="4" w:space="0" w:color="auto"/>
              <w:right w:val="single" w:sz="4" w:space="0" w:color="auto"/>
            </w:tcBorders>
            <w:shd w:val="clear" w:color="auto" w:fill="auto"/>
            <w:noWrap/>
          </w:tcPr>
          <w:p w:rsidR="00D90275" w:rsidRPr="000B2541" w:rsidRDefault="00D90275" w:rsidP="001A565A">
            <w:pPr>
              <w:jc w:val="left"/>
              <w:rPr>
                <w:color w:val="000000"/>
                <w:sz w:val="20"/>
                <w:szCs w:val="20"/>
                <w:lang w:val="en-US"/>
              </w:rPr>
            </w:pPr>
            <w:r w:rsidRPr="000B2541">
              <w:rPr>
                <w:color w:val="000000"/>
                <w:sz w:val="20"/>
                <w:szCs w:val="20"/>
                <w:lang w:val="en-US"/>
              </w:rPr>
              <w:t>Total UNIDO</w:t>
            </w:r>
          </w:p>
        </w:tc>
        <w:tc>
          <w:tcPr>
            <w:tcW w:w="2444" w:type="dxa"/>
            <w:gridSpan w:val="2"/>
            <w:tcBorders>
              <w:top w:val="single" w:sz="4" w:space="0" w:color="auto"/>
              <w:left w:val="nil"/>
              <w:bottom w:val="single" w:sz="4" w:space="0" w:color="auto"/>
              <w:right w:val="single" w:sz="4" w:space="0" w:color="auto"/>
            </w:tcBorders>
            <w:shd w:val="clear" w:color="auto" w:fill="auto"/>
            <w:noWrap/>
          </w:tcPr>
          <w:p w:rsidR="00D90275" w:rsidRPr="000B2541" w:rsidRDefault="00D90275" w:rsidP="00720653">
            <w:pPr>
              <w:jc w:val="right"/>
              <w:rPr>
                <w:color w:val="000000"/>
                <w:sz w:val="20"/>
                <w:szCs w:val="20"/>
                <w:lang w:val="en-US"/>
              </w:rPr>
            </w:pPr>
            <w:r w:rsidRPr="000B2541">
              <w:rPr>
                <w:color w:val="000000"/>
                <w:sz w:val="20"/>
                <w:szCs w:val="20"/>
                <w:lang w:val="en-US"/>
              </w:rPr>
              <w:t>3,641,070</w:t>
            </w:r>
          </w:p>
        </w:tc>
      </w:tr>
      <w:tr w:rsidR="00D90275" w:rsidRPr="000B2541" w:rsidTr="00DC1CDA">
        <w:trPr>
          <w:trHeight w:val="50"/>
        </w:trPr>
        <w:tc>
          <w:tcPr>
            <w:tcW w:w="7029" w:type="dxa"/>
            <w:gridSpan w:val="5"/>
            <w:tcBorders>
              <w:top w:val="single" w:sz="4" w:space="0" w:color="auto"/>
              <w:left w:val="single" w:sz="4" w:space="0" w:color="auto"/>
              <w:bottom w:val="single" w:sz="4" w:space="0" w:color="auto"/>
              <w:right w:val="single" w:sz="4" w:space="0" w:color="auto"/>
            </w:tcBorders>
            <w:shd w:val="clear" w:color="auto" w:fill="auto"/>
            <w:noWrap/>
          </w:tcPr>
          <w:p w:rsidR="00D90275" w:rsidRPr="000B2541" w:rsidRDefault="00D90275" w:rsidP="001A565A">
            <w:pPr>
              <w:jc w:val="left"/>
              <w:rPr>
                <w:color w:val="000000"/>
                <w:sz w:val="20"/>
                <w:szCs w:val="20"/>
                <w:lang w:val="en-US"/>
              </w:rPr>
            </w:pPr>
            <w:r w:rsidRPr="000B2541">
              <w:rPr>
                <w:color w:val="000000"/>
                <w:sz w:val="20"/>
                <w:szCs w:val="20"/>
                <w:lang w:val="en-US"/>
              </w:rPr>
              <w:t>Total World Bank</w:t>
            </w:r>
          </w:p>
        </w:tc>
        <w:tc>
          <w:tcPr>
            <w:tcW w:w="2444" w:type="dxa"/>
            <w:gridSpan w:val="2"/>
            <w:tcBorders>
              <w:top w:val="single" w:sz="4" w:space="0" w:color="auto"/>
              <w:left w:val="nil"/>
              <w:bottom w:val="single" w:sz="4" w:space="0" w:color="auto"/>
              <w:right w:val="single" w:sz="4" w:space="0" w:color="auto"/>
            </w:tcBorders>
            <w:shd w:val="clear" w:color="auto" w:fill="auto"/>
            <w:noWrap/>
          </w:tcPr>
          <w:p w:rsidR="00D90275" w:rsidRPr="000B2541" w:rsidRDefault="00D90275" w:rsidP="001A565A">
            <w:pPr>
              <w:jc w:val="right"/>
              <w:rPr>
                <w:color w:val="000000"/>
                <w:sz w:val="20"/>
                <w:szCs w:val="20"/>
                <w:lang w:val="en-US"/>
              </w:rPr>
            </w:pPr>
            <w:r w:rsidRPr="000B2541">
              <w:rPr>
                <w:color w:val="000000"/>
                <w:sz w:val="20"/>
                <w:szCs w:val="20"/>
                <w:lang w:val="en-US"/>
              </w:rPr>
              <w:t>6,050,168</w:t>
            </w:r>
          </w:p>
        </w:tc>
      </w:tr>
      <w:tr w:rsidR="00D90275" w:rsidRPr="000B2541" w:rsidTr="00DC1CDA">
        <w:trPr>
          <w:trHeight w:val="50"/>
        </w:trPr>
        <w:tc>
          <w:tcPr>
            <w:tcW w:w="7029" w:type="dxa"/>
            <w:gridSpan w:val="5"/>
            <w:tcBorders>
              <w:top w:val="single" w:sz="4" w:space="0" w:color="auto"/>
              <w:left w:val="single" w:sz="4" w:space="0" w:color="auto"/>
              <w:bottom w:val="single" w:sz="4" w:space="0" w:color="auto"/>
              <w:right w:val="single" w:sz="4" w:space="0" w:color="auto"/>
            </w:tcBorders>
            <w:shd w:val="clear" w:color="auto" w:fill="auto"/>
            <w:noWrap/>
          </w:tcPr>
          <w:p w:rsidR="00D90275" w:rsidRPr="000B2541" w:rsidRDefault="00D90275" w:rsidP="001A565A">
            <w:pPr>
              <w:jc w:val="left"/>
              <w:rPr>
                <w:color w:val="000000"/>
                <w:sz w:val="20"/>
                <w:szCs w:val="20"/>
                <w:lang w:val="en-US"/>
              </w:rPr>
            </w:pPr>
            <w:r w:rsidRPr="000B2541">
              <w:rPr>
                <w:color w:val="000000"/>
                <w:sz w:val="20"/>
                <w:szCs w:val="20"/>
                <w:lang w:val="en-US"/>
              </w:rPr>
              <w:t>Total Government of Italy</w:t>
            </w:r>
          </w:p>
        </w:tc>
        <w:tc>
          <w:tcPr>
            <w:tcW w:w="2444" w:type="dxa"/>
            <w:gridSpan w:val="2"/>
            <w:tcBorders>
              <w:top w:val="single" w:sz="4" w:space="0" w:color="auto"/>
              <w:left w:val="nil"/>
              <w:bottom w:val="single" w:sz="4" w:space="0" w:color="auto"/>
              <w:right w:val="single" w:sz="4" w:space="0" w:color="auto"/>
            </w:tcBorders>
            <w:shd w:val="clear" w:color="auto" w:fill="auto"/>
            <w:noWrap/>
          </w:tcPr>
          <w:p w:rsidR="00D90275" w:rsidRPr="000B2541" w:rsidRDefault="00D90275" w:rsidP="00720653">
            <w:pPr>
              <w:jc w:val="right"/>
              <w:rPr>
                <w:color w:val="000000"/>
                <w:sz w:val="20"/>
                <w:szCs w:val="20"/>
                <w:lang w:val="en-US"/>
              </w:rPr>
            </w:pPr>
            <w:r w:rsidRPr="000B2541">
              <w:rPr>
                <w:color w:val="000000"/>
                <w:sz w:val="20"/>
                <w:szCs w:val="20"/>
                <w:lang w:val="en-US"/>
              </w:rPr>
              <w:t>250,000</w:t>
            </w:r>
          </w:p>
        </w:tc>
      </w:tr>
      <w:tr w:rsidR="00D90275" w:rsidRPr="000B2541" w:rsidTr="0077417A">
        <w:trPr>
          <w:trHeight w:val="50"/>
        </w:trPr>
        <w:tc>
          <w:tcPr>
            <w:tcW w:w="3425" w:type="dxa"/>
            <w:tcBorders>
              <w:top w:val="nil"/>
              <w:left w:val="single" w:sz="4" w:space="0" w:color="auto"/>
              <w:bottom w:val="single" w:sz="4" w:space="0" w:color="auto"/>
              <w:right w:val="single" w:sz="4" w:space="0" w:color="auto"/>
            </w:tcBorders>
            <w:shd w:val="clear" w:color="auto" w:fill="auto"/>
            <w:noWrap/>
            <w:hideMark/>
          </w:tcPr>
          <w:p w:rsidR="00D90275" w:rsidRPr="000B2541" w:rsidRDefault="00D90275" w:rsidP="00327A9E">
            <w:pPr>
              <w:jc w:val="left"/>
              <w:rPr>
                <w:color w:val="000000"/>
                <w:sz w:val="20"/>
                <w:szCs w:val="20"/>
                <w:lang w:val="en-US"/>
              </w:rPr>
            </w:pPr>
            <w:r w:rsidRPr="000B2541">
              <w:rPr>
                <w:color w:val="000000"/>
                <w:sz w:val="20"/>
                <w:szCs w:val="20"/>
                <w:lang w:val="en-US"/>
              </w:rPr>
              <w:t>Non-eligible HCFC-141b phased out in PU foam beyond the starting point</w:t>
            </w:r>
          </w:p>
        </w:tc>
        <w:tc>
          <w:tcPr>
            <w:tcW w:w="1416" w:type="dxa"/>
            <w:gridSpan w:val="2"/>
            <w:tcBorders>
              <w:top w:val="nil"/>
              <w:left w:val="nil"/>
              <w:bottom w:val="single" w:sz="4" w:space="0" w:color="auto"/>
              <w:right w:val="single" w:sz="4" w:space="0" w:color="auto"/>
            </w:tcBorders>
            <w:shd w:val="clear" w:color="auto" w:fill="auto"/>
            <w:noWrap/>
            <w:hideMark/>
          </w:tcPr>
          <w:p w:rsidR="00D90275" w:rsidRPr="000B2541" w:rsidRDefault="00D90275" w:rsidP="00327A9E">
            <w:pPr>
              <w:jc w:val="left"/>
              <w:rPr>
                <w:color w:val="000000"/>
                <w:sz w:val="20"/>
                <w:szCs w:val="20"/>
                <w:lang w:val="en-US"/>
              </w:rPr>
            </w:pPr>
          </w:p>
        </w:tc>
        <w:tc>
          <w:tcPr>
            <w:tcW w:w="915" w:type="dxa"/>
            <w:tcBorders>
              <w:top w:val="nil"/>
              <w:left w:val="nil"/>
              <w:bottom w:val="single" w:sz="4" w:space="0" w:color="auto"/>
              <w:right w:val="single" w:sz="4" w:space="0" w:color="auto"/>
            </w:tcBorders>
            <w:shd w:val="clear" w:color="auto" w:fill="auto"/>
            <w:noWrap/>
            <w:hideMark/>
          </w:tcPr>
          <w:p w:rsidR="00D90275" w:rsidRPr="000B2541" w:rsidRDefault="00D90275" w:rsidP="00327A9E">
            <w:pPr>
              <w:jc w:val="right"/>
              <w:rPr>
                <w:color w:val="000000"/>
                <w:sz w:val="20"/>
                <w:szCs w:val="20"/>
                <w:lang w:val="en-US"/>
              </w:rPr>
            </w:pPr>
            <w:r w:rsidRPr="000B2541">
              <w:rPr>
                <w:color w:val="000000"/>
                <w:sz w:val="20"/>
                <w:szCs w:val="20"/>
                <w:lang w:val="en-US"/>
              </w:rPr>
              <w:t>89.23</w:t>
            </w:r>
          </w:p>
        </w:tc>
        <w:tc>
          <w:tcPr>
            <w:tcW w:w="1273" w:type="dxa"/>
            <w:tcBorders>
              <w:top w:val="nil"/>
              <w:left w:val="nil"/>
              <w:bottom w:val="single" w:sz="4" w:space="0" w:color="auto"/>
              <w:right w:val="single" w:sz="4" w:space="0" w:color="auto"/>
            </w:tcBorders>
            <w:shd w:val="clear" w:color="auto" w:fill="auto"/>
            <w:noWrap/>
            <w:hideMark/>
          </w:tcPr>
          <w:p w:rsidR="00D90275" w:rsidRPr="000B2541" w:rsidRDefault="00D90275" w:rsidP="00327A9E">
            <w:pPr>
              <w:jc w:val="right"/>
              <w:rPr>
                <w:color w:val="000000"/>
                <w:sz w:val="20"/>
                <w:szCs w:val="20"/>
                <w:lang w:val="en-US"/>
              </w:rPr>
            </w:pPr>
            <w:r w:rsidRPr="000B2541">
              <w:rPr>
                <w:color w:val="000000"/>
                <w:sz w:val="20"/>
                <w:szCs w:val="20"/>
                <w:lang w:val="en-US"/>
              </w:rPr>
              <w:t>9.82</w:t>
            </w:r>
          </w:p>
        </w:tc>
        <w:tc>
          <w:tcPr>
            <w:tcW w:w="1389" w:type="dxa"/>
            <w:tcBorders>
              <w:top w:val="nil"/>
              <w:left w:val="nil"/>
              <w:bottom w:val="single" w:sz="4" w:space="0" w:color="auto"/>
              <w:right w:val="single" w:sz="4" w:space="0" w:color="auto"/>
            </w:tcBorders>
            <w:shd w:val="clear" w:color="auto" w:fill="auto"/>
            <w:noWrap/>
            <w:hideMark/>
          </w:tcPr>
          <w:p w:rsidR="00D90275" w:rsidRPr="000B2541" w:rsidRDefault="00D90275" w:rsidP="00D90275">
            <w:pPr>
              <w:jc w:val="right"/>
              <w:rPr>
                <w:color w:val="000000"/>
                <w:sz w:val="20"/>
                <w:szCs w:val="20"/>
                <w:lang w:val="en-US"/>
              </w:rPr>
            </w:pPr>
            <w:r w:rsidRPr="000B2541">
              <w:rPr>
                <w:color w:val="000000"/>
                <w:sz w:val="20"/>
                <w:szCs w:val="20"/>
                <w:lang w:val="en-US"/>
              </w:rPr>
              <w:t>0</w:t>
            </w:r>
          </w:p>
        </w:tc>
        <w:tc>
          <w:tcPr>
            <w:tcW w:w="1055" w:type="dxa"/>
            <w:tcBorders>
              <w:top w:val="nil"/>
              <w:left w:val="nil"/>
              <w:bottom w:val="single" w:sz="4" w:space="0" w:color="auto"/>
              <w:right w:val="single" w:sz="4" w:space="0" w:color="auto"/>
            </w:tcBorders>
            <w:shd w:val="clear" w:color="auto" w:fill="auto"/>
            <w:noWrap/>
            <w:hideMark/>
          </w:tcPr>
          <w:p w:rsidR="00D90275" w:rsidRPr="000B2541" w:rsidRDefault="00D90275" w:rsidP="00D90275">
            <w:pPr>
              <w:jc w:val="right"/>
              <w:rPr>
                <w:color w:val="000000"/>
                <w:sz w:val="20"/>
                <w:szCs w:val="20"/>
                <w:lang w:val="en-US"/>
              </w:rPr>
            </w:pPr>
            <w:r w:rsidRPr="000B2541">
              <w:rPr>
                <w:color w:val="000000"/>
                <w:sz w:val="20"/>
                <w:szCs w:val="20"/>
                <w:lang w:val="en-US"/>
              </w:rPr>
              <w:t>0</w:t>
            </w:r>
          </w:p>
        </w:tc>
      </w:tr>
    </w:tbl>
    <w:p w:rsidR="009B2B92" w:rsidRPr="000B2541" w:rsidRDefault="009B2B92" w:rsidP="009B2B92">
      <w:pPr>
        <w:widowControl w:val="0"/>
        <w:outlineLvl w:val="0"/>
        <w:rPr>
          <w:sz w:val="18"/>
          <w:szCs w:val="18"/>
        </w:rPr>
      </w:pPr>
      <w:r w:rsidRPr="000B2541">
        <w:rPr>
          <w:sz w:val="18"/>
          <w:szCs w:val="18"/>
        </w:rPr>
        <w:t>* Cost effectiveness</w:t>
      </w:r>
      <w:r w:rsidR="00DC1CDA" w:rsidRPr="000B2541">
        <w:rPr>
          <w:sz w:val="18"/>
          <w:szCs w:val="18"/>
        </w:rPr>
        <w:t xml:space="preserve"> is calculated based</w:t>
      </w:r>
      <w:r w:rsidRPr="000B2541">
        <w:rPr>
          <w:sz w:val="18"/>
          <w:szCs w:val="18"/>
        </w:rPr>
        <w:t xml:space="preserve"> exclusively </w:t>
      </w:r>
      <w:r w:rsidR="00DC1CDA" w:rsidRPr="000B2541">
        <w:rPr>
          <w:sz w:val="18"/>
          <w:szCs w:val="18"/>
        </w:rPr>
        <w:t>on</w:t>
      </w:r>
      <w:r w:rsidRPr="000B2541">
        <w:rPr>
          <w:sz w:val="18"/>
          <w:szCs w:val="18"/>
        </w:rPr>
        <w:t xml:space="preserve"> funded activities. The additional 12.58 ODP tonnes deducted from the starting point are not included in the calculation.</w:t>
      </w:r>
    </w:p>
    <w:p w:rsidR="00030BAB" w:rsidRPr="000B2541" w:rsidRDefault="00030BAB" w:rsidP="00710D9E">
      <w:pPr>
        <w:spacing w:after="120"/>
        <w:rPr>
          <w:u w:val="single"/>
          <w:lang w:val="en-CA"/>
        </w:rPr>
      </w:pPr>
    </w:p>
    <w:p w:rsidR="00497C62" w:rsidRPr="00744256" w:rsidRDefault="00497C62" w:rsidP="00F229C5">
      <w:pPr>
        <w:pStyle w:val="Heading1"/>
      </w:pPr>
      <w:r w:rsidRPr="000B2541">
        <w:t>Activities funded in stage II of the HPMP for Argentina will result in the phase out of 1,333.21 mt (102.61 ODP tonnes) of HCFCs with an overall cost-effectiveness of US $7.46/kg. In addition, 114.39 non-eligible mt (12.58 ODP tonnes) will be phased out and deducted from the starti</w:t>
      </w:r>
      <w:r>
        <w:t>ng point</w:t>
      </w:r>
      <w:r w:rsidRPr="00744256">
        <w:t xml:space="preserve">, </w:t>
      </w:r>
      <w:r>
        <w:t xml:space="preserve">achieving a total reduction of </w:t>
      </w:r>
      <w:r w:rsidRPr="00497C62">
        <w:t>1</w:t>
      </w:r>
      <w:r>
        <w:t>,</w:t>
      </w:r>
      <w:r w:rsidRPr="00497C62">
        <w:t xml:space="preserve">447.60 mt (115.19 ODP tonnes) </w:t>
      </w:r>
      <w:r w:rsidRPr="00744256">
        <w:t>at a cost US $6.</w:t>
      </w:r>
      <w:r>
        <w:t>87</w:t>
      </w:r>
      <w:r w:rsidRPr="00744256">
        <w:t>/kg.</w:t>
      </w:r>
    </w:p>
    <w:p w:rsidR="008B50D6" w:rsidRPr="00F229C5" w:rsidRDefault="008B50D6" w:rsidP="008B50D6">
      <w:pPr>
        <w:pStyle w:val="Heading1"/>
      </w:pPr>
      <w:r w:rsidRPr="00A06755">
        <w:t xml:space="preserve">With the approval of stage II of the HPMP, Argentina will phase out HCFC consumption in the PU </w:t>
      </w:r>
      <w:r w:rsidR="00F229C5">
        <w:t>and XPS</w:t>
      </w:r>
      <w:r w:rsidR="00F229C5" w:rsidRPr="00A06755">
        <w:t xml:space="preserve"> </w:t>
      </w:r>
      <w:r w:rsidRPr="00A06755">
        <w:t>foam</w:t>
      </w:r>
      <w:r w:rsidR="00710D9E">
        <w:t xml:space="preserve"> </w:t>
      </w:r>
      <w:r w:rsidRPr="00A06755">
        <w:t>manufacturing sector</w:t>
      </w:r>
      <w:r w:rsidR="00F229C5">
        <w:t>s</w:t>
      </w:r>
      <w:r w:rsidRPr="00A06755">
        <w:t xml:space="preserve">. </w:t>
      </w:r>
      <w:r w:rsidRPr="00F229C5">
        <w:t>Accordingly, the Government commits to:</w:t>
      </w:r>
    </w:p>
    <w:p w:rsidR="008B50D6" w:rsidRPr="00A06755" w:rsidRDefault="008B50D6" w:rsidP="008B50D6">
      <w:pPr>
        <w:pStyle w:val="Heading2"/>
      </w:pPr>
      <w:r w:rsidRPr="00F229C5">
        <w:t>Reducing HCFC consumption by 50 per cent</w:t>
      </w:r>
      <w:r w:rsidRPr="00A06755">
        <w:t xml:space="preserve"> of the baseline by 2022;</w:t>
      </w:r>
    </w:p>
    <w:p w:rsidR="008B50D6" w:rsidRPr="00A06755" w:rsidRDefault="008B50D6" w:rsidP="008B50D6">
      <w:pPr>
        <w:pStyle w:val="Heading2"/>
      </w:pPr>
      <w:r w:rsidRPr="00A06755">
        <w:t>Banning the import and use of HCFC-141b pure or contained in pre-blended polyols for the manufacture of PU foam no later than 1 January 2022;</w:t>
      </w:r>
    </w:p>
    <w:p w:rsidR="008B50D6" w:rsidRPr="00F229C5" w:rsidRDefault="008B50D6" w:rsidP="008B50D6">
      <w:pPr>
        <w:pStyle w:val="Heading2"/>
      </w:pPr>
      <w:r w:rsidRPr="00A06755">
        <w:t xml:space="preserve">Banning the import and use of </w:t>
      </w:r>
      <w:r w:rsidRPr="00F229C5">
        <w:t>HCFC-141b for flushing refrigeration circuits during servicing no later than 1 January 2022;</w:t>
      </w:r>
    </w:p>
    <w:p w:rsidR="008B50D6" w:rsidRPr="00E80B4A" w:rsidRDefault="008B50D6" w:rsidP="008B50D6">
      <w:pPr>
        <w:pStyle w:val="Heading2"/>
        <w:rPr>
          <w:u w:val="single"/>
        </w:rPr>
      </w:pPr>
      <w:r w:rsidRPr="00797E06">
        <w:t>Banning the import and use of HCFC-22 and HCFC-142b for the manufacture of XPS foam no later than 1 January 2022.</w:t>
      </w:r>
    </w:p>
    <w:p w:rsidR="008B50D6" w:rsidRPr="00E80B4A" w:rsidRDefault="008B50D6" w:rsidP="008B50D6">
      <w:pPr>
        <w:pStyle w:val="Heading2"/>
        <w:numPr>
          <w:ilvl w:val="0"/>
          <w:numId w:val="0"/>
        </w:numPr>
        <w:rPr>
          <w:u w:val="single"/>
        </w:rPr>
      </w:pPr>
      <w:r w:rsidRPr="00E80B4A">
        <w:rPr>
          <w:u w:val="single"/>
        </w:rPr>
        <w:t>Impact on the climate</w:t>
      </w:r>
    </w:p>
    <w:p w:rsidR="008B50D6" w:rsidRPr="00E80B4A" w:rsidRDefault="008B50D6" w:rsidP="008B50D6">
      <w:pPr>
        <w:pStyle w:val="Heading1"/>
      </w:pPr>
      <w:r w:rsidRPr="00E80B4A">
        <w:t xml:space="preserve">The conversion of the remaining PU </w:t>
      </w:r>
      <w:r w:rsidR="00710D9E">
        <w:t xml:space="preserve">and XPS </w:t>
      </w:r>
      <w:r w:rsidRPr="00E80B4A">
        <w:t xml:space="preserve">foam manufacturing enterprises in Argentina would avoid the emission into the atmosphere of some </w:t>
      </w:r>
      <w:r w:rsidR="009A022C">
        <w:t>497</w:t>
      </w:r>
      <w:r w:rsidRPr="00E80B4A">
        <w:t> thousand tonnes of CO</w:t>
      </w:r>
      <w:r w:rsidRPr="00E80B4A">
        <w:rPr>
          <w:vertAlign w:val="subscript"/>
        </w:rPr>
        <w:t>2</w:t>
      </w:r>
      <w:r w:rsidRPr="00E80B4A">
        <w:t xml:space="preserve"> equivalent per year, as shown in Table </w:t>
      </w:r>
      <w:r w:rsidR="00AB62C6">
        <w:t>11</w:t>
      </w:r>
      <w:r w:rsidRPr="00E80B4A">
        <w:t>.</w:t>
      </w:r>
    </w:p>
    <w:p w:rsidR="00053749" w:rsidRPr="00970F46" w:rsidRDefault="00053749" w:rsidP="00D90275">
      <w:pPr>
        <w:keepNext/>
        <w:outlineLvl w:val="0"/>
        <w:rPr>
          <w:b/>
        </w:rPr>
      </w:pPr>
      <w:r w:rsidRPr="00970F46">
        <w:rPr>
          <w:b/>
        </w:rPr>
        <w:lastRenderedPageBreak/>
        <w:t xml:space="preserve">Table </w:t>
      </w:r>
      <w:r w:rsidR="00AB62C6">
        <w:rPr>
          <w:b/>
        </w:rPr>
        <w:t>11</w:t>
      </w:r>
      <w:r w:rsidRPr="00970F46">
        <w:rPr>
          <w:b/>
        </w:rPr>
        <w:t>. Impact on the climate PU</w:t>
      </w:r>
      <w:r w:rsidR="00710D9E">
        <w:rPr>
          <w:b/>
        </w:rPr>
        <w:t xml:space="preserve"> and XPS </w:t>
      </w:r>
      <w:r w:rsidRPr="00970F46">
        <w:rPr>
          <w:b/>
        </w:rPr>
        <w:t>foam projects</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8"/>
        <w:gridCol w:w="1350"/>
        <w:gridCol w:w="1473"/>
        <w:gridCol w:w="1944"/>
      </w:tblGrid>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D90275">
            <w:pPr>
              <w:keepNext/>
              <w:rPr>
                <w:b/>
                <w:sz w:val="20"/>
                <w:szCs w:val="20"/>
              </w:rPr>
            </w:pPr>
            <w:r w:rsidRPr="00970F46">
              <w:rPr>
                <w:b/>
                <w:sz w:val="20"/>
                <w:szCs w:val="20"/>
              </w:rPr>
              <w:t>Substance</w:t>
            </w:r>
          </w:p>
        </w:tc>
        <w:tc>
          <w:tcPr>
            <w:tcW w:w="713" w:type="pct"/>
            <w:tcMar>
              <w:top w:w="0" w:type="dxa"/>
              <w:left w:w="108" w:type="dxa"/>
              <w:bottom w:w="0" w:type="dxa"/>
              <w:right w:w="108" w:type="dxa"/>
            </w:tcMar>
            <w:vAlign w:val="bottom"/>
          </w:tcPr>
          <w:p w:rsidR="00053749" w:rsidRPr="00970F46" w:rsidRDefault="00053749" w:rsidP="00D90275">
            <w:pPr>
              <w:keepNext/>
              <w:jc w:val="center"/>
              <w:rPr>
                <w:b/>
                <w:sz w:val="20"/>
                <w:szCs w:val="20"/>
              </w:rPr>
            </w:pPr>
            <w:r w:rsidRPr="00970F46">
              <w:rPr>
                <w:b/>
                <w:sz w:val="20"/>
                <w:szCs w:val="20"/>
              </w:rPr>
              <w:t>GWP</w:t>
            </w:r>
          </w:p>
        </w:tc>
        <w:tc>
          <w:tcPr>
            <w:tcW w:w="778" w:type="pct"/>
            <w:noWrap/>
            <w:tcMar>
              <w:top w:w="0" w:type="dxa"/>
              <w:left w:w="108" w:type="dxa"/>
              <w:bottom w:w="0" w:type="dxa"/>
              <w:right w:w="108" w:type="dxa"/>
            </w:tcMar>
            <w:vAlign w:val="bottom"/>
          </w:tcPr>
          <w:p w:rsidR="00053749" w:rsidRPr="00970F46" w:rsidRDefault="00053749" w:rsidP="00D90275">
            <w:pPr>
              <w:keepNext/>
              <w:jc w:val="center"/>
              <w:rPr>
                <w:b/>
                <w:sz w:val="20"/>
                <w:szCs w:val="20"/>
              </w:rPr>
            </w:pPr>
            <w:r w:rsidRPr="00970F46">
              <w:rPr>
                <w:b/>
                <w:sz w:val="20"/>
                <w:szCs w:val="20"/>
              </w:rPr>
              <w:t>Tonnes/year</w:t>
            </w:r>
          </w:p>
        </w:tc>
        <w:tc>
          <w:tcPr>
            <w:tcW w:w="1027" w:type="pct"/>
            <w:noWrap/>
            <w:tcMar>
              <w:top w:w="0" w:type="dxa"/>
              <w:left w:w="108" w:type="dxa"/>
              <w:bottom w:w="0" w:type="dxa"/>
              <w:right w:w="108" w:type="dxa"/>
            </w:tcMar>
            <w:vAlign w:val="bottom"/>
          </w:tcPr>
          <w:p w:rsidR="00053749" w:rsidRPr="00970F46" w:rsidRDefault="00053749" w:rsidP="00D90275">
            <w:pPr>
              <w:keepNext/>
              <w:jc w:val="center"/>
              <w:rPr>
                <w:b/>
                <w:sz w:val="20"/>
                <w:szCs w:val="20"/>
              </w:rPr>
            </w:pPr>
            <w:r w:rsidRPr="00970F46">
              <w:t>CO</w:t>
            </w:r>
            <w:r w:rsidRPr="00970F46">
              <w:rPr>
                <w:vertAlign w:val="subscript"/>
              </w:rPr>
              <w:t>2</w:t>
            </w:r>
            <w:r w:rsidRPr="00970F46">
              <w:rPr>
                <w:b/>
                <w:sz w:val="20"/>
                <w:szCs w:val="20"/>
              </w:rPr>
              <w:t>-eq (tonnes/year)</w:t>
            </w:r>
          </w:p>
        </w:tc>
      </w:tr>
      <w:tr w:rsidR="00053749" w:rsidRPr="00970F46" w:rsidTr="0053541F">
        <w:trPr>
          <w:trHeight w:val="232"/>
          <w:jc w:val="center"/>
        </w:trPr>
        <w:tc>
          <w:tcPr>
            <w:tcW w:w="2482" w:type="pct"/>
            <w:noWrap/>
            <w:tcMar>
              <w:top w:w="0" w:type="dxa"/>
              <w:left w:w="108" w:type="dxa"/>
              <w:bottom w:w="0" w:type="dxa"/>
              <w:right w:w="108" w:type="dxa"/>
            </w:tcMar>
            <w:vAlign w:val="bottom"/>
          </w:tcPr>
          <w:p w:rsidR="00053749" w:rsidRPr="00970F46" w:rsidRDefault="00053749" w:rsidP="0053541F">
            <w:pPr>
              <w:keepNext/>
              <w:rPr>
                <w:b/>
                <w:sz w:val="20"/>
                <w:szCs w:val="20"/>
              </w:rPr>
            </w:pPr>
            <w:r w:rsidRPr="00970F46">
              <w:rPr>
                <w:b/>
                <w:sz w:val="20"/>
                <w:szCs w:val="20"/>
              </w:rPr>
              <w:t>Before conversion</w:t>
            </w:r>
          </w:p>
        </w:tc>
        <w:tc>
          <w:tcPr>
            <w:tcW w:w="713" w:type="pct"/>
            <w:tcMar>
              <w:top w:w="0" w:type="dxa"/>
              <w:left w:w="108" w:type="dxa"/>
              <w:bottom w:w="0" w:type="dxa"/>
              <w:right w:w="108" w:type="dxa"/>
            </w:tcMar>
            <w:vAlign w:val="bottom"/>
          </w:tcPr>
          <w:p w:rsidR="00053749" w:rsidRPr="00970F46" w:rsidRDefault="00053749" w:rsidP="0053541F">
            <w:pPr>
              <w:keepNext/>
              <w:jc w:val="center"/>
              <w:rPr>
                <w:b/>
                <w:sz w:val="20"/>
                <w:szCs w:val="20"/>
              </w:rPr>
            </w:pPr>
          </w:p>
        </w:tc>
        <w:tc>
          <w:tcPr>
            <w:tcW w:w="778" w:type="pct"/>
            <w:noWrap/>
            <w:tcMar>
              <w:top w:w="0" w:type="dxa"/>
              <w:left w:w="108" w:type="dxa"/>
              <w:bottom w:w="0" w:type="dxa"/>
              <w:right w:w="108" w:type="dxa"/>
            </w:tcMar>
            <w:vAlign w:val="bottom"/>
          </w:tcPr>
          <w:p w:rsidR="00053749" w:rsidRPr="00970F46" w:rsidRDefault="00053749" w:rsidP="0053541F">
            <w:pPr>
              <w:keepNext/>
              <w:jc w:val="center"/>
              <w:rPr>
                <w:b/>
                <w:sz w:val="20"/>
                <w:szCs w:val="20"/>
              </w:rPr>
            </w:pPr>
          </w:p>
        </w:tc>
        <w:tc>
          <w:tcPr>
            <w:tcW w:w="1027" w:type="pct"/>
            <w:tcMar>
              <w:top w:w="0" w:type="dxa"/>
              <w:left w:w="108" w:type="dxa"/>
              <w:bottom w:w="0" w:type="dxa"/>
              <w:right w:w="108" w:type="dxa"/>
            </w:tcMar>
            <w:vAlign w:val="bottom"/>
          </w:tcPr>
          <w:p w:rsidR="00053749" w:rsidRPr="00970F46" w:rsidRDefault="00053749" w:rsidP="0053541F">
            <w:pPr>
              <w:keepNext/>
              <w:jc w:val="right"/>
              <w:rPr>
                <w:b/>
                <w:sz w:val="20"/>
                <w:szCs w:val="20"/>
              </w:rPr>
            </w:pP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53541F">
            <w:pPr>
              <w:keepNext/>
              <w:rPr>
                <w:sz w:val="20"/>
                <w:szCs w:val="20"/>
              </w:rPr>
            </w:pPr>
            <w:r w:rsidRPr="00970F46">
              <w:rPr>
                <w:sz w:val="20"/>
                <w:szCs w:val="20"/>
              </w:rPr>
              <w:t>HCFC-141b</w:t>
            </w:r>
          </w:p>
        </w:tc>
        <w:tc>
          <w:tcPr>
            <w:tcW w:w="713" w:type="pct"/>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725</w:t>
            </w:r>
          </w:p>
        </w:tc>
        <w:tc>
          <w:tcPr>
            <w:tcW w:w="778" w:type="pct"/>
            <w:noWrap/>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527.55</w:t>
            </w:r>
          </w:p>
        </w:tc>
        <w:tc>
          <w:tcPr>
            <w:tcW w:w="1027" w:type="pct"/>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382,470</w:t>
            </w: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53541F">
            <w:pPr>
              <w:keepNext/>
              <w:rPr>
                <w:sz w:val="20"/>
                <w:szCs w:val="20"/>
              </w:rPr>
            </w:pPr>
            <w:r w:rsidRPr="00970F46">
              <w:rPr>
                <w:sz w:val="20"/>
                <w:szCs w:val="20"/>
              </w:rPr>
              <w:t>HCFC-22</w:t>
            </w:r>
          </w:p>
        </w:tc>
        <w:tc>
          <w:tcPr>
            <w:tcW w:w="713" w:type="pct"/>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1,810</w:t>
            </w:r>
          </w:p>
        </w:tc>
        <w:tc>
          <w:tcPr>
            <w:tcW w:w="778" w:type="pct"/>
            <w:noWrap/>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30.52</w:t>
            </w:r>
          </w:p>
        </w:tc>
        <w:tc>
          <w:tcPr>
            <w:tcW w:w="1027" w:type="pct"/>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55,247</w:t>
            </w:r>
          </w:p>
        </w:tc>
      </w:tr>
      <w:tr w:rsidR="009A022C" w:rsidRPr="00970F46" w:rsidTr="0053541F">
        <w:trPr>
          <w:trHeight w:val="187"/>
          <w:jc w:val="center"/>
        </w:trPr>
        <w:tc>
          <w:tcPr>
            <w:tcW w:w="2482" w:type="pct"/>
            <w:noWrap/>
            <w:tcMar>
              <w:top w:w="0" w:type="dxa"/>
              <w:left w:w="108" w:type="dxa"/>
              <w:bottom w:w="0" w:type="dxa"/>
              <w:right w:w="108" w:type="dxa"/>
            </w:tcMar>
            <w:vAlign w:val="bottom"/>
          </w:tcPr>
          <w:p w:rsidR="009A022C" w:rsidRPr="00970F46" w:rsidRDefault="009A022C" w:rsidP="0053541F">
            <w:pPr>
              <w:keepNext/>
              <w:rPr>
                <w:sz w:val="20"/>
                <w:szCs w:val="20"/>
              </w:rPr>
            </w:pPr>
            <w:r>
              <w:rPr>
                <w:sz w:val="20"/>
                <w:szCs w:val="20"/>
              </w:rPr>
              <w:t>HCFC-142b</w:t>
            </w:r>
          </w:p>
        </w:tc>
        <w:tc>
          <w:tcPr>
            <w:tcW w:w="713" w:type="pct"/>
            <w:tcMar>
              <w:top w:w="0" w:type="dxa"/>
              <w:left w:w="108" w:type="dxa"/>
              <w:bottom w:w="0" w:type="dxa"/>
              <w:right w:w="108" w:type="dxa"/>
            </w:tcMar>
            <w:vAlign w:val="bottom"/>
          </w:tcPr>
          <w:p w:rsidR="009A022C" w:rsidRDefault="009A022C" w:rsidP="0053541F">
            <w:pPr>
              <w:keepNext/>
              <w:jc w:val="right"/>
              <w:rPr>
                <w:sz w:val="20"/>
                <w:szCs w:val="20"/>
              </w:rPr>
            </w:pPr>
            <w:r>
              <w:rPr>
                <w:sz w:val="20"/>
                <w:szCs w:val="20"/>
              </w:rPr>
              <w:t>2,310</w:t>
            </w:r>
          </w:p>
        </w:tc>
        <w:tc>
          <w:tcPr>
            <w:tcW w:w="778" w:type="pct"/>
            <w:noWrap/>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26.77</w:t>
            </w:r>
          </w:p>
        </w:tc>
        <w:tc>
          <w:tcPr>
            <w:tcW w:w="1027" w:type="pct"/>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61,846</w:t>
            </w: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3A14E9">
            <w:pPr>
              <w:keepNext/>
              <w:rPr>
                <w:b/>
                <w:sz w:val="20"/>
                <w:szCs w:val="20"/>
              </w:rPr>
            </w:pPr>
            <w:r w:rsidRPr="00970F46">
              <w:rPr>
                <w:b/>
                <w:sz w:val="20"/>
                <w:szCs w:val="20"/>
              </w:rPr>
              <w:t xml:space="preserve">Total </w:t>
            </w:r>
          </w:p>
        </w:tc>
        <w:tc>
          <w:tcPr>
            <w:tcW w:w="713" w:type="pct"/>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778" w:type="pct"/>
            <w:noWrap/>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1027" w:type="pct"/>
            <w:tcMar>
              <w:top w:w="0" w:type="dxa"/>
              <w:left w:w="108" w:type="dxa"/>
              <w:bottom w:w="0" w:type="dxa"/>
              <w:right w:w="108" w:type="dxa"/>
            </w:tcMar>
            <w:vAlign w:val="bottom"/>
          </w:tcPr>
          <w:p w:rsidR="00053749" w:rsidRPr="00970F46" w:rsidRDefault="009A022C" w:rsidP="0053541F">
            <w:pPr>
              <w:keepNext/>
              <w:jc w:val="right"/>
              <w:rPr>
                <w:b/>
                <w:sz w:val="20"/>
                <w:szCs w:val="20"/>
              </w:rPr>
            </w:pPr>
            <w:r>
              <w:rPr>
                <w:b/>
                <w:sz w:val="20"/>
                <w:szCs w:val="20"/>
              </w:rPr>
              <w:t>499,564</w:t>
            </w: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53541F">
            <w:pPr>
              <w:keepNext/>
              <w:rPr>
                <w:b/>
                <w:sz w:val="20"/>
                <w:szCs w:val="20"/>
              </w:rPr>
            </w:pPr>
            <w:r w:rsidRPr="00970F46">
              <w:rPr>
                <w:b/>
                <w:sz w:val="20"/>
                <w:szCs w:val="20"/>
              </w:rPr>
              <w:t>After conversion</w:t>
            </w:r>
          </w:p>
        </w:tc>
        <w:tc>
          <w:tcPr>
            <w:tcW w:w="713" w:type="pct"/>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778" w:type="pct"/>
            <w:noWrap/>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1027" w:type="pct"/>
            <w:tcMar>
              <w:top w:w="0" w:type="dxa"/>
              <w:left w:w="108" w:type="dxa"/>
              <w:bottom w:w="0" w:type="dxa"/>
              <w:right w:w="108" w:type="dxa"/>
            </w:tcMar>
            <w:vAlign w:val="bottom"/>
          </w:tcPr>
          <w:p w:rsidR="00053749" w:rsidRPr="00970F46" w:rsidRDefault="00053749" w:rsidP="0053541F">
            <w:pPr>
              <w:keepNext/>
              <w:jc w:val="right"/>
              <w:rPr>
                <w:b/>
                <w:sz w:val="20"/>
                <w:szCs w:val="20"/>
              </w:rPr>
            </w:pP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9A022C">
            <w:pPr>
              <w:keepNext/>
              <w:rPr>
                <w:sz w:val="20"/>
                <w:szCs w:val="20"/>
              </w:rPr>
            </w:pPr>
            <w:r w:rsidRPr="00970F46">
              <w:rPr>
                <w:sz w:val="20"/>
                <w:szCs w:val="20"/>
              </w:rPr>
              <w:t>Cyclopentane</w:t>
            </w:r>
          </w:p>
        </w:tc>
        <w:tc>
          <w:tcPr>
            <w:tcW w:w="713" w:type="pct"/>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25</w:t>
            </w:r>
          </w:p>
        </w:tc>
        <w:tc>
          <w:tcPr>
            <w:tcW w:w="778" w:type="pct"/>
            <w:noWrap/>
            <w:tcMar>
              <w:top w:w="0" w:type="dxa"/>
              <w:left w:w="108" w:type="dxa"/>
              <w:bottom w:w="0" w:type="dxa"/>
              <w:right w:w="108" w:type="dxa"/>
            </w:tcMar>
            <w:vAlign w:val="bottom"/>
          </w:tcPr>
          <w:p w:rsidR="00053749" w:rsidRPr="00970F46" w:rsidRDefault="009A022C" w:rsidP="0053541F">
            <w:pPr>
              <w:keepNext/>
              <w:jc w:val="right"/>
              <w:rPr>
                <w:sz w:val="20"/>
                <w:szCs w:val="20"/>
              </w:rPr>
            </w:pPr>
            <w:r>
              <w:rPr>
                <w:sz w:val="20"/>
                <w:szCs w:val="20"/>
              </w:rPr>
              <w:t>37.38</w:t>
            </w:r>
          </w:p>
        </w:tc>
        <w:tc>
          <w:tcPr>
            <w:tcW w:w="1027" w:type="pct"/>
            <w:tcMar>
              <w:top w:w="0" w:type="dxa"/>
              <w:left w:w="108" w:type="dxa"/>
              <w:bottom w:w="0" w:type="dxa"/>
              <w:right w:w="108" w:type="dxa"/>
            </w:tcMar>
            <w:vAlign w:val="bottom"/>
          </w:tcPr>
          <w:p w:rsidR="00053749" w:rsidRPr="00970F46" w:rsidRDefault="009A022C" w:rsidP="00710D9E">
            <w:pPr>
              <w:keepNext/>
              <w:jc w:val="right"/>
              <w:rPr>
                <w:sz w:val="20"/>
                <w:szCs w:val="20"/>
              </w:rPr>
            </w:pPr>
            <w:r>
              <w:rPr>
                <w:sz w:val="20"/>
                <w:szCs w:val="20"/>
              </w:rPr>
              <w:t>93</w:t>
            </w:r>
            <w:r w:rsidR="00710D9E">
              <w:rPr>
                <w:sz w:val="20"/>
                <w:szCs w:val="20"/>
              </w:rPr>
              <w:t>5</w:t>
            </w:r>
          </w:p>
        </w:tc>
      </w:tr>
      <w:tr w:rsidR="009A022C" w:rsidRPr="00970F46" w:rsidTr="0053541F">
        <w:trPr>
          <w:trHeight w:val="187"/>
          <w:jc w:val="center"/>
        </w:trPr>
        <w:tc>
          <w:tcPr>
            <w:tcW w:w="2482" w:type="pct"/>
            <w:noWrap/>
            <w:tcMar>
              <w:top w:w="0" w:type="dxa"/>
              <w:left w:w="108" w:type="dxa"/>
              <w:bottom w:w="0" w:type="dxa"/>
              <w:right w:w="108" w:type="dxa"/>
            </w:tcMar>
            <w:vAlign w:val="bottom"/>
          </w:tcPr>
          <w:p w:rsidR="009A022C" w:rsidRPr="00970F46" w:rsidRDefault="009A022C" w:rsidP="0053541F">
            <w:pPr>
              <w:keepNext/>
              <w:rPr>
                <w:sz w:val="20"/>
                <w:szCs w:val="20"/>
              </w:rPr>
            </w:pPr>
            <w:r>
              <w:rPr>
                <w:sz w:val="20"/>
                <w:szCs w:val="20"/>
              </w:rPr>
              <w:t>HFO-1233zd</w:t>
            </w:r>
          </w:p>
        </w:tc>
        <w:tc>
          <w:tcPr>
            <w:tcW w:w="713" w:type="pct"/>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6</w:t>
            </w:r>
          </w:p>
        </w:tc>
        <w:tc>
          <w:tcPr>
            <w:tcW w:w="778" w:type="pct"/>
            <w:noWrap/>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261.53</w:t>
            </w:r>
          </w:p>
        </w:tc>
        <w:tc>
          <w:tcPr>
            <w:tcW w:w="1027" w:type="pct"/>
            <w:tcMar>
              <w:top w:w="0" w:type="dxa"/>
              <w:left w:w="108" w:type="dxa"/>
              <w:bottom w:w="0" w:type="dxa"/>
              <w:right w:w="108" w:type="dxa"/>
            </w:tcMar>
            <w:vAlign w:val="bottom"/>
          </w:tcPr>
          <w:p w:rsidR="009A022C" w:rsidRPr="00970F46" w:rsidRDefault="009A022C" w:rsidP="00710D9E">
            <w:pPr>
              <w:keepNext/>
              <w:jc w:val="right"/>
              <w:rPr>
                <w:sz w:val="20"/>
                <w:szCs w:val="20"/>
              </w:rPr>
            </w:pPr>
            <w:r>
              <w:rPr>
                <w:sz w:val="20"/>
                <w:szCs w:val="20"/>
              </w:rPr>
              <w:t>1,5</w:t>
            </w:r>
            <w:r w:rsidR="00710D9E">
              <w:rPr>
                <w:sz w:val="20"/>
                <w:szCs w:val="20"/>
              </w:rPr>
              <w:t>69</w:t>
            </w:r>
          </w:p>
        </w:tc>
      </w:tr>
      <w:tr w:rsidR="009A022C" w:rsidRPr="00970F46" w:rsidTr="0053541F">
        <w:trPr>
          <w:trHeight w:val="187"/>
          <w:jc w:val="center"/>
        </w:trPr>
        <w:tc>
          <w:tcPr>
            <w:tcW w:w="2482" w:type="pct"/>
            <w:noWrap/>
            <w:tcMar>
              <w:top w:w="0" w:type="dxa"/>
              <w:left w:w="108" w:type="dxa"/>
              <w:bottom w:w="0" w:type="dxa"/>
              <w:right w:w="108" w:type="dxa"/>
            </w:tcMar>
            <w:vAlign w:val="bottom"/>
          </w:tcPr>
          <w:p w:rsidR="009A022C" w:rsidRPr="00970F46" w:rsidRDefault="009A022C" w:rsidP="0053541F">
            <w:pPr>
              <w:keepNext/>
              <w:rPr>
                <w:sz w:val="20"/>
                <w:szCs w:val="20"/>
              </w:rPr>
            </w:pPr>
            <w:r>
              <w:rPr>
                <w:sz w:val="20"/>
                <w:szCs w:val="20"/>
              </w:rPr>
              <w:t>CO</w:t>
            </w:r>
            <w:r w:rsidRPr="009A022C">
              <w:rPr>
                <w:sz w:val="20"/>
                <w:szCs w:val="20"/>
                <w:vertAlign w:val="subscript"/>
              </w:rPr>
              <w:t>2</w:t>
            </w:r>
          </w:p>
        </w:tc>
        <w:tc>
          <w:tcPr>
            <w:tcW w:w="713" w:type="pct"/>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1</w:t>
            </w:r>
          </w:p>
        </w:tc>
        <w:tc>
          <w:tcPr>
            <w:tcW w:w="778" w:type="pct"/>
            <w:noWrap/>
            <w:tcMar>
              <w:top w:w="0" w:type="dxa"/>
              <w:left w:w="108" w:type="dxa"/>
              <w:bottom w:w="0" w:type="dxa"/>
              <w:right w:w="108" w:type="dxa"/>
            </w:tcMar>
            <w:vAlign w:val="bottom"/>
          </w:tcPr>
          <w:p w:rsidR="009A022C" w:rsidRPr="00970F46" w:rsidRDefault="009A022C" w:rsidP="0053541F">
            <w:pPr>
              <w:keepNext/>
              <w:jc w:val="right"/>
              <w:rPr>
                <w:sz w:val="20"/>
                <w:szCs w:val="20"/>
              </w:rPr>
            </w:pPr>
            <w:r>
              <w:rPr>
                <w:sz w:val="20"/>
                <w:szCs w:val="20"/>
              </w:rPr>
              <w:t>17.67</w:t>
            </w:r>
          </w:p>
        </w:tc>
        <w:tc>
          <w:tcPr>
            <w:tcW w:w="1027" w:type="pct"/>
            <w:tcMar>
              <w:top w:w="0" w:type="dxa"/>
              <w:left w:w="108" w:type="dxa"/>
              <w:bottom w:w="0" w:type="dxa"/>
              <w:right w:w="108" w:type="dxa"/>
            </w:tcMar>
            <w:vAlign w:val="bottom"/>
          </w:tcPr>
          <w:p w:rsidR="009A022C" w:rsidRPr="00970F46" w:rsidRDefault="009A022C" w:rsidP="00710D9E">
            <w:pPr>
              <w:keepNext/>
              <w:jc w:val="right"/>
              <w:rPr>
                <w:sz w:val="20"/>
                <w:szCs w:val="20"/>
              </w:rPr>
            </w:pPr>
            <w:r>
              <w:rPr>
                <w:sz w:val="20"/>
                <w:szCs w:val="20"/>
              </w:rPr>
              <w:t>1</w:t>
            </w:r>
            <w:r w:rsidR="00710D9E">
              <w:rPr>
                <w:sz w:val="20"/>
                <w:szCs w:val="20"/>
              </w:rPr>
              <w:t>8</w:t>
            </w:r>
          </w:p>
        </w:tc>
      </w:tr>
      <w:tr w:rsidR="003A14E9" w:rsidRPr="003A14E9" w:rsidTr="0053541F">
        <w:trPr>
          <w:trHeight w:val="187"/>
          <w:jc w:val="center"/>
        </w:trPr>
        <w:tc>
          <w:tcPr>
            <w:tcW w:w="2482" w:type="pct"/>
            <w:noWrap/>
            <w:tcMar>
              <w:top w:w="0" w:type="dxa"/>
              <w:left w:w="108" w:type="dxa"/>
              <w:bottom w:w="0" w:type="dxa"/>
              <w:right w:w="108" w:type="dxa"/>
            </w:tcMar>
            <w:vAlign w:val="bottom"/>
          </w:tcPr>
          <w:p w:rsidR="003A14E9" w:rsidRPr="003A14E9" w:rsidRDefault="003A14E9" w:rsidP="003A14E9">
            <w:pPr>
              <w:keepNext/>
              <w:rPr>
                <w:b/>
                <w:sz w:val="20"/>
                <w:szCs w:val="20"/>
              </w:rPr>
            </w:pPr>
            <w:r w:rsidRPr="003A14E9">
              <w:rPr>
                <w:b/>
                <w:sz w:val="20"/>
                <w:szCs w:val="20"/>
              </w:rPr>
              <w:t xml:space="preserve">Total </w:t>
            </w:r>
          </w:p>
        </w:tc>
        <w:tc>
          <w:tcPr>
            <w:tcW w:w="713" w:type="pct"/>
            <w:tcMar>
              <w:top w:w="0" w:type="dxa"/>
              <w:left w:w="108" w:type="dxa"/>
              <w:bottom w:w="0" w:type="dxa"/>
              <w:right w:w="108" w:type="dxa"/>
            </w:tcMar>
            <w:vAlign w:val="bottom"/>
          </w:tcPr>
          <w:p w:rsidR="003A14E9" w:rsidRPr="003A14E9" w:rsidRDefault="003A14E9" w:rsidP="0053541F">
            <w:pPr>
              <w:keepNext/>
              <w:jc w:val="right"/>
              <w:rPr>
                <w:b/>
                <w:sz w:val="20"/>
                <w:szCs w:val="20"/>
              </w:rPr>
            </w:pPr>
          </w:p>
        </w:tc>
        <w:tc>
          <w:tcPr>
            <w:tcW w:w="778" w:type="pct"/>
            <w:noWrap/>
            <w:tcMar>
              <w:top w:w="0" w:type="dxa"/>
              <w:left w:w="108" w:type="dxa"/>
              <w:bottom w:w="0" w:type="dxa"/>
              <w:right w:w="108" w:type="dxa"/>
            </w:tcMar>
            <w:vAlign w:val="bottom"/>
          </w:tcPr>
          <w:p w:rsidR="003A14E9" w:rsidRPr="003A14E9" w:rsidRDefault="003A14E9" w:rsidP="0053541F">
            <w:pPr>
              <w:keepNext/>
              <w:jc w:val="right"/>
              <w:rPr>
                <w:b/>
                <w:sz w:val="20"/>
                <w:szCs w:val="20"/>
              </w:rPr>
            </w:pPr>
          </w:p>
        </w:tc>
        <w:tc>
          <w:tcPr>
            <w:tcW w:w="1027" w:type="pct"/>
            <w:tcMar>
              <w:top w:w="0" w:type="dxa"/>
              <w:left w:w="108" w:type="dxa"/>
              <w:bottom w:w="0" w:type="dxa"/>
              <w:right w:w="108" w:type="dxa"/>
            </w:tcMar>
            <w:vAlign w:val="bottom"/>
          </w:tcPr>
          <w:p w:rsidR="003A14E9" w:rsidRPr="003A14E9" w:rsidRDefault="003A14E9" w:rsidP="00710D9E">
            <w:pPr>
              <w:keepNext/>
              <w:jc w:val="right"/>
              <w:rPr>
                <w:b/>
                <w:sz w:val="20"/>
                <w:szCs w:val="20"/>
              </w:rPr>
            </w:pPr>
            <w:r>
              <w:rPr>
                <w:b/>
                <w:sz w:val="20"/>
                <w:szCs w:val="20"/>
              </w:rPr>
              <w:t>2,522</w:t>
            </w:r>
          </w:p>
        </w:tc>
      </w:tr>
      <w:tr w:rsidR="00053749" w:rsidRPr="00970F46" w:rsidTr="0053541F">
        <w:trPr>
          <w:trHeight w:val="187"/>
          <w:jc w:val="center"/>
        </w:trPr>
        <w:tc>
          <w:tcPr>
            <w:tcW w:w="2482" w:type="pct"/>
            <w:noWrap/>
            <w:tcMar>
              <w:top w:w="0" w:type="dxa"/>
              <w:left w:w="108" w:type="dxa"/>
              <w:bottom w:w="0" w:type="dxa"/>
              <w:right w:w="108" w:type="dxa"/>
            </w:tcMar>
            <w:vAlign w:val="bottom"/>
          </w:tcPr>
          <w:p w:rsidR="00053749" w:rsidRPr="00970F46" w:rsidRDefault="00053749" w:rsidP="0053541F">
            <w:pPr>
              <w:keepNext/>
              <w:rPr>
                <w:b/>
                <w:sz w:val="20"/>
                <w:szCs w:val="20"/>
              </w:rPr>
            </w:pPr>
            <w:r w:rsidRPr="00970F46">
              <w:rPr>
                <w:b/>
                <w:sz w:val="20"/>
                <w:szCs w:val="20"/>
              </w:rPr>
              <w:t>Impact</w:t>
            </w:r>
          </w:p>
        </w:tc>
        <w:tc>
          <w:tcPr>
            <w:tcW w:w="713" w:type="pct"/>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778" w:type="pct"/>
            <w:noWrap/>
            <w:tcMar>
              <w:top w:w="0" w:type="dxa"/>
              <w:left w:w="108" w:type="dxa"/>
              <w:bottom w:w="0" w:type="dxa"/>
              <w:right w:w="108" w:type="dxa"/>
            </w:tcMar>
            <w:vAlign w:val="bottom"/>
          </w:tcPr>
          <w:p w:rsidR="00053749" w:rsidRPr="00970F46" w:rsidRDefault="00053749" w:rsidP="0053541F">
            <w:pPr>
              <w:keepNext/>
              <w:jc w:val="right"/>
              <w:rPr>
                <w:b/>
                <w:sz w:val="20"/>
                <w:szCs w:val="20"/>
              </w:rPr>
            </w:pPr>
          </w:p>
        </w:tc>
        <w:tc>
          <w:tcPr>
            <w:tcW w:w="1027" w:type="pct"/>
            <w:tcMar>
              <w:top w:w="0" w:type="dxa"/>
              <w:left w:w="108" w:type="dxa"/>
              <w:bottom w:w="0" w:type="dxa"/>
              <w:right w:w="108" w:type="dxa"/>
            </w:tcMar>
            <w:vAlign w:val="bottom"/>
          </w:tcPr>
          <w:p w:rsidR="00053749" w:rsidRPr="00970F46" w:rsidRDefault="009A022C" w:rsidP="0053541F">
            <w:pPr>
              <w:keepNext/>
              <w:jc w:val="right"/>
              <w:rPr>
                <w:b/>
                <w:sz w:val="20"/>
                <w:szCs w:val="20"/>
              </w:rPr>
            </w:pPr>
            <w:r>
              <w:rPr>
                <w:b/>
                <w:sz w:val="20"/>
                <w:szCs w:val="20"/>
              </w:rPr>
              <w:t>(497,042)</w:t>
            </w:r>
          </w:p>
        </w:tc>
      </w:tr>
    </w:tbl>
    <w:p w:rsidR="00053749" w:rsidRDefault="00053749" w:rsidP="00053749">
      <w:pPr>
        <w:pStyle w:val="Heading1"/>
        <w:numPr>
          <w:ilvl w:val="0"/>
          <w:numId w:val="0"/>
        </w:numPr>
        <w:spacing w:after="0"/>
      </w:pPr>
    </w:p>
    <w:p w:rsidR="008B50D6" w:rsidRPr="00797E06" w:rsidRDefault="008B50D6" w:rsidP="008B50D6">
      <w:pPr>
        <w:pStyle w:val="Heading1"/>
      </w:pPr>
      <w:r w:rsidRPr="00C81F5D">
        <w:t xml:space="preserve">The proposed activities in the servicing sector, which include better containment of refrigerants through </w:t>
      </w:r>
      <w:r w:rsidR="00C81F5D" w:rsidRPr="00C81F5D">
        <w:t xml:space="preserve">technicians </w:t>
      </w:r>
      <w:r w:rsidRPr="00C81F5D">
        <w:t>training and provision of equipment, will further reduce the amount of HCFC</w:t>
      </w:r>
      <w:r w:rsidRPr="00C81F5D">
        <w:noBreakHyphen/>
        <w:t>22 used for refrigeration servicing. Although a calculation of the impact on the climate was not included in the HPMP, the activities planned by Argentina, in particular its efforts to promote low</w:t>
      </w:r>
      <w:r w:rsidRPr="00C81F5D">
        <w:noBreakHyphen/>
        <w:t>GWP alternatives, and refrigerant recovery and reuse, indicate that the implementation of the HPMP will reduce the emission of refrigerants into the atmosphere, therefore resulting in benefits on the climate</w:t>
      </w:r>
      <w:r w:rsidRPr="00797E06">
        <w:t>. Each kilogram of HCFC</w:t>
      </w:r>
      <w:r w:rsidR="00241BDC">
        <w:noBreakHyphen/>
      </w:r>
      <w:r w:rsidRPr="00797E06">
        <w:t>22 not emitted due to better refrigeration practices results in savings of approximately 1.8 CO</w:t>
      </w:r>
      <w:r w:rsidRPr="00797E06">
        <w:rPr>
          <w:vertAlign w:val="subscript"/>
        </w:rPr>
        <w:t>2</w:t>
      </w:r>
      <w:r w:rsidRPr="00797E06">
        <w:t xml:space="preserve">-equivalent tonnes. </w:t>
      </w:r>
    </w:p>
    <w:p w:rsidR="00053749" w:rsidRDefault="00053749" w:rsidP="00053749">
      <w:pPr>
        <w:spacing w:after="240"/>
        <w:outlineLvl w:val="0"/>
        <w:rPr>
          <w:b/>
          <w:color w:val="000000"/>
        </w:rPr>
      </w:pPr>
      <w:r w:rsidRPr="00970F46">
        <w:rPr>
          <w:b/>
          <w:color w:val="000000"/>
        </w:rPr>
        <w:t>Co-financing</w:t>
      </w:r>
    </w:p>
    <w:p w:rsidR="008B50D6" w:rsidRPr="000B2541" w:rsidRDefault="008B50D6" w:rsidP="000A7FD9">
      <w:pPr>
        <w:pStyle w:val="Heading1"/>
      </w:pPr>
      <w:r w:rsidRPr="000B2541">
        <w:t xml:space="preserve">A total of </w:t>
      </w:r>
      <w:r w:rsidR="00A61617" w:rsidRPr="000B2541">
        <w:t>203.63</w:t>
      </w:r>
      <w:r w:rsidRPr="000B2541">
        <w:t xml:space="preserve"> tonnes (</w:t>
      </w:r>
      <w:r w:rsidR="00A61617" w:rsidRPr="000B2541">
        <w:t>22.40</w:t>
      </w:r>
      <w:r w:rsidRPr="000B2541">
        <w:t xml:space="preserve"> ODP tonnes) of HCFC-141b consumed in the PU foam sector by non</w:t>
      </w:r>
      <w:r w:rsidRPr="000B2541">
        <w:noBreakHyphen/>
        <w:t>eligible enterprises will be phased out through regulations, with the actual cost of conversions, where applicable, assumed by the enterprises.</w:t>
      </w:r>
      <w:r w:rsidR="000A7FD9" w:rsidRPr="000B2541">
        <w:t xml:space="preserve"> The incremental cost of the two XPS foam enterprises was estimated at US $439,200, of which US $348,767 is being funded by the Multilateral Fund, with the difference of US $90,433 provided by the enterprises.</w:t>
      </w:r>
    </w:p>
    <w:p w:rsidR="008B50D6" w:rsidRPr="00797E06" w:rsidRDefault="008B50D6" w:rsidP="008B50D6">
      <w:pPr>
        <w:keepNext/>
        <w:spacing w:after="240"/>
        <w:outlineLvl w:val="0"/>
        <w:rPr>
          <w:b/>
          <w:bCs/>
        </w:rPr>
      </w:pPr>
      <w:r w:rsidRPr="00797E06">
        <w:rPr>
          <w:b/>
          <w:bCs/>
        </w:rPr>
        <w:t>2017-2019 draft business plan of the Multilateral Fund</w:t>
      </w:r>
    </w:p>
    <w:p w:rsidR="008B50D6" w:rsidRPr="000B2541" w:rsidRDefault="008B50D6" w:rsidP="008B50D6">
      <w:pPr>
        <w:pStyle w:val="Heading1"/>
      </w:pPr>
      <w:r w:rsidRPr="00797E06">
        <w:t xml:space="preserve">UNIDO/World Bank and </w:t>
      </w:r>
      <w:r w:rsidRPr="00057451">
        <w:t xml:space="preserve">the Government of </w:t>
      </w:r>
      <w:r w:rsidRPr="000B2541">
        <w:t>Italy are requesting US $</w:t>
      </w:r>
      <w:r w:rsidR="006B6E88" w:rsidRPr="000B2541">
        <w:t>10,6</w:t>
      </w:r>
      <w:r w:rsidR="00211A60" w:rsidRPr="000B2541">
        <w:t>52,125</w:t>
      </w:r>
      <w:r w:rsidR="006B6E88" w:rsidRPr="000B2541">
        <w:t xml:space="preserve"> including </w:t>
      </w:r>
      <w:r w:rsidRPr="000B2541">
        <w:t>agency support costs for the implementation of stage II of the HPMP. The total value requested of US $</w:t>
      </w:r>
      <w:r w:rsidR="00211A60" w:rsidRPr="000B2541">
        <w:t xml:space="preserve">6,245,678 </w:t>
      </w:r>
      <w:r w:rsidRPr="000B2541">
        <w:t>for the period from 2017 to 2019, is US $</w:t>
      </w:r>
      <w:r w:rsidR="00211A60" w:rsidRPr="000B2541">
        <w:t>1,910,322</w:t>
      </w:r>
      <w:r w:rsidRPr="000B2541">
        <w:t xml:space="preserve"> </w:t>
      </w:r>
      <w:r w:rsidR="006B6E88" w:rsidRPr="000B2541">
        <w:t>below</w:t>
      </w:r>
      <w:r w:rsidRPr="000B2541">
        <w:t xml:space="preserve"> the amount in the business plan between 2017 and 2019.</w:t>
      </w:r>
      <w:r w:rsidR="00224EC6" w:rsidRPr="000B2541">
        <w:t xml:space="preserve"> </w:t>
      </w:r>
    </w:p>
    <w:p w:rsidR="008B50D6" w:rsidRPr="008B50D6" w:rsidRDefault="008B50D6" w:rsidP="008B50D6">
      <w:pPr>
        <w:pStyle w:val="Style1"/>
        <w:numPr>
          <w:ilvl w:val="0"/>
          <w:numId w:val="0"/>
        </w:numPr>
        <w:spacing w:after="240" w:line="240" w:lineRule="auto"/>
        <w:rPr>
          <w:b/>
          <w:bCs/>
        </w:rPr>
      </w:pPr>
      <w:r w:rsidRPr="008B50D6">
        <w:rPr>
          <w:b/>
          <w:bCs/>
        </w:rPr>
        <w:t>Draft Agreement</w:t>
      </w:r>
    </w:p>
    <w:p w:rsidR="008B50D6" w:rsidRPr="008B50D6" w:rsidRDefault="008B50D6" w:rsidP="008B50D6">
      <w:pPr>
        <w:pStyle w:val="Heading1"/>
        <w:contextualSpacing/>
        <w:rPr>
          <w:bCs/>
          <w:color w:val="000000" w:themeColor="text1"/>
          <w:szCs w:val="32"/>
        </w:rPr>
      </w:pPr>
      <w:r w:rsidRPr="008B50D6">
        <w:t>A draft Agreement between the Government of Argentina and the Executive Committee for the phase</w:t>
      </w:r>
      <w:r w:rsidRPr="008B50D6">
        <w:noBreakHyphen/>
        <w:t xml:space="preserve">out of HCFCs in stage II of the HPMP is contained in Annex I to the present document. </w:t>
      </w:r>
    </w:p>
    <w:p w:rsidR="007D1622" w:rsidRPr="008B50D6" w:rsidRDefault="007D1622" w:rsidP="007D1622">
      <w:pPr>
        <w:pStyle w:val="Heading1"/>
        <w:numPr>
          <w:ilvl w:val="0"/>
          <w:numId w:val="0"/>
        </w:numPr>
        <w:contextualSpacing/>
      </w:pPr>
    </w:p>
    <w:p w:rsidR="00053749" w:rsidRDefault="00053749" w:rsidP="007D1622">
      <w:pPr>
        <w:pStyle w:val="Heading1"/>
        <w:numPr>
          <w:ilvl w:val="0"/>
          <w:numId w:val="0"/>
        </w:numPr>
        <w:contextualSpacing/>
        <w:rPr>
          <w:b/>
          <w:bCs/>
          <w:color w:val="000000" w:themeColor="text1"/>
          <w:szCs w:val="32"/>
        </w:rPr>
      </w:pPr>
      <w:r w:rsidRPr="007D1622">
        <w:rPr>
          <w:b/>
          <w:bCs/>
          <w:color w:val="000000" w:themeColor="text1"/>
          <w:szCs w:val="32"/>
        </w:rPr>
        <w:t>RECOMMENDATION</w:t>
      </w:r>
    </w:p>
    <w:p w:rsidR="00531382" w:rsidRPr="00531382" w:rsidRDefault="00531382" w:rsidP="00531382"/>
    <w:p w:rsidR="00053749" w:rsidRDefault="00053749" w:rsidP="00053749">
      <w:pPr>
        <w:pStyle w:val="Heading1"/>
      </w:pPr>
      <w:r w:rsidRPr="00E26138">
        <w:t>The Executive Committee may wish to consider:</w:t>
      </w:r>
    </w:p>
    <w:p w:rsidR="00545A0A" w:rsidRPr="000B2541" w:rsidRDefault="00545A0A" w:rsidP="00545A0A">
      <w:pPr>
        <w:pStyle w:val="Heading2"/>
        <w:keepNext/>
        <w:widowControl/>
      </w:pPr>
      <w:r w:rsidRPr="000B2541">
        <w:t>Approving, in principle, stage II of the HCFC phase-out management plan (HPMP) for Argentina for the period 2016 to 202</w:t>
      </w:r>
      <w:r w:rsidR="00894500" w:rsidRPr="000B2541">
        <w:t>2</w:t>
      </w:r>
      <w:r w:rsidRPr="000B2541">
        <w:t xml:space="preserve"> to reduce HCFC consumption by </w:t>
      </w:r>
      <w:r w:rsidR="00B81199" w:rsidRPr="000B2541">
        <w:t>50</w:t>
      </w:r>
      <w:r w:rsidRPr="000B2541">
        <w:t xml:space="preserve"> per cent of the baseline, in the amount of </w:t>
      </w:r>
      <w:r w:rsidR="009A3BBD" w:rsidRPr="000B2541">
        <w:t>US $</w:t>
      </w:r>
      <w:r w:rsidR="00EB56D7" w:rsidRPr="000B2541">
        <w:t>10,65</w:t>
      </w:r>
      <w:r w:rsidR="00F311F3" w:rsidRPr="000B2541">
        <w:t>2</w:t>
      </w:r>
      <w:r w:rsidR="00EB56D7" w:rsidRPr="000B2541">
        <w:t>,</w:t>
      </w:r>
      <w:r w:rsidR="00F311F3" w:rsidRPr="000B2541">
        <w:t>125</w:t>
      </w:r>
      <w:r w:rsidR="00EB56D7" w:rsidRPr="000B2541">
        <w:t>,</w:t>
      </w:r>
      <w:r w:rsidRPr="000B2541">
        <w:t xml:space="preserve"> consisting of </w:t>
      </w:r>
      <w:r w:rsidR="009A3BBD" w:rsidRPr="000B2541">
        <w:t>US $</w:t>
      </w:r>
      <w:r w:rsidR="00EB56D7" w:rsidRPr="000B2541">
        <w:t>3,6</w:t>
      </w:r>
      <w:r w:rsidR="00F311F3" w:rsidRPr="000B2541">
        <w:t>41</w:t>
      </w:r>
      <w:r w:rsidR="00EB56D7" w:rsidRPr="000B2541">
        <w:t>,</w:t>
      </w:r>
      <w:r w:rsidR="00F311F3" w:rsidRPr="000B2541">
        <w:t>0</w:t>
      </w:r>
      <w:r w:rsidR="00EB56D7" w:rsidRPr="000B2541">
        <w:t>70,</w:t>
      </w:r>
      <w:r w:rsidRPr="000B2541">
        <w:t xml:space="preserve"> plus agency support costs of </w:t>
      </w:r>
      <w:r w:rsidR="009A3BBD" w:rsidRPr="000B2541">
        <w:t>US $</w:t>
      </w:r>
      <w:r w:rsidR="00EB56D7" w:rsidRPr="000B2541">
        <w:t>25</w:t>
      </w:r>
      <w:r w:rsidR="00F311F3" w:rsidRPr="000B2541">
        <w:t>4</w:t>
      </w:r>
      <w:r w:rsidR="00EB56D7" w:rsidRPr="000B2541">
        <w:t>,</w:t>
      </w:r>
      <w:r w:rsidR="00F311F3" w:rsidRPr="000B2541">
        <w:t>875</w:t>
      </w:r>
      <w:r w:rsidRPr="000B2541">
        <w:t xml:space="preserve"> for UNIDO; </w:t>
      </w:r>
      <w:r w:rsidR="009A3BBD" w:rsidRPr="000B2541">
        <w:t>US $</w:t>
      </w:r>
      <w:r w:rsidR="00EB56D7" w:rsidRPr="000B2541">
        <w:t>6,050,168,</w:t>
      </w:r>
      <w:r w:rsidRPr="000B2541">
        <w:t xml:space="preserve"> plus agency support</w:t>
      </w:r>
      <w:r w:rsidRPr="00A15709">
        <w:t xml:space="preserve"> costs of </w:t>
      </w:r>
      <w:r w:rsidR="009A3BBD" w:rsidRPr="000B2541">
        <w:lastRenderedPageBreak/>
        <w:t>US $</w:t>
      </w:r>
      <w:r w:rsidR="00EB56D7" w:rsidRPr="000B2541">
        <w:t>423,512</w:t>
      </w:r>
      <w:r w:rsidRPr="000B2541">
        <w:t xml:space="preserve"> for</w:t>
      </w:r>
      <w:r w:rsidR="00EB56D7" w:rsidRPr="000B2541">
        <w:t xml:space="preserve"> the </w:t>
      </w:r>
      <w:r w:rsidRPr="000B2541">
        <w:t xml:space="preserve">World Bank; and </w:t>
      </w:r>
      <w:r w:rsidR="009A3BBD" w:rsidRPr="000B2541">
        <w:t>US $</w:t>
      </w:r>
      <w:r w:rsidR="00EB56D7" w:rsidRPr="000B2541">
        <w:t>2</w:t>
      </w:r>
      <w:r w:rsidR="00F311F3" w:rsidRPr="000B2541">
        <w:t>50</w:t>
      </w:r>
      <w:r w:rsidR="00EB56D7" w:rsidRPr="000B2541">
        <w:t>,</w:t>
      </w:r>
      <w:r w:rsidR="00F311F3" w:rsidRPr="000B2541">
        <w:t>0</w:t>
      </w:r>
      <w:r w:rsidR="00EB56D7" w:rsidRPr="000B2541">
        <w:t>00</w:t>
      </w:r>
      <w:r w:rsidRPr="000B2541">
        <w:t xml:space="preserve">, plus agency support costs of </w:t>
      </w:r>
      <w:r w:rsidR="009A3BBD" w:rsidRPr="000B2541">
        <w:t>US $</w:t>
      </w:r>
      <w:r w:rsidR="00EB56D7" w:rsidRPr="000B2541">
        <w:t>3</w:t>
      </w:r>
      <w:r w:rsidR="00F311F3" w:rsidRPr="000B2541">
        <w:t>2,500</w:t>
      </w:r>
      <w:r w:rsidRPr="000B2541">
        <w:t xml:space="preserve"> for the Government of Italy; </w:t>
      </w:r>
    </w:p>
    <w:p w:rsidR="00545A0A" w:rsidRPr="00F22C9E" w:rsidRDefault="00545A0A" w:rsidP="00545A0A">
      <w:pPr>
        <w:pStyle w:val="Heading2"/>
      </w:pPr>
      <w:r w:rsidRPr="00F13CB3">
        <w:t xml:space="preserve">Noting the commitment </w:t>
      </w:r>
      <w:r w:rsidRPr="00F22C9E">
        <w:t>of the Govern</w:t>
      </w:r>
      <w:r w:rsidR="00894500" w:rsidRPr="00F22C9E">
        <w:t xml:space="preserve">ment of Argentina </w:t>
      </w:r>
      <w:r w:rsidRPr="00F22C9E">
        <w:t xml:space="preserve">to: </w:t>
      </w:r>
    </w:p>
    <w:p w:rsidR="0026338D" w:rsidRPr="00894500" w:rsidRDefault="0026338D" w:rsidP="0026338D">
      <w:pPr>
        <w:pStyle w:val="Heading3"/>
        <w:numPr>
          <w:ilvl w:val="2"/>
          <w:numId w:val="34"/>
        </w:numPr>
      </w:pPr>
      <w:r w:rsidRPr="00F22C9E">
        <w:t>Reduce HCFC consumption by 50 per cent</w:t>
      </w:r>
      <w:r w:rsidRPr="00894500">
        <w:t xml:space="preserve"> by 2022;</w:t>
      </w:r>
    </w:p>
    <w:p w:rsidR="0026338D" w:rsidRPr="00A06755" w:rsidRDefault="0026338D" w:rsidP="0026338D">
      <w:pPr>
        <w:pStyle w:val="Heading3"/>
      </w:pPr>
      <w:r>
        <w:t xml:space="preserve">Issue a ban on </w:t>
      </w:r>
      <w:r w:rsidRPr="00A06755">
        <w:t xml:space="preserve">the </w:t>
      </w:r>
      <w:r w:rsidRPr="00224EC6">
        <w:t>import and use of HCFC-141b pure or contained in</w:t>
      </w:r>
      <w:r w:rsidR="00710D9E" w:rsidRPr="00224EC6">
        <w:t xml:space="preserve"> </w:t>
      </w:r>
      <w:r w:rsidRPr="00224EC6">
        <w:t>pre-blended polyols for the manufacture</w:t>
      </w:r>
      <w:r w:rsidRPr="00A06755">
        <w:t xml:space="preserve"> of </w:t>
      </w:r>
      <w:r w:rsidR="00710D9E">
        <w:t xml:space="preserve">polyurethane </w:t>
      </w:r>
      <w:r w:rsidRPr="00A06755">
        <w:t>foam no later than 1</w:t>
      </w:r>
      <w:r w:rsidR="000B2541">
        <w:t> </w:t>
      </w:r>
      <w:r w:rsidRPr="00A06755">
        <w:t>January</w:t>
      </w:r>
      <w:r w:rsidR="000B2541">
        <w:t> </w:t>
      </w:r>
      <w:r w:rsidRPr="00A06755">
        <w:t>2022;</w:t>
      </w:r>
    </w:p>
    <w:p w:rsidR="0026338D" w:rsidRPr="000B2541" w:rsidRDefault="0026338D" w:rsidP="0026338D">
      <w:pPr>
        <w:pStyle w:val="Heading3"/>
      </w:pPr>
      <w:r>
        <w:t xml:space="preserve">Issue a ban on the </w:t>
      </w:r>
      <w:r w:rsidRPr="00A06755">
        <w:t xml:space="preserve">import and use of HCFC-141b for flushing refrigeration circuits during servicing no later than 1 January </w:t>
      </w:r>
      <w:r w:rsidRPr="000B2541">
        <w:t>2022;</w:t>
      </w:r>
    </w:p>
    <w:p w:rsidR="0026338D" w:rsidRPr="00E80B4A" w:rsidRDefault="0026338D" w:rsidP="0026338D">
      <w:pPr>
        <w:pStyle w:val="Heading3"/>
        <w:rPr>
          <w:u w:val="single"/>
        </w:rPr>
      </w:pPr>
      <w:r>
        <w:t xml:space="preserve">Issue a ban </w:t>
      </w:r>
      <w:r w:rsidRPr="00224EC6">
        <w:t xml:space="preserve">on the import and use of HCFC-22 and HCFC-142b for the manufacture of </w:t>
      </w:r>
      <w:r w:rsidR="000B2541">
        <w:t>extruded polystyrene</w:t>
      </w:r>
      <w:r w:rsidRPr="00224EC6">
        <w:t xml:space="preserve"> foam no later than 1 January 2022</w:t>
      </w:r>
      <w:r w:rsidR="00710D9E">
        <w:t>;</w:t>
      </w:r>
    </w:p>
    <w:p w:rsidR="00545A0A" w:rsidRPr="00107C4D" w:rsidRDefault="00545A0A" w:rsidP="00545A0A">
      <w:pPr>
        <w:pStyle w:val="Heading2"/>
      </w:pPr>
      <w:r w:rsidRPr="00107C4D">
        <w:t xml:space="preserve">Deducting </w:t>
      </w:r>
      <w:r w:rsidR="00107C4D" w:rsidRPr="00107C4D">
        <w:t>115.19</w:t>
      </w:r>
      <w:r w:rsidR="00673FC0" w:rsidRPr="00107C4D">
        <w:t> ODP tonnes</w:t>
      </w:r>
      <w:r w:rsidRPr="00107C4D">
        <w:t xml:space="preserve"> of HCFCs from the remaining HCFC consumption eligible for funding; </w:t>
      </w:r>
    </w:p>
    <w:p w:rsidR="00545A0A" w:rsidRPr="004A4891" w:rsidRDefault="00545A0A" w:rsidP="00545A0A">
      <w:pPr>
        <w:pStyle w:val="Heading2"/>
      </w:pPr>
      <w:r w:rsidRPr="004A4891">
        <w:t xml:space="preserve">Approving the draft Agreement between the Government of </w:t>
      </w:r>
      <w:r w:rsidR="0037179A">
        <w:t>Argentina</w:t>
      </w:r>
      <w:r w:rsidRPr="004A4891">
        <w:t xml:space="preserve"> and the Executive Committee for the reduction in consumption of HCFCs, in accordance with stage II of the HPMP, contained in Annex I to the present document; and</w:t>
      </w:r>
    </w:p>
    <w:p w:rsidR="007E36F3" w:rsidRPr="000B2541" w:rsidRDefault="00545A0A" w:rsidP="003C28D3">
      <w:pPr>
        <w:pStyle w:val="Heading2"/>
        <w:keepNext/>
        <w:widowControl/>
      </w:pPr>
      <w:r w:rsidRPr="004A4891">
        <w:t xml:space="preserve">Approving the first tranche of stage II of the HPMP for </w:t>
      </w:r>
      <w:r w:rsidR="0037179A">
        <w:t>Argentina</w:t>
      </w:r>
      <w:r w:rsidRPr="004A4891">
        <w:t xml:space="preserve">, and the corresponding tranche implementation plans, in the amount of </w:t>
      </w:r>
      <w:r w:rsidR="009A3BBD" w:rsidRPr="000B2541">
        <w:t>US $</w:t>
      </w:r>
      <w:r w:rsidR="00880077" w:rsidRPr="000B2541">
        <w:t>1,</w:t>
      </w:r>
      <w:r w:rsidR="00211A60" w:rsidRPr="000B2541">
        <w:t>891,000</w:t>
      </w:r>
      <w:r w:rsidRPr="000B2541">
        <w:t xml:space="preserve">, consisting of </w:t>
      </w:r>
      <w:r w:rsidR="009A3BBD" w:rsidRPr="000B2541">
        <w:t>US $</w:t>
      </w:r>
      <w:r w:rsidR="00211A60" w:rsidRPr="000B2541">
        <w:t>595,746</w:t>
      </w:r>
      <w:r w:rsidRPr="000B2541">
        <w:t xml:space="preserve">, plus agency support costs of </w:t>
      </w:r>
      <w:r w:rsidR="009A3BBD" w:rsidRPr="000B2541">
        <w:t>US $</w:t>
      </w:r>
      <w:r w:rsidR="00211A60" w:rsidRPr="000B2541">
        <w:t>41,702</w:t>
      </w:r>
      <w:r w:rsidRPr="000B2541">
        <w:t xml:space="preserve"> for UN</w:t>
      </w:r>
      <w:r w:rsidR="0037179A" w:rsidRPr="000B2541">
        <w:t>IDO</w:t>
      </w:r>
      <w:r w:rsidRPr="000B2541">
        <w:t xml:space="preserve">, </w:t>
      </w:r>
      <w:r w:rsidR="009A3BBD" w:rsidRPr="000B2541">
        <w:t>US $</w:t>
      </w:r>
      <w:r w:rsidR="00211A60" w:rsidRPr="000B2541">
        <w:t>907,525</w:t>
      </w:r>
      <w:r w:rsidRPr="000B2541">
        <w:t xml:space="preserve">, plus agency support costs of </w:t>
      </w:r>
      <w:r w:rsidR="009A3BBD" w:rsidRPr="000B2541">
        <w:t>US $</w:t>
      </w:r>
      <w:r w:rsidR="00211A60" w:rsidRPr="000B2541">
        <w:t>63,527</w:t>
      </w:r>
      <w:r w:rsidRPr="000B2541">
        <w:t xml:space="preserve"> for</w:t>
      </w:r>
      <w:r w:rsidR="00880077" w:rsidRPr="000B2541">
        <w:t xml:space="preserve"> the</w:t>
      </w:r>
      <w:r w:rsidRPr="000B2541">
        <w:t xml:space="preserve"> </w:t>
      </w:r>
      <w:r w:rsidR="0037179A" w:rsidRPr="000B2541">
        <w:t>World Bank</w:t>
      </w:r>
      <w:r w:rsidRPr="000B2541">
        <w:t xml:space="preserve">, </w:t>
      </w:r>
      <w:r w:rsidR="0037179A" w:rsidRPr="000B2541">
        <w:t xml:space="preserve">and </w:t>
      </w:r>
      <w:r w:rsidR="009A3BBD" w:rsidRPr="000B2541">
        <w:t>US $</w:t>
      </w:r>
      <w:r w:rsidR="00211A60" w:rsidRPr="000B2541">
        <w:t>250,000</w:t>
      </w:r>
      <w:r w:rsidRPr="000B2541">
        <w:t xml:space="preserve">, plus agency support costs of </w:t>
      </w:r>
      <w:r w:rsidR="009A3BBD" w:rsidRPr="000B2541">
        <w:t>US $</w:t>
      </w:r>
      <w:r w:rsidR="00211A60" w:rsidRPr="000B2541">
        <w:t>32,500</w:t>
      </w:r>
      <w:r w:rsidRPr="000B2541">
        <w:t xml:space="preserve"> for </w:t>
      </w:r>
      <w:r w:rsidR="0037179A" w:rsidRPr="000B2541">
        <w:t xml:space="preserve">the Government of Italy. </w:t>
      </w:r>
    </w:p>
    <w:p w:rsidR="007E36F3" w:rsidRDefault="007E36F3">
      <w:pPr>
        <w:jc w:val="left"/>
        <w:sectPr w:rsidR="007E36F3" w:rsidSect="00C41163">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7E36F3" w:rsidRPr="007E36F3" w:rsidRDefault="007E36F3" w:rsidP="007E36F3">
      <w:pPr>
        <w:jc w:val="center"/>
        <w:rPr>
          <w:b/>
        </w:rPr>
      </w:pPr>
      <w:r w:rsidRPr="007E36F3">
        <w:rPr>
          <w:b/>
        </w:rPr>
        <w:lastRenderedPageBreak/>
        <w:t>Annex I</w:t>
      </w:r>
    </w:p>
    <w:p w:rsidR="007E36F3" w:rsidRPr="007E36F3" w:rsidRDefault="007E36F3" w:rsidP="007E36F3">
      <w:pPr>
        <w:jc w:val="center"/>
        <w:rPr>
          <w:b/>
        </w:rPr>
      </w:pPr>
    </w:p>
    <w:p w:rsidR="007E36F3" w:rsidRPr="007E36F3" w:rsidRDefault="007E36F3" w:rsidP="007E36F3">
      <w:pPr>
        <w:jc w:val="center"/>
        <w:rPr>
          <w:b/>
        </w:rPr>
      </w:pPr>
      <w:r w:rsidRPr="007E36F3">
        <w:rPr>
          <w:b/>
        </w:rPr>
        <w:t>DRAFT AGREEMENT BETWEEN THE GOVERNMENT OF ARGENTINA AND THE EXECUTIVE COMMITTEE OF THE MULTILATERAL FUND FOR THE REDUCTION IN CONSUMPTION OF HYDROCHLOROFLUOROCARBONS IN ACCORDANCE WITH STAGE II OF THE HCFC PHASE-OUT MANAGEMENT PLAN</w:t>
      </w:r>
    </w:p>
    <w:p w:rsidR="007E36F3" w:rsidRPr="007E36F3" w:rsidRDefault="007E36F3" w:rsidP="007E36F3">
      <w:pPr>
        <w:jc w:val="center"/>
        <w:rPr>
          <w:b/>
        </w:rPr>
      </w:pPr>
    </w:p>
    <w:p w:rsidR="007E36F3" w:rsidRPr="007E36F3" w:rsidRDefault="007E36F3" w:rsidP="007E36F3">
      <w:pPr>
        <w:rPr>
          <w:b/>
        </w:rPr>
      </w:pPr>
      <w:r w:rsidRPr="007E36F3">
        <w:rPr>
          <w:b/>
        </w:rPr>
        <w:t>Purpose</w:t>
      </w:r>
    </w:p>
    <w:p w:rsidR="007E36F3" w:rsidRPr="007E36F3" w:rsidRDefault="007E36F3" w:rsidP="007E36F3">
      <w:pPr>
        <w:jc w:val="center"/>
      </w:pPr>
    </w:p>
    <w:p w:rsidR="007E36F3" w:rsidRPr="007E36F3" w:rsidRDefault="007E36F3" w:rsidP="003C28D3">
      <w:pPr>
        <w:pStyle w:val="Heading1"/>
        <w:numPr>
          <w:ilvl w:val="0"/>
          <w:numId w:val="38"/>
        </w:numPr>
      </w:pPr>
      <w:r w:rsidRPr="007E36F3">
        <w:t>This Agreement represents the understanding of the Government of Argentina (the “Country”) and the Executive Committee with respect to the reduction of controlled use of the ozone</w:t>
      </w:r>
      <w:r w:rsidRPr="007E36F3">
        <w:noBreakHyphen/>
        <w:t>depleting substances (ODS) set out in Appendix 1-A (“The Substances”) to a sustained level of 200.3</w:t>
      </w:r>
      <w:r w:rsidR="00317314">
        <w:t>5</w:t>
      </w:r>
      <w:r w:rsidRPr="007E36F3">
        <w:t> ODP tonnes by 1 January 2022 in compliance with Montreal Protocol schedule.</w:t>
      </w:r>
    </w:p>
    <w:p w:rsidR="007E36F3" w:rsidRPr="007E36F3" w:rsidRDefault="007E36F3" w:rsidP="007E36F3">
      <w:pPr>
        <w:numPr>
          <w:ilvl w:val="0"/>
          <w:numId w:val="1"/>
        </w:numPr>
        <w:spacing w:after="240"/>
        <w:outlineLvl w:val="0"/>
      </w:pPr>
      <w:r w:rsidRPr="007E36F3">
        <w:t>The Country agrees to meet the annual consumption limits of the Substances as set out in row 1.2 of Appendix 2</w:t>
      </w:r>
      <w:r w:rsidRPr="007E36F3">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4.2.3, 4.3.3, 4.4.3 and 4.5.3 (remaining consumption eligible for funding).</w:t>
      </w:r>
    </w:p>
    <w:p w:rsidR="007E36F3" w:rsidRPr="007E36F3" w:rsidRDefault="007E36F3" w:rsidP="007E36F3">
      <w:pPr>
        <w:numPr>
          <w:ilvl w:val="0"/>
          <w:numId w:val="1"/>
        </w:numPr>
        <w:spacing w:after="240"/>
        <w:outlineLvl w:val="0"/>
      </w:pPr>
      <w:r w:rsidRPr="007E36F3">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rsidR="007E36F3" w:rsidRPr="007E36F3" w:rsidRDefault="007E36F3" w:rsidP="007E36F3">
      <w:pPr>
        <w:numPr>
          <w:ilvl w:val="0"/>
          <w:numId w:val="1"/>
        </w:numPr>
        <w:spacing w:after="240"/>
        <w:outlineLvl w:val="0"/>
      </w:pPr>
      <w:r w:rsidRPr="007E36F3">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rsidR="007E36F3" w:rsidRPr="007E36F3" w:rsidRDefault="007E36F3" w:rsidP="007E36F3">
      <w:pPr>
        <w:rPr>
          <w:b/>
        </w:rPr>
      </w:pPr>
      <w:r w:rsidRPr="007E36F3">
        <w:rPr>
          <w:b/>
        </w:rPr>
        <w:t>Conditions for funding release</w:t>
      </w:r>
    </w:p>
    <w:p w:rsidR="007E36F3" w:rsidRPr="007E36F3" w:rsidRDefault="007E36F3" w:rsidP="007E36F3"/>
    <w:p w:rsidR="007E36F3" w:rsidRPr="007E36F3" w:rsidRDefault="007E36F3" w:rsidP="007E36F3">
      <w:pPr>
        <w:numPr>
          <w:ilvl w:val="0"/>
          <w:numId w:val="1"/>
        </w:numPr>
        <w:spacing w:after="240"/>
        <w:outlineLvl w:val="0"/>
      </w:pPr>
      <w:r w:rsidRPr="007E36F3">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rsidR="007E36F3" w:rsidRPr="007E36F3" w:rsidRDefault="007E36F3" w:rsidP="007E36F3">
      <w:pPr>
        <w:widowControl w:val="0"/>
        <w:numPr>
          <w:ilvl w:val="1"/>
          <w:numId w:val="1"/>
        </w:numPr>
        <w:tabs>
          <w:tab w:val="clear" w:pos="0"/>
          <w:tab w:val="num" w:pos="-720"/>
        </w:tabs>
        <w:spacing w:after="240"/>
        <w:outlineLvl w:val="1"/>
      </w:pPr>
      <w:r w:rsidRPr="007E36F3">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rsidR="007E36F3" w:rsidRPr="007E36F3" w:rsidRDefault="007E36F3" w:rsidP="007E36F3">
      <w:pPr>
        <w:widowControl w:val="0"/>
        <w:numPr>
          <w:ilvl w:val="1"/>
          <w:numId w:val="1"/>
        </w:numPr>
        <w:tabs>
          <w:tab w:val="clear" w:pos="0"/>
          <w:tab w:val="num" w:pos="-720"/>
        </w:tabs>
        <w:spacing w:after="240"/>
        <w:outlineLvl w:val="1"/>
      </w:pPr>
      <w:r w:rsidRPr="007E36F3">
        <w:t>That the meeting of these Targets has been independently verified for all relevant years, unless the Executive Committee decided that such verification would not be required;</w:t>
      </w:r>
    </w:p>
    <w:p w:rsidR="007E36F3" w:rsidRPr="007E36F3" w:rsidRDefault="007E36F3" w:rsidP="007E36F3">
      <w:pPr>
        <w:widowControl w:val="0"/>
        <w:numPr>
          <w:ilvl w:val="1"/>
          <w:numId w:val="1"/>
        </w:numPr>
        <w:tabs>
          <w:tab w:val="clear" w:pos="0"/>
          <w:tab w:val="num" w:pos="-720"/>
        </w:tabs>
        <w:spacing w:after="240"/>
        <w:outlineLvl w:val="1"/>
      </w:pPr>
      <w:r w:rsidRPr="007E36F3">
        <w:t xml:space="preserve">That the Country had submitted a Tranche Implementation Report in the form of Appendix 4-A (“Format of Tranche Implementation Reports and Plans”) covering each previous calendar year; that it had achieved a significant level of implementation of </w:t>
      </w:r>
      <w:r w:rsidRPr="007E36F3">
        <w:lastRenderedPageBreak/>
        <w:t>activities initiated with previously approved tranches; and that the rate of disbursement of funding available from the previously approved tranche was more than 20 per cent; and</w:t>
      </w:r>
    </w:p>
    <w:p w:rsidR="007E36F3" w:rsidRPr="007E36F3" w:rsidRDefault="007E36F3" w:rsidP="007E36F3">
      <w:pPr>
        <w:keepNext/>
        <w:numPr>
          <w:ilvl w:val="1"/>
          <w:numId w:val="1"/>
        </w:numPr>
        <w:tabs>
          <w:tab w:val="clear" w:pos="0"/>
          <w:tab w:val="num" w:pos="-720"/>
        </w:tabs>
        <w:spacing w:after="240"/>
        <w:outlineLvl w:val="1"/>
      </w:pPr>
      <w:r w:rsidRPr="007E36F3">
        <w:t>That the Country has submitted a Tranche Implementation Plan in the form of Appendix 4-A covering each calendar year until and including the year for which the funding schedule foresees the submission of the next tranche or, in case of the final tranche, until completion of all activities foreseen.</w:t>
      </w:r>
    </w:p>
    <w:p w:rsidR="007E36F3" w:rsidRPr="007E36F3" w:rsidRDefault="007E36F3" w:rsidP="007E36F3">
      <w:pPr>
        <w:keepNext/>
        <w:rPr>
          <w:b/>
        </w:rPr>
      </w:pPr>
      <w:r w:rsidRPr="007E36F3">
        <w:rPr>
          <w:b/>
        </w:rPr>
        <w:t>Monitoring</w:t>
      </w:r>
    </w:p>
    <w:p w:rsidR="007E36F3" w:rsidRPr="007E36F3" w:rsidRDefault="007E36F3" w:rsidP="007E36F3">
      <w:pPr>
        <w:keepNext/>
      </w:pPr>
    </w:p>
    <w:p w:rsidR="007E36F3" w:rsidRPr="007E36F3" w:rsidRDefault="007E36F3" w:rsidP="007E36F3">
      <w:pPr>
        <w:keepNext/>
        <w:numPr>
          <w:ilvl w:val="0"/>
          <w:numId w:val="1"/>
        </w:numPr>
        <w:spacing w:after="240"/>
        <w:outlineLvl w:val="0"/>
      </w:pPr>
      <w:r w:rsidRPr="007E36F3">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rsidR="007E36F3" w:rsidRPr="007E36F3" w:rsidRDefault="007E36F3" w:rsidP="007E36F3">
      <w:pPr>
        <w:rPr>
          <w:b/>
        </w:rPr>
      </w:pPr>
      <w:r w:rsidRPr="007E36F3">
        <w:rPr>
          <w:b/>
        </w:rPr>
        <w:t>Flexibility in the reallocation of funds</w:t>
      </w:r>
    </w:p>
    <w:p w:rsidR="007E36F3" w:rsidRPr="007E36F3" w:rsidRDefault="007E36F3" w:rsidP="007E36F3"/>
    <w:p w:rsidR="007E36F3" w:rsidRPr="007E36F3" w:rsidRDefault="007E36F3" w:rsidP="007E36F3">
      <w:pPr>
        <w:numPr>
          <w:ilvl w:val="0"/>
          <w:numId w:val="1"/>
        </w:numPr>
        <w:spacing w:after="240"/>
        <w:outlineLvl w:val="0"/>
      </w:pPr>
      <w:r w:rsidRPr="007E36F3">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rsidR="007E36F3" w:rsidRPr="007E36F3" w:rsidRDefault="007E36F3" w:rsidP="007E36F3">
      <w:pPr>
        <w:widowControl w:val="0"/>
        <w:numPr>
          <w:ilvl w:val="1"/>
          <w:numId w:val="1"/>
        </w:numPr>
        <w:tabs>
          <w:tab w:val="clear" w:pos="0"/>
          <w:tab w:val="num" w:pos="-720"/>
        </w:tabs>
        <w:spacing w:after="240"/>
        <w:outlineLvl w:val="1"/>
      </w:pPr>
      <w:r w:rsidRPr="007E36F3">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rsidR="007E36F3" w:rsidRPr="007E36F3" w:rsidRDefault="007E36F3" w:rsidP="007E36F3">
      <w:pPr>
        <w:widowControl w:val="0"/>
        <w:numPr>
          <w:ilvl w:val="2"/>
          <w:numId w:val="1"/>
        </w:numPr>
        <w:spacing w:after="240"/>
        <w:outlineLvl w:val="2"/>
      </w:pPr>
      <w:r w:rsidRPr="007E36F3">
        <w:t xml:space="preserve">Issues potentially concerning the rules and policies of the Multilateral Fund; </w:t>
      </w:r>
    </w:p>
    <w:p w:rsidR="007E36F3" w:rsidRPr="007E36F3" w:rsidRDefault="007E36F3" w:rsidP="007E36F3">
      <w:pPr>
        <w:widowControl w:val="0"/>
        <w:numPr>
          <w:ilvl w:val="2"/>
          <w:numId w:val="1"/>
        </w:numPr>
        <w:spacing w:after="240"/>
        <w:outlineLvl w:val="2"/>
      </w:pPr>
      <w:r w:rsidRPr="007E36F3">
        <w:t xml:space="preserve">Changes which would modify any clause of this Agreement; </w:t>
      </w:r>
    </w:p>
    <w:p w:rsidR="007E36F3" w:rsidRPr="007E36F3" w:rsidRDefault="007E36F3" w:rsidP="007E36F3">
      <w:pPr>
        <w:widowControl w:val="0"/>
        <w:numPr>
          <w:ilvl w:val="2"/>
          <w:numId w:val="1"/>
        </w:numPr>
        <w:spacing w:after="240"/>
        <w:outlineLvl w:val="2"/>
      </w:pPr>
      <w:r w:rsidRPr="007E36F3">
        <w:t>Changes in the annual levels of funding allocated to individual bilateral or implementing agencies for the different tranches;</w:t>
      </w:r>
    </w:p>
    <w:p w:rsidR="007E36F3" w:rsidRPr="007E36F3" w:rsidRDefault="007E36F3" w:rsidP="007E36F3">
      <w:pPr>
        <w:widowControl w:val="0"/>
        <w:numPr>
          <w:ilvl w:val="2"/>
          <w:numId w:val="1"/>
        </w:numPr>
        <w:spacing w:after="240"/>
        <w:outlineLvl w:val="2"/>
      </w:pPr>
      <w:r w:rsidRPr="007E36F3">
        <w:t>Provision of funding for activities not included in the current endorsed Tranche Implementation Plan, or removal of an activity in the Tranche Implementation Plan, with a cost greater than 30 per cent of the total cost of the last approved tranche; and</w:t>
      </w:r>
    </w:p>
    <w:p w:rsidR="007E36F3" w:rsidRPr="007E36F3" w:rsidRDefault="007E36F3" w:rsidP="007E36F3">
      <w:pPr>
        <w:keepNext/>
        <w:numPr>
          <w:ilvl w:val="2"/>
          <w:numId w:val="1"/>
        </w:numPr>
        <w:spacing w:after="240"/>
        <w:outlineLvl w:val="2"/>
      </w:pPr>
      <w:r w:rsidRPr="007E36F3">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rsidR="007E36F3" w:rsidRPr="007E36F3" w:rsidRDefault="007E36F3" w:rsidP="007E36F3">
      <w:pPr>
        <w:widowControl w:val="0"/>
        <w:numPr>
          <w:ilvl w:val="1"/>
          <w:numId w:val="1"/>
        </w:numPr>
        <w:tabs>
          <w:tab w:val="clear" w:pos="0"/>
          <w:tab w:val="num" w:pos="-720"/>
        </w:tabs>
        <w:spacing w:after="240"/>
        <w:outlineLvl w:val="1"/>
      </w:pPr>
      <w:r w:rsidRPr="007E36F3">
        <w:t>Reallocations not categorized as major changes may be incorporated in the approved Tranche Implementation Plan, under implementation at the time, and reported to the Executive Committee in the subsequent Tranche Implementation Report;</w:t>
      </w:r>
    </w:p>
    <w:p w:rsidR="007E36F3" w:rsidRPr="007E36F3" w:rsidRDefault="007E36F3" w:rsidP="003C28D3">
      <w:pPr>
        <w:keepNext/>
        <w:numPr>
          <w:ilvl w:val="1"/>
          <w:numId w:val="1"/>
        </w:numPr>
        <w:tabs>
          <w:tab w:val="clear" w:pos="0"/>
          <w:tab w:val="num" w:pos="-720"/>
        </w:tabs>
        <w:spacing w:after="240"/>
        <w:outlineLvl w:val="1"/>
      </w:pPr>
      <w:r w:rsidRPr="007E36F3">
        <w:t xml:space="preserve">Any enterprise to be converted to non-HCFC technology included in the Plan and that would be found to be ineligible under the policies of the Multilateral Fund (i.e., due to foreign ownership or establishment post the 21 September 2007 cut-off date), would not </w:t>
      </w:r>
      <w:r w:rsidRPr="007E36F3">
        <w:lastRenderedPageBreak/>
        <w:t>receive financial assistance. This information would be reported as part of the Tranche Implementation Plan; and</w:t>
      </w:r>
    </w:p>
    <w:p w:rsidR="007E36F3" w:rsidRPr="007E36F3" w:rsidRDefault="007E36F3" w:rsidP="007E36F3">
      <w:pPr>
        <w:widowControl w:val="0"/>
        <w:numPr>
          <w:ilvl w:val="1"/>
          <w:numId w:val="1"/>
        </w:numPr>
        <w:tabs>
          <w:tab w:val="clear" w:pos="0"/>
          <w:tab w:val="num" w:pos="-720"/>
        </w:tabs>
        <w:spacing w:after="240"/>
        <w:outlineLvl w:val="1"/>
      </w:pPr>
      <w:r w:rsidRPr="007E36F3">
        <w:t>Any remaining funds held by the bilateral or implementing agencies or the Country under the Plan will be returned to the Multilateral Fund upon completion of the last tranche foreseen under this Agreement.</w:t>
      </w:r>
    </w:p>
    <w:p w:rsidR="007E36F3" w:rsidRPr="007E36F3" w:rsidRDefault="007E36F3" w:rsidP="007E36F3">
      <w:pPr>
        <w:rPr>
          <w:b/>
        </w:rPr>
      </w:pPr>
      <w:r w:rsidRPr="007E36F3">
        <w:rPr>
          <w:b/>
        </w:rPr>
        <w:t>Considerations for the refrigeration servicing sector</w:t>
      </w:r>
    </w:p>
    <w:p w:rsidR="007E36F3" w:rsidRPr="007E36F3" w:rsidRDefault="007E36F3" w:rsidP="007E36F3"/>
    <w:p w:rsidR="007E36F3" w:rsidRPr="007E36F3" w:rsidRDefault="007E36F3" w:rsidP="007E36F3">
      <w:pPr>
        <w:numPr>
          <w:ilvl w:val="0"/>
          <w:numId w:val="1"/>
        </w:numPr>
        <w:spacing w:after="240"/>
        <w:outlineLvl w:val="0"/>
      </w:pPr>
      <w:r w:rsidRPr="007E36F3">
        <w:t>Specific attention will be paid to the execution of the activities in the refrigeration servicing sector included in the Plan, in particular:</w:t>
      </w:r>
    </w:p>
    <w:p w:rsidR="007E36F3" w:rsidRPr="007E36F3" w:rsidRDefault="007E36F3" w:rsidP="007E36F3">
      <w:pPr>
        <w:widowControl w:val="0"/>
        <w:numPr>
          <w:ilvl w:val="1"/>
          <w:numId w:val="1"/>
        </w:numPr>
        <w:tabs>
          <w:tab w:val="clear" w:pos="0"/>
          <w:tab w:val="num" w:pos="-720"/>
        </w:tabs>
        <w:spacing w:after="240"/>
        <w:outlineLvl w:val="1"/>
      </w:pPr>
      <w:r w:rsidRPr="007E36F3">
        <w:t>The Country would use the flexibility available under this Agreement to address specific needs that might arise during project implementation; and</w:t>
      </w:r>
    </w:p>
    <w:p w:rsidR="007E36F3" w:rsidRPr="007E36F3" w:rsidRDefault="007E36F3" w:rsidP="007E36F3">
      <w:pPr>
        <w:widowControl w:val="0"/>
        <w:numPr>
          <w:ilvl w:val="1"/>
          <w:numId w:val="1"/>
        </w:numPr>
        <w:tabs>
          <w:tab w:val="clear" w:pos="0"/>
          <w:tab w:val="num" w:pos="-720"/>
        </w:tabs>
        <w:spacing w:after="240"/>
        <w:outlineLvl w:val="1"/>
      </w:pPr>
      <w:r w:rsidRPr="007E36F3">
        <w:t>The Country and relevant bilateral and/or implementing agencies would take into consideration relevant decisions on the refrigeration servicing sector during the implementation of the Plan.</w:t>
      </w:r>
    </w:p>
    <w:p w:rsidR="007E36F3" w:rsidRPr="007E36F3" w:rsidRDefault="007E36F3" w:rsidP="007E36F3">
      <w:pPr>
        <w:rPr>
          <w:b/>
        </w:rPr>
      </w:pPr>
      <w:r w:rsidRPr="007E36F3">
        <w:rPr>
          <w:b/>
        </w:rPr>
        <w:t>Bilateral and implementing agencies</w:t>
      </w:r>
    </w:p>
    <w:p w:rsidR="007E36F3" w:rsidRPr="007E36F3" w:rsidRDefault="007E36F3" w:rsidP="007E36F3"/>
    <w:p w:rsidR="007E36F3" w:rsidRPr="007E36F3" w:rsidRDefault="007E36F3" w:rsidP="007E36F3">
      <w:pPr>
        <w:numPr>
          <w:ilvl w:val="0"/>
          <w:numId w:val="1"/>
        </w:numPr>
        <w:spacing w:after="240"/>
        <w:outlineLvl w:val="0"/>
      </w:pPr>
      <w:r w:rsidRPr="007E36F3">
        <w:t>The Country agrees to assume overall responsibility for the management and implementation of this Agreement and of all activities undertaken by it or on its behalf to fulfil the obligations under this Agreement. UNIDO has agreed to be the lead implementing agency (the “Lead IA”) and the World Bank and the Government of Italy have agreed to be the cooperating implementing agencies (the “Cooperating IAs”) under the lead of the Lead IA in respect of the Country’s activities under this Agreement. The Country agrees to evaluations, which might be carried out under the monitoring and evaluation work programmes of the Multilateral Fund or under the evaluation programme of the Lead IA and/or Cooperating IAs taking part in this Agreement.</w:t>
      </w:r>
    </w:p>
    <w:p w:rsidR="007E36F3" w:rsidRPr="007E36F3" w:rsidRDefault="007E36F3" w:rsidP="007E36F3">
      <w:pPr>
        <w:numPr>
          <w:ilvl w:val="0"/>
          <w:numId w:val="1"/>
        </w:numPr>
        <w:spacing w:after="240"/>
        <w:outlineLvl w:val="0"/>
      </w:pPr>
      <w:r w:rsidRPr="007E36F3">
        <w:t xml:space="preserve">The Lead IA will be responsible for ensuring co-ordinated planning, implementation and reporting of all activities under this Agreement, including but not limited to independent verification as per sub-paragraph 5(b). The Cooperating IAs will support the Lead IA by implementing the Plan under the overall co-ordination of the Lead IA. The roles of the Lead IA and Cooperating IAs are contained in Appendix 6-A and Appendix 6-B, respectively. The Executive Committee </w:t>
      </w:r>
      <w:proofErr w:type="gramStart"/>
      <w:r w:rsidRPr="007E36F3">
        <w:t>agrees,</w:t>
      </w:r>
      <w:proofErr w:type="gramEnd"/>
      <w:r w:rsidRPr="007E36F3">
        <w:t xml:space="preserve"> in principle, to provide the Lead IA and the Cooperating IAs with the fees set out in rows 2.2, 2.4 and 2.6 of Appendix 2</w:t>
      </w:r>
      <w:r w:rsidRPr="007E36F3">
        <w:noBreakHyphen/>
        <w:t>A.</w:t>
      </w:r>
    </w:p>
    <w:p w:rsidR="007E36F3" w:rsidRPr="007E36F3" w:rsidRDefault="007E36F3" w:rsidP="003C28D3">
      <w:pPr>
        <w:widowControl w:val="0"/>
        <w:rPr>
          <w:b/>
        </w:rPr>
      </w:pPr>
      <w:r w:rsidRPr="007E36F3">
        <w:rPr>
          <w:b/>
        </w:rPr>
        <w:t>Non-compliance with the Agreement</w:t>
      </w:r>
    </w:p>
    <w:p w:rsidR="007E36F3" w:rsidRPr="007E36F3" w:rsidRDefault="007E36F3" w:rsidP="003C28D3">
      <w:pPr>
        <w:widowControl w:val="0"/>
      </w:pPr>
    </w:p>
    <w:p w:rsidR="007E36F3" w:rsidRPr="007E36F3" w:rsidRDefault="007E36F3" w:rsidP="003C28D3">
      <w:pPr>
        <w:widowControl w:val="0"/>
        <w:numPr>
          <w:ilvl w:val="0"/>
          <w:numId w:val="1"/>
        </w:numPr>
        <w:spacing w:after="240"/>
        <w:outlineLvl w:val="0"/>
      </w:pPr>
      <w:r w:rsidRPr="007E36F3">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rsidR="007E36F3" w:rsidRPr="007E36F3" w:rsidRDefault="007E36F3" w:rsidP="007E36F3">
      <w:pPr>
        <w:numPr>
          <w:ilvl w:val="0"/>
          <w:numId w:val="1"/>
        </w:numPr>
        <w:spacing w:after="240"/>
        <w:outlineLvl w:val="0"/>
      </w:pPr>
      <w:r w:rsidRPr="007E36F3">
        <w:lastRenderedPageBreak/>
        <w:t>The Funding of this Agreement will not be modified on the basis of any future Executive Committee decisions that may affect the funding of any other consumption sector projects or any other related activities in the Country.</w:t>
      </w:r>
    </w:p>
    <w:p w:rsidR="007E36F3" w:rsidRPr="007E36F3" w:rsidRDefault="007E36F3" w:rsidP="007E36F3">
      <w:pPr>
        <w:numPr>
          <w:ilvl w:val="0"/>
          <w:numId w:val="1"/>
        </w:numPr>
        <w:spacing w:after="240"/>
        <w:outlineLvl w:val="0"/>
      </w:pPr>
      <w:r w:rsidRPr="007E36F3">
        <w:t>The Country will comply with any reasonable request of the Executive Committee, and the Lead IA and the Cooperating IAs to facilitate implementation of this Agreement. In particular, it will provide the Lead IA and the Cooperating IAs with access to the information necessary to verify compliance with this Agreement.</w:t>
      </w:r>
    </w:p>
    <w:p w:rsidR="007E36F3" w:rsidRPr="007E36F3" w:rsidRDefault="007E36F3" w:rsidP="007E36F3">
      <w:pPr>
        <w:rPr>
          <w:b/>
        </w:rPr>
      </w:pPr>
      <w:r w:rsidRPr="007E36F3">
        <w:rPr>
          <w:b/>
        </w:rPr>
        <w:t>Date of completion</w:t>
      </w:r>
    </w:p>
    <w:p w:rsidR="007E36F3" w:rsidRPr="007E36F3" w:rsidRDefault="007E36F3" w:rsidP="007E36F3"/>
    <w:p w:rsidR="007E36F3" w:rsidRPr="007E36F3" w:rsidRDefault="007E36F3" w:rsidP="007E36F3">
      <w:pPr>
        <w:numPr>
          <w:ilvl w:val="0"/>
          <w:numId w:val="1"/>
        </w:numPr>
        <w:spacing w:after="240"/>
        <w:outlineLvl w:val="0"/>
      </w:pPr>
      <w:r w:rsidRPr="007E36F3">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rsidR="007E36F3" w:rsidRPr="007E36F3" w:rsidRDefault="007E36F3" w:rsidP="007E36F3">
      <w:pPr>
        <w:rPr>
          <w:b/>
        </w:rPr>
      </w:pPr>
      <w:r w:rsidRPr="007E36F3">
        <w:rPr>
          <w:b/>
        </w:rPr>
        <w:t>Validity</w:t>
      </w:r>
    </w:p>
    <w:p w:rsidR="007E36F3" w:rsidRPr="007E36F3" w:rsidRDefault="007E36F3" w:rsidP="007E36F3"/>
    <w:p w:rsidR="007E36F3" w:rsidRPr="007E36F3" w:rsidRDefault="007E36F3" w:rsidP="007E36F3">
      <w:pPr>
        <w:numPr>
          <w:ilvl w:val="0"/>
          <w:numId w:val="1"/>
        </w:numPr>
        <w:spacing w:after="240"/>
        <w:outlineLvl w:val="0"/>
      </w:pPr>
      <w:r w:rsidRPr="007E36F3">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rsidR="007E36F3" w:rsidRPr="007E36F3" w:rsidRDefault="007E36F3" w:rsidP="007E36F3">
      <w:pPr>
        <w:numPr>
          <w:ilvl w:val="0"/>
          <w:numId w:val="1"/>
        </w:numPr>
        <w:spacing w:after="240"/>
        <w:outlineLvl w:val="0"/>
      </w:pPr>
      <w:r w:rsidRPr="007E36F3">
        <w:t>This Agreement may be modified or terminated only by mutual written agreement of the Country and the Executive Committee of the Multilateral Fund.</w:t>
      </w:r>
    </w:p>
    <w:p w:rsidR="007E36F3" w:rsidRPr="007E36F3" w:rsidRDefault="007E36F3" w:rsidP="007E36F3"/>
    <w:p w:rsidR="007E36F3" w:rsidRPr="007E36F3" w:rsidRDefault="007E36F3" w:rsidP="007E36F3">
      <w:pPr>
        <w:keepNext/>
        <w:spacing w:after="240"/>
        <w:outlineLvl w:val="0"/>
        <w:rPr>
          <w:b/>
        </w:rPr>
      </w:pPr>
      <w:r w:rsidRPr="007E36F3">
        <w:rPr>
          <w:b/>
        </w:rPr>
        <w:t xml:space="preserve">APPENDICES </w:t>
      </w:r>
    </w:p>
    <w:p w:rsidR="007E36F3" w:rsidRPr="007E36F3" w:rsidRDefault="007E36F3" w:rsidP="007E36F3">
      <w:pPr>
        <w:keepNext/>
        <w:spacing w:after="240"/>
        <w:outlineLvl w:val="0"/>
        <w:rPr>
          <w:b/>
        </w:rPr>
      </w:pPr>
      <w:r w:rsidRPr="007E36F3">
        <w:rPr>
          <w:b/>
        </w:rPr>
        <w:t>APPENDIX 1-A: THE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157"/>
        <w:gridCol w:w="1118"/>
        <w:gridCol w:w="2969"/>
      </w:tblGrid>
      <w:tr w:rsidR="007E36F3" w:rsidRPr="007E36F3" w:rsidTr="003C28D3">
        <w:trPr>
          <w:trHeight w:val="413"/>
        </w:trPr>
        <w:tc>
          <w:tcPr>
            <w:tcW w:w="2262" w:type="pct"/>
            <w:shd w:val="clear" w:color="auto" w:fill="auto"/>
          </w:tcPr>
          <w:p w:rsidR="007E36F3" w:rsidRPr="007E36F3" w:rsidRDefault="007E36F3" w:rsidP="007E36F3">
            <w:pPr>
              <w:keepNext/>
              <w:jc w:val="center"/>
              <w:rPr>
                <w:sz w:val="20"/>
                <w:szCs w:val="20"/>
              </w:rPr>
            </w:pPr>
            <w:r w:rsidRPr="007E36F3">
              <w:rPr>
                <w:sz w:val="20"/>
                <w:szCs w:val="20"/>
              </w:rPr>
              <w:t>Substance</w:t>
            </w:r>
          </w:p>
        </w:tc>
        <w:tc>
          <w:tcPr>
            <w:tcW w:w="604" w:type="pct"/>
            <w:shd w:val="clear" w:color="auto" w:fill="auto"/>
          </w:tcPr>
          <w:p w:rsidR="007E36F3" w:rsidRPr="007E36F3" w:rsidRDefault="007E36F3" w:rsidP="007E36F3">
            <w:pPr>
              <w:keepNext/>
              <w:jc w:val="center"/>
              <w:rPr>
                <w:sz w:val="20"/>
                <w:szCs w:val="20"/>
              </w:rPr>
            </w:pPr>
            <w:r w:rsidRPr="007E36F3">
              <w:rPr>
                <w:sz w:val="20"/>
                <w:szCs w:val="20"/>
              </w:rPr>
              <w:t>Annex</w:t>
            </w:r>
          </w:p>
        </w:tc>
        <w:tc>
          <w:tcPr>
            <w:tcW w:w="584" w:type="pct"/>
            <w:shd w:val="clear" w:color="auto" w:fill="auto"/>
          </w:tcPr>
          <w:p w:rsidR="007E36F3" w:rsidRPr="007E36F3" w:rsidRDefault="007E36F3" w:rsidP="007E36F3">
            <w:pPr>
              <w:keepNext/>
              <w:jc w:val="center"/>
              <w:rPr>
                <w:sz w:val="20"/>
                <w:szCs w:val="20"/>
              </w:rPr>
            </w:pPr>
            <w:r w:rsidRPr="007E36F3">
              <w:rPr>
                <w:sz w:val="20"/>
                <w:szCs w:val="20"/>
              </w:rPr>
              <w:t>Group</w:t>
            </w:r>
          </w:p>
        </w:tc>
        <w:tc>
          <w:tcPr>
            <w:tcW w:w="1550" w:type="pct"/>
            <w:shd w:val="clear" w:color="auto" w:fill="auto"/>
          </w:tcPr>
          <w:p w:rsidR="007E36F3" w:rsidRPr="007E36F3" w:rsidRDefault="007E36F3" w:rsidP="007E36F3">
            <w:pPr>
              <w:keepNext/>
              <w:jc w:val="center"/>
              <w:rPr>
                <w:sz w:val="20"/>
                <w:szCs w:val="20"/>
              </w:rPr>
            </w:pPr>
            <w:r w:rsidRPr="007E36F3">
              <w:rPr>
                <w:sz w:val="20"/>
                <w:szCs w:val="20"/>
              </w:rPr>
              <w:t>Starting point for aggregate reductions in consumption (ODP tonnes)</w:t>
            </w:r>
          </w:p>
        </w:tc>
      </w:tr>
      <w:tr w:rsidR="007E36F3" w:rsidRPr="007E36F3" w:rsidTr="003C28D3">
        <w:tc>
          <w:tcPr>
            <w:tcW w:w="2262" w:type="pct"/>
            <w:shd w:val="clear" w:color="auto" w:fill="auto"/>
          </w:tcPr>
          <w:p w:rsidR="007E36F3" w:rsidRPr="007E36F3" w:rsidRDefault="007E36F3" w:rsidP="007E36F3">
            <w:pPr>
              <w:keepNext/>
              <w:rPr>
                <w:sz w:val="20"/>
                <w:szCs w:val="20"/>
              </w:rPr>
            </w:pPr>
            <w:r w:rsidRPr="007E36F3">
              <w:rPr>
                <w:sz w:val="20"/>
                <w:szCs w:val="20"/>
              </w:rPr>
              <w:t>HCFC-22</w:t>
            </w:r>
          </w:p>
        </w:tc>
        <w:tc>
          <w:tcPr>
            <w:tcW w:w="604" w:type="pct"/>
            <w:shd w:val="clear" w:color="auto" w:fill="auto"/>
          </w:tcPr>
          <w:p w:rsidR="007E36F3" w:rsidRPr="007E36F3" w:rsidRDefault="007E36F3" w:rsidP="007E36F3">
            <w:pPr>
              <w:keepNext/>
              <w:rPr>
                <w:sz w:val="20"/>
                <w:szCs w:val="20"/>
              </w:rPr>
            </w:pPr>
            <w:r w:rsidRPr="007E36F3">
              <w:rPr>
                <w:sz w:val="20"/>
                <w:szCs w:val="20"/>
              </w:rPr>
              <w:t>C</w:t>
            </w:r>
          </w:p>
        </w:tc>
        <w:tc>
          <w:tcPr>
            <w:tcW w:w="584" w:type="pct"/>
            <w:shd w:val="clear" w:color="auto" w:fill="auto"/>
          </w:tcPr>
          <w:p w:rsidR="007E36F3" w:rsidRPr="007E36F3" w:rsidRDefault="007E36F3" w:rsidP="007E36F3">
            <w:pPr>
              <w:keepNext/>
              <w:rPr>
                <w:sz w:val="20"/>
                <w:szCs w:val="20"/>
              </w:rPr>
            </w:pPr>
            <w:r w:rsidRPr="007E36F3">
              <w:rPr>
                <w:sz w:val="20"/>
                <w:szCs w:val="20"/>
              </w:rPr>
              <w:t>I</w:t>
            </w:r>
          </w:p>
        </w:tc>
        <w:tc>
          <w:tcPr>
            <w:tcW w:w="1550" w:type="pct"/>
            <w:shd w:val="clear" w:color="auto" w:fill="auto"/>
          </w:tcPr>
          <w:p w:rsidR="007E36F3" w:rsidRPr="007E36F3" w:rsidRDefault="007E36F3" w:rsidP="007E36F3">
            <w:pPr>
              <w:keepNext/>
              <w:tabs>
                <w:tab w:val="left" w:pos="224"/>
              </w:tabs>
              <w:jc w:val="right"/>
              <w:rPr>
                <w:sz w:val="20"/>
                <w:szCs w:val="20"/>
              </w:rPr>
            </w:pPr>
            <w:r w:rsidRPr="007E36F3">
              <w:rPr>
                <w:sz w:val="20"/>
                <w:szCs w:val="20"/>
              </w:rPr>
              <w:t>266.20</w:t>
            </w:r>
          </w:p>
        </w:tc>
      </w:tr>
      <w:tr w:rsidR="007E36F3" w:rsidRPr="007E36F3" w:rsidTr="003C28D3">
        <w:tblPrEx>
          <w:tblLook w:val="0000" w:firstRow="0" w:lastRow="0" w:firstColumn="0" w:lastColumn="0" w:noHBand="0" w:noVBand="0"/>
        </w:tblPrEx>
        <w:tc>
          <w:tcPr>
            <w:tcW w:w="2262" w:type="pct"/>
            <w:shd w:val="clear" w:color="auto" w:fill="auto"/>
          </w:tcPr>
          <w:p w:rsidR="007E36F3" w:rsidRPr="007E36F3" w:rsidRDefault="007E36F3" w:rsidP="007E36F3">
            <w:pPr>
              <w:keepNext/>
              <w:rPr>
                <w:sz w:val="20"/>
                <w:szCs w:val="20"/>
              </w:rPr>
            </w:pPr>
            <w:r w:rsidRPr="007E36F3">
              <w:rPr>
                <w:sz w:val="20"/>
                <w:szCs w:val="20"/>
              </w:rPr>
              <w:t>HCFC-123</w:t>
            </w:r>
          </w:p>
        </w:tc>
        <w:tc>
          <w:tcPr>
            <w:tcW w:w="604" w:type="pct"/>
            <w:shd w:val="clear" w:color="auto" w:fill="auto"/>
          </w:tcPr>
          <w:p w:rsidR="007E36F3" w:rsidRPr="007E36F3" w:rsidRDefault="007E36F3" w:rsidP="007E36F3">
            <w:pPr>
              <w:keepNext/>
              <w:rPr>
                <w:sz w:val="20"/>
                <w:szCs w:val="20"/>
              </w:rPr>
            </w:pPr>
            <w:r w:rsidRPr="007E36F3">
              <w:rPr>
                <w:sz w:val="20"/>
                <w:szCs w:val="20"/>
              </w:rPr>
              <w:t>C</w:t>
            </w:r>
          </w:p>
        </w:tc>
        <w:tc>
          <w:tcPr>
            <w:tcW w:w="584" w:type="pct"/>
            <w:shd w:val="clear" w:color="auto" w:fill="auto"/>
          </w:tcPr>
          <w:p w:rsidR="007E36F3" w:rsidRPr="007E36F3" w:rsidRDefault="007E36F3" w:rsidP="007E36F3">
            <w:pPr>
              <w:keepNext/>
              <w:rPr>
                <w:sz w:val="20"/>
                <w:szCs w:val="20"/>
              </w:rPr>
            </w:pPr>
            <w:r w:rsidRPr="007E36F3">
              <w:rPr>
                <w:sz w:val="20"/>
                <w:szCs w:val="20"/>
              </w:rPr>
              <w:t>I</w:t>
            </w:r>
          </w:p>
        </w:tc>
        <w:tc>
          <w:tcPr>
            <w:tcW w:w="1550" w:type="pct"/>
            <w:shd w:val="clear" w:color="auto" w:fill="auto"/>
          </w:tcPr>
          <w:p w:rsidR="007E36F3" w:rsidRPr="007E36F3" w:rsidRDefault="007E36F3" w:rsidP="007E36F3">
            <w:pPr>
              <w:keepNext/>
              <w:jc w:val="right"/>
              <w:rPr>
                <w:sz w:val="20"/>
                <w:szCs w:val="20"/>
              </w:rPr>
            </w:pPr>
            <w:r w:rsidRPr="007E36F3">
              <w:rPr>
                <w:sz w:val="20"/>
                <w:szCs w:val="20"/>
              </w:rPr>
              <w:t>1.57</w:t>
            </w:r>
          </w:p>
        </w:tc>
      </w:tr>
      <w:tr w:rsidR="007E36F3" w:rsidRPr="007E36F3" w:rsidTr="003C28D3">
        <w:tblPrEx>
          <w:tblLook w:val="0000" w:firstRow="0" w:lastRow="0" w:firstColumn="0" w:lastColumn="0" w:noHBand="0" w:noVBand="0"/>
        </w:tblPrEx>
        <w:tc>
          <w:tcPr>
            <w:tcW w:w="2262" w:type="pct"/>
            <w:shd w:val="clear" w:color="auto" w:fill="auto"/>
          </w:tcPr>
          <w:p w:rsidR="007E36F3" w:rsidRPr="007E36F3" w:rsidRDefault="007E36F3" w:rsidP="007E36F3">
            <w:pPr>
              <w:keepNext/>
              <w:rPr>
                <w:sz w:val="20"/>
                <w:szCs w:val="20"/>
              </w:rPr>
            </w:pPr>
            <w:r w:rsidRPr="007E36F3">
              <w:rPr>
                <w:sz w:val="20"/>
                <w:szCs w:val="20"/>
              </w:rPr>
              <w:t>HCFC-124</w:t>
            </w:r>
          </w:p>
        </w:tc>
        <w:tc>
          <w:tcPr>
            <w:tcW w:w="604" w:type="pct"/>
            <w:shd w:val="clear" w:color="auto" w:fill="auto"/>
          </w:tcPr>
          <w:p w:rsidR="007E36F3" w:rsidRPr="007E36F3" w:rsidRDefault="007E36F3" w:rsidP="007E36F3">
            <w:pPr>
              <w:keepNext/>
              <w:rPr>
                <w:sz w:val="20"/>
                <w:szCs w:val="20"/>
              </w:rPr>
            </w:pPr>
            <w:r w:rsidRPr="007E36F3">
              <w:rPr>
                <w:sz w:val="20"/>
                <w:szCs w:val="20"/>
              </w:rPr>
              <w:t>C</w:t>
            </w:r>
          </w:p>
        </w:tc>
        <w:tc>
          <w:tcPr>
            <w:tcW w:w="584" w:type="pct"/>
            <w:shd w:val="clear" w:color="auto" w:fill="auto"/>
          </w:tcPr>
          <w:p w:rsidR="007E36F3" w:rsidRPr="007E36F3" w:rsidRDefault="007E36F3" w:rsidP="007E36F3">
            <w:pPr>
              <w:keepNext/>
              <w:rPr>
                <w:sz w:val="20"/>
                <w:szCs w:val="20"/>
              </w:rPr>
            </w:pPr>
            <w:r w:rsidRPr="007E36F3">
              <w:rPr>
                <w:sz w:val="20"/>
                <w:szCs w:val="20"/>
              </w:rPr>
              <w:t>I</w:t>
            </w:r>
          </w:p>
        </w:tc>
        <w:tc>
          <w:tcPr>
            <w:tcW w:w="1550" w:type="pct"/>
            <w:shd w:val="clear" w:color="auto" w:fill="auto"/>
          </w:tcPr>
          <w:p w:rsidR="007E36F3" w:rsidRPr="007E36F3" w:rsidRDefault="007E36F3" w:rsidP="007E36F3">
            <w:pPr>
              <w:keepNext/>
              <w:jc w:val="right"/>
              <w:rPr>
                <w:sz w:val="20"/>
                <w:szCs w:val="20"/>
              </w:rPr>
            </w:pPr>
            <w:r w:rsidRPr="007E36F3">
              <w:rPr>
                <w:sz w:val="20"/>
                <w:szCs w:val="20"/>
              </w:rPr>
              <w:t>0.83</w:t>
            </w:r>
          </w:p>
        </w:tc>
      </w:tr>
      <w:tr w:rsidR="007E36F3" w:rsidRPr="007E36F3" w:rsidTr="003C28D3">
        <w:tblPrEx>
          <w:tblLook w:val="0000" w:firstRow="0" w:lastRow="0" w:firstColumn="0" w:lastColumn="0" w:noHBand="0" w:noVBand="0"/>
        </w:tblPrEx>
        <w:tc>
          <w:tcPr>
            <w:tcW w:w="2262" w:type="pct"/>
            <w:shd w:val="clear" w:color="auto" w:fill="auto"/>
          </w:tcPr>
          <w:p w:rsidR="007E36F3" w:rsidRPr="007E36F3" w:rsidRDefault="007E36F3" w:rsidP="007E36F3">
            <w:pPr>
              <w:keepNext/>
              <w:rPr>
                <w:sz w:val="20"/>
                <w:szCs w:val="20"/>
              </w:rPr>
            </w:pPr>
            <w:r w:rsidRPr="007E36F3">
              <w:rPr>
                <w:sz w:val="20"/>
                <w:szCs w:val="20"/>
              </w:rPr>
              <w:t>HCFC-141b</w:t>
            </w:r>
          </w:p>
        </w:tc>
        <w:tc>
          <w:tcPr>
            <w:tcW w:w="604" w:type="pct"/>
            <w:shd w:val="clear" w:color="auto" w:fill="auto"/>
          </w:tcPr>
          <w:p w:rsidR="007E36F3" w:rsidRPr="007E36F3" w:rsidRDefault="007E36F3" w:rsidP="007E36F3">
            <w:pPr>
              <w:keepNext/>
              <w:rPr>
                <w:sz w:val="20"/>
                <w:szCs w:val="20"/>
              </w:rPr>
            </w:pPr>
            <w:r w:rsidRPr="007E36F3">
              <w:rPr>
                <w:sz w:val="20"/>
                <w:szCs w:val="20"/>
              </w:rPr>
              <w:t>C</w:t>
            </w:r>
          </w:p>
        </w:tc>
        <w:tc>
          <w:tcPr>
            <w:tcW w:w="584" w:type="pct"/>
            <w:shd w:val="clear" w:color="auto" w:fill="auto"/>
          </w:tcPr>
          <w:p w:rsidR="007E36F3" w:rsidRPr="007E36F3" w:rsidRDefault="007E36F3" w:rsidP="007E36F3">
            <w:pPr>
              <w:keepNext/>
              <w:rPr>
                <w:sz w:val="20"/>
                <w:szCs w:val="20"/>
              </w:rPr>
            </w:pPr>
            <w:r w:rsidRPr="007E36F3">
              <w:rPr>
                <w:sz w:val="20"/>
                <w:szCs w:val="20"/>
              </w:rPr>
              <w:t>I</w:t>
            </w:r>
          </w:p>
        </w:tc>
        <w:tc>
          <w:tcPr>
            <w:tcW w:w="1550" w:type="pct"/>
            <w:shd w:val="clear" w:color="auto" w:fill="auto"/>
          </w:tcPr>
          <w:p w:rsidR="007E36F3" w:rsidRPr="007E36F3" w:rsidRDefault="007E36F3" w:rsidP="007E36F3">
            <w:pPr>
              <w:keepNext/>
              <w:jc w:val="right"/>
              <w:rPr>
                <w:sz w:val="20"/>
                <w:szCs w:val="20"/>
              </w:rPr>
            </w:pPr>
            <w:r w:rsidRPr="007E36F3">
              <w:rPr>
                <w:sz w:val="20"/>
                <w:szCs w:val="20"/>
              </w:rPr>
              <w:t>94.57</w:t>
            </w:r>
          </w:p>
        </w:tc>
      </w:tr>
      <w:tr w:rsidR="007E36F3" w:rsidRPr="007E36F3" w:rsidTr="003C28D3">
        <w:tblPrEx>
          <w:tblLook w:val="0000" w:firstRow="0" w:lastRow="0" w:firstColumn="0" w:lastColumn="0" w:noHBand="0" w:noVBand="0"/>
        </w:tblPrEx>
        <w:tc>
          <w:tcPr>
            <w:tcW w:w="2262" w:type="pct"/>
            <w:shd w:val="clear" w:color="auto" w:fill="auto"/>
          </w:tcPr>
          <w:p w:rsidR="007E36F3" w:rsidRPr="007E36F3" w:rsidRDefault="007E36F3" w:rsidP="007E36F3">
            <w:pPr>
              <w:keepNext/>
              <w:rPr>
                <w:sz w:val="20"/>
                <w:szCs w:val="20"/>
              </w:rPr>
            </w:pPr>
            <w:r w:rsidRPr="007E36F3">
              <w:rPr>
                <w:sz w:val="20"/>
                <w:szCs w:val="20"/>
              </w:rPr>
              <w:t>HCFC-142b</w:t>
            </w:r>
          </w:p>
        </w:tc>
        <w:tc>
          <w:tcPr>
            <w:tcW w:w="604" w:type="pct"/>
            <w:shd w:val="clear" w:color="auto" w:fill="auto"/>
          </w:tcPr>
          <w:p w:rsidR="007E36F3" w:rsidRPr="007E36F3" w:rsidRDefault="007E36F3" w:rsidP="007E36F3">
            <w:pPr>
              <w:keepNext/>
              <w:rPr>
                <w:sz w:val="20"/>
                <w:szCs w:val="20"/>
              </w:rPr>
            </w:pPr>
            <w:r w:rsidRPr="007E36F3">
              <w:rPr>
                <w:sz w:val="20"/>
                <w:szCs w:val="20"/>
              </w:rPr>
              <w:t>C</w:t>
            </w:r>
          </w:p>
        </w:tc>
        <w:tc>
          <w:tcPr>
            <w:tcW w:w="584" w:type="pct"/>
            <w:shd w:val="clear" w:color="auto" w:fill="auto"/>
          </w:tcPr>
          <w:p w:rsidR="007E36F3" w:rsidRPr="007E36F3" w:rsidRDefault="007E36F3" w:rsidP="007E36F3">
            <w:pPr>
              <w:keepNext/>
              <w:rPr>
                <w:sz w:val="20"/>
                <w:szCs w:val="20"/>
              </w:rPr>
            </w:pPr>
            <w:r w:rsidRPr="007E36F3">
              <w:rPr>
                <w:sz w:val="20"/>
                <w:szCs w:val="20"/>
              </w:rPr>
              <w:t>I</w:t>
            </w:r>
          </w:p>
        </w:tc>
        <w:tc>
          <w:tcPr>
            <w:tcW w:w="1550" w:type="pct"/>
            <w:shd w:val="clear" w:color="auto" w:fill="auto"/>
          </w:tcPr>
          <w:p w:rsidR="007E36F3" w:rsidRPr="007E36F3" w:rsidRDefault="007E36F3" w:rsidP="007E36F3">
            <w:pPr>
              <w:keepNext/>
              <w:jc w:val="right"/>
              <w:rPr>
                <w:sz w:val="20"/>
                <w:szCs w:val="20"/>
              </w:rPr>
            </w:pPr>
            <w:r w:rsidRPr="007E36F3">
              <w:rPr>
                <w:sz w:val="20"/>
                <w:szCs w:val="20"/>
              </w:rPr>
              <w:t>14.34</w:t>
            </w:r>
          </w:p>
        </w:tc>
      </w:tr>
      <w:tr w:rsidR="007E36F3" w:rsidRPr="007E36F3" w:rsidTr="003C28D3">
        <w:tc>
          <w:tcPr>
            <w:tcW w:w="2262" w:type="pct"/>
            <w:shd w:val="clear" w:color="auto" w:fill="auto"/>
          </w:tcPr>
          <w:p w:rsidR="007E36F3" w:rsidRPr="007E36F3" w:rsidRDefault="007E36F3" w:rsidP="007E36F3">
            <w:pPr>
              <w:widowControl w:val="0"/>
              <w:autoSpaceDE w:val="0"/>
              <w:autoSpaceDN w:val="0"/>
              <w:adjustRightInd w:val="0"/>
              <w:jc w:val="left"/>
              <w:rPr>
                <w:color w:val="000000"/>
                <w:sz w:val="20"/>
                <w:szCs w:val="20"/>
              </w:rPr>
            </w:pPr>
            <w:r w:rsidRPr="007E36F3">
              <w:rPr>
                <w:color w:val="000000"/>
                <w:sz w:val="20"/>
                <w:szCs w:val="20"/>
              </w:rPr>
              <w:t>Total</w:t>
            </w:r>
          </w:p>
        </w:tc>
        <w:tc>
          <w:tcPr>
            <w:tcW w:w="604" w:type="pct"/>
            <w:shd w:val="clear" w:color="auto" w:fill="auto"/>
          </w:tcPr>
          <w:p w:rsidR="007E36F3" w:rsidRPr="007E36F3" w:rsidRDefault="007E36F3" w:rsidP="007E36F3">
            <w:pPr>
              <w:widowControl w:val="0"/>
              <w:autoSpaceDE w:val="0"/>
              <w:autoSpaceDN w:val="0"/>
              <w:adjustRightInd w:val="0"/>
              <w:jc w:val="left"/>
              <w:rPr>
                <w:color w:val="000000"/>
                <w:sz w:val="20"/>
                <w:szCs w:val="20"/>
              </w:rPr>
            </w:pPr>
            <w:r w:rsidRPr="007E36F3">
              <w:rPr>
                <w:color w:val="000000"/>
                <w:sz w:val="20"/>
                <w:szCs w:val="20"/>
              </w:rPr>
              <w:t>C</w:t>
            </w:r>
          </w:p>
        </w:tc>
        <w:tc>
          <w:tcPr>
            <w:tcW w:w="584" w:type="pct"/>
            <w:shd w:val="clear" w:color="auto" w:fill="auto"/>
          </w:tcPr>
          <w:p w:rsidR="007E36F3" w:rsidRPr="007E36F3" w:rsidRDefault="007E36F3" w:rsidP="007E36F3">
            <w:pPr>
              <w:widowControl w:val="0"/>
              <w:autoSpaceDE w:val="0"/>
              <w:autoSpaceDN w:val="0"/>
              <w:adjustRightInd w:val="0"/>
              <w:jc w:val="left"/>
              <w:rPr>
                <w:color w:val="000000"/>
                <w:sz w:val="20"/>
                <w:szCs w:val="20"/>
              </w:rPr>
            </w:pPr>
            <w:r w:rsidRPr="007E36F3">
              <w:rPr>
                <w:color w:val="000000"/>
                <w:sz w:val="20"/>
                <w:szCs w:val="20"/>
              </w:rPr>
              <w:t>I</w:t>
            </w:r>
          </w:p>
        </w:tc>
        <w:tc>
          <w:tcPr>
            <w:tcW w:w="1550" w:type="pct"/>
            <w:shd w:val="clear" w:color="auto" w:fill="auto"/>
          </w:tcPr>
          <w:p w:rsidR="007E36F3" w:rsidRPr="007E36F3" w:rsidRDefault="007E36F3" w:rsidP="007E36F3">
            <w:pPr>
              <w:widowControl w:val="0"/>
              <w:autoSpaceDE w:val="0"/>
              <w:autoSpaceDN w:val="0"/>
              <w:adjustRightInd w:val="0"/>
              <w:jc w:val="right"/>
              <w:rPr>
                <w:color w:val="000000"/>
                <w:sz w:val="20"/>
                <w:szCs w:val="20"/>
              </w:rPr>
            </w:pPr>
            <w:r w:rsidRPr="007E36F3">
              <w:rPr>
                <w:color w:val="000000"/>
                <w:sz w:val="20"/>
                <w:szCs w:val="20"/>
                <w:lang w:val="en-US"/>
              </w:rPr>
              <w:t>377.51</w:t>
            </w:r>
          </w:p>
        </w:tc>
      </w:tr>
    </w:tbl>
    <w:p w:rsidR="007E36F3" w:rsidRPr="007E36F3" w:rsidRDefault="007E36F3" w:rsidP="007E36F3">
      <w:pPr>
        <w:spacing w:after="240"/>
        <w:outlineLvl w:val="0"/>
      </w:pPr>
    </w:p>
    <w:p w:rsidR="007E36F3" w:rsidRPr="007E36F3" w:rsidRDefault="007E36F3" w:rsidP="007E36F3">
      <w:pPr>
        <w:jc w:val="left"/>
      </w:pPr>
      <w:r w:rsidRPr="007E36F3">
        <w:br w:type="page"/>
      </w:r>
    </w:p>
    <w:p w:rsidR="007E36F3" w:rsidRPr="007E36F3" w:rsidRDefault="007E36F3" w:rsidP="007E36F3">
      <w:pPr>
        <w:keepNext/>
        <w:keepLines/>
        <w:spacing w:after="240"/>
        <w:outlineLvl w:val="0"/>
        <w:rPr>
          <w:b/>
        </w:rPr>
      </w:pPr>
      <w:r w:rsidRPr="007E36F3">
        <w:rPr>
          <w:b/>
        </w:rPr>
        <w:lastRenderedPageBreak/>
        <w:t>APPENDIX 2-A: THE TARGETS, AND FUNDING</w:t>
      </w:r>
    </w:p>
    <w:tbl>
      <w:tblPr>
        <w:tblW w:w="5000" w:type="pct"/>
        <w:tblLook w:val="04A0" w:firstRow="1" w:lastRow="0" w:firstColumn="1" w:lastColumn="0" w:noHBand="0" w:noVBand="1"/>
      </w:tblPr>
      <w:tblGrid>
        <w:gridCol w:w="616"/>
        <w:gridCol w:w="2248"/>
        <w:gridCol w:w="1016"/>
        <w:gridCol w:w="766"/>
        <w:gridCol w:w="1016"/>
        <w:gridCol w:w="766"/>
        <w:gridCol w:w="1016"/>
        <w:gridCol w:w="1016"/>
        <w:gridCol w:w="1116"/>
      </w:tblGrid>
      <w:tr w:rsidR="007E36F3" w:rsidRPr="007E36F3" w:rsidTr="003C28D3">
        <w:trPr>
          <w:trHeight w:val="312"/>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Row</w:t>
            </w:r>
          </w:p>
        </w:tc>
        <w:tc>
          <w:tcPr>
            <w:tcW w:w="1381"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Particulars</w:t>
            </w:r>
          </w:p>
        </w:tc>
        <w:tc>
          <w:tcPr>
            <w:tcW w:w="532"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2017</w:t>
            </w:r>
          </w:p>
        </w:tc>
        <w:tc>
          <w:tcPr>
            <w:tcW w:w="371"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2018</w:t>
            </w:r>
          </w:p>
        </w:tc>
        <w:tc>
          <w:tcPr>
            <w:tcW w:w="530"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2019</w:t>
            </w:r>
          </w:p>
        </w:tc>
        <w:tc>
          <w:tcPr>
            <w:tcW w:w="371"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2020</w:t>
            </w:r>
          </w:p>
        </w:tc>
        <w:tc>
          <w:tcPr>
            <w:tcW w:w="489"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2021</w:t>
            </w:r>
          </w:p>
        </w:tc>
        <w:tc>
          <w:tcPr>
            <w:tcW w:w="490"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2022</w:t>
            </w:r>
          </w:p>
        </w:tc>
        <w:tc>
          <w:tcPr>
            <w:tcW w:w="536" w:type="pct"/>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b/>
                <w:bCs/>
                <w:color w:val="000000"/>
                <w:sz w:val="20"/>
                <w:szCs w:val="20"/>
                <w:lang w:val="en-US"/>
              </w:rPr>
            </w:pPr>
            <w:r w:rsidRPr="007E36F3">
              <w:rPr>
                <w:b/>
                <w:bCs/>
                <w:color w:val="000000"/>
                <w:sz w:val="20"/>
                <w:szCs w:val="20"/>
                <w:lang w:eastAsia="en-CA"/>
              </w:rPr>
              <w:t>Total</w:t>
            </w:r>
          </w:p>
        </w:tc>
      </w:tr>
      <w:tr w:rsidR="007E36F3" w:rsidRPr="007E36F3" w:rsidTr="003C28D3">
        <w:trPr>
          <w:trHeight w:val="480"/>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1.1</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Montreal Protocol reduction schedule of Annex C, Group I substances (ODP tonnes)</w:t>
            </w:r>
          </w:p>
        </w:tc>
        <w:tc>
          <w:tcPr>
            <w:tcW w:w="532"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360.63</w:t>
            </w:r>
          </w:p>
        </w:tc>
        <w:tc>
          <w:tcPr>
            <w:tcW w:w="37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360.63</w:t>
            </w:r>
          </w:p>
        </w:tc>
        <w:tc>
          <w:tcPr>
            <w:tcW w:w="530"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360.63</w:t>
            </w:r>
          </w:p>
        </w:tc>
        <w:tc>
          <w:tcPr>
            <w:tcW w:w="37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260.45</w:t>
            </w:r>
          </w:p>
        </w:tc>
        <w:tc>
          <w:tcPr>
            <w:tcW w:w="489"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val="en-US"/>
              </w:rPr>
              <w:t>260.45</w:t>
            </w:r>
          </w:p>
        </w:tc>
        <w:tc>
          <w:tcPr>
            <w:tcW w:w="490"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260.45</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n/a</w:t>
            </w:r>
          </w:p>
        </w:tc>
      </w:tr>
      <w:tr w:rsidR="007E36F3" w:rsidRPr="007E36F3" w:rsidTr="003C28D3">
        <w:trPr>
          <w:trHeight w:val="480"/>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1.2</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Maximum allowable total consumption of Annex C, Group I substances (ODP tonnes)</w:t>
            </w:r>
          </w:p>
        </w:tc>
        <w:tc>
          <w:tcPr>
            <w:tcW w:w="532"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330.58</w:t>
            </w:r>
          </w:p>
        </w:tc>
        <w:tc>
          <w:tcPr>
            <w:tcW w:w="37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330.58</w:t>
            </w:r>
          </w:p>
        </w:tc>
        <w:tc>
          <w:tcPr>
            <w:tcW w:w="530"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330.58</w:t>
            </w:r>
          </w:p>
        </w:tc>
        <w:tc>
          <w:tcPr>
            <w:tcW w:w="37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260.45</w:t>
            </w:r>
          </w:p>
        </w:tc>
        <w:tc>
          <w:tcPr>
            <w:tcW w:w="489"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260.45</w:t>
            </w:r>
          </w:p>
        </w:tc>
        <w:tc>
          <w:tcPr>
            <w:tcW w:w="490" w:type="pct"/>
            <w:tcBorders>
              <w:top w:val="nil"/>
              <w:left w:val="nil"/>
              <w:bottom w:val="single" w:sz="4" w:space="0" w:color="auto"/>
              <w:right w:val="single" w:sz="4" w:space="0" w:color="auto"/>
            </w:tcBorders>
            <w:shd w:val="clear" w:color="auto" w:fill="auto"/>
            <w:hideMark/>
          </w:tcPr>
          <w:p w:rsidR="007E36F3" w:rsidRPr="007E36F3" w:rsidRDefault="007E36F3" w:rsidP="00317314">
            <w:pPr>
              <w:jc w:val="right"/>
              <w:rPr>
                <w:color w:val="000000"/>
                <w:sz w:val="20"/>
                <w:szCs w:val="20"/>
                <w:lang w:val="en-US"/>
              </w:rPr>
            </w:pPr>
            <w:r w:rsidRPr="007E36F3">
              <w:rPr>
                <w:color w:val="000000"/>
                <w:sz w:val="20"/>
                <w:szCs w:val="20"/>
                <w:lang w:eastAsia="en-CA"/>
              </w:rPr>
              <w:t>200.3</w:t>
            </w:r>
            <w:r w:rsidR="00317314">
              <w:rPr>
                <w:color w:val="000000"/>
                <w:sz w:val="20"/>
                <w:szCs w:val="20"/>
                <w:lang w:eastAsia="en-CA"/>
              </w:rPr>
              <w:t>5</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n/a</w:t>
            </w:r>
          </w:p>
        </w:tc>
      </w:tr>
      <w:tr w:rsidR="007E36F3" w:rsidRPr="007E36F3" w:rsidTr="00554B95">
        <w:trPr>
          <w:trHeight w:val="288"/>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2.1</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Lead IA (UNIDO) agreed funding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595,746</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1,347,217</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1,334,000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364,107</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3,641,070</w:t>
            </w:r>
          </w:p>
        </w:tc>
      </w:tr>
      <w:tr w:rsidR="007E36F3" w:rsidRPr="007E36F3" w:rsidTr="00554B95">
        <w:trPr>
          <w:trHeight w:val="264"/>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2.2</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Support costs for Lead IA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41,702</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94,305</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93,380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25,487</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254,875</w:t>
            </w:r>
          </w:p>
        </w:tc>
      </w:tr>
      <w:tr w:rsidR="007E36F3" w:rsidRPr="007E36F3" w:rsidTr="00554B95">
        <w:trPr>
          <w:trHeight w:val="25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2.3</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Cooperating IA (World Bank) agreed funding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907,525</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2,722,576</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1,815,050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605,017</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6,050,168</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2.4</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Support costs for Cooperating IA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63,527</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190,580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127,054</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42,351</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423,512</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2.5</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Cooperating IA (Italy) agreed funding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250,000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250,000</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2.6</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Support costs for Cooperating IA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32,500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32,500</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3.1</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agreed funding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1,753,271</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4,069,793</w:t>
            </w:r>
          </w:p>
        </w:tc>
        <w:tc>
          <w:tcPr>
            <w:tcW w:w="371" w:type="pct"/>
            <w:tcBorders>
              <w:top w:val="nil"/>
              <w:left w:val="nil"/>
              <w:bottom w:val="single" w:sz="4" w:space="0" w:color="auto"/>
              <w:right w:val="single" w:sz="4" w:space="0" w:color="auto"/>
            </w:tcBorders>
            <w:shd w:val="clear" w:color="auto" w:fill="auto"/>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3,149,050</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969,124</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9,941,238</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3.2</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support costs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137,729</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284,885</w:t>
            </w:r>
          </w:p>
        </w:tc>
        <w:tc>
          <w:tcPr>
            <w:tcW w:w="371" w:type="pct"/>
            <w:tcBorders>
              <w:top w:val="nil"/>
              <w:left w:val="nil"/>
              <w:bottom w:val="single" w:sz="4" w:space="0" w:color="auto"/>
              <w:right w:val="single" w:sz="4" w:space="0" w:color="auto"/>
            </w:tcBorders>
            <w:shd w:val="clear" w:color="auto" w:fill="auto"/>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220,434</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67,839</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710,887</w:t>
            </w:r>
          </w:p>
        </w:tc>
      </w:tr>
      <w:tr w:rsidR="007E36F3" w:rsidRPr="007E36F3" w:rsidTr="00554B95">
        <w:trPr>
          <w:trHeight w:val="3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3.3</w:t>
            </w:r>
          </w:p>
        </w:tc>
        <w:tc>
          <w:tcPr>
            <w:tcW w:w="1381"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agreed costs (US $)</w:t>
            </w:r>
          </w:p>
        </w:tc>
        <w:tc>
          <w:tcPr>
            <w:tcW w:w="532"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1,891,000</w:t>
            </w:r>
          </w:p>
        </w:tc>
        <w:tc>
          <w:tcPr>
            <w:tcW w:w="371"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4,354,678</w:t>
            </w:r>
          </w:p>
        </w:tc>
        <w:tc>
          <w:tcPr>
            <w:tcW w:w="371" w:type="pct"/>
            <w:tcBorders>
              <w:top w:val="nil"/>
              <w:left w:val="nil"/>
              <w:bottom w:val="single" w:sz="4" w:space="0" w:color="auto"/>
              <w:right w:val="single" w:sz="4" w:space="0" w:color="auto"/>
            </w:tcBorders>
            <w:shd w:val="clear" w:color="auto" w:fill="auto"/>
          </w:tcPr>
          <w:p w:rsidR="007E36F3" w:rsidRPr="00554B95" w:rsidRDefault="007E36F3" w:rsidP="007E36F3">
            <w:pPr>
              <w:jc w:val="right"/>
              <w:rPr>
                <w:color w:val="000000"/>
                <w:sz w:val="20"/>
                <w:szCs w:val="20"/>
                <w:lang w:val="en-US"/>
              </w:rPr>
            </w:pPr>
            <w:r w:rsidRPr="00554B95">
              <w:rPr>
                <w:color w:val="000000"/>
                <w:sz w:val="20"/>
                <w:szCs w:val="20"/>
                <w:lang w:val="en-US"/>
              </w:rPr>
              <w:t>0</w:t>
            </w:r>
          </w:p>
        </w:tc>
        <w:tc>
          <w:tcPr>
            <w:tcW w:w="489"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3,369,484</w:t>
            </w:r>
          </w:p>
        </w:tc>
        <w:tc>
          <w:tcPr>
            <w:tcW w:w="490"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1,036,962</w:t>
            </w:r>
          </w:p>
        </w:tc>
        <w:tc>
          <w:tcPr>
            <w:tcW w:w="536" w:type="pct"/>
            <w:tcBorders>
              <w:top w:val="nil"/>
              <w:left w:val="nil"/>
              <w:bottom w:val="single" w:sz="4" w:space="0" w:color="auto"/>
              <w:right w:val="single" w:sz="4" w:space="0" w:color="auto"/>
            </w:tcBorders>
            <w:shd w:val="clear" w:color="auto" w:fill="auto"/>
            <w:hideMark/>
          </w:tcPr>
          <w:p w:rsidR="007E36F3" w:rsidRPr="00554B95" w:rsidRDefault="007E36F3" w:rsidP="007E36F3">
            <w:pPr>
              <w:jc w:val="right"/>
              <w:rPr>
                <w:color w:val="000000"/>
                <w:sz w:val="20"/>
                <w:szCs w:val="20"/>
                <w:lang w:val="en-US"/>
              </w:rPr>
            </w:pPr>
            <w:r w:rsidRPr="00554B95">
              <w:rPr>
                <w:color w:val="000000"/>
                <w:sz w:val="20"/>
                <w:szCs w:val="20"/>
              </w:rPr>
              <w:t>10,652,125</w:t>
            </w:r>
          </w:p>
        </w:tc>
      </w:tr>
      <w:tr w:rsidR="007E36F3" w:rsidRPr="007E36F3" w:rsidTr="003C28D3">
        <w:trPr>
          <w:trHeight w:val="163"/>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4.1.1</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phase-out of HCFC-22 agreed to be achieved under this Agreement (ODP tonnes)</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42.84</w:t>
            </w:r>
          </w:p>
        </w:tc>
      </w:tr>
      <w:tr w:rsidR="007E36F3" w:rsidRPr="007E36F3" w:rsidTr="003C28D3">
        <w:trPr>
          <w:trHeight w:val="208"/>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4.1.2</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Phase-out of HCFC-22 to be achieved in the previous stage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59.57</w:t>
            </w:r>
          </w:p>
        </w:tc>
      </w:tr>
      <w:tr w:rsidR="007E36F3" w:rsidRPr="007E36F3" w:rsidTr="003C28D3">
        <w:trPr>
          <w:trHeight w:val="255"/>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4.1.3</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Remaining eligible consumption for HCFC-22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163.79</w:t>
            </w:r>
          </w:p>
        </w:tc>
      </w:tr>
      <w:tr w:rsidR="007E36F3" w:rsidRPr="007E36F3" w:rsidTr="003C28D3">
        <w:trPr>
          <w:trHeight w:val="131"/>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4.2.1</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phase-out of HCFC-141b agreed to be achieved under this Agreement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70.61</w:t>
            </w:r>
          </w:p>
        </w:tc>
      </w:tr>
      <w:tr w:rsidR="007E36F3" w:rsidRPr="007E36F3" w:rsidTr="003C28D3">
        <w:trPr>
          <w:trHeight w:val="176"/>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4.2.2</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Phase-out of HCFC-141b to be achieved in the previous stage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23.96</w:t>
            </w:r>
          </w:p>
        </w:tc>
      </w:tr>
      <w:tr w:rsidR="007E36F3" w:rsidRPr="007E36F3" w:rsidTr="003C28D3">
        <w:trPr>
          <w:trHeight w:val="67"/>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4.2.3</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Remaining eligible consumption for HCFC-141b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11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4.3.1</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phase-out of HCFC-142b agreed to be achieved under this Agreement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1.74</w:t>
            </w:r>
          </w:p>
        </w:tc>
      </w:tr>
      <w:tr w:rsidR="007E36F3" w:rsidRPr="007E36F3" w:rsidTr="003C28D3">
        <w:trPr>
          <w:trHeight w:val="159"/>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4.3.2</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Phase-out of HCFC-142b to be achieved in the previous stage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204"/>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4.3.3</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Remaining eligible consumption for HCFC-142b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12.6</w:t>
            </w:r>
          </w:p>
        </w:tc>
      </w:tr>
      <w:tr w:rsidR="007E36F3" w:rsidRPr="007E36F3" w:rsidTr="003C28D3">
        <w:trPr>
          <w:trHeight w:val="251"/>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4.4.1</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phase-out of HCFC-123 agreed to be achieved under this Agreement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126"/>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4.4.2</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Phase-out of HCFC-123 to be achieved in the previous stage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17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4.4.3</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Remaining eligible consumption for HCFC-123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1.57</w:t>
            </w:r>
          </w:p>
        </w:tc>
      </w:tr>
      <w:tr w:rsidR="007E36F3" w:rsidRPr="007E36F3" w:rsidTr="003C28D3">
        <w:trPr>
          <w:trHeight w:val="77"/>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4.5.1</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Total phase-out of HCFC-124 agreed to be achieved under this Agreement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122"/>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4.5.2</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Phase-out of HCFC-124 to be achieved in the previous stage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w:t>
            </w:r>
          </w:p>
        </w:tc>
      </w:tr>
      <w:tr w:rsidR="007E36F3" w:rsidRPr="007E36F3" w:rsidTr="003C28D3">
        <w:trPr>
          <w:trHeight w:val="155"/>
        </w:trPr>
        <w:tc>
          <w:tcPr>
            <w:tcW w:w="301" w:type="pct"/>
            <w:tcBorders>
              <w:top w:val="nil"/>
              <w:left w:val="single" w:sz="4" w:space="0" w:color="auto"/>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4.5.3</w:t>
            </w:r>
          </w:p>
        </w:tc>
        <w:tc>
          <w:tcPr>
            <w:tcW w:w="4164" w:type="pct"/>
            <w:gridSpan w:val="7"/>
            <w:tcBorders>
              <w:top w:val="single" w:sz="4" w:space="0" w:color="auto"/>
              <w:left w:val="nil"/>
              <w:bottom w:val="single" w:sz="4" w:space="0" w:color="auto"/>
              <w:right w:val="single" w:sz="4" w:space="0" w:color="auto"/>
            </w:tcBorders>
            <w:shd w:val="clear" w:color="auto" w:fill="auto"/>
            <w:hideMark/>
          </w:tcPr>
          <w:p w:rsidR="007E36F3" w:rsidRPr="007E36F3" w:rsidRDefault="007E36F3" w:rsidP="007E36F3">
            <w:pPr>
              <w:jc w:val="left"/>
              <w:rPr>
                <w:color w:val="000000"/>
                <w:sz w:val="20"/>
                <w:szCs w:val="20"/>
                <w:lang w:val="en-US"/>
              </w:rPr>
            </w:pPr>
            <w:r w:rsidRPr="007E36F3">
              <w:rPr>
                <w:color w:val="000000"/>
                <w:sz w:val="20"/>
                <w:szCs w:val="20"/>
                <w:lang w:eastAsia="en-CA"/>
              </w:rPr>
              <w:t>Remaining eligible consumption for HCFC-124 (ODP tonnes) </w:t>
            </w:r>
          </w:p>
        </w:tc>
        <w:tc>
          <w:tcPr>
            <w:tcW w:w="536" w:type="pct"/>
            <w:tcBorders>
              <w:top w:val="nil"/>
              <w:left w:val="nil"/>
              <w:bottom w:val="single" w:sz="4" w:space="0" w:color="auto"/>
              <w:right w:val="single" w:sz="4" w:space="0" w:color="auto"/>
            </w:tcBorders>
            <w:shd w:val="clear" w:color="auto" w:fill="auto"/>
            <w:hideMark/>
          </w:tcPr>
          <w:p w:rsidR="007E36F3" w:rsidRPr="007E36F3" w:rsidRDefault="007E36F3" w:rsidP="007E36F3">
            <w:pPr>
              <w:jc w:val="right"/>
              <w:rPr>
                <w:color w:val="000000"/>
                <w:sz w:val="20"/>
                <w:szCs w:val="20"/>
                <w:lang w:val="en-US"/>
              </w:rPr>
            </w:pPr>
            <w:r w:rsidRPr="007E36F3">
              <w:rPr>
                <w:color w:val="000000"/>
                <w:sz w:val="20"/>
                <w:szCs w:val="20"/>
                <w:lang w:eastAsia="en-CA"/>
              </w:rPr>
              <w:t>0.83</w:t>
            </w:r>
          </w:p>
        </w:tc>
      </w:tr>
    </w:tbl>
    <w:p w:rsidR="007E36F3" w:rsidRPr="007E36F3" w:rsidRDefault="007E36F3" w:rsidP="007E36F3">
      <w:pPr>
        <w:spacing w:after="240"/>
        <w:outlineLvl w:val="0"/>
        <w:rPr>
          <w:sz w:val="18"/>
          <w:szCs w:val="18"/>
        </w:rPr>
      </w:pPr>
      <w:r w:rsidRPr="007E36F3">
        <w:rPr>
          <w:sz w:val="18"/>
          <w:szCs w:val="18"/>
        </w:rPr>
        <w:t>*Date of completion of stage I as per stage I Agreement: 31 December 2018.</w:t>
      </w:r>
    </w:p>
    <w:p w:rsidR="007E36F3" w:rsidRPr="007E36F3" w:rsidRDefault="007E36F3" w:rsidP="007E36F3">
      <w:pPr>
        <w:rPr>
          <w:b/>
        </w:rPr>
      </w:pPr>
      <w:r w:rsidRPr="007E36F3">
        <w:rPr>
          <w:b/>
        </w:rPr>
        <w:t>APPENDIX 3-A: FUNDING APPROVAL SCHEDULE</w:t>
      </w:r>
    </w:p>
    <w:p w:rsidR="007E36F3" w:rsidRPr="007E36F3" w:rsidRDefault="007E36F3" w:rsidP="007E36F3"/>
    <w:p w:rsidR="007E36F3" w:rsidRPr="007E36F3" w:rsidRDefault="007E36F3" w:rsidP="003C28D3">
      <w:pPr>
        <w:pStyle w:val="Heading1"/>
        <w:numPr>
          <w:ilvl w:val="0"/>
          <w:numId w:val="39"/>
        </w:numPr>
      </w:pPr>
      <w:r w:rsidRPr="007E36F3">
        <w:t>Funding for the future tranches will be considered for approval at the second meeting of the year specified in Appendix 2-A.</w:t>
      </w:r>
    </w:p>
    <w:p w:rsidR="007E36F3" w:rsidRPr="007E36F3" w:rsidRDefault="007E36F3" w:rsidP="007E36F3">
      <w:pPr>
        <w:keepNext/>
        <w:rPr>
          <w:b/>
        </w:rPr>
      </w:pPr>
      <w:r w:rsidRPr="007E36F3">
        <w:rPr>
          <w:b/>
        </w:rPr>
        <w:lastRenderedPageBreak/>
        <w:t>APPENDIX 4-A: FORMAT OF TRANCHE IMPLEMENTATION REPORTS AND PLANS</w:t>
      </w:r>
    </w:p>
    <w:p w:rsidR="007E36F3" w:rsidRPr="007E36F3" w:rsidRDefault="007E36F3" w:rsidP="007E36F3">
      <w:pPr>
        <w:keepNext/>
      </w:pPr>
    </w:p>
    <w:p w:rsidR="007E36F3" w:rsidRPr="007E36F3" w:rsidRDefault="007E36F3" w:rsidP="003C28D3">
      <w:pPr>
        <w:pStyle w:val="Heading1"/>
        <w:keepNext/>
        <w:numPr>
          <w:ilvl w:val="0"/>
          <w:numId w:val="40"/>
        </w:numPr>
      </w:pPr>
      <w:r w:rsidRPr="007E36F3">
        <w:t>The submission of the Tranche Implementation Report and Plans for each tranche request will consist of five parts:</w:t>
      </w:r>
    </w:p>
    <w:p w:rsidR="007E36F3" w:rsidRPr="007E36F3" w:rsidRDefault="007E36F3" w:rsidP="007E36F3">
      <w:pPr>
        <w:keepNext/>
        <w:numPr>
          <w:ilvl w:val="1"/>
          <w:numId w:val="1"/>
        </w:numPr>
        <w:tabs>
          <w:tab w:val="clear" w:pos="0"/>
          <w:tab w:val="num" w:pos="-720"/>
        </w:tabs>
        <w:spacing w:after="240"/>
        <w:outlineLvl w:val="1"/>
      </w:pPr>
      <w:r w:rsidRPr="007E36F3">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rsidR="007E36F3" w:rsidRPr="007E36F3" w:rsidRDefault="007E36F3" w:rsidP="007E36F3">
      <w:pPr>
        <w:keepNext/>
        <w:numPr>
          <w:ilvl w:val="1"/>
          <w:numId w:val="1"/>
        </w:numPr>
        <w:tabs>
          <w:tab w:val="clear" w:pos="0"/>
          <w:tab w:val="num" w:pos="-720"/>
        </w:tabs>
        <w:spacing w:after="240"/>
        <w:outlineLvl w:val="1"/>
      </w:pPr>
      <w:r w:rsidRPr="007E36F3">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7E36F3" w:rsidRPr="007E36F3" w:rsidRDefault="007E36F3" w:rsidP="007E36F3">
      <w:pPr>
        <w:widowControl w:val="0"/>
        <w:numPr>
          <w:ilvl w:val="1"/>
          <w:numId w:val="1"/>
        </w:numPr>
        <w:tabs>
          <w:tab w:val="clear" w:pos="0"/>
          <w:tab w:val="num" w:pos="-720"/>
        </w:tabs>
        <w:spacing w:after="240"/>
        <w:outlineLvl w:val="1"/>
      </w:pPr>
      <w:r w:rsidRPr="007E36F3">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rsidR="007E36F3" w:rsidRPr="007E36F3" w:rsidRDefault="007E36F3" w:rsidP="007E36F3">
      <w:pPr>
        <w:widowControl w:val="0"/>
        <w:numPr>
          <w:ilvl w:val="1"/>
          <w:numId w:val="1"/>
        </w:numPr>
        <w:tabs>
          <w:tab w:val="clear" w:pos="0"/>
          <w:tab w:val="num" w:pos="-720"/>
        </w:tabs>
        <w:spacing w:after="240"/>
        <w:outlineLvl w:val="1"/>
      </w:pPr>
      <w:r w:rsidRPr="007E36F3">
        <w:t>A set of quantitative information for all Tranche Implementation Reports and Plans, submitted through an online database; and</w:t>
      </w:r>
    </w:p>
    <w:p w:rsidR="007E36F3" w:rsidRPr="007E36F3" w:rsidRDefault="007E36F3" w:rsidP="007E36F3">
      <w:pPr>
        <w:widowControl w:val="0"/>
        <w:numPr>
          <w:ilvl w:val="1"/>
          <w:numId w:val="1"/>
        </w:numPr>
        <w:tabs>
          <w:tab w:val="clear" w:pos="0"/>
          <w:tab w:val="num" w:pos="-720"/>
        </w:tabs>
        <w:spacing w:after="240"/>
        <w:outlineLvl w:val="1"/>
      </w:pPr>
      <w:r w:rsidRPr="007E36F3">
        <w:t>An Executive Summary of about five paragraphs, summarizing the information of the above sub</w:t>
      </w:r>
      <w:r w:rsidRPr="007E36F3">
        <w:noBreakHyphen/>
        <w:t>paragraphs 1(a) to 1(d).</w:t>
      </w:r>
    </w:p>
    <w:p w:rsidR="007E36F3" w:rsidRPr="007E36F3" w:rsidRDefault="007E36F3" w:rsidP="007E36F3">
      <w:pPr>
        <w:numPr>
          <w:ilvl w:val="0"/>
          <w:numId w:val="1"/>
        </w:numPr>
        <w:spacing w:after="240"/>
        <w:outlineLvl w:val="0"/>
      </w:pPr>
      <w:r w:rsidRPr="007E36F3">
        <w:t>In the event that in a particular year two stages of the HPMP are being implemented in parallel, the following considerations should be taken in preparing the Tranche Implementation Reports and Plans:</w:t>
      </w:r>
    </w:p>
    <w:p w:rsidR="007E36F3" w:rsidRPr="007E36F3" w:rsidRDefault="007E36F3" w:rsidP="007E36F3">
      <w:pPr>
        <w:numPr>
          <w:ilvl w:val="1"/>
          <w:numId w:val="1"/>
        </w:numPr>
        <w:tabs>
          <w:tab w:val="clear" w:pos="0"/>
          <w:tab w:val="num" w:pos="-720"/>
        </w:tabs>
        <w:spacing w:after="240"/>
        <w:outlineLvl w:val="1"/>
      </w:pPr>
      <w:r w:rsidRPr="007E36F3">
        <w:t>The Tranche Implementation Reports and Plans referred to as part of this Agreement, will exclusively refer to activities and funds covered by this Agreement; and</w:t>
      </w:r>
    </w:p>
    <w:p w:rsidR="007E36F3" w:rsidRPr="007E36F3" w:rsidRDefault="007E36F3" w:rsidP="007E36F3">
      <w:pPr>
        <w:keepNext/>
        <w:rPr>
          <w:b/>
        </w:rPr>
      </w:pPr>
      <w:r w:rsidRPr="007E36F3">
        <w:rPr>
          <w:b/>
        </w:rPr>
        <w:t xml:space="preserve">APPENDIX 5-A: MONITORING INSTITUTIONS AND ROLES </w:t>
      </w:r>
    </w:p>
    <w:p w:rsidR="007E36F3" w:rsidRPr="007E36F3" w:rsidRDefault="007E36F3" w:rsidP="007E36F3">
      <w:pPr>
        <w:keepNext/>
      </w:pPr>
    </w:p>
    <w:p w:rsidR="007E36F3" w:rsidRPr="007E36F3" w:rsidRDefault="007E36F3" w:rsidP="009908B7">
      <w:pPr>
        <w:pStyle w:val="Heading1"/>
        <w:numPr>
          <w:ilvl w:val="0"/>
          <w:numId w:val="41"/>
        </w:numPr>
      </w:pPr>
      <w:r w:rsidRPr="007E36F3">
        <w:t xml:space="preserve">In Argentina, the National Ozone Unit (OPROZ) is a tripartite coordination office for the Country Programme for the Implementation of the Montreal Protocol (CP). It is composed of a representative of </w:t>
      </w:r>
      <w:r w:rsidRPr="007E36F3">
        <w:lastRenderedPageBreak/>
        <w:t>the Ministry of Environment and Sustainable Development (MAyDS), Ministry of Production (MoP), and Ministry of Foreign Affairs and Worship.</w:t>
      </w:r>
    </w:p>
    <w:p w:rsidR="007E36F3" w:rsidRPr="007E36F3" w:rsidRDefault="007E36F3" w:rsidP="007E36F3">
      <w:pPr>
        <w:numPr>
          <w:ilvl w:val="0"/>
          <w:numId w:val="1"/>
        </w:numPr>
        <w:spacing w:after="240"/>
        <w:outlineLvl w:val="0"/>
      </w:pPr>
      <w:r w:rsidRPr="007E36F3">
        <w:t>OPROZ is coordinated by MAyDS that serves as the Montreal Protocol national focal point. MAyDS is responsible for the tasks related to the implementation of the CP, the control of the import licensing system and the evaluation of consumption data, issuing of reports on a quarterly basis on compliance with the CP, and the reduction of ODS consumption.</w:t>
      </w:r>
    </w:p>
    <w:p w:rsidR="007E36F3" w:rsidRPr="007E36F3" w:rsidRDefault="007E36F3" w:rsidP="007E36F3">
      <w:pPr>
        <w:numPr>
          <w:ilvl w:val="0"/>
          <w:numId w:val="1"/>
        </w:numPr>
        <w:spacing w:after="240"/>
        <w:outlineLvl w:val="0"/>
      </w:pPr>
      <w:r w:rsidRPr="007E36F3">
        <w:t>UNIDO is appointed as the Lead IA of stage II of the HPMP for Argentina.  The World Bank and the Government of Italy are the Cooperating IAs.</w:t>
      </w:r>
    </w:p>
    <w:p w:rsidR="007E36F3" w:rsidRPr="00554B95" w:rsidRDefault="007E36F3" w:rsidP="007E36F3">
      <w:pPr>
        <w:numPr>
          <w:ilvl w:val="0"/>
          <w:numId w:val="1"/>
        </w:numPr>
        <w:spacing w:after="240"/>
        <w:outlineLvl w:val="0"/>
      </w:pPr>
      <w:r w:rsidRPr="00554B95">
        <w:t xml:space="preserve">UNIDO will be responsible for the overall management, monitoring of progress, performance verification and reporting to the Fund Secretariat and the Executive Committee. The subprojects of stage II will be implemented by UNIDO, the World Bank and the Government of Italy. The IAs will implement their subprojects according to the respective rules and procedures of UNIDO, the World Bank and the Government of Italy. </w:t>
      </w:r>
    </w:p>
    <w:p w:rsidR="007E36F3" w:rsidRPr="007E36F3" w:rsidRDefault="007E36F3" w:rsidP="007E36F3">
      <w:pPr>
        <w:numPr>
          <w:ilvl w:val="0"/>
          <w:numId w:val="1"/>
        </w:numPr>
        <w:spacing w:after="240"/>
        <w:outlineLvl w:val="0"/>
      </w:pPr>
      <w:r w:rsidRPr="00554B95">
        <w:t>The World Bank will report to</w:t>
      </w:r>
      <w:r w:rsidRPr="007E36F3">
        <w:t xml:space="preserve"> UNIDO on the progress of all the activities under its implementation, which will be incorporated into UNIDO’s periodical progress reports. The World Bank will coordinate its activities through the Ministry of Production.</w:t>
      </w:r>
    </w:p>
    <w:p w:rsidR="007E36F3" w:rsidRPr="007E36F3" w:rsidRDefault="007E36F3" w:rsidP="007E36F3">
      <w:pPr>
        <w:numPr>
          <w:ilvl w:val="0"/>
          <w:numId w:val="1"/>
        </w:numPr>
        <w:spacing w:after="240"/>
        <w:outlineLvl w:val="0"/>
      </w:pPr>
      <w:r w:rsidRPr="007E36F3">
        <w:t>UNIDO will work in close cooperation with OPROZ and with the beneficiaries. The work will be carried out under the supervision and guidance of the Project Manager of UNIDO. Necessary local coordination and control will be done by OPROZ.</w:t>
      </w:r>
    </w:p>
    <w:p w:rsidR="007E36F3" w:rsidRPr="007E36F3" w:rsidRDefault="007E36F3" w:rsidP="007E36F3">
      <w:pPr>
        <w:rPr>
          <w:b/>
        </w:rPr>
      </w:pPr>
      <w:r w:rsidRPr="007E36F3">
        <w:rPr>
          <w:b/>
        </w:rPr>
        <w:t xml:space="preserve">APPENDIX 6-A: ROLE OF THE LEAD IMPLEMENTING AGENCY </w:t>
      </w:r>
    </w:p>
    <w:p w:rsidR="007E36F3" w:rsidRPr="007E36F3" w:rsidRDefault="007E36F3" w:rsidP="007E36F3"/>
    <w:p w:rsidR="007E36F3" w:rsidRPr="007E36F3" w:rsidRDefault="007E36F3" w:rsidP="009908B7">
      <w:pPr>
        <w:pStyle w:val="Heading1"/>
        <w:numPr>
          <w:ilvl w:val="0"/>
          <w:numId w:val="42"/>
        </w:numPr>
      </w:pPr>
      <w:r w:rsidRPr="007E36F3">
        <w:t>The Lead IA will be responsible for a range of activities, including at least the following:</w:t>
      </w:r>
    </w:p>
    <w:p w:rsidR="007E36F3" w:rsidRPr="007E36F3" w:rsidRDefault="007E36F3" w:rsidP="007E36F3">
      <w:pPr>
        <w:widowControl w:val="0"/>
        <w:numPr>
          <w:ilvl w:val="1"/>
          <w:numId w:val="1"/>
        </w:numPr>
        <w:tabs>
          <w:tab w:val="clear" w:pos="0"/>
          <w:tab w:val="num" w:pos="-720"/>
        </w:tabs>
        <w:spacing w:after="240"/>
        <w:outlineLvl w:val="1"/>
      </w:pPr>
      <w:r w:rsidRPr="007E36F3">
        <w:t>Ensuring performance and financial verification in accordance with this Agreement and with its specific internal procedures and requirements as set out in the Country’s HPMP;</w:t>
      </w:r>
    </w:p>
    <w:p w:rsidR="007E36F3" w:rsidRPr="007E36F3" w:rsidRDefault="007E36F3" w:rsidP="007E36F3">
      <w:pPr>
        <w:widowControl w:val="0"/>
        <w:numPr>
          <w:ilvl w:val="1"/>
          <w:numId w:val="1"/>
        </w:numPr>
        <w:tabs>
          <w:tab w:val="clear" w:pos="0"/>
          <w:tab w:val="num" w:pos="-720"/>
        </w:tabs>
        <w:spacing w:after="240"/>
        <w:outlineLvl w:val="1"/>
      </w:pPr>
      <w:r w:rsidRPr="007E36F3">
        <w:t>Assisting the Country in preparation of the Tranche Implementation Reports and Plans as per Appendix 4</w:t>
      </w:r>
      <w:r w:rsidRPr="007E36F3">
        <w:noBreakHyphen/>
        <w:t>A;</w:t>
      </w:r>
    </w:p>
    <w:p w:rsidR="007E36F3" w:rsidRPr="007E36F3" w:rsidRDefault="007E36F3" w:rsidP="007E36F3">
      <w:pPr>
        <w:widowControl w:val="0"/>
        <w:numPr>
          <w:ilvl w:val="1"/>
          <w:numId w:val="1"/>
        </w:numPr>
        <w:tabs>
          <w:tab w:val="clear" w:pos="0"/>
          <w:tab w:val="num" w:pos="-720"/>
        </w:tabs>
        <w:spacing w:after="240"/>
        <w:outlineLvl w:val="1"/>
      </w:pPr>
      <w:r w:rsidRPr="007E36F3">
        <w:t>Providing independent verification to the Executive Committee that the Targets have been met and associated tranche activities have been completed as indicated in the Tranche Implementation Plan consistent with Appendix 4-A;</w:t>
      </w:r>
    </w:p>
    <w:p w:rsidR="007E36F3" w:rsidRPr="007E36F3" w:rsidRDefault="007E36F3" w:rsidP="007E36F3">
      <w:pPr>
        <w:widowControl w:val="0"/>
        <w:numPr>
          <w:ilvl w:val="1"/>
          <w:numId w:val="1"/>
        </w:numPr>
        <w:tabs>
          <w:tab w:val="clear" w:pos="0"/>
          <w:tab w:val="num" w:pos="-720"/>
        </w:tabs>
        <w:spacing w:after="240"/>
        <w:outlineLvl w:val="1"/>
      </w:pPr>
      <w:r w:rsidRPr="007E36F3">
        <w:t>Ensuring that the experiences and progress is reflected in updates of the overall plan and in future Tranche Implementation Plans consistent with sub-paragraphs 1(c) and 1(d) of Appendix 4-A;</w:t>
      </w:r>
    </w:p>
    <w:p w:rsidR="007E36F3" w:rsidRPr="007E36F3" w:rsidRDefault="007E36F3" w:rsidP="007E36F3">
      <w:pPr>
        <w:widowControl w:val="0"/>
        <w:numPr>
          <w:ilvl w:val="1"/>
          <w:numId w:val="1"/>
        </w:numPr>
        <w:tabs>
          <w:tab w:val="clear" w:pos="0"/>
          <w:tab w:val="num" w:pos="-720"/>
        </w:tabs>
        <w:spacing w:after="240"/>
        <w:outlineLvl w:val="1"/>
      </w:pPr>
      <w:r w:rsidRPr="007E36F3">
        <w:t>Fulfilling the reporting requirements for the Tranche Implementation Reports and Plans and the overall plan as specified in Appendix 4-A for submission to the Executive Committee, and should include the activities implemented by the Cooperating IAs;</w:t>
      </w:r>
    </w:p>
    <w:p w:rsidR="007E36F3" w:rsidRPr="007E36F3" w:rsidRDefault="007E36F3" w:rsidP="007E36F3">
      <w:pPr>
        <w:widowControl w:val="0"/>
        <w:numPr>
          <w:ilvl w:val="1"/>
          <w:numId w:val="1"/>
        </w:numPr>
        <w:tabs>
          <w:tab w:val="clear" w:pos="0"/>
          <w:tab w:val="num" w:pos="-720"/>
        </w:tabs>
        <w:spacing w:after="240"/>
        <w:outlineLvl w:val="1"/>
      </w:pPr>
      <w:r w:rsidRPr="007E36F3">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rsidR="007E36F3" w:rsidRPr="007E36F3" w:rsidRDefault="007E36F3" w:rsidP="007E36F3">
      <w:pPr>
        <w:widowControl w:val="0"/>
        <w:numPr>
          <w:ilvl w:val="1"/>
          <w:numId w:val="1"/>
        </w:numPr>
        <w:tabs>
          <w:tab w:val="clear" w:pos="0"/>
          <w:tab w:val="num" w:pos="-720"/>
        </w:tabs>
        <w:spacing w:after="240"/>
        <w:outlineLvl w:val="1"/>
      </w:pPr>
      <w:r w:rsidRPr="007E36F3">
        <w:t>Ensuring that appropriate independent technical experts carry out the technical reviews;</w:t>
      </w:r>
    </w:p>
    <w:p w:rsidR="007E36F3" w:rsidRPr="007E36F3" w:rsidRDefault="007E36F3" w:rsidP="007E36F3">
      <w:pPr>
        <w:widowControl w:val="0"/>
        <w:numPr>
          <w:ilvl w:val="1"/>
          <w:numId w:val="1"/>
        </w:numPr>
        <w:tabs>
          <w:tab w:val="clear" w:pos="0"/>
          <w:tab w:val="num" w:pos="-720"/>
        </w:tabs>
        <w:spacing w:after="240"/>
        <w:outlineLvl w:val="1"/>
      </w:pPr>
      <w:r w:rsidRPr="007E36F3">
        <w:lastRenderedPageBreak/>
        <w:t>Carrying out required supervision missions;</w:t>
      </w:r>
    </w:p>
    <w:p w:rsidR="007E36F3" w:rsidRPr="007E36F3" w:rsidRDefault="007E36F3" w:rsidP="007E36F3">
      <w:pPr>
        <w:widowControl w:val="0"/>
        <w:numPr>
          <w:ilvl w:val="1"/>
          <w:numId w:val="1"/>
        </w:numPr>
        <w:tabs>
          <w:tab w:val="clear" w:pos="0"/>
          <w:tab w:val="num" w:pos="-720"/>
        </w:tabs>
        <w:spacing w:after="240"/>
        <w:outlineLvl w:val="1"/>
      </w:pPr>
      <w:r w:rsidRPr="007E36F3">
        <w:t>Ensuring the presence of an operating mechanism to allow effective, transparent implementation of the Tranche Implementation Plan and accurate data reporting;</w:t>
      </w:r>
    </w:p>
    <w:p w:rsidR="007E36F3" w:rsidRPr="007E36F3" w:rsidRDefault="007E36F3" w:rsidP="007E36F3">
      <w:pPr>
        <w:numPr>
          <w:ilvl w:val="1"/>
          <w:numId w:val="1"/>
        </w:numPr>
        <w:tabs>
          <w:tab w:val="clear" w:pos="0"/>
          <w:tab w:val="num" w:pos="-720"/>
        </w:tabs>
        <w:spacing w:after="240"/>
        <w:outlineLvl w:val="1"/>
      </w:pPr>
      <w:r w:rsidRPr="007E36F3">
        <w:t>Co-ordinating the activities of the Cooperating IAs, and ensuring appropriate sequence of activities;</w:t>
      </w:r>
    </w:p>
    <w:p w:rsidR="007E36F3" w:rsidRPr="007E36F3" w:rsidRDefault="007E36F3" w:rsidP="007E36F3">
      <w:pPr>
        <w:keepNext/>
        <w:numPr>
          <w:ilvl w:val="1"/>
          <w:numId w:val="1"/>
        </w:numPr>
        <w:tabs>
          <w:tab w:val="clear" w:pos="0"/>
          <w:tab w:val="num" w:pos="-720"/>
        </w:tabs>
        <w:spacing w:after="240"/>
        <w:outlineLvl w:val="1"/>
      </w:pPr>
      <w:r w:rsidRPr="007E36F3">
        <w:t xml:space="preserve">In case of reductions in funding for failure to comply in accordance with paragraph 11 of the Agreement, to determine, in consultation with the Country and the Cooperating IAs, the allocation of the reductions to the different budget items and to the funding of the Lead IA and each Cooperating IA; </w:t>
      </w:r>
    </w:p>
    <w:p w:rsidR="007E36F3" w:rsidRPr="007E36F3" w:rsidRDefault="007E36F3" w:rsidP="007E36F3">
      <w:pPr>
        <w:widowControl w:val="0"/>
        <w:numPr>
          <w:ilvl w:val="1"/>
          <w:numId w:val="1"/>
        </w:numPr>
        <w:tabs>
          <w:tab w:val="clear" w:pos="0"/>
          <w:tab w:val="num" w:pos="-720"/>
        </w:tabs>
        <w:spacing w:after="240"/>
        <w:outlineLvl w:val="1"/>
      </w:pPr>
      <w:r w:rsidRPr="007E36F3">
        <w:t xml:space="preserve">Ensuring that disbursements made to the Country are based on the use of the indicators; </w:t>
      </w:r>
    </w:p>
    <w:p w:rsidR="007E36F3" w:rsidRPr="007E36F3" w:rsidRDefault="007E36F3" w:rsidP="007E36F3">
      <w:pPr>
        <w:widowControl w:val="0"/>
        <w:numPr>
          <w:ilvl w:val="1"/>
          <w:numId w:val="1"/>
        </w:numPr>
        <w:tabs>
          <w:tab w:val="clear" w:pos="0"/>
          <w:tab w:val="num" w:pos="-720"/>
        </w:tabs>
        <w:spacing w:after="240"/>
        <w:outlineLvl w:val="1"/>
      </w:pPr>
      <w:r w:rsidRPr="007E36F3">
        <w:t xml:space="preserve">Providing assistance with policy, management and technical support when required; </w:t>
      </w:r>
    </w:p>
    <w:p w:rsidR="007E36F3" w:rsidRPr="007E36F3" w:rsidRDefault="007E36F3" w:rsidP="007E36F3">
      <w:pPr>
        <w:keepNext/>
        <w:numPr>
          <w:ilvl w:val="1"/>
          <w:numId w:val="1"/>
        </w:numPr>
        <w:tabs>
          <w:tab w:val="clear" w:pos="0"/>
          <w:tab w:val="num" w:pos="-720"/>
        </w:tabs>
        <w:spacing w:after="240"/>
        <w:outlineLvl w:val="1"/>
      </w:pPr>
      <w:r w:rsidRPr="007E36F3">
        <w:t>Reaching consensus with the Cooperating IAs on any planning, co-ordination and reporting arrangements required to facilitate the implementation of the Plan; and</w:t>
      </w:r>
    </w:p>
    <w:p w:rsidR="007E36F3" w:rsidRPr="007E36F3" w:rsidRDefault="007E36F3" w:rsidP="007E36F3">
      <w:pPr>
        <w:keepNext/>
        <w:numPr>
          <w:ilvl w:val="1"/>
          <w:numId w:val="1"/>
        </w:numPr>
        <w:tabs>
          <w:tab w:val="clear" w:pos="0"/>
          <w:tab w:val="num" w:pos="-720"/>
        </w:tabs>
        <w:spacing w:after="240"/>
        <w:outlineLvl w:val="1"/>
      </w:pPr>
      <w:r w:rsidRPr="007E36F3">
        <w:t>Timely releasing funds to the Country/participating enterprises for completing the activities related to the project.</w:t>
      </w:r>
    </w:p>
    <w:p w:rsidR="007E36F3" w:rsidRPr="007E36F3" w:rsidRDefault="007E36F3" w:rsidP="007E36F3">
      <w:pPr>
        <w:numPr>
          <w:ilvl w:val="0"/>
          <w:numId w:val="1"/>
        </w:numPr>
        <w:spacing w:after="240"/>
        <w:outlineLvl w:val="0"/>
      </w:pPr>
      <w:r w:rsidRPr="007E36F3">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rsidR="007E36F3" w:rsidRPr="007E36F3" w:rsidRDefault="007E36F3" w:rsidP="007E36F3">
      <w:pPr>
        <w:rPr>
          <w:b/>
        </w:rPr>
      </w:pPr>
      <w:r w:rsidRPr="007E36F3">
        <w:rPr>
          <w:b/>
        </w:rPr>
        <w:t>APPENDIX 6-B: ROLE OF THE COOPERATING IMPLEMENTING AGENCIES</w:t>
      </w:r>
    </w:p>
    <w:p w:rsidR="007E36F3" w:rsidRPr="007E36F3" w:rsidRDefault="007E36F3" w:rsidP="007E36F3"/>
    <w:p w:rsidR="007E36F3" w:rsidRPr="007E36F3" w:rsidRDefault="007E36F3" w:rsidP="009908B7">
      <w:pPr>
        <w:pStyle w:val="Heading1"/>
        <w:numPr>
          <w:ilvl w:val="0"/>
          <w:numId w:val="43"/>
        </w:numPr>
      </w:pPr>
      <w:r w:rsidRPr="007E36F3">
        <w:t xml:space="preserve">The Cooperating IAs will be responsible for a range of activities. These activities are specified in the Plan, including at least the following: </w:t>
      </w:r>
    </w:p>
    <w:p w:rsidR="007E36F3" w:rsidRPr="007E36F3" w:rsidRDefault="007E36F3" w:rsidP="009908B7">
      <w:pPr>
        <w:widowControl w:val="0"/>
        <w:numPr>
          <w:ilvl w:val="1"/>
          <w:numId w:val="1"/>
        </w:numPr>
        <w:tabs>
          <w:tab w:val="clear" w:pos="0"/>
          <w:tab w:val="num" w:pos="-720"/>
        </w:tabs>
        <w:spacing w:after="240"/>
        <w:outlineLvl w:val="1"/>
      </w:pPr>
      <w:r w:rsidRPr="007E36F3">
        <w:t xml:space="preserve">Providing assistance for policy development when required; </w:t>
      </w:r>
    </w:p>
    <w:p w:rsidR="007E36F3" w:rsidRPr="007E36F3" w:rsidRDefault="007E36F3" w:rsidP="009908B7">
      <w:pPr>
        <w:widowControl w:val="0"/>
        <w:numPr>
          <w:ilvl w:val="1"/>
          <w:numId w:val="1"/>
        </w:numPr>
        <w:tabs>
          <w:tab w:val="clear" w:pos="0"/>
          <w:tab w:val="num" w:pos="-720"/>
        </w:tabs>
        <w:spacing w:after="240"/>
        <w:outlineLvl w:val="1"/>
      </w:pPr>
      <w:r w:rsidRPr="007E36F3">
        <w:t xml:space="preserve">Assisting the Country in the implementation and assessment of the activities funded by the Cooperating IAs, and refer to the Lead IA to ensure a co-ordinated sequence in the activities; </w:t>
      </w:r>
    </w:p>
    <w:p w:rsidR="007E36F3" w:rsidRPr="007E36F3" w:rsidRDefault="007E36F3" w:rsidP="009908B7">
      <w:pPr>
        <w:widowControl w:val="0"/>
        <w:numPr>
          <w:ilvl w:val="1"/>
          <w:numId w:val="1"/>
        </w:numPr>
        <w:tabs>
          <w:tab w:val="clear" w:pos="0"/>
          <w:tab w:val="num" w:pos="-720"/>
        </w:tabs>
        <w:spacing w:after="240"/>
        <w:outlineLvl w:val="1"/>
      </w:pPr>
      <w:r w:rsidRPr="007E36F3">
        <w:t>Providing reports to the Lead IA on these activities, for inclusion in the consolidated reports as per Appendix 4-A; and</w:t>
      </w:r>
    </w:p>
    <w:p w:rsidR="007E36F3" w:rsidRPr="007E36F3" w:rsidRDefault="007E36F3" w:rsidP="007E36F3">
      <w:pPr>
        <w:keepNext/>
        <w:numPr>
          <w:ilvl w:val="1"/>
          <w:numId w:val="1"/>
        </w:numPr>
        <w:tabs>
          <w:tab w:val="clear" w:pos="0"/>
          <w:tab w:val="num" w:pos="-720"/>
        </w:tabs>
        <w:spacing w:after="240"/>
        <w:outlineLvl w:val="1"/>
      </w:pPr>
      <w:r w:rsidRPr="007E36F3">
        <w:t>Reaching consensus with the Lead IA on any planning, co-ordination and reporting arrangements required to facilitate the implementation of the Plan.</w:t>
      </w:r>
    </w:p>
    <w:p w:rsidR="007E36F3" w:rsidRPr="007E36F3" w:rsidRDefault="007E36F3" w:rsidP="007E36F3"/>
    <w:p w:rsidR="007E36F3" w:rsidRPr="007E36F3" w:rsidRDefault="007E36F3" w:rsidP="007E36F3">
      <w:pPr>
        <w:rPr>
          <w:b/>
        </w:rPr>
      </w:pPr>
      <w:r w:rsidRPr="007E36F3">
        <w:rPr>
          <w:b/>
        </w:rPr>
        <w:t>APPENDIX 7-A: REDUCTIONS IN FUNDING FOR FAILURE TO COMPLY</w:t>
      </w:r>
    </w:p>
    <w:p w:rsidR="007E36F3" w:rsidRPr="007E36F3" w:rsidRDefault="007E36F3" w:rsidP="007E36F3"/>
    <w:p w:rsidR="007E36F3" w:rsidRPr="007E36F3" w:rsidRDefault="007E36F3" w:rsidP="009908B7">
      <w:pPr>
        <w:pStyle w:val="Heading1"/>
        <w:numPr>
          <w:ilvl w:val="0"/>
          <w:numId w:val="44"/>
        </w:numPr>
      </w:pPr>
      <w:r w:rsidRPr="007E36F3">
        <w:t>In accordance with paragraph 11 of the Agreement, the amount of funding provided may be reduced by US $172.61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rsidR="007E36F3" w:rsidRPr="007E36F3" w:rsidRDefault="007E36F3" w:rsidP="007E36F3">
      <w:pPr>
        <w:numPr>
          <w:ilvl w:val="0"/>
          <w:numId w:val="1"/>
        </w:numPr>
        <w:spacing w:after="240"/>
        <w:outlineLvl w:val="0"/>
      </w:pPr>
      <w:r w:rsidRPr="007E36F3">
        <w:lastRenderedPageBreak/>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rsidR="007E36F3" w:rsidRDefault="007E36F3">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Tr="0079473E">
        <w:tc>
          <w:tcPr>
            <w:tcW w:w="1915" w:type="dxa"/>
          </w:tcPr>
          <w:p w:rsidR="00E85409" w:rsidRDefault="00E85409" w:rsidP="0079473E"/>
        </w:tc>
        <w:tc>
          <w:tcPr>
            <w:tcW w:w="1915" w:type="dxa"/>
          </w:tcPr>
          <w:p w:rsidR="00E85409" w:rsidRDefault="00E85409" w:rsidP="0079473E"/>
        </w:tc>
        <w:tc>
          <w:tcPr>
            <w:tcW w:w="1915" w:type="dxa"/>
            <w:tcBorders>
              <w:bottom w:val="single" w:sz="4" w:space="0" w:color="auto"/>
            </w:tcBorders>
          </w:tcPr>
          <w:p w:rsidR="00E85409" w:rsidRDefault="00E85409" w:rsidP="0079473E"/>
        </w:tc>
        <w:tc>
          <w:tcPr>
            <w:tcW w:w="1915" w:type="dxa"/>
          </w:tcPr>
          <w:p w:rsidR="00E85409" w:rsidRDefault="00E85409" w:rsidP="0079473E"/>
        </w:tc>
        <w:tc>
          <w:tcPr>
            <w:tcW w:w="1916" w:type="dxa"/>
          </w:tcPr>
          <w:p w:rsidR="00E85409" w:rsidRDefault="00E85409" w:rsidP="0079473E"/>
        </w:tc>
      </w:tr>
    </w:tbl>
    <w:p w:rsidR="00E85409" w:rsidRPr="00B04161" w:rsidRDefault="00E85409" w:rsidP="004E7F9C">
      <w:pPr>
        <w:rPr>
          <w:lang w:val="en-CA"/>
        </w:rPr>
      </w:pPr>
    </w:p>
    <w:sectPr w:rsidR="00E85409" w:rsidRPr="00B04161" w:rsidSect="003C28D3">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6A" w:rsidRDefault="005C026A" w:rsidP="004A504B">
      <w:r>
        <w:separator/>
      </w:r>
    </w:p>
  </w:endnote>
  <w:endnote w:type="continuationSeparator" w:id="0">
    <w:p w:rsidR="005C026A" w:rsidRDefault="005C026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A" w:rsidRPr="0033525D" w:rsidRDefault="005C026A">
    <w:pPr>
      <w:jc w:val="center"/>
    </w:pPr>
    <w:r>
      <w:fldChar w:fldCharType="begin"/>
    </w:r>
    <w:r>
      <w:instrText xml:space="preserve"> PAGE </w:instrText>
    </w:r>
    <w:r>
      <w:fldChar w:fldCharType="separate"/>
    </w:r>
    <w:r w:rsidR="00600F7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A" w:rsidRPr="0033525D" w:rsidRDefault="005C026A">
    <w:pPr>
      <w:jc w:val="center"/>
    </w:pPr>
    <w:r>
      <w:fldChar w:fldCharType="begin"/>
    </w:r>
    <w:r>
      <w:instrText xml:space="preserve"> PAGE </w:instrText>
    </w:r>
    <w:r>
      <w:fldChar w:fldCharType="separate"/>
    </w:r>
    <w:r w:rsidR="00600F70">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2412"/>
      <w:docPartObj>
        <w:docPartGallery w:val="Page Numbers (Bottom of Page)"/>
        <w:docPartUnique/>
      </w:docPartObj>
    </w:sdtPr>
    <w:sdtEndPr>
      <w:rPr>
        <w:noProof/>
      </w:rPr>
    </w:sdtEndPr>
    <w:sdtContent>
      <w:p w:rsidR="005C026A" w:rsidRDefault="005C026A" w:rsidP="003C28D3">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5C026A" w:rsidRDefault="005C026A">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375666"/>
      <w:docPartObj>
        <w:docPartGallery w:val="Page Numbers (Bottom of Page)"/>
        <w:docPartUnique/>
      </w:docPartObj>
    </w:sdtPr>
    <w:sdtEndPr>
      <w:rPr>
        <w:noProof/>
      </w:rPr>
    </w:sdtEndPr>
    <w:sdtContent>
      <w:p w:rsidR="005C026A" w:rsidRDefault="005C026A">
        <w:pPr>
          <w:pStyle w:val="Footer"/>
          <w:jc w:val="center"/>
        </w:pPr>
        <w:r>
          <w:fldChar w:fldCharType="begin"/>
        </w:r>
        <w:r>
          <w:instrText xml:space="preserve"> PAGE   \* MERGEFORMAT </w:instrText>
        </w:r>
        <w:r>
          <w:fldChar w:fldCharType="separate"/>
        </w:r>
        <w:r w:rsidR="00600F70">
          <w:rPr>
            <w:noProof/>
          </w:rPr>
          <w:t>1</w:t>
        </w:r>
        <w:r>
          <w:rPr>
            <w:noProof/>
          </w:rPr>
          <w:fldChar w:fldCharType="end"/>
        </w:r>
      </w:p>
    </w:sdtContent>
  </w:sdt>
  <w:p w:rsidR="005C026A" w:rsidRPr="003C28D3" w:rsidRDefault="005C026A" w:rsidP="003C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6A" w:rsidRDefault="005C026A" w:rsidP="004A504B">
      <w:r>
        <w:separator/>
      </w:r>
    </w:p>
  </w:footnote>
  <w:footnote w:type="continuationSeparator" w:id="0">
    <w:p w:rsidR="005C026A" w:rsidRDefault="005C026A" w:rsidP="004A504B">
      <w:r>
        <w:continuationSeparator/>
      </w:r>
    </w:p>
  </w:footnote>
  <w:footnote w:id="1">
    <w:p w:rsidR="005C026A" w:rsidRPr="00C24561" w:rsidRDefault="005C026A" w:rsidP="001F1577">
      <w:pPr>
        <w:widowControl w:val="0"/>
        <w:spacing w:after="240"/>
        <w:outlineLvl w:val="0"/>
        <w:rPr>
          <w:sz w:val="20"/>
          <w:szCs w:val="20"/>
          <w:lang w:val="en-CA"/>
        </w:rPr>
      </w:pPr>
      <w:r>
        <w:rPr>
          <w:rStyle w:val="FootnoteReference"/>
        </w:rPr>
        <w:footnoteRef/>
      </w:r>
      <w:r>
        <w:t xml:space="preserve"> </w:t>
      </w:r>
      <w:proofErr w:type="gramStart"/>
      <w:r w:rsidRPr="00C24561">
        <w:rPr>
          <w:sz w:val="20"/>
          <w:szCs w:val="20"/>
          <w:lang w:val="en-CA"/>
        </w:rPr>
        <w:t>As per the letter of 29 May 2017 from the Ministry of Foreign Affair</w:t>
      </w:r>
      <w:r>
        <w:rPr>
          <w:sz w:val="20"/>
          <w:szCs w:val="20"/>
          <w:lang w:val="en-CA"/>
        </w:rPr>
        <w:t>s</w:t>
      </w:r>
      <w:r w:rsidRPr="00C24561">
        <w:rPr>
          <w:sz w:val="20"/>
          <w:szCs w:val="20"/>
          <w:lang w:val="en-CA"/>
        </w:rPr>
        <w:t xml:space="preserve"> of Argentina to UNIDO.</w:t>
      </w:r>
      <w:proofErr w:type="gramEnd"/>
    </w:p>
  </w:footnote>
  <w:footnote w:id="2">
    <w:p w:rsidR="005C026A" w:rsidRPr="006E3017" w:rsidRDefault="005C026A" w:rsidP="001F1577">
      <w:pPr>
        <w:pStyle w:val="FootnoteText"/>
      </w:pPr>
      <w:r>
        <w:rPr>
          <w:rStyle w:val="FootnoteReference"/>
        </w:rPr>
        <w:footnoteRef/>
      </w:r>
      <w:r>
        <w:t xml:space="preserve"> </w:t>
      </w:r>
      <w:r w:rsidRPr="006E3017">
        <w:t>Decision 77/17(b) requested UNIDO and the Government of Italy to return to the 79</w:t>
      </w:r>
      <w:r w:rsidRPr="006E3017">
        <w:rPr>
          <w:vertAlign w:val="superscript"/>
        </w:rPr>
        <w:t>th</w:t>
      </w:r>
      <w:r w:rsidRPr="006E3017">
        <w:t xml:space="preserve"> meeting the balance of </w:t>
      </w:r>
      <w:r>
        <w:t>US $</w:t>
      </w:r>
      <w:r w:rsidRPr="006E3017">
        <w:t xml:space="preserve">547,973, consisting of </w:t>
      </w:r>
      <w:r>
        <w:t>US $</w:t>
      </w:r>
      <w:r w:rsidRPr="006E3017">
        <w:t xml:space="preserve">322,644, plus agency support costs of </w:t>
      </w:r>
      <w:r>
        <w:t>US $</w:t>
      </w:r>
      <w:r w:rsidRPr="006E3017">
        <w:t xml:space="preserve">24,198 for UNIDO (ARG/REF/61/INV/164), and </w:t>
      </w:r>
      <w:r>
        <w:t>US $</w:t>
      </w:r>
      <w:r w:rsidRPr="006E3017">
        <w:t xml:space="preserve">177,992, plus agency supports costs of </w:t>
      </w:r>
      <w:r>
        <w:t>US $</w:t>
      </w:r>
      <w:r w:rsidRPr="006E3017">
        <w:t>23,139 for the Government of Italy</w:t>
      </w:r>
      <w:r>
        <w:t xml:space="preserve"> </w:t>
      </w:r>
      <w:r w:rsidRPr="006E3017">
        <w:t>(ARG/REF/61/INV/163).</w:t>
      </w:r>
    </w:p>
  </w:footnote>
  <w:footnote w:id="3">
    <w:p w:rsidR="005C026A" w:rsidRPr="00670B7D" w:rsidRDefault="005C026A">
      <w:pPr>
        <w:pStyle w:val="FootnoteText"/>
      </w:pPr>
      <w:r>
        <w:rPr>
          <w:rStyle w:val="FootnoteReference"/>
        </w:rPr>
        <w:footnoteRef/>
      </w:r>
      <w:r>
        <w:t xml:space="preserve"> This figure does not include an additional project for US $222,048 to phase out 1.19 ODP tonnes of HCFCs in the XPS foam sector added during the project review process.</w:t>
      </w:r>
    </w:p>
  </w:footnote>
  <w:footnote w:id="4">
    <w:p w:rsidR="005C026A" w:rsidRPr="007F04F0" w:rsidRDefault="005C026A" w:rsidP="00F0403F">
      <w:pPr>
        <w:rPr>
          <w:lang w:val="en-CA"/>
        </w:rPr>
      </w:pPr>
      <w:r>
        <w:rPr>
          <w:rStyle w:val="FootnoteReference"/>
        </w:rPr>
        <w:footnoteRef/>
      </w:r>
      <w:r>
        <w:t xml:space="preserve"> </w:t>
      </w:r>
      <w:proofErr w:type="gramStart"/>
      <w:r w:rsidRPr="007F04F0">
        <w:rPr>
          <w:sz w:val="20"/>
          <w:szCs w:val="20"/>
          <w:lang w:val="en-CA"/>
        </w:rPr>
        <w:t>As per the letter of 20 April 2017 from the Ministry of External Relations of Argentina to the Secretariat.</w:t>
      </w:r>
      <w:proofErr w:type="gramEnd"/>
    </w:p>
  </w:footnote>
  <w:footnote w:id="5">
    <w:p w:rsidR="005C026A" w:rsidRPr="002B0555" w:rsidRDefault="005C026A" w:rsidP="00F0403F">
      <w:pPr>
        <w:pStyle w:val="FootnoteText"/>
      </w:pPr>
      <w:r>
        <w:rPr>
          <w:rStyle w:val="FootnoteReference"/>
        </w:rPr>
        <w:footnoteRef/>
      </w:r>
      <w:r>
        <w:t xml:space="preserve"> A larger tonnage of HCFC will be phased out, but only 115.19 ODP tonnes are deducted from the remaining eligible consumption. The reason for this is that 80.43 ODP tonnes of HCFC-141b will be phased out but there are only 70.61 ODP tonnes in the remaining eligible consumption to be deducted. </w:t>
      </w:r>
    </w:p>
  </w:footnote>
  <w:footnote w:id="6">
    <w:p w:rsidR="005C026A" w:rsidRDefault="005C026A" w:rsidP="00F0403F">
      <w:pPr>
        <w:pStyle w:val="FootnoteText"/>
      </w:pPr>
      <w:r>
        <w:rPr>
          <w:rStyle w:val="FootnoteReference"/>
        </w:rPr>
        <w:footnoteRef/>
      </w:r>
      <w:r>
        <w:t xml:space="preserve"> </w:t>
      </w:r>
      <w:proofErr w:type="gramStart"/>
      <w:r>
        <w:t>Including 24 downstream users with consumption &gt; 100 kg through Alisa, a BASF distributor.</w:t>
      </w:r>
      <w:proofErr w:type="gramEnd"/>
    </w:p>
  </w:footnote>
  <w:footnote w:id="7">
    <w:p w:rsidR="005C026A" w:rsidRDefault="005C026A" w:rsidP="00F0403F">
      <w:pPr>
        <w:pStyle w:val="FootnoteText"/>
      </w:pPr>
      <w:r>
        <w:rPr>
          <w:rStyle w:val="FootnoteReference"/>
        </w:rPr>
        <w:footnoteRef/>
      </w:r>
      <w:r>
        <w:t xml:space="preserve"> </w:t>
      </w:r>
      <w:proofErr w:type="gramStart"/>
      <w:r>
        <w:t xml:space="preserve">Including 6 downstream users with consumption &gt; 100 kg through </w:t>
      </w:r>
      <w:proofErr w:type="spellStart"/>
      <w:r w:rsidRPr="006F4DB9">
        <w:t>Polytal</w:t>
      </w:r>
      <w:proofErr w:type="spellEnd"/>
      <w:r w:rsidRPr="006F4DB9">
        <w:t xml:space="preserve"> S.R.L.</w:t>
      </w:r>
      <w:r>
        <w:t xml:space="preserve"> and </w:t>
      </w:r>
      <w:proofErr w:type="spellStart"/>
      <w:r>
        <w:t>Polycoat</w:t>
      </w:r>
      <w:proofErr w:type="spellEnd"/>
      <w:r>
        <w:t>, Dow distributors.</w:t>
      </w:r>
      <w:proofErr w:type="gramEnd"/>
    </w:p>
  </w:footnote>
  <w:footnote w:id="8">
    <w:p w:rsidR="005C026A" w:rsidRPr="00E46BDF" w:rsidRDefault="005C026A">
      <w:pPr>
        <w:pStyle w:val="FootnoteText"/>
      </w:pPr>
      <w:r>
        <w:rPr>
          <w:rStyle w:val="FootnoteReference"/>
        </w:rPr>
        <w:footnoteRef/>
      </w:r>
      <w:r>
        <w:t xml:space="preserve"> Original submission included a proposal </w:t>
      </w:r>
      <w:r w:rsidRPr="00E46BDF">
        <w:t xml:space="preserve">to convert </w:t>
      </w:r>
      <w:proofErr w:type="spellStart"/>
      <w:r w:rsidRPr="00E46BDF">
        <w:t>Celpack</w:t>
      </w:r>
      <w:proofErr w:type="spellEnd"/>
      <w:r w:rsidRPr="00E46BDF">
        <w:t xml:space="preserve"> to butane</w:t>
      </w:r>
      <w:r>
        <w:t xml:space="preserve"> for US $366,715 (incremental cost US </w:t>
      </w:r>
      <w:r>
        <w:rPr>
          <w:lang w:val="en-CA"/>
        </w:rPr>
        <w:t>$</w:t>
      </w:r>
      <w:r>
        <w:t>1,170,656)</w:t>
      </w:r>
      <w:r w:rsidRPr="00E46BDF">
        <w:t xml:space="preserve">. </w:t>
      </w:r>
      <w:r>
        <w:t>Upon the enterprise’s request, d</w:t>
      </w:r>
      <w:r w:rsidRPr="00E46BDF">
        <w:t>uring the project review process</w:t>
      </w:r>
      <w:r>
        <w:t xml:space="preserve"> the original proposal was replaced with a revised </w:t>
      </w:r>
      <w:r w:rsidRPr="00E46BDF">
        <w:t xml:space="preserve">proposal </w:t>
      </w:r>
      <w:r>
        <w:t>t</w:t>
      </w:r>
      <w:r w:rsidRPr="00E46BDF">
        <w:t>o c</w:t>
      </w:r>
      <w:r>
        <w:t>onvert to CO</w:t>
      </w:r>
      <w:r w:rsidRPr="00670B7D">
        <w:rPr>
          <w:vertAlign w:val="subscript"/>
        </w:rPr>
        <w:t>2</w:t>
      </w:r>
      <w:r>
        <w:t>/ethanol.</w:t>
      </w:r>
    </w:p>
  </w:footnote>
  <w:footnote w:id="9">
    <w:p w:rsidR="005C026A" w:rsidRPr="009A3BBD" w:rsidRDefault="005C026A" w:rsidP="00E46BDF">
      <w:pPr>
        <w:pStyle w:val="FootnoteText"/>
      </w:pPr>
      <w:r>
        <w:rPr>
          <w:rStyle w:val="FootnoteReference"/>
        </w:rPr>
        <w:footnoteRef/>
      </w:r>
      <w:r>
        <w:t xml:space="preserve"> Original submission did not include the project for </w:t>
      </w:r>
      <w:proofErr w:type="spellStart"/>
      <w:r>
        <w:t>Perfiles</w:t>
      </w:r>
      <w:proofErr w:type="spellEnd"/>
      <w:r>
        <w:t xml:space="preserve"> </w:t>
      </w:r>
      <w:proofErr w:type="spellStart"/>
      <w:r>
        <w:t>Revestidos</w:t>
      </w:r>
      <w:proofErr w:type="spellEnd"/>
      <w:r>
        <w:t>; it was incorporated during the project review process in order to address all the eligible HCFC consumption in the XPS foam sector.</w:t>
      </w:r>
    </w:p>
  </w:footnote>
  <w:footnote w:id="10">
    <w:p w:rsidR="005C026A" w:rsidRPr="007A23F5" w:rsidRDefault="005C026A">
      <w:pPr>
        <w:pStyle w:val="FootnoteText"/>
        <w:rPr>
          <w:sz w:val="18"/>
          <w:szCs w:val="18"/>
        </w:rPr>
      </w:pPr>
      <w:r w:rsidRPr="00577666">
        <w:rPr>
          <w:rStyle w:val="FootnoteReference"/>
        </w:rPr>
        <w:footnoteRef/>
      </w:r>
      <w:r w:rsidRPr="00577666">
        <w:t xml:space="preserve"> </w:t>
      </w:r>
      <w:r w:rsidRPr="00577666">
        <w:rPr>
          <w:sz w:val="18"/>
          <w:szCs w:val="18"/>
        </w:rPr>
        <w:t>This component, originally submitted as part of the PMU, has been grouped with the activities in the servicing sector submitted at a cost-effectiveness of US $4.80/kg. The PMU is addressed separately.</w:t>
      </w:r>
    </w:p>
  </w:footnote>
  <w:footnote w:id="11">
    <w:p w:rsidR="005C026A" w:rsidRPr="006163D6" w:rsidRDefault="005C026A" w:rsidP="00771356">
      <w:pPr>
        <w:pStyle w:val="FootnoteText"/>
      </w:pPr>
      <w:r>
        <w:rPr>
          <w:rStyle w:val="FootnoteReference"/>
        </w:rPr>
        <w:footnoteRef/>
      </w:r>
      <w:r>
        <w:t xml:space="preserve"> Paragraph 7(c) of the template Agreement for stage II of the HPMP agreed at the 76</w:t>
      </w:r>
      <w:r w:rsidRPr="006163D6">
        <w:rPr>
          <w:vertAlign w:val="superscript"/>
        </w:rPr>
        <w:t>th</w:t>
      </w:r>
      <w:r>
        <w:t xml:space="preserve"> meeting addresses this situation.</w:t>
      </w:r>
    </w:p>
  </w:footnote>
  <w:footnote w:id="12">
    <w:p w:rsidR="005C026A" w:rsidRPr="009973FB" w:rsidRDefault="005C026A" w:rsidP="00771356">
      <w:pPr>
        <w:pStyle w:val="FootnoteText"/>
        <w:rPr>
          <w:lang w:val="en-US"/>
        </w:rPr>
      </w:pPr>
      <w:r>
        <w:rPr>
          <w:rStyle w:val="FootnoteReference"/>
        </w:rPr>
        <w:footnoteRef/>
      </w:r>
      <w:r>
        <w:t xml:space="preserve"> </w:t>
      </w:r>
      <w:r w:rsidRPr="009973FB">
        <w:t>Information from the suppliers on how and when an adequate supply of the technology would be made available to the country for the technologies selected (i.e., HFO 1233zd(E))</w:t>
      </w:r>
    </w:p>
  </w:footnote>
  <w:footnote w:id="13">
    <w:p w:rsidR="005C026A" w:rsidRPr="00F05384" w:rsidRDefault="005C026A">
      <w:pPr>
        <w:pStyle w:val="FootnoteText"/>
      </w:pPr>
      <w:r>
        <w:rPr>
          <w:rStyle w:val="FootnoteReference"/>
        </w:rPr>
        <w:footnoteRef/>
      </w:r>
      <w:r>
        <w:t xml:space="preserve"> HCFC consumption in these sectors is only one per cent of the HCFC consumption.</w:t>
      </w:r>
    </w:p>
  </w:footnote>
  <w:footnote w:id="14">
    <w:p w:rsidR="005C026A" w:rsidRPr="000361E2" w:rsidRDefault="005C026A" w:rsidP="00771356">
      <w:pPr>
        <w:pStyle w:val="FootnoteText"/>
        <w:rPr>
          <w:lang w:val="en-US"/>
        </w:rPr>
      </w:pPr>
      <w:r>
        <w:rPr>
          <w:rStyle w:val="FootnoteReference"/>
        </w:rPr>
        <w:footnoteRef/>
      </w:r>
      <w:r>
        <w:t xml:space="preserve"> In accordance with decisions </w:t>
      </w:r>
      <w:r w:rsidRPr="0064009A">
        <w:rPr>
          <w:lang w:val="en-CA"/>
        </w:rPr>
        <w:t>decisions 34/18(a) and 41/16</w:t>
      </w:r>
      <w:r>
        <w:rPr>
          <w:lang w:val="en-CA"/>
        </w:rPr>
        <w:t xml:space="preserve">, </w:t>
      </w:r>
      <w:r w:rsidRPr="0064009A">
        <w:rPr>
          <w:lang w:val="en-CA"/>
        </w:rPr>
        <w:t xml:space="preserve">the Secretariat </w:t>
      </w:r>
      <w:r>
        <w:rPr>
          <w:lang w:val="en-CA"/>
        </w:rPr>
        <w:t xml:space="preserve">and implementing agencies </w:t>
      </w:r>
      <w:r w:rsidRPr="0064009A">
        <w:rPr>
          <w:lang w:val="en-CA"/>
        </w:rPr>
        <w:t>cannot submit project proposals which show inconsistencies between project data and the latest reported sectoral consumption data; and implementing agencies need to ensure that they ha</w:t>
      </w:r>
      <w:r>
        <w:rPr>
          <w:lang w:val="en-CA"/>
        </w:rPr>
        <w:t>ve</w:t>
      </w:r>
      <w:r w:rsidRPr="0064009A">
        <w:rPr>
          <w:lang w:val="en-CA"/>
        </w:rPr>
        <w:t xml:space="preserve"> verified with the NOU the consistency of Article 7 data, CP implementation data</w:t>
      </w:r>
      <w:r>
        <w:rPr>
          <w:lang w:val="en-CA"/>
        </w:rPr>
        <w:t>,</w:t>
      </w:r>
      <w:r w:rsidRPr="0064009A">
        <w:rPr>
          <w:lang w:val="en-CA"/>
        </w:rPr>
        <w:t xml:space="preserve"> and project phase-out data prior to transmitting projects</w:t>
      </w:r>
      <w:r>
        <w:rPr>
          <w:lang w:val="en-CA"/>
        </w:rPr>
        <w:t xml:space="preserve"> to the Secretariat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A" w:rsidRDefault="005C026A" w:rsidP="009C11E5">
    <w:pPr>
      <w:tabs>
        <w:tab w:val="left" w:pos="3024"/>
      </w:tabs>
    </w:pPr>
    <w:fldSimple w:instr=" DOCPROPERTY &quot;Document number&quot;  \* MERGEFORMAT ">
      <w:r w:rsidR="00600F70">
        <w:t>UNEP/OzL.Pro/ExCom/79/27</w:t>
      </w:r>
    </w:fldSimple>
  </w:p>
  <w:p w:rsidR="009C11E5" w:rsidRPr="0033525D" w:rsidRDefault="009C11E5" w:rsidP="009C11E5">
    <w:pPr>
      <w:tabs>
        <w:tab w:val="left" w:pos="3024"/>
      </w:tabs>
    </w:pPr>
  </w:p>
  <w:p w:rsidR="009C11E5" w:rsidRDefault="009C11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A" w:rsidRPr="0033525D" w:rsidRDefault="005C026A">
    <w:pPr>
      <w:jc w:val="right"/>
    </w:pPr>
    <w:fldSimple w:instr=" DOCPROPERTY &quot;Document number&quot;  \* MERGEFORMAT ">
      <w:r w:rsidR="00600F70">
        <w:t>UNEP/OzL.Pro/ExCom/79/27</w:t>
      </w:r>
    </w:fldSimple>
  </w:p>
  <w:p w:rsidR="005C026A" w:rsidRPr="0033525D" w:rsidRDefault="005C026A" w:rsidP="009C11E5">
    <w:pPr>
      <w:jc w:val="right"/>
    </w:pPr>
  </w:p>
  <w:p w:rsidR="005C026A" w:rsidRPr="0033525D" w:rsidRDefault="005C026A" w:rsidP="009C11E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54" w:rsidRDefault="00F14454" w:rsidP="009C11E5">
    <w:pPr>
      <w:tabs>
        <w:tab w:val="left" w:pos="3024"/>
      </w:tabs>
    </w:pPr>
    <w:fldSimple w:instr=" DOCPROPERTY &quot;Document number&quot;  \* MERGEFORMAT ">
      <w:r w:rsidR="00600F70">
        <w:t>UNEP/OzL.Pro/ExCom/79/27</w:t>
      </w:r>
    </w:fldSimple>
  </w:p>
  <w:p w:rsidR="00F14454" w:rsidRPr="0033525D" w:rsidRDefault="00F14454" w:rsidP="009C11E5">
    <w:pPr>
      <w:tabs>
        <w:tab w:val="left" w:pos="3024"/>
      </w:tabs>
    </w:pPr>
    <w:r>
      <w:t>Annex I</w:t>
    </w:r>
  </w:p>
  <w:p w:rsidR="00F14454" w:rsidRDefault="00F144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54" w:rsidRPr="0033525D" w:rsidRDefault="00F14454">
    <w:pPr>
      <w:jc w:val="right"/>
    </w:pPr>
    <w:fldSimple w:instr=" DOCPROPERTY &quot;Document number&quot;  \* MERGEFORMAT ">
      <w:r w:rsidR="00600F70">
        <w:t>UNEP/OzL.Pro/ExCom/79/27</w:t>
      </w:r>
    </w:fldSimple>
  </w:p>
  <w:p w:rsidR="00F14454" w:rsidRPr="0033525D" w:rsidRDefault="00F14454" w:rsidP="009C11E5">
    <w:pPr>
      <w:jc w:val="right"/>
    </w:pPr>
    <w:r>
      <w:t>Annex I</w:t>
    </w:r>
  </w:p>
  <w:p w:rsidR="00F14454" w:rsidRPr="0033525D" w:rsidRDefault="00F14454" w:rsidP="009C11E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A" w:rsidRDefault="005C026A" w:rsidP="003C28D3">
    <w:pPr>
      <w:jc w:val="right"/>
    </w:pPr>
    <w:fldSimple w:instr=" DOCPROPERTY &quot;Document number&quot;  \* MERGEFORMAT ">
      <w:r w:rsidR="00600F70">
        <w:t>UNEP/OzL.Pro/ExCom/79/27</w:t>
      </w:r>
    </w:fldSimple>
  </w:p>
  <w:p w:rsidR="005C026A" w:rsidRPr="0033525D" w:rsidRDefault="009C11E5" w:rsidP="003C28D3">
    <w:pPr>
      <w:jc w:val="right"/>
    </w:pPr>
    <w:r>
      <w:t>Annex I</w:t>
    </w:r>
  </w:p>
  <w:p w:rsidR="005C026A" w:rsidRDefault="005C026A" w:rsidP="003C28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B626856"/>
    <w:lvl w:ilvl="0">
      <w:start w:val="1"/>
      <w:numFmt w:val="decimal"/>
      <w:pStyle w:val="Heading1"/>
      <w:lvlText w:val="%1."/>
      <w:lvlJc w:val="left"/>
      <w:pPr>
        <w:tabs>
          <w:tab w:val="num" w:pos="0"/>
        </w:tabs>
        <w:ind w:left="0" w:firstLine="0"/>
      </w:pPr>
      <w:rPr>
        <w:rFonts w:hint="default"/>
        <w:b w:val="0"/>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09953EEA"/>
    <w:multiLevelType w:val="hybridMultilevel"/>
    <w:tmpl w:val="85B62F58"/>
    <w:lvl w:ilvl="0" w:tplc="BAF00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nsid w:val="0E8824AE"/>
    <w:multiLevelType w:val="singleLevel"/>
    <w:tmpl w:val="04090001"/>
    <w:lvl w:ilvl="0">
      <w:start w:val="1"/>
      <w:numFmt w:val="bullet"/>
      <w:lvlText w:val=""/>
      <w:lvlJc w:val="left"/>
      <w:pPr>
        <w:ind w:left="720" w:hanging="360"/>
      </w:pPr>
      <w:rPr>
        <w:rFonts w:ascii="Symbol" w:hAnsi="Symbol" w:hint="default"/>
      </w:rPr>
    </w:lvl>
  </w:abstractNum>
  <w:abstractNum w:abstractNumId="14">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nsid w:val="38DC7E86"/>
    <w:multiLevelType w:val="multilevel"/>
    <w:tmpl w:val="1E0C1374"/>
    <w:lvl w:ilvl="0">
      <w:start w:val="28"/>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45C71425"/>
    <w:multiLevelType w:val="hybridMultilevel"/>
    <w:tmpl w:val="E98C3F16"/>
    <w:lvl w:ilvl="0" w:tplc="FFFFFFFF">
      <w:start w:val="1"/>
      <w:numFmt w:val="lowerRoman"/>
      <w:lvlText w:val="%1."/>
      <w:lvlJc w:val="left"/>
      <w:pPr>
        <w:ind w:left="862" w:hanging="360"/>
      </w:pPr>
      <w:rPr>
        <w:rFonts w:hint="default"/>
      </w:r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70532FF"/>
    <w:multiLevelType w:val="hybridMultilevel"/>
    <w:tmpl w:val="E750A4DE"/>
    <w:lvl w:ilvl="0" w:tplc="88B2822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F77B6"/>
    <w:multiLevelType w:val="hybridMultilevel"/>
    <w:tmpl w:val="9850C54C"/>
    <w:lvl w:ilvl="0" w:tplc="88B28226">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2"/>
  </w:num>
  <w:num w:numId="20">
    <w:abstractNumId w:val="15"/>
  </w:num>
  <w:num w:numId="21">
    <w:abstractNumId w:val="13"/>
  </w:num>
  <w:num w:numId="22">
    <w:abstractNumId w:val="20"/>
  </w:num>
  <w:num w:numId="23">
    <w:abstractNumId w:val="21"/>
  </w:num>
  <w:num w:numId="24">
    <w:abstractNumId w:val="12"/>
  </w:num>
  <w:num w:numId="25">
    <w:abstractNumId w:val="17"/>
  </w:num>
  <w:num w:numId="26">
    <w:abstractNumId w:val="10"/>
  </w:num>
  <w:num w:numId="27">
    <w:abstractNumId w:val="10"/>
    <w:lvlOverride w:ilvl="0">
      <w:startOverride w:val="7"/>
    </w:lvlOverride>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0"/>
  </w:num>
  <w:num w:numId="36">
    <w:abstractNumId w:val="11"/>
  </w:num>
  <w:num w:numId="37">
    <w:abstractNumId w:val="10"/>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10"/>
    <w:rsid w:val="00000FED"/>
    <w:rsid w:val="00001B4A"/>
    <w:rsid w:val="0000434E"/>
    <w:rsid w:val="0000468C"/>
    <w:rsid w:val="0000544A"/>
    <w:rsid w:val="00006930"/>
    <w:rsid w:val="00020D73"/>
    <w:rsid w:val="000211A9"/>
    <w:rsid w:val="0002367A"/>
    <w:rsid w:val="00030BAB"/>
    <w:rsid w:val="00031260"/>
    <w:rsid w:val="000361E2"/>
    <w:rsid w:val="0003681A"/>
    <w:rsid w:val="000429E9"/>
    <w:rsid w:val="000439C2"/>
    <w:rsid w:val="00046F2A"/>
    <w:rsid w:val="000504E7"/>
    <w:rsid w:val="000513F0"/>
    <w:rsid w:val="00051614"/>
    <w:rsid w:val="000526E7"/>
    <w:rsid w:val="000530E1"/>
    <w:rsid w:val="00053749"/>
    <w:rsid w:val="00057451"/>
    <w:rsid w:val="00060F5C"/>
    <w:rsid w:val="00061EC2"/>
    <w:rsid w:val="00067215"/>
    <w:rsid w:val="000709D2"/>
    <w:rsid w:val="00071259"/>
    <w:rsid w:val="000725CB"/>
    <w:rsid w:val="00073AFB"/>
    <w:rsid w:val="00077802"/>
    <w:rsid w:val="00080702"/>
    <w:rsid w:val="00080ED0"/>
    <w:rsid w:val="00083CD6"/>
    <w:rsid w:val="00085B8F"/>
    <w:rsid w:val="000861B5"/>
    <w:rsid w:val="00086AE0"/>
    <w:rsid w:val="0008710F"/>
    <w:rsid w:val="000900BE"/>
    <w:rsid w:val="000902E2"/>
    <w:rsid w:val="00090481"/>
    <w:rsid w:val="000943D6"/>
    <w:rsid w:val="000A09A6"/>
    <w:rsid w:val="000A411A"/>
    <w:rsid w:val="000A44F0"/>
    <w:rsid w:val="000A4F5E"/>
    <w:rsid w:val="000A6C26"/>
    <w:rsid w:val="000A7FD9"/>
    <w:rsid w:val="000B1A0A"/>
    <w:rsid w:val="000B2541"/>
    <w:rsid w:val="000B3766"/>
    <w:rsid w:val="000B5FA4"/>
    <w:rsid w:val="000C7E98"/>
    <w:rsid w:val="000D05F6"/>
    <w:rsid w:val="000D71D7"/>
    <w:rsid w:val="000E07BC"/>
    <w:rsid w:val="000E3F04"/>
    <w:rsid w:val="000E5E0E"/>
    <w:rsid w:val="000F1CD4"/>
    <w:rsid w:val="000F2A8B"/>
    <w:rsid w:val="000F4103"/>
    <w:rsid w:val="000F70A7"/>
    <w:rsid w:val="00100FA4"/>
    <w:rsid w:val="00101DE4"/>
    <w:rsid w:val="0010286B"/>
    <w:rsid w:val="00104263"/>
    <w:rsid w:val="00107C4D"/>
    <w:rsid w:val="00114B00"/>
    <w:rsid w:val="00115AC3"/>
    <w:rsid w:val="00131227"/>
    <w:rsid w:val="00135980"/>
    <w:rsid w:val="00136540"/>
    <w:rsid w:val="00136708"/>
    <w:rsid w:val="0014113B"/>
    <w:rsid w:val="0014253B"/>
    <w:rsid w:val="00142896"/>
    <w:rsid w:val="0014469B"/>
    <w:rsid w:val="00146FC8"/>
    <w:rsid w:val="00154492"/>
    <w:rsid w:val="00155166"/>
    <w:rsid w:val="001635CB"/>
    <w:rsid w:val="00164719"/>
    <w:rsid w:val="00166FC4"/>
    <w:rsid w:val="001677AC"/>
    <w:rsid w:val="001718D9"/>
    <w:rsid w:val="0017198D"/>
    <w:rsid w:val="00175A3E"/>
    <w:rsid w:val="001804EA"/>
    <w:rsid w:val="00190A61"/>
    <w:rsid w:val="001A3342"/>
    <w:rsid w:val="001A3E3D"/>
    <w:rsid w:val="001A4216"/>
    <w:rsid w:val="001A4AA0"/>
    <w:rsid w:val="001A565A"/>
    <w:rsid w:val="001A5CA7"/>
    <w:rsid w:val="001A7049"/>
    <w:rsid w:val="001B1E40"/>
    <w:rsid w:val="001C002D"/>
    <w:rsid w:val="001C3E23"/>
    <w:rsid w:val="001C764E"/>
    <w:rsid w:val="001D1FBD"/>
    <w:rsid w:val="001D6929"/>
    <w:rsid w:val="001E1052"/>
    <w:rsid w:val="001E21B1"/>
    <w:rsid w:val="001E2F93"/>
    <w:rsid w:val="001E4B69"/>
    <w:rsid w:val="001E61E5"/>
    <w:rsid w:val="001E7A19"/>
    <w:rsid w:val="001F1577"/>
    <w:rsid w:val="001F2159"/>
    <w:rsid w:val="00211A60"/>
    <w:rsid w:val="00212A1A"/>
    <w:rsid w:val="00214863"/>
    <w:rsid w:val="002156B4"/>
    <w:rsid w:val="00217634"/>
    <w:rsid w:val="00217CCC"/>
    <w:rsid w:val="00224890"/>
    <w:rsid w:val="00224C50"/>
    <w:rsid w:val="00224EC6"/>
    <w:rsid w:val="00232D55"/>
    <w:rsid w:val="00241BDC"/>
    <w:rsid w:val="002472EB"/>
    <w:rsid w:val="00247532"/>
    <w:rsid w:val="00247B62"/>
    <w:rsid w:val="00253222"/>
    <w:rsid w:val="00254458"/>
    <w:rsid w:val="00260AD8"/>
    <w:rsid w:val="00262847"/>
    <w:rsid w:val="0026338D"/>
    <w:rsid w:val="0026429B"/>
    <w:rsid w:val="00273820"/>
    <w:rsid w:val="00273837"/>
    <w:rsid w:val="00277BEA"/>
    <w:rsid w:val="00281BB2"/>
    <w:rsid w:val="00285AE9"/>
    <w:rsid w:val="002926A4"/>
    <w:rsid w:val="00292A09"/>
    <w:rsid w:val="002933AE"/>
    <w:rsid w:val="002A2C4F"/>
    <w:rsid w:val="002B72E9"/>
    <w:rsid w:val="002B75BD"/>
    <w:rsid w:val="002C22D6"/>
    <w:rsid w:val="002C7998"/>
    <w:rsid w:val="002C7A72"/>
    <w:rsid w:val="002C7C8E"/>
    <w:rsid w:val="002D0EF2"/>
    <w:rsid w:val="002D159D"/>
    <w:rsid w:val="002F1E53"/>
    <w:rsid w:val="002F2CAA"/>
    <w:rsid w:val="002F4AF5"/>
    <w:rsid w:val="003023CD"/>
    <w:rsid w:val="003038E3"/>
    <w:rsid w:val="00303CBA"/>
    <w:rsid w:val="00317314"/>
    <w:rsid w:val="003213EB"/>
    <w:rsid w:val="00324FEE"/>
    <w:rsid w:val="00327A9E"/>
    <w:rsid w:val="003306E1"/>
    <w:rsid w:val="00331540"/>
    <w:rsid w:val="003320E4"/>
    <w:rsid w:val="0033525D"/>
    <w:rsid w:val="003414F3"/>
    <w:rsid w:val="00344BB1"/>
    <w:rsid w:val="0035613E"/>
    <w:rsid w:val="00363EE9"/>
    <w:rsid w:val="00370712"/>
    <w:rsid w:val="0037179A"/>
    <w:rsid w:val="00373160"/>
    <w:rsid w:val="00373327"/>
    <w:rsid w:val="003747F5"/>
    <w:rsid w:val="00376128"/>
    <w:rsid w:val="0037742E"/>
    <w:rsid w:val="00380466"/>
    <w:rsid w:val="0038245A"/>
    <w:rsid w:val="00382A87"/>
    <w:rsid w:val="00384AA0"/>
    <w:rsid w:val="00384D41"/>
    <w:rsid w:val="00386569"/>
    <w:rsid w:val="0039337A"/>
    <w:rsid w:val="00394E3D"/>
    <w:rsid w:val="00395874"/>
    <w:rsid w:val="003A14E9"/>
    <w:rsid w:val="003A3189"/>
    <w:rsid w:val="003A6F7C"/>
    <w:rsid w:val="003B4065"/>
    <w:rsid w:val="003B569D"/>
    <w:rsid w:val="003C28D3"/>
    <w:rsid w:val="003C3C0E"/>
    <w:rsid w:val="003C6172"/>
    <w:rsid w:val="003D2B4A"/>
    <w:rsid w:val="003D4FAC"/>
    <w:rsid w:val="003D7A5D"/>
    <w:rsid w:val="003D7B32"/>
    <w:rsid w:val="003E2028"/>
    <w:rsid w:val="003E7906"/>
    <w:rsid w:val="003F2890"/>
    <w:rsid w:val="003F3C50"/>
    <w:rsid w:val="003F43F4"/>
    <w:rsid w:val="00406A6A"/>
    <w:rsid w:val="00406B22"/>
    <w:rsid w:val="00407F12"/>
    <w:rsid w:val="004153DE"/>
    <w:rsid w:val="00430979"/>
    <w:rsid w:val="00430D7C"/>
    <w:rsid w:val="004328A7"/>
    <w:rsid w:val="00434C74"/>
    <w:rsid w:val="00447F19"/>
    <w:rsid w:val="004502DA"/>
    <w:rsid w:val="00450724"/>
    <w:rsid w:val="00452BCC"/>
    <w:rsid w:val="00456EB4"/>
    <w:rsid w:val="00470348"/>
    <w:rsid w:val="004718F3"/>
    <w:rsid w:val="00471D90"/>
    <w:rsid w:val="004748F3"/>
    <w:rsid w:val="00475040"/>
    <w:rsid w:val="00476969"/>
    <w:rsid w:val="00477D61"/>
    <w:rsid w:val="00480353"/>
    <w:rsid w:val="00480A8B"/>
    <w:rsid w:val="004810D9"/>
    <w:rsid w:val="00482AA6"/>
    <w:rsid w:val="004836D4"/>
    <w:rsid w:val="00485381"/>
    <w:rsid w:val="00486E25"/>
    <w:rsid w:val="00493D40"/>
    <w:rsid w:val="00495F64"/>
    <w:rsid w:val="004967B6"/>
    <w:rsid w:val="00497C62"/>
    <w:rsid w:val="004A05DB"/>
    <w:rsid w:val="004A35E5"/>
    <w:rsid w:val="004A504B"/>
    <w:rsid w:val="004A5688"/>
    <w:rsid w:val="004A6911"/>
    <w:rsid w:val="004A74A8"/>
    <w:rsid w:val="004A7D84"/>
    <w:rsid w:val="004B2701"/>
    <w:rsid w:val="004B54E0"/>
    <w:rsid w:val="004B70BF"/>
    <w:rsid w:val="004B7384"/>
    <w:rsid w:val="004C3B55"/>
    <w:rsid w:val="004C4269"/>
    <w:rsid w:val="004D384A"/>
    <w:rsid w:val="004D6236"/>
    <w:rsid w:val="004E0895"/>
    <w:rsid w:val="004E1E03"/>
    <w:rsid w:val="004E4DBB"/>
    <w:rsid w:val="004E4E41"/>
    <w:rsid w:val="004E60DC"/>
    <w:rsid w:val="004E61AE"/>
    <w:rsid w:val="004E7F9C"/>
    <w:rsid w:val="004F3493"/>
    <w:rsid w:val="004F5143"/>
    <w:rsid w:val="004F54D6"/>
    <w:rsid w:val="00507C03"/>
    <w:rsid w:val="00511877"/>
    <w:rsid w:val="00511C12"/>
    <w:rsid w:val="005120B5"/>
    <w:rsid w:val="00512B09"/>
    <w:rsid w:val="00521E51"/>
    <w:rsid w:val="00522551"/>
    <w:rsid w:val="00525261"/>
    <w:rsid w:val="00530237"/>
    <w:rsid w:val="00531382"/>
    <w:rsid w:val="0053541F"/>
    <w:rsid w:val="00540120"/>
    <w:rsid w:val="00545266"/>
    <w:rsid w:val="00545A0A"/>
    <w:rsid w:val="00554B95"/>
    <w:rsid w:val="00555D75"/>
    <w:rsid w:val="00557D80"/>
    <w:rsid w:val="00560DF0"/>
    <w:rsid w:val="0056190A"/>
    <w:rsid w:val="00565F1A"/>
    <w:rsid w:val="0056759C"/>
    <w:rsid w:val="00577666"/>
    <w:rsid w:val="005779E8"/>
    <w:rsid w:val="0058073B"/>
    <w:rsid w:val="00580805"/>
    <w:rsid w:val="005808C1"/>
    <w:rsid w:val="005817BC"/>
    <w:rsid w:val="00585F6D"/>
    <w:rsid w:val="00586AB6"/>
    <w:rsid w:val="00590D58"/>
    <w:rsid w:val="005917F7"/>
    <w:rsid w:val="00591874"/>
    <w:rsid w:val="005922BB"/>
    <w:rsid w:val="00592E73"/>
    <w:rsid w:val="0059342A"/>
    <w:rsid w:val="0059513E"/>
    <w:rsid w:val="005A0DF9"/>
    <w:rsid w:val="005A0E9E"/>
    <w:rsid w:val="005B1076"/>
    <w:rsid w:val="005B207C"/>
    <w:rsid w:val="005B22A7"/>
    <w:rsid w:val="005B231A"/>
    <w:rsid w:val="005B48FF"/>
    <w:rsid w:val="005C026A"/>
    <w:rsid w:val="005C6BC3"/>
    <w:rsid w:val="005D3686"/>
    <w:rsid w:val="005E2085"/>
    <w:rsid w:val="005E2392"/>
    <w:rsid w:val="005F1957"/>
    <w:rsid w:val="005F29D4"/>
    <w:rsid w:val="005F5DF6"/>
    <w:rsid w:val="005F6881"/>
    <w:rsid w:val="00600F70"/>
    <w:rsid w:val="006010DD"/>
    <w:rsid w:val="00604C15"/>
    <w:rsid w:val="00607AC6"/>
    <w:rsid w:val="00614DAF"/>
    <w:rsid w:val="006158D5"/>
    <w:rsid w:val="006163D6"/>
    <w:rsid w:val="0062229F"/>
    <w:rsid w:val="006224E3"/>
    <w:rsid w:val="00622A98"/>
    <w:rsid w:val="00625D83"/>
    <w:rsid w:val="00626C0A"/>
    <w:rsid w:val="006278F8"/>
    <w:rsid w:val="006278FD"/>
    <w:rsid w:val="0063720D"/>
    <w:rsid w:val="0064009A"/>
    <w:rsid w:val="0064074C"/>
    <w:rsid w:val="00646A8E"/>
    <w:rsid w:val="00647ABE"/>
    <w:rsid w:val="00650234"/>
    <w:rsid w:val="00655EF4"/>
    <w:rsid w:val="0065773A"/>
    <w:rsid w:val="006623E7"/>
    <w:rsid w:val="00662B80"/>
    <w:rsid w:val="006631D1"/>
    <w:rsid w:val="0066325D"/>
    <w:rsid w:val="00667880"/>
    <w:rsid w:val="00667FE6"/>
    <w:rsid w:val="00670B7D"/>
    <w:rsid w:val="006730C0"/>
    <w:rsid w:val="00673FC0"/>
    <w:rsid w:val="00682215"/>
    <w:rsid w:val="00685004"/>
    <w:rsid w:val="006852C7"/>
    <w:rsid w:val="00692004"/>
    <w:rsid w:val="00697C3B"/>
    <w:rsid w:val="006A74CF"/>
    <w:rsid w:val="006B6488"/>
    <w:rsid w:val="006B6E88"/>
    <w:rsid w:val="006C0CCE"/>
    <w:rsid w:val="006C1727"/>
    <w:rsid w:val="006C2706"/>
    <w:rsid w:val="006C32FD"/>
    <w:rsid w:val="006C39CE"/>
    <w:rsid w:val="006D0FCC"/>
    <w:rsid w:val="006D46C5"/>
    <w:rsid w:val="006D7045"/>
    <w:rsid w:val="006E11CD"/>
    <w:rsid w:val="006E1FC3"/>
    <w:rsid w:val="006E3017"/>
    <w:rsid w:val="006E444A"/>
    <w:rsid w:val="006E4792"/>
    <w:rsid w:val="006F56FF"/>
    <w:rsid w:val="0070616B"/>
    <w:rsid w:val="00706FDA"/>
    <w:rsid w:val="00707F9F"/>
    <w:rsid w:val="007104B0"/>
    <w:rsid w:val="00710D9E"/>
    <w:rsid w:val="00711F9A"/>
    <w:rsid w:val="00713810"/>
    <w:rsid w:val="00720653"/>
    <w:rsid w:val="00724648"/>
    <w:rsid w:val="007303A5"/>
    <w:rsid w:val="00730B3E"/>
    <w:rsid w:val="007313C4"/>
    <w:rsid w:val="00733034"/>
    <w:rsid w:val="0073420B"/>
    <w:rsid w:val="00740FA0"/>
    <w:rsid w:val="00742885"/>
    <w:rsid w:val="007464D5"/>
    <w:rsid w:val="00746FA9"/>
    <w:rsid w:val="0074747F"/>
    <w:rsid w:val="0074760E"/>
    <w:rsid w:val="00754ABA"/>
    <w:rsid w:val="0075667E"/>
    <w:rsid w:val="00757E9E"/>
    <w:rsid w:val="007645F8"/>
    <w:rsid w:val="00765E95"/>
    <w:rsid w:val="00771356"/>
    <w:rsid w:val="00771E62"/>
    <w:rsid w:val="0077417A"/>
    <w:rsid w:val="00774F2D"/>
    <w:rsid w:val="00777028"/>
    <w:rsid w:val="007805F2"/>
    <w:rsid w:val="00786DFB"/>
    <w:rsid w:val="00792556"/>
    <w:rsid w:val="007944F8"/>
    <w:rsid w:val="0079473E"/>
    <w:rsid w:val="00794A7B"/>
    <w:rsid w:val="007A0E4C"/>
    <w:rsid w:val="007A1546"/>
    <w:rsid w:val="007A1D2B"/>
    <w:rsid w:val="007A228C"/>
    <w:rsid w:val="007A23F5"/>
    <w:rsid w:val="007A27BF"/>
    <w:rsid w:val="007A368E"/>
    <w:rsid w:val="007A4A84"/>
    <w:rsid w:val="007A5868"/>
    <w:rsid w:val="007A7F45"/>
    <w:rsid w:val="007B04CE"/>
    <w:rsid w:val="007B264E"/>
    <w:rsid w:val="007B6871"/>
    <w:rsid w:val="007B7A2F"/>
    <w:rsid w:val="007C05FF"/>
    <w:rsid w:val="007C1195"/>
    <w:rsid w:val="007C1BF9"/>
    <w:rsid w:val="007C1F6C"/>
    <w:rsid w:val="007C20F5"/>
    <w:rsid w:val="007C3D33"/>
    <w:rsid w:val="007C4BEB"/>
    <w:rsid w:val="007C6701"/>
    <w:rsid w:val="007C7D25"/>
    <w:rsid w:val="007D1622"/>
    <w:rsid w:val="007D294A"/>
    <w:rsid w:val="007D3995"/>
    <w:rsid w:val="007D47D2"/>
    <w:rsid w:val="007D4C14"/>
    <w:rsid w:val="007D6EC0"/>
    <w:rsid w:val="007D7E1D"/>
    <w:rsid w:val="007E36F3"/>
    <w:rsid w:val="007F04F0"/>
    <w:rsid w:val="007F08EF"/>
    <w:rsid w:val="007F1EA1"/>
    <w:rsid w:val="007F36F8"/>
    <w:rsid w:val="007F5A07"/>
    <w:rsid w:val="007F7B82"/>
    <w:rsid w:val="0080238C"/>
    <w:rsid w:val="0081394E"/>
    <w:rsid w:val="00820EC0"/>
    <w:rsid w:val="008222C6"/>
    <w:rsid w:val="00822B04"/>
    <w:rsid w:val="0082333D"/>
    <w:rsid w:val="00831979"/>
    <w:rsid w:val="00832B45"/>
    <w:rsid w:val="008402ED"/>
    <w:rsid w:val="008478DE"/>
    <w:rsid w:val="00847A7C"/>
    <w:rsid w:val="00851352"/>
    <w:rsid w:val="00852C8C"/>
    <w:rsid w:val="00855366"/>
    <w:rsid w:val="00856835"/>
    <w:rsid w:val="008613DC"/>
    <w:rsid w:val="00863230"/>
    <w:rsid w:val="008701F8"/>
    <w:rsid w:val="008717D8"/>
    <w:rsid w:val="0087215C"/>
    <w:rsid w:val="008725CA"/>
    <w:rsid w:val="00873C07"/>
    <w:rsid w:val="00873E0B"/>
    <w:rsid w:val="00877549"/>
    <w:rsid w:val="00880077"/>
    <w:rsid w:val="008800FC"/>
    <w:rsid w:val="00885322"/>
    <w:rsid w:val="0088591D"/>
    <w:rsid w:val="00885B20"/>
    <w:rsid w:val="00885E12"/>
    <w:rsid w:val="008875FE"/>
    <w:rsid w:val="00887F8E"/>
    <w:rsid w:val="00894500"/>
    <w:rsid w:val="00894D87"/>
    <w:rsid w:val="00895028"/>
    <w:rsid w:val="00896234"/>
    <w:rsid w:val="00897E43"/>
    <w:rsid w:val="008A350C"/>
    <w:rsid w:val="008B258B"/>
    <w:rsid w:val="008B50D6"/>
    <w:rsid w:val="008B7A3C"/>
    <w:rsid w:val="008C177C"/>
    <w:rsid w:val="008C401F"/>
    <w:rsid w:val="008C5738"/>
    <w:rsid w:val="008C57EE"/>
    <w:rsid w:val="008C7EAD"/>
    <w:rsid w:val="008D0CFE"/>
    <w:rsid w:val="008D1137"/>
    <w:rsid w:val="008D378D"/>
    <w:rsid w:val="008D5781"/>
    <w:rsid w:val="008D6152"/>
    <w:rsid w:val="008D6CE7"/>
    <w:rsid w:val="008E3172"/>
    <w:rsid w:val="008E4557"/>
    <w:rsid w:val="008E5059"/>
    <w:rsid w:val="008E63A5"/>
    <w:rsid w:val="008F0F81"/>
    <w:rsid w:val="008F27BF"/>
    <w:rsid w:val="008F48A8"/>
    <w:rsid w:val="008F6838"/>
    <w:rsid w:val="009012F4"/>
    <w:rsid w:val="00901DD4"/>
    <w:rsid w:val="00911486"/>
    <w:rsid w:val="00917CB5"/>
    <w:rsid w:val="00921A36"/>
    <w:rsid w:val="009230FE"/>
    <w:rsid w:val="00923540"/>
    <w:rsid w:val="00926767"/>
    <w:rsid w:val="00931812"/>
    <w:rsid w:val="00932084"/>
    <w:rsid w:val="009361D5"/>
    <w:rsid w:val="00937B78"/>
    <w:rsid w:val="00940B1D"/>
    <w:rsid w:val="00941710"/>
    <w:rsid w:val="009428A4"/>
    <w:rsid w:val="00944A90"/>
    <w:rsid w:val="0094510E"/>
    <w:rsid w:val="00945DA3"/>
    <w:rsid w:val="00952011"/>
    <w:rsid w:val="0096115B"/>
    <w:rsid w:val="009641C7"/>
    <w:rsid w:val="009659F4"/>
    <w:rsid w:val="00966BAB"/>
    <w:rsid w:val="0097043C"/>
    <w:rsid w:val="00970D60"/>
    <w:rsid w:val="009727D8"/>
    <w:rsid w:val="00977F7A"/>
    <w:rsid w:val="009908B7"/>
    <w:rsid w:val="00995BC9"/>
    <w:rsid w:val="009960E5"/>
    <w:rsid w:val="009965A8"/>
    <w:rsid w:val="00996764"/>
    <w:rsid w:val="00996FD4"/>
    <w:rsid w:val="009973FB"/>
    <w:rsid w:val="00997562"/>
    <w:rsid w:val="009A022C"/>
    <w:rsid w:val="009A1037"/>
    <w:rsid w:val="009A3BBD"/>
    <w:rsid w:val="009A5409"/>
    <w:rsid w:val="009A6248"/>
    <w:rsid w:val="009A7ADC"/>
    <w:rsid w:val="009B2183"/>
    <w:rsid w:val="009B2B92"/>
    <w:rsid w:val="009B61A3"/>
    <w:rsid w:val="009B7C34"/>
    <w:rsid w:val="009C11E5"/>
    <w:rsid w:val="009C19B7"/>
    <w:rsid w:val="009C5164"/>
    <w:rsid w:val="009C73E7"/>
    <w:rsid w:val="009D06BE"/>
    <w:rsid w:val="009D2368"/>
    <w:rsid w:val="009D2E1E"/>
    <w:rsid w:val="009D349A"/>
    <w:rsid w:val="009D7C51"/>
    <w:rsid w:val="009E0498"/>
    <w:rsid w:val="009E267C"/>
    <w:rsid w:val="009E4053"/>
    <w:rsid w:val="009F04B9"/>
    <w:rsid w:val="009F36BF"/>
    <w:rsid w:val="009F3D91"/>
    <w:rsid w:val="00A021AF"/>
    <w:rsid w:val="00A10441"/>
    <w:rsid w:val="00A111B6"/>
    <w:rsid w:val="00A13F71"/>
    <w:rsid w:val="00A13FF4"/>
    <w:rsid w:val="00A16B23"/>
    <w:rsid w:val="00A22928"/>
    <w:rsid w:val="00A239C4"/>
    <w:rsid w:val="00A26D27"/>
    <w:rsid w:val="00A3542A"/>
    <w:rsid w:val="00A35C41"/>
    <w:rsid w:val="00A376EE"/>
    <w:rsid w:val="00A42A99"/>
    <w:rsid w:val="00A42BBC"/>
    <w:rsid w:val="00A45DF5"/>
    <w:rsid w:val="00A479D5"/>
    <w:rsid w:val="00A50568"/>
    <w:rsid w:val="00A5151A"/>
    <w:rsid w:val="00A5722B"/>
    <w:rsid w:val="00A57E0A"/>
    <w:rsid w:val="00A61617"/>
    <w:rsid w:val="00A64E9D"/>
    <w:rsid w:val="00A708E5"/>
    <w:rsid w:val="00A70E08"/>
    <w:rsid w:val="00A75548"/>
    <w:rsid w:val="00A822A8"/>
    <w:rsid w:val="00A823F6"/>
    <w:rsid w:val="00A850DE"/>
    <w:rsid w:val="00A8797E"/>
    <w:rsid w:val="00A91C51"/>
    <w:rsid w:val="00A94C4B"/>
    <w:rsid w:val="00A97BF8"/>
    <w:rsid w:val="00AA0A89"/>
    <w:rsid w:val="00AA1656"/>
    <w:rsid w:val="00AA6429"/>
    <w:rsid w:val="00AB62C6"/>
    <w:rsid w:val="00AB7841"/>
    <w:rsid w:val="00AB7CFE"/>
    <w:rsid w:val="00AC01AA"/>
    <w:rsid w:val="00AC13A7"/>
    <w:rsid w:val="00AC1FA3"/>
    <w:rsid w:val="00AC4F72"/>
    <w:rsid w:val="00AC507D"/>
    <w:rsid w:val="00AC6BFF"/>
    <w:rsid w:val="00AD64A7"/>
    <w:rsid w:val="00AD73EC"/>
    <w:rsid w:val="00AD7FF2"/>
    <w:rsid w:val="00AE398C"/>
    <w:rsid w:val="00AF036C"/>
    <w:rsid w:val="00AF4CEE"/>
    <w:rsid w:val="00AF741A"/>
    <w:rsid w:val="00B01ADB"/>
    <w:rsid w:val="00B04161"/>
    <w:rsid w:val="00B056F9"/>
    <w:rsid w:val="00B11E3D"/>
    <w:rsid w:val="00B17E82"/>
    <w:rsid w:val="00B17EBC"/>
    <w:rsid w:val="00B23C78"/>
    <w:rsid w:val="00B27467"/>
    <w:rsid w:val="00B351F8"/>
    <w:rsid w:val="00B35652"/>
    <w:rsid w:val="00B4575A"/>
    <w:rsid w:val="00B473B4"/>
    <w:rsid w:val="00B47F78"/>
    <w:rsid w:val="00B50422"/>
    <w:rsid w:val="00B575BA"/>
    <w:rsid w:val="00B60430"/>
    <w:rsid w:val="00B67B98"/>
    <w:rsid w:val="00B67BE6"/>
    <w:rsid w:val="00B7044E"/>
    <w:rsid w:val="00B741E4"/>
    <w:rsid w:val="00B76429"/>
    <w:rsid w:val="00B81199"/>
    <w:rsid w:val="00B83C0F"/>
    <w:rsid w:val="00B91BBC"/>
    <w:rsid w:val="00B956D4"/>
    <w:rsid w:val="00B97446"/>
    <w:rsid w:val="00B97797"/>
    <w:rsid w:val="00BA0189"/>
    <w:rsid w:val="00BA0E99"/>
    <w:rsid w:val="00BA15FF"/>
    <w:rsid w:val="00BA51F5"/>
    <w:rsid w:val="00BA742D"/>
    <w:rsid w:val="00BA7432"/>
    <w:rsid w:val="00BA75C0"/>
    <w:rsid w:val="00BB0E1F"/>
    <w:rsid w:val="00BB2763"/>
    <w:rsid w:val="00BB3903"/>
    <w:rsid w:val="00BB6C06"/>
    <w:rsid w:val="00BB79C5"/>
    <w:rsid w:val="00BC1AA0"/>
    <w:rsid w:val="00BC2495"/>
    <w:rsid w:val="00BC7B56"/>
    <w:rsid w:val="00BC7EB9"/>
    <w:rsid w:val="00BD2643"/>
    <w:rsid w:val="00BD2C28"/>
    <w:rsid w:val="00BD56B1"/>
    <w:rsid w:val="00BD6558"/>
    <w:rsid w:val="00BE010D"/>
    <w:rsid w:val="00BF011F"/>
    <w:rsid w:val="00BF3022"/>
    <w:rsid w:val="00BF3214"/>
    <w:rsid w:val="00C007D4"/>
    <w:rsid w:val="00C02868"/>
    <w:rsid w:val="00C12CEE"/>
    <w:rsid w:val="00C15867"/>
    <w:rsid w:val="00C16FA2"/>
    <w:rsid w:val="00C17EDB"/>
    <w:rsid w:val="00C208BF"/>
    <w:rsid w:val="00C2296D"/>
    <w:rsid w:val="00C23155"/>
    <w:rsid w:val="00C243E7"/>
    <w:rsid w:val="00C26FD9"/>
    <w:rsid w:val="00C348C3"/>
    <w:rsid w:val="00C34F67"/>
    <w:rsid w:val="00C365CA"/>
    <w:rsid w:val="00C36837"/>
    <w:rsid w:val="00C37908"/>
    <w:rsid w:val="00C40C41"/>
    <w:rsid w:val="00C41163"/>
    <w:rsid w:val="00C4324E"/>
    <w:rsid w:val="00C45885"/>
    <w:rsid w:val="00C50F22"/>
    <w:rsid w:val="00C51E40"/>
    <w:rsid w:val="00C52A48"/>
    <w:rsid w:val="00C5367D"/>
    <w:rsid w:val="00C57971"/>
    <w:rsid w:val="00C71748"/>
    <w:rsid w:val="00C76BA4"/>
    <w:rsid w:val="00C81F5D"/>
    <w:rsid w:val="00C8328B"/>
    <w:rsid w:val="00C83A48"/>
    <w:rsid w:val="00C85865"/>
    <w:rsid w:val="00C85E85"/>
    <w:rsid w:val="00C86DD2"/>
    <w:rsid w:val="00C86FE2"/>
    <w:rsid w:val="00C87EE9"/>
    <w:rsid w:val="00C90903"/>
    <w:rsid w:val="00C91DF4"/>
    <w:rsid w:val="00C92FC4"/>
    <w:rsid w:val="00C97329"/>
    <w:rsid w:val="00CA2EAE"/>
    <w:rsid w:val="00CA3746"/>
    <w:rsid w:val="00CA4AC1"/>
    <w:rsid w:val="00CB0316"/>
    <w:rsid w:val="00CB0B11"/>
    <w:rsid w:val="00CB1FBC"/>
    <w:rsid w:val="00CB4269"/>
    <w:rsid w:val="00CB5354"/>
    <w:rsid w:val="00CB6BD5"/>
    <w:rsid w:val="00CB7DD4"/>
    <w:rsid w:val="00CC4727"/>
    <w:rsid w:val="00CC6A14"/>
    <w:rsid w:val="00CC6D13"/>
    <w:rsid w:val="00CC70A3"/>
    <w:rsid w:val="00CD4442"/>
    <w:rsid w:val="00CD53C3"/>
    <w:rsid w:val="00CD544B"/>
    <w:rsid w:val="00CD574E"/>
    <w:rsid w:val="00CD589D"/>
    <w:rsid w:val="00CD6754"/>
    <w:rsid w:val="00CE0389"/>
    <w:rsid w:val="00CE0CBE"/>
    <w:rsid w:val="00CE2C85"/>
    <w:rsid w:val="00CE2EF8"/>
    <w:rsid w:val="00CE3174"/>
    <w:rsid w:val="00CE4C22"/>
    <w:rsid w:val="00CF090D"/>
    <w:rsid w:val="00CF41EC"/>
    <w:rsid w:val="00CF5D04"/>
    <w:rsid w:val="00CF70E6"/>
    <w:rsid w:val="00D0122C"/>
    <w:rsid w:val="00D03B78"/>
    <w:rsid w:val="00D04DE4"/>
    <w:rsid w:val="00D056BC"/>
    <w:rsid w:val="00D05FC0"/>
    <w:rsid w:val="00D06025"/>
    <w:rsid w:val="00D063F1"/>
    <w:rsid w:val="00D064E2"/>
    <w:rsid w:val="00D14F22"/>
    <w:rsid w:val="00D17870"/>
    <w:rsid w:val="00D202E3"/>
    <w:rsid w:val="00D25127"/>
    <w:rsid w:val="00D33BA0"/>
    <w:rsid w:val="00D35035"/>
    <w:rsid w:val="00D3647E"/>
    <w:rsid w:val="00D54752"/>
    <w:rsid w:val="00D55988"/>
    <w:rsid w:val="00D56276"/>
    <w:rsid w:val="00D57918"/>
    <w:rsid w:val="00D579B3"/>
    <w:rsid w:val="00D735C8"/>
    <w:rsid w:val="00D7370E"/>
    <w:rsid w:val="00D73DC6"/>
    <w:rsid w:val="00D74C1A"/>
    <w:rsid w:val="00D754C1"/>
    <w:rsid w:val="00D77600"/>
    <w:rsid w:val="00D77A35"/>
    <w:rsid w:val="00D80D73"/>
    <w:rsid w:val="00D81B3E"/>
    <w:rsid w:val="00D83ACE"/>
    <w:rsid w:val="00D9009C"/>
    <w:rsid w:val="00D90275"/>
    <w:rsid w:val="00D90C70"/>
    <w:rsid w:val="00D90E49"/>
    <w:rsid w:val="00D90F3E"/>
    <w:rsid w:val="00D96746"/>
    <w:rsid w:val="00D967D8"/>
    <w:rsid w:val="00D979B6"/>
    <w:rsid w:val="00DB017D"/>
    <w:rsid w:val="00DB0C91"/>
    <w:rsid w:val="00DB6BA3"/>
    <w:rsid w:val="00DC1192"/>
    <w:rsid w:val="00DC1CDA"/>
    <w:rsid w:val="00DC1D8F"/>
    <w:rsid w:val="00DC5582"/>
    <w:rsid w:val="00DC6A10"/>
    <w:rsid w:val="00DD00E5"/>
    <w:rsid w:val="00DD4668"/>
    <w:rsid w:val="00DD4C99"/>
    <w:rsid w:val="00DD6DE1"/>
    <w:rsid w:val="00DD7038"/>
    <w:rsid w:val="00DE1044"/>
    <w:rsid w:val="00DE365D"/>
    <w:rsid w:val="00DE657E"/>
    <w:rsid w:val="00DF2BFC"/>
    <w:rsid w:val="00DF4704"/>
    <w:rsid w:val="00DF7EC1"/>
    <w:rsid w:val="00E024AA"/>
    <w:rsid w:val="00E02CBE"/>
    <w:rsid w:val="00E15B18"/>
    <w:rsid w:val="00E16762"/>
    <w:rsid w:val="00E17659"/>
    <w:rsid w:val="00E23C86"/>
    <w:rsid w:val="00E250F1"/>
    <w:rsid w:val="00E26199"/>
    <w:rsid w:val="00E27F24"/>
    <w:rsid w:val="00E327DB"/>
    <w:rsid w:val="00E34F20"/>
    <w:rsid w:val="00E3550D"/>
    <w:rsid w:val="00E41D6E"/>
    <w:rsid w:val="00E43FF5"/>
    <w:rsid w:val="00E46BDF"/>
    <w:rsid w:val="00E614E0"/>
    <w:rsid w:val="00E63BAF"/>
    <w:rsid w:val="00E65126"/>
    <w:rsid w:val="00E71992"/>
    <w:rsid w:val="00E72921"/>
    <w:rsid w:val="00E7322C"/>
    <w:rsid w:val="00E73F7F"/>
    <w:rsid w:val="00E77767"/>
    <w:rsid w:val="00E81903"/>
    <w:rsid w:val="00E83711"/>
    <w:rsid w:val="00E843EA"/>
    <w:rsid w:val="00E85409"/>
    <w:rsid w:val="00E86DA8"/>
    <w:rsid w:val="00E878E8"/>
    <w:rsid w:val="00EA0F66"/>
    <w:rsid w:val="00EA429F"/>
    <w:rsid w:val="00EA4F9E"/>
    <w:rsid w:val="00EA50EA"/>
    <w:rsid w:val="00EA63CA"/>
    <w:rsid w:val="00EA6D3B"/>
    <w:rsid w:val="00EA6D8C"/>
    <w:rsid w:val="00EB00AD"/>
    <w:rsid w:val="00EB136C"/>
    <w:rsid w:val="00EB3F62"/>
    <w:rsid w:val="00EB480E"/>
    <w:rsid w:val="00EB56D7"/>
    <w:rsid w:val="00EB5EC6"/>
    <w:rsid w:val="00EB7FC9"/>
    <w:rsid w:val="00EC15B8"/>
    <w:rsid w:val="00EC2826"/>
    <w:rsid w:val="00EC6B5D"/>
    <w:rsid w:val="00ED27E8"/>
    <w:rsid w:val="00ED39FA"/>
    <w:rsid w:val="00ED7137"/>
    <w:rsid w:val="00EE0CC0"/>
    <w:rsid w:val="00EE5836"/>
    <w:rsid w:val="00EE64B5"/>
    <w:rsid w:val="00EE67DE"/>
    <w:rsid w:val="00EE7C3F"/>
    <w:rsid w:val="00EF10AC"/>
    <w:rsid w:val="00F02164"/>
    <w:rsid w:val="00F0403F"/>
    <w:rsid w:val="00F05126"/>
    <w:rsid w:val="00F05384"/>
    <w:rsid w:val="00F070E1"/>
    <w:rsid w:val="00F14454"/>
    <w:rsid w:val="00F20B9F"/>
    <w:rsid w:val="00F21026"/>
    <w:rsid w:val="00F21088"/>
    <w:rsid w:val="00F229C5"/>
    <w:rsid w:val="00F22C9E"/>
    <w:rsid w:val="00F311F3"/>
    <w:rsid w:val="00F327E7"/>
    <w:rsid w:val="00F329A3"/>
    <w:rsid w:val="00F35746"/>
    <w:rsid w:val="00F3592B"/>
    <w:rsid w:val="00F437ED"/>
    <w:rsid w:val="00F43FB4"/>
    <w:rsid w:val="00F447C7"/>
    <w:rsid w:val="00F44952"/>
    <w:rsid w:val="00F44C48"/>
    <w:rsid w:val="00F45942"/>
    <w:rsid w:val="00F46AE0"/>
    <w:rsid w:val="00F46D18"/>
    <w:rsid w:val="00F53B48"/>
    <w:rsid w:val="00F554A9"/>
    <w:rsid w:val="00F565A8"/>
    <w:rsid w:val="00F6008E"/>
    <w:rsid w:val="00F641DF"/>
    <w:rsid w:val="00F65A31"/>
    <w:rsid w:val="00F65CCB"/>
    <w:rsid w:val="00F66C63"/>
    <w:rsid w:val="00F6731A"/>
    <w:rsid w:val="00F716FD"/>
    <w:rsid w:val="00F72EE8"/>
    <w:rsid w:val="00F77490"/>
    <w:rsid w:val="00F77C11"/>
    <w:rsid w:val="00F80355"/>
    <w:rsid w:val="00F818CD"/>
    <w:rsid w:val="00F841CA"/>
    <w:rsid w:val="00F9309B"/>
    <w:rsid w:val="00FA0072"/>
    <w:rsid w:val="00FA628B"/>
    <w:rsid w:val="00FB0C81"/>
    <w:rsid w:val="00FC2200"/>
    <w:rsid w:val="00FC2360"/>
    <w:rsid w:val="00FC2540"/>
    <w:rsid w:val="00FC5F72"/>
    <w:rsid w:val="00FC6D11"/>
    <w:rsid w:val="00FF0204"/>
    <w:rsid w:val="00FF3AED"/>
    <w:rsid w:val="00FF3FE5"/>
    <w:rsid w:val="00FF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486E25"/>
    <w:pPr>
      <w:ind w:left="720"/>
      <w:contextualSpacing/>
    </w:pPr>
  </w:style>
  <w:style w:type="character" w:customStyle="1" w:styleId="ListParagraphChar">
    <w:name w:val="List Paragraph Char"/>
    <w:basedOn w:val="DefaultParagraphFont"/>
    <w:link w:val="ListParagraph"/>
    <w:uiPriority w:val="34"/>
    <w:rsid w:val="00CE0CBE"/>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E0CBE"/>
    <w:rPr>
      <w:sz w:val="22"/>
      <w:szCs w:val="22"/>
      <w:lang w:val="en-GB"/>
    </w:rPr>
  </w:style>
  <w:style w:type="paragraph" w:customStyle="1" w:styleId="Style1">
    <w:name w:val="Style1"/>
    <w:basedOn w:val="ListParagraph"/>
    <w:link w:val="Style1Char"/>
    <w:qFormat/>
    <w:rsid w:val="00053749"/>
    <w:pPr>
      <w:numPr>
        <w:numId w:val="24"/>
      </w:numPr>
      <w:spacing w:line="360" w:lineRule="auto"/>
    </w:pPr>
  </w:style>
  <w:style w:type="character" w:customStyle="1" w:styleId="Style1Char">
    <w:name w:val="Style1 Char"/>
    <w:basedOn w:val="DefaultParagraphFont"/>
    <w:link w:val="Style1"/>
    <w:rsid w:val="00053749"/>
    <w:rPr>
      <w:sz w:val="22"/>
      <w:szCs w:val="22"/>
      <w:lang w:val="en-GB"/>
    </w:rPr>
  </w:style>
  <w:style w:type="paragraph" w:styleId="FootnoteText">
    <w:name w:val="footnote text"/>
    <w:basedOn w:val="Normal"/>
    <w:link w:val="FootnoteTextChar"/>
    <w:uiPriority w:val="99"/>
    <w:semiHidden/>
    <w:unhideWhenUsed/>
    <w:rsid w:val="007B264E"/>
    <w:rPr>
      <w:sz w:val="20"/>
      <w:szCs w:val="20"/>
    </w:rPr>
  </w:style>
  <w:style w:type="character" w:customStyle="1" w:styleId="FootnoteTextChar">
    <w:name w:val="Footnote Text Char"/>
    <w:basedOn w:val="DefaultParagraphFont"/>
    <w:link w:val="FootnoteText"/>
    <w:uiPriority w:val="99"/>
    <w:semiHidden/>
    <w:rsid w:val="007B264E"/>
    <w:rPr>
      <w:lang w:val="en-GB"/>
    </w:rPr>
  </w:style>
  <w:style w:type="character" w:styleId="FootnoteReference">
    <w:name w:val="footnote reference"/>
    <w:aliases w:val="ftref"/>
    <w:basedOn w:val="DefaultParagraphFont"/>
    <w:uiPriority w:val="99"/>
    <w:unhideWhenUsed/>
    <w:rsid w:val="007B264E"/>
    <w:rPr>
      <w:vertAlign w:val="superscript"/>
    </w:rPr>
  </w:style>
  <w:style w:type="character" w:styleId="Strong">
    <w:name w:val="Strong"/>
    <w:basedOn w:val="DefaultParagraphFont"/>
    <w:uiPriority w:val="22"/>
    <w:qFormat/>
    <w:rsid w:val="00822B04"/>
    <w:rPr>
      <w:b/>
      <w:bCs/>
    </w:rPr>
  </w:style>
  <w:style w:type="table" w:customStyle="1" w:styleId="GridTable4-Accent11">
    <w:name w:val="Grid Table 4 - Accent 11"/>
    <w:basedOn w:val="TableNormal"/>
    <w:uiPriority w:val="49"/>
    <w:rsid w:val="00BA51F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C007D4"/>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uiPriority w:val="49"/>
    <w:rsid w:val="001A4AA0"/>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626C0A"/>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rsid w:val="0037179A"/>
    <w:rPr>
      <w:sz w:val="22"/>
      <w:szCs w:val="22"/>
      <w:lang w:val="en-GB"/>
    </w:rPr>
  </w:style>
  <w:style w:type="character" w:customStyle="1" w:styleId="FooterChar">
    <w:name w:val="Footer Char"/>
    <w:basedOn w:val="DefaultParagraphFont"/>
    <w:link w:val="Footer"/>
    <w:uiPriority w:val="99"/>
    <w:rsid w:val="003C28D3"/>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486E25"/>
    <w:pPr>
      <w:ind w:left="720"/>
      <w:contextualSpacing/>
    </w:pPr>
  </w:style>
  <w:style w:type="character" w:customStyle="1" w:styleId="ListParagraphChar">
    <w:name w:val="List Paragraph Char"/>
    <w:basedOn w:val="DefaultParagraphFont"/>
    <w:link w:val="ListParagraph"/>
    <w:uiPriority w:val="34"/>
    <w:rsid w:val="00CE0CBE"/>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E0CBE"/>
    <w:rPr>
      <w:sz w:val="22"/>
      <w:szCs w:val="22"/>
      <w:lang w:val="en-GB"/>
    </w:rPr>
  </w:style>
  <w:style w:type="paragraph" w:customStyle="1" w:styleId="Style1">
    <w:name w:val="Style1"/>
    <w:basedOn w:val="ListParagraph"/>
    <w:link w:val="Style1Char"/>
    <w:qFormat/>
    <w:rsid w:val="00053749"/>
    <w:pPr>
      <w:numPr>
        <w:numId w:val="24"/>
      </w:numPr>
      <w:spacing w:line="360" w:lineRule="auto"/>
    </w:pPr>
  </w:style>
  <w:style w:type="character" w:customStyle="1" w:styleId="Style1Char">
    <w:name w:val="Style1 Char"/>
    <w:basedOn w:val="DefaultParagraphFont"/>
    <w:link w:val="Style1"/>
    <w:rsid w:val="00053749"/>
    <w:rPr>
      <w:sz w:val="22"/>
      <w:szCs w:val="22"/>
      <w:lang w:val="en-GB"/>
    </w:rPr>
  </w:style>
  <w:style w:type="paragraph" w:styleId="FootnoteText">
    <w:name w:val="footnote text"/>
    <w:basedOn w:val="Normal"/>
    <w:link w:val="FootnoteTextChar"/>
    <w:uiPriority w:val="99"/>
    <w:semiHidden/>
    <w:unhideWhenUsed/>
    <w:rsid w:val="007B264E"/>
    <w:rPr>
      <w:sz w:val="20"/>
      <w:szCs w:val="20"/>
    </w:rPr>
  </w:style>
  <w:style w:type="character" w:customStyle="1" w:styleId="FootnoteTextChar">
    <w:name w:val="Footnote Text Char"/>
    <w:basedOn w:val="DefaultParagraphFont"/>
    <w:link w:val="FootnoteText"/>
    <w:uiPriority w:val="99"/>
    <w:semiHidden/>
    <w:rsid w:val="007B264E"/>
    <w:rPr>
      <w:lang w:val="en-GB"/>
    </w:rPr>
  </w:style>
  <w:style w:type="character" w:styleId="FootnoteReference">
    <w:name w:val="footnote reference"/>
    <w:aliases w:val="ftref"/>
    <w:basedOn w:val="DefaultParagraphFont"/>
    <w:uiPriority w:val="99"/>
    <w:unhideWhenUsed/>
    <w:rsid w:val="007B264E"/>
    <w:rPr>
      <w:vertAlign w:val="superscript"/>
    </w:rPr>
  </w:style>
  <w:style w:type="character" w:styleId="Strong">
    <w:name w:val="Strong"/>
    <w:basedOn w:val="DefaultParagraphFont"/>
    <w:uiPriority w:val="22"/>
    <w:qFormat/>
    <w:rsid w:val="00822B04"/>
    <w:rPr>
      <w:b/>
      <w:bCs/>
    </w:rPr>
  </w:style>
  <w:style w:type="table" w:customStyle="1" w:styleId="GridTable4-Accent11">
    <w:name w:val="Grid Table 4 - Accent 11"/>
    <w:basedOn w:val="TableNormal"/>
    <w:uiPriority w:val="49"/>
    <w:rsid w:val="00BA51F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C007D4"/>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uiPriority w:val="49"/>
    <w:rsid w:val="001A4AA0"/>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626C0A"/>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rsid w:val="0037179A"/>
    <w:rPr>
      <w:sz w:val="22"/>
      <w:szCs w:val="22"/>
      <w:lang w:val="en-GB"/>
    </w:rPr>
  </w:style>
  <w:style w:type="character" w:customStyle="1" w:styleId="FooterChar">
    <w:name w:val="Footer Char"/>
    <w:basedOn w:val="DefaultParagraphFont"/>
    <w:link w:val="Footer"/>
    <w:uiPriority w:val="99"/>
    <w:rsid w:val="003C28D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3000">
      <w:bodyDiv w:val="1"/>
      <w:marLeft w:val="0"/>
      <w:marRight w:val="0"/>
      <w:marTop w:val="0"/>
      <w:marBottom w:val="0"/>
      <w:divBdr>
        <w:top w:val="none" w:sz="0" w:space="0" w:color="auto"/>
        <w:left w:val="none" w:sz="0" w:space="0" w:color="auto"/>
        <w:bottom w:val="none" w:sz="0" w:space="0" w:color="auto"/>
        <w:right w:val="none" w:sz="0" w:space="0" w:color="auto"/>
      </w:divBdr>
    </w:div>
    <w:div w:id="168253431">
      <w:bodyDiv w:val="1"/>
      <w:marLeft w:val="0"/>
      <w:marRight w:val="0"/>
      <w:marTop w:val="0"/>
      <w:marBottom w:val="0"/>
      <w:divBdr>
        <w:top w:val="none" w:sz="0" w:space="0" w:color="auto"/>
        <w:left w:val="none" w:sz="0" w:space="0" w:color="auto"/>
        <w:bottom w:val="none" w:sz="0" w:space="0" w:color="auto"/>
        <w:right w:val="none" w:sz="0" w:space="0" w:color="auto"/>
      </w:divBdr>
    </w:div>
    <w:div w:id="249394007">
      <w:bodyDiv w:val="1"/>
      <w:marLeft w:val="0"/>
      <w:marRight w:val="0"/>
      <w:marTop w:val="0"/>
      <w:marBottom w:val="0"/>
      <w:divBdr>
        <w:top w:val="none" w:sz="0" w:space="0" w:color="auto"/>
        <w:left w:val="none" w:sz="0" w:space="0" w:color="auto"/>
        <w:bottom w:val="none" w:sz="0" w:space="0" w:color="auto"/>
        <w:right w:val="none" w:sz="0" w:space="0" w:color="auto"/>
      </w:divBdr>
    </w:div>
    <w:div w:id="468286654">
      <w:bodyDiv w:val="1"/>
      <w:marLeft w:val="0"/>
      <w:marRight w:val="0"/>
      <w:marTop w:val="0"/>
      <w:marBottom w:val="0"/>
      <w:divBdr>
        <w:top w:val="none" w:sz="0" w:space="0" w:color="auto"/>
        <w:left w:val="none" w:sz="0" w:space="0" w:color="auto"/>
        <w:bottom w:val="none" w:sz="0" w:space="0" w:color="auto"/>
        <w:right w:val="none" w:sz="0" w:space="0" w:color="auto"/>
      </w:divBdr>
    </w:div>
    <w:div w:id="571694670">
      <w:bodyDiv w:val="1"/>
      <w:marLeft w:val="0"/>
      <w:marRight w:val="0"/>
      <w:marTop w:val="0"/>
      <w:marBottom w:val="0"/>
      <w:divBdr>
        <w:top w:val="none" w:sz="0" w:space="0" w:color="auto"/>
        <w:left w:val="none" w:sz="0" w:space="0" w:color="auto"/>
        <w:bottom w:val="none" w:sz="0" w:space="0" w:color="auto"/>
        <w:right w:val="none" w:sz="0" w:space="0" w:color="auto"/>
      </w:divBdr>
    </w:div>
    <w:div w:id="649556311">
      <w:bodyDiv w:val="1"/>
      <w:marLeft w:val="0"/>
      <w:marRight w:val="0"/>
      <w:marTop w:val="0"/>
      <w:marBottom w:val="0"/>
      <w:divBdr>
        <w:top w:val="none" w:sz="0" w:space="0" w:color="auto"/>
        <w:left w:val="none" w:sz="0" w:space="0" w:color="auto"/>
        <w:bottom w:val="none" w:sz="0" w:space="0" w:color="auto"/>
        <w:right w:val="none" w:sz="0" w:space="0" w:color="auto"/>
      </w:divBdr>
    </w:div>
    <w:div w:id="858158164">
      <w:bodyDiv w:val="1"/>
      <w:marLeft w:val="0"/>
      <w:marRight w:val="0"/>
      <w:marTop w:val="0"/>
      <w:marBottom w:val="0"/>
      <w:divBdr>
        <w:top w:val="none" w:sz="0" w:space="0" w:color="auto"/>
        <w:left w:val="none" w:sz="0" w:space="0" w:color="auto"/>
        <w:bottom w:val="none" w:sz="0" w:space="0" w:color="auto"/>
        <w:right w:val="none" w:sz="0" w:space="0" w:color="auto"/>
      </w:divBdr>
    </w:div>
    <w:div w:id="870458579">
      <w:bodyDiv w:val="1"/>
      <w:marLeft w:val="0"/>
      <w:marRight w:val="0"/>
      <w:marTop w:val="0"/>
      <w:marBottom w:val="0"/>
      <w:divBdr>
        <w:top w:val="none" w:sz="0" w:space="0" w:color="auto"/>
        <w:left w:val="none" w:sz="0" w:space="0" w:color="auto"/>
        <w:bottom w:val="none" w:sz="0" w:space="0" w:color="auto"/>
        <w:right w:val="none" w:sz="0" w:space="0" w:color="auto"/>
      </w:divBdr>
    </w:div>
    <w:div w:id="883254495">
      <w:bodyDiv w:val="1"/>
      <w:marLeft w:val="0"/>
      <w:marRight w:val="0"/>
      <w:marTop w:val="0"/>
      <w:marBottom w:val="0"/>
      <w:divBdr>
        <w:top w:val="none" w:sz="0" w:space="0" w:color="auto"/>
        <w:left w:val="none" w:sz="0" w:space="0" w:color="auto"/>
        <w:bottom w:val="none" w:sz="0" w:space="0" w:color="auto"/>
        <w:right w:val="none" w:sz="0" w:space="0" w:color="auto"/>
      </w:divBdr>
    </w:div>
    <w:div w:id="1222866662">
      <w:bodyDiv w:val="1"/>
      <w:marLeft w:val="0"/>
      <w:marRight w:val="0"/>
      <w:marTop w:val="0"/>
      <w:marBottom w:val="0"/>
      <w:divBdr>
        <w:top w:val="none" w:sz="0" w:space="0" w:color="auto"/>
        <w:left w:val="none" w:sz="0" w:space="0" w:color="auto"/>
        <w:bottom w:val="none" w:sz="0" w:space="0" w:color="auto"/>
        <w:right w:val="none" w:sz="0" w:space="0" w:color="auto"/>
      </w:divBdr>
    </w:div>
    <w:div w:id="1236551707">
      <w:bodyDiv w:val="1"/>
      <w:marLeft w:val="0"/>
      <w:marRight w:val="0"/>
      <w:marTop w:val="0"/>
      <w:marBottom w:val="0"/>
      <w:divBdr>
        <w:top w:val="none" w:sz="0" w:space="0" w:color="auto"/>
        <w:left w:val="none" w:sz="0" w:space="0" w:color="auto"/>
        <w:bottom w:val="none" w:sz="0" w:space="0" w:color="auto"/>
        <w:right w:val="none" w:sz="0" w:space="0" w:color="auto"/>
      </w:divBdr>
    </w:div>
    <w:div w:id="1377312305">
      <w:bodyDiv w:val="1"/>
      <w:marLeft w:val="0"/>
      <w:marRight w:val="0"/>
      <w:marTop w:val="0"/>
      <w:marBottom w:val="0"/>
      <w:divBdr>
        <w:top w:val="none" w:sz="0" w:space="0" w:color="auto"/>
        <w:left w:val="none" w:sz="0" w:space="0" w:color="auto"/>
        <w:bottom w:val="none" w:sz="0" w:space="0" w:color="auto"/>
        <w:right w:val="none" w:sz="0" w:space="0" w:color="auto"/>
      </w:divBdr>
    </w:div>
    <w:div w:id="1502741527">
      <w:bodyDiv w:val="1"/>
      <w:marLeft w:val="0"/>
      <w:marRight w:val="0"/>
      <w:marTop w:val="0"/>
      <w:marBottom w:val="0"/>
      <w:divBdr>
        <w:top w:val="none" w:sz="0" w:space="0" w:color="auto"/>
        <w:left w:val="none" w:sz="0" w:space="0" w:color="auto"/>
        <w:bottom w:val="none" w:sz="0" w:space="0" w:color="auto"/>
        <w:right w:val="none" w:sz="0" w:space="0" w:color="auto"/>
      </w:divBdr>
    </w:div>
    <w:div w:id="1560019989">
      <w:bodyDiv w:val="1"/>
      <w:marLeft w:val="0"/>
      <w:marRight w:val="0"/>
      <w:marTop w:val="0"/>
      <w:marBottom w:val="0"/>
      <w:divBdr>
        <w:top w:val="none" w:sz="0" w:space="0" w:color="auto"/>
        <w:left w:val="none" w:sz="0" w:space="0" w:color="auto"/>
        <w:bottom w:val="none" w:sz="0" w:space="0" w:color="auto"/>
        <w:right w:val="none" w:sz="0" w:space="0" w:color="auto"/>
      </w:divBdr>
    </w:div>
    <w:div w:id="1619333445">
      <w:bodyDiv w:val="1"/>
      <w:marLeft w:val="0"/>
      <w:marRight w:val="0"/>
      <w:marTop w:val="0"/>
      <w:marBottom w:val="0"/>
      <w:divBdr>
        <w:top w:val="none" w:sz="0" w:space="0" w:color="auto"/>
        <w:left w:val="none" w:sz="0" w:space="0" w:color="auto"/>
        <w:bottom w:val="none" w:sz="0" w:space="0" w:color="auto"/>
        <w:right w:val="none" w:sz="0" w:space="0" w:color="auto"/>
      </w:divBdr>
    </w:div>
    <w:div w:id="1701011405">
      <w:bodyDiv w:val="1"/>
      <w:marLeft w:val="0"/>
      <w:marRight w:val="0"/>
      <w:marTop w:val="0"/>
      <w:marBottom w:val="0"/>
      <w:divBdr>
        <w:top w:val="none" w:sz="0" w:space="0" w:color="auto"/>
        <w:left w:val="none" w:sz="0" w:space="0" w:color="auto"/>
        <w:bottom w:val="none" w:sz="0" w:space="0" w:color="auto"/>
        <w:right w:val="none" w:sz="0" w:space="0" w:color="auto"/>
      </w:divBdr>
    </w:div>
    <w:div w:id="178561641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1376391">
      <w:bodyDiv w:val="1"/>
      <w:marLeft w:val="0"/>
      <w:marRight w:val="0"/>
      <w:marTop w:val="0"/>
      <w:marBottom w:val="0"/>
      <w:divBdr>
        <w:top w:val="none" w:sz="0" w:space="0" w:color="auto"/>
        <w:left w:val="none" w:sz="0" w:space="0" w:color="auto"/>
        <w:bottom w:val="none" w:sz="0" w:space="0" w:color="auto"/>
        <w:right w:val="none" w:sz="0" w:space="0" w:color="auto"/>
      </w:divBdr>
    </w:div>
    <w:div w:id="2064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UNEP/OzL.Pro/ExCom/79/27</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A8C94DBE-B185-432A-A50A-C289ED241A3A}"/>
</file>

<file path=customXml/itemProps2.xml><?xml version="1.0" encoding="utf-8"?>
<ds:datastoreItem xmlns:ds="http://schemas.openxmlformats.org/officeDocument/2006/customXml" ds:itemID="{78C25B56-7929-4964-9B7C-5AE432F0EBCF}"/>
</file>

<file path=customXml/itemProps3.xml><?xml version="1.0" encoding="utf-8"?>
<ds:datastoreItem xmlns:ds="http://schemas.openxmlformats.org/officeDocument/2006/customXml" ds:itemID="{B88E04E4-CB17-44B9-9C7D-AD28CF0B41B0}"/>
</file>

<file path=customXml/itemProps4.xml><?xml version="1.0" encoding="utf-8"?>
<ds:datastoreItem xmlns:ds="http://schemas.openxmlformats.org/officeDocument/2006/customXml" ds:itemID="{D8A3AFF6-36B2-4B4D-B993-D9ADC158B4C3}"/>
</file>

<file path=docProps/app.xml><?xml version="1.0" encoding="utf-8"?>
<Properties xmlns="http://schemas.openxmlformats.org/officeDocument/2006/extended-properties" xmlns:vt="http://schemas.openxmlformats.org/officeDocument/2006/docPropsVTypes">
  <Template>normal</Template>
  <TotalTime>59</TotalTime>
  <Pages>33</Pages>
  <Words>13866</Words>
  <Characters>74866</Characters>
  <Application>Microsoft Office Word</Application>
  <DocSecurity>0</DocSecurity>
  <Lines>623</Lines>
  <Paragraphs>177</Paragraphs>
  <ScaleCrop>false</ScaleCrop>
  <HeadingPairs>
    <vt:vector size="2" baseType="variant">
      <vt:variant>
        <vt:lpstr>Title</vt:lpstr>
      </vt:variant>
      <vt:variant>
        <vt:i4>1</vt:i4>
      </vt:variant>
    </vt:vector>
  </HeadingPairs>
  <TitlesOfParts>
    <vt:vector size="1" baseType="lpstr">
      <vt:lpstr>Project Proposals: Argentina (stages I and II)</vt:lpstr>
    </vt:vector>
  </TitlesOfParts>
  <Company>Hewlett-Packard Company</Company>
  <LinksUpToDate>false</LinksUpToDate>
  <CharactersWithSpaces>88555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Argentina </dc:title>
  <dc:subject>UNEP/OzL.Pro/ExCom/79/27</dc:subject>
  <dc:creator>Frida Velarde</dc:creator>
  <cp:lastModifiedBy>Frida Velarde</cp:lastModifiedBy>
  <cp:revision>9</cp:revision>
  <cp:lastPrinted>2017-06-14T21:48:00Z</cp:lastPrinted>
  <dcterms:created xsi:type="dcterms:W3CDTF">2017-06-14T20:32:00Z</dcterms:created>
  <dcterms:modified xsi:type="dcterms:W3CDTF">2017-06-14T21:48:00Z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UNEP/OzL.Pro/ExCom/79/27</vt:lpwstr>
  </property>
  <property fmtid="{D5CDD505-2E9C-101B-9397-08002B2CF9AE}" pid="3" name="Revision date">
    <vt:lpwstr>14/6/2017</vt:lpwstr>
  </property>
  <property fmtid="{D5CDD505-2E9C-101B-9397-08002B2CF9AE}" pid="4" name="ContentTypeId">
    <vt:lpwstr>0x01010004C6732A9FE91B4FBB477FDF99EB5849</vt:lpwstr>
  </property>
</Properties>
</file>