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C26DEA" w:rsidTr="00484843">
        <w:trPr>
          <w:trHeight w:val="720"/>
        </w:trPr>
        <w:tc>
          <w:tcPr>
            <w:tcW w:w="5490" w:type="dxa"/>
            <w:gridSpan w:val="2"/>
            <w:tcBorders>
              <w:bottom w:val="single" w:sz="18" w:space="0" w:color="auto"/>
            </w:tcBorders>
          </w:tcPr>
          <w:p w:rsidR="00C15867" w:rsidRPr="00C26DEA" w:rsidRDefault="00C15867" w:rsidP="00644F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C26DEA">
              <w:rPr>
                <w:rFonts w:ascii="Univers" w:hAnsi="Univers"/>
                <w:b/>
                <w:sz w:val="28"/>
                <w:szCs w:val="28"/>
              </w:rPr>
              <w:t>UNITED</w:t>
            </w:r>
            <w:r w:rsidRPr="00C26DEA">
              <w:rPr>
                <w:rFonts w:ascii="Univers" w:hAnsi="Univers"/>
                <w:b/>
                <w:sz w:val="28"/>
                <w:szCs w:val="28"/>
              </w:rPr>
              <w:br/>
              <w:t>NATIONS</w:t>
            </w:r>
          </w:p>
        </w:tc>
        <w:tc>
          <w:tcPr>
            <w:tcW w:w="4590" w:type="dxa"/>
            <w:tcBorders>
              <w:bottom w:val="single" w:sz="18" w:space="0" w:color="auto"/>
            </w:tcBorders>
          </w:tcPr>
          <w:p w:rsidR="00C15867" w:rsidRPr="00C26DEA" w:rsidRDefault="00C15867" w:rsidP="00644F50">
            <w:pPr>
              <w:jc w:val="right"/>
              <w:rPr>
                <w:sz w:val="52"/>
                <w:szCs w:val="52"/>
              </w:rPr>
            </w:pPr>
            <w:r w:rsidRPr="00C26DEA">
              <w:rPr>
                <w:rFonts w:ascii="Univers Bold" w:hAnsi="Univers Bold"/>
                <w:b/>
                <w:sz w:val="72"/>
              </w:rPr>
              <w:t>EP</w:t>
            </w:r>
          </w:p>
        </w:tc>
      </w:tr>
      <w:tr w:rsidR="00C15867" w:rsidRPr="00C26DEA" w:rsidTr="0048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C26DEA" w:rsidRDefault="00C15867" w:rsidP="00644F50">
            <w:pPr>
              <w:spacing w:before="120"/>
            </w:pPr>
            <w:r w:rsidRPr="00C26DEA">
              <w:rPr>
                <w:noProof/>
                <w:lang w:val="en-US"/>
              </w:rPr>
              <w:drawing>
                <wp:anchor distT="0" distB="0" distL="114300" distR="114300" simplePos="0" relativeHeight="251660288" behindDoc="0" locked="0" layoutInCell="1" allowOverlap="1" wp14:anchorId="79E16A85" wp14:editId="57C05A6A">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C26DEA">
              <w:rPr>
                <w:noProof/>
                <w:lang w:val="en-US"/>
              </w:rPr>
              <w:drawing>
                <wp:anchor distT="0" distB="0" distL="114300" distR="114300" simplePos="0" relativeHeight="251661312" behindDoc="1" locked="0" layoutInCell="0" allowOverlap="1" wp14:anchorId="09597625" wp14:editId="4816108E">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C26DEA" w:rsidRDefault="00C15867" w:rsidP="00644F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C26DEA">
              <w:rPr>
                <w:rFonts w:ascii="Univers" w:hAnsi="Univers"/>
                <w:b/>
                <w:sz w:val="32"/>
              </w:rPr>
              <w:t>United Nations</w:t>
            </w:r>
          </w:p>
          <w:p w:rsidR="00C15867" w:rsidRPr="00C26DEA" w:rsidRDefault="00C15867" w:rsidP="00644F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C26DEA">
              <w:rPr>
                <w:rFonts w:ascii="Univers" w:hAnsi="Univers"/>
                <w:b/>
                <w:sz w:val="32"/>
              </w:rPr>
              <w:t>Environment</w:t>
            </w:r>
          </w:p>
          <w:p w:rsidR="00C15867" w:rsidRPr="00C26DEA" w:rsidRDefault="00C15867" w:rsidP="00644F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C26DEA">
              <w:rPr>
                <w:rFonts w:ascii="Univers" w:hAnsi="Univers"/>
                <w:b/>
                <w:sz w:val="32"/>
              </w:rPr>
              <w:t>Programme</w:t>
            </w:r>
          </w:p>
          <w:p w:rsidR="00C15867" w:rsidRPr="00C26DEA" w:rsidRDefault="00C15867" w:rsidP="00644F50">
            <w:pPr>
              <w:spacing w:before="720"/>
              <w:ind w:left="158"/>
            </w:pPr>
          </w:p>
        </w:tc>
        <w:tc>
          <w:tcPr>
            <w:tcW w:w="4590" w:type="dxa"/>
            <w:tcBorders>
              <w:top w:val="nil"/>
              <w:left w:val="nil"/>
              <w:bottom w:val="single" w:sz="36" w:space="0" w:color="auto"/>
              <w:right w:val="nil"/>
            </w:tcBorders>
          </w:tcPr>
          <w:p w:rsidR="00C15867" w:rsidRPr="00C26DEA" w:rsidRDefault="00C15867" w:rsidP="00644F50">
            <w:r w:rsidRPr="00C26DEA">
              <w:t>Distr.</w:t>
            </w:r>
          </w:p>
          <w:p w:rsidR="00923540" w:rsidRPr="00C26DEA" w:rsidRDefault="00923540" w:rsidP="00644F50">
            <w:r w:rsidRPr="00C26DEA">
              <w:t>GENERAL</w:t>
            </w:r>
          </w:p>
          <w:p w:rsidR="00C15867" w:rsidRPr="00C26DEA" w:rsidRDefault="00C15867" w:rsidP="00644F50"/>
          <w:p w:rsidR="00C15867" w:rsidRPr="00C26DEA" w:rsidRDefault="00C15867" w:rsidP="00644F50"/>
          <w:p w:rsidR="00C15867" w:rsidRPr="00C26DEA" w:rsidRDefault="00956BB6" w:rsidP="00644F50">
            <w:r>
              <w:fldChar w:fldCharType="begin"/>
            </w:r>
            <w:r>
              <w:instrText xml:space="preserve"> DOCPROPERTY "Document number"  \* MERGEFORMAT </w:instrText>
            </w:r>
            <w:r>
              <w:fldChar w:fldCharType="separate"/>
            </w:r>
            <w:r w:rsidR="007F2917">
              <w:t>UNEP/</w:t>
            </w:r>
            <w:proofErr w:type="spellStart"/>
            <w:r w:rsidR="007F2917">
              <w:t>OzL.Pro</w:t>
            </w:r>
            <w:proofErr w:type="spellEnd"/>
            <w:r w:rsidR="007F2917">
              <w:t>/ExCom/77/72</w:t>
            </w:r>
            <w:r>
              <w:fldChar w:fldCharType="end"/>
            </w:r>
          </w:p>
          <w:p w:rsidR="00C15867" w:rsidRPr="00C26DEA" w:rsidRDefault="00BC2495" w:rsidP="00644F50">
            <w:r w:rsidRPr="00C26DEA">
              <w:fldChar w:fldCharType="begin"/>
            </w:r>
            <w:r w:rsidR="00851352" w:rsidRPr="00C26DEA">
              <w:instrText xml:space="preserve"> DOCPROPERTY "Revision date" \@ "d MMMM YYYY"  \* MERGEFORMAT </w:instrText>
            </w:r>
            <w:r w:rsidRPr="00C26DEA">
              <w:fldChar w:fldCharType="separate"/>
            </w:r>
            <w:r w:rsidR="00FC0B38">
              <w:t>3 November 2016</w:t>
            </w:r>
            <w:r w:rsidRPr="00C26DEA">
              <w:fldChar w:fldCharType="end"/>
            </w:r>
          </w:p>
          <w:p w:rsidR="00C15867" w:rsidRPr="00C26DEA" w:rsidRDefault="00C15867" w:rsidP="00644F50">
            <w:pPr>
              <w:rPr>
                <w:caps/>
              </w:rPr>
            </w:pPr>
          </w:p>
          <w:p w:rsidR="00C15867" w:rsidRPr="00C26DEA" w:rsidRDefault="00C15867" w:rsidP="00644F50">
            <w:r w:rsidRPr="00C26DEA">
              <w:t>ORIGINAL: ENGLISH</w:t>
            </w:r>
          </w:p>
        </w:tc>
      </w:tr>
    </w:tbl>
    <w:p w:rsidR="00667244" w:rsidRPr="00C26DEA" w:rsidRDefault="00C15867" w:rsidP="00644F50">
      <w:pPr>
        <w:jc w:val="left"/>
      </w:pPr>
      <w:r w:rsidRPr="00C26DEA">
        <w:t>EXECUTIVE COMMITTEE OF</w:t>
      </w:r>
      <w:r w:rsidRPr="00C26DEA">
        <w:br/>
      </w:r>
      <w:r w:rsidR="00644F50">
        <w:t xml:space="preserve"> </w:t>
      </w:r>
      <w:r w:rsidRPr="00C26DEA">
        <w:t>THE MULTILATERAL FUND FOR THE</w:t>
      </w:r>
      <w:r w:rsidRPr="00C26DEA">
        <w:br/>
      </w:r>
      <w:r w:rsidR="00644F50">
        <w:t xml:space="preserve"> </w:t>
      </w:r>
      <w:r w:rsidRPr="00C26DEA">
        <w:t>IMPLEMENTATION OF THE MONTREAL PROTOCOL</w:t>
      </w:r>
      <w:r w:rsidRPr="00C26DEA">
        <w:br/>
      </w:r>
      <w:r w:rsidR="00667244" w:rsidRPr="00C26DEA">
        <w:rPr>
          <w:lang w:val="en-CA"/>
        </w:rPr>
        <w:t>Seventy-</w:t>
      </w:r>
      <w:r w:rsidR="00822233" w:rsidRPr="00C26DEA">
        <w:rPr>
          <w:lang w:val="en-CA"/>
        </w:rPr>
        <w:t>seventh</w:t>
      </w:r>
      <w:r w:rsidR="00667244" w:rsidRPr="00C26DEA">
        <w:t xml:space="preserve"> Meeting</w:t>
      </w:r>
    </w:p>
    <w:p w:rsidR="00667244" w:rsidRDefault="00667244" w:rsidP="00644F50">
      <w:pPr>
        <w:jc w:val="left"/>
      </w:pPr>
      <w:r w:rsidRPr="00C26DEA">
        <w:t>Montreal</w:t>
      </w:r>
      <w:r w:rsidRPr="00C26DEA">
        <w:rPr>
          <w:lang w:val="en-CA"/>
        </w:rPr>
        <w:t xml:space="preserve">, </w:t>
      </w:r>
      <w:r w:rsidR="00822233" w:rsidRPr="00C26DEA">
        <w:t xml:space="preserve">28 November </w:t>
      </w:r>
      <w:r w:rsidR="00644F50">
        <w:t>to</w:t>
      </w:r>
      <w:r w:rsidR="00822233" w:rsidRPr="00C26DEA">
        <w:t xml:space="preserve"> 2 December 2016</w:t>
      </w:r>
    </w:p>
    <w:p w:rsidR="00717FD2" w:rsidRPr="00C26DEA" w:rsidRDefault="00717FD2" w:rsidP="00644F50">
      <w:pPr>
        <w:jc w:val="left"/>
        <w:rPr>
          <w:lang w:val="en-CA"/>
        </w:rPr>
      </w:pPr>
      <w:bookmarkStart w:id="0" w:name="_GoBack"/>
      <w:bookmarkEnd w:id="0"/>
    </w:p>
    <w:p w:rsidR="00644F50" w:rsidRPr="000F0FAB" w:rsidRDefault="00644F50" w:rsidP="00644F50">
      <w:pPr>
        <w:jc w:val="center"/>
        <w:rPr>
          <w:b/>
          <w:bCs/>
        </w:rPr>
      </w:pPr>
      <w:r w:rsidRPr="006E1013">
        <w:rPr>
          <w:b/>
          <w:bCs/>
        </w:rPr>
        <w:t>FINAL 2015 ACCOUNTS</w:t>
      </w:r>
    </w:p>
    <w:p w:rsidR="00644F50" w:rsidRDefault="00644F50" w:rsidP="00644F50">
      <w:pPr>
        <w:rPr>
          <w:b/>
          <w:bCs/>
        </w:rPr>
      </w:pPr>
      <w:r w:rsidRPr="000F0FAB">
        <w:rPr>
          <w:b/>
          <w:bCs/>
        </w:rPr>
        <w:t>Introduction</w:t>
      </w:r>
    </w:p>
    <w:p w:rsidR="00644F50" w:rsidRPr="000F0FAB" w:rsidRDefault="00644F50" w:rsidP="00644F50">
      <w:pPr>
        <w:rPr>
          <w:b/>
          <w:bCs/>
        </w:rPr>
      </w:pPr>
    </w:p>
    <w:p w:rsidR="00644F50" w:rsidRDefault="00644F50" w:rsidP="00644F50">
      <w:pPr>
        <w:pStyle w:val="Heading1"/>
      </w:pPr>
      <w:r>
        <w:t xml:space="preserve">This document consists of the following two parts: </w:t>
      </w:r>
    </w:p>
    <w:p w:rsidR="00644F50" w:rsidRDefault="00644F50" w:rsidP="00644F50">
      <w:pPr>
        <w:pStyle w:val="Heading2"/>
        <w:numPr>
          <w:ilvl w:val="0"/>
          <w:numId w:val="0"/>
        </w:numPr>
        <w:ind w:left="1440" w:hanging="720"/>
        <w:rPr>
          <w:rStyle w:val="bumpedfont15"/>
          <w:iCs/>
          <w:lang w:val="en-CA"/>
        </w:rPr>
      </w:pPr>
      <w:r>
        <w:t>Part I:</w:t>
      </w:r>
      <w:r>
        <w:tab/>
        <w:t xml:space="preserve">2015 final accounts of the </w:t>
      </w:r>
      <w:r>
        <w:rPr>
          <w:rStyle w:val="bumpedfont15"/>
          <w:iCs/>
          <w:lang w:val="en-CA"/>
        </w:rPr>
        <w:t>Multilateral Fund (</w:t>
      </w:r>
      <w:r w:rsidRPr="0065715F">
        <w:rPr>
          <w:rStyle w:val="bumpedfont15"/>
          <w:iCs/>
          <w:lang w:val="en-CA"/>
        </w:rPr>
        <w:t>MLF</w:t>
      </w:r>
      <w:r>
        <w:rPr>
          <w:rStyle w:val="bumpedfont15"/>
          <w:iCs/>
          <w:lang w:val="en-CA"/>
        </w:rPr>
        <w:t xml:space="preserve">) </w:t>
      </w:r>
    </w:p>
    <w:p w:rsidR="00644F50" w:rsidRPr="00424C17" w:rsidRDefault="00644F50" w:rsidP="00644F50">
      <w:pPr>
        <w:pStyle w:val="Heading2"/>
        <w:numPr>
          <w:ilvl w:val="0"/>
          <w:numId w:val="0"/>
        </w:numPr>
        <w:ind w:left="1440" w:hanging="720"/>
      </w:pPr>
      <w:r>
        <w:rPr>
          <w:rStyle w:val="bumpedfont15"/>
          <w:iCs/>
          <w:lang w:val="en-CA"/>
        </w:rPr>
        <w:t>Part II</w:t>
      </w:r>
      <w:r w:rsidR="00A11925">
        <w:rPr>
          <w:rStyle w:val="bumpedfont15"/>
          <w:iCs/>
          <w:lang w:val="en-CA"/>
        </w:rPr>
        <w:t>:</w:t>
      </w:r>
      <w:r>
        <w:rPr>
          <w:rStyle w:val="bumpedfont15"/>
          <w:iCs/>
          <w:lang w:val="en-CA"/>
        </w:rPr>
        <w:tab/>
        <w:t xml:space="preserve">Report of the </w:t>
      </w:r>
      <w:r w:rsidRPr="0065715F">
        <w:rPr>
          <w:lang w:val="en-CA"/>
        </w:rPr>
        <w:t>United Nations Board of Auditors</w:t>
      </w:r>
      <w:r>
        <w:rPr>
          <w:lang w:val="en-CA"/>
        </w:rPr>
        <w:t xml:space="preserve"> (</w:t>
      </w:r>
      <w:proofErr w:type="spellStart"/>
      <w:r>
        <w:rPr>
          <w:lang w:val="en-CA"/>
        </w:rPr>
        <w:t>UNB</w:t>
      </w:r>
      <w:r w:rsidR="00991A91">
        <w:rPr>
          <w:lang w:val="en-CA"/>
        </w:rPr>
        <w:t>o</w:t>
      </w:r>
      <w:r>
        <w:rPr>
          <w:lang w:val="en-CA"/>
        </w:rPr>
        <w:t>A</w:t>
      </w:r>
      <w:proofErr w:type="spellEnd"/>
      <w:r>
        <w:rPr>
          <w:lang w:val="en-CA"/>
        </w:rPr>
        <w:t>)</w:t>
      </w:r>
      <w:r w:rsidRPr="0065715F">
        <w:rPr>
          <w:lang w:val="en-CA"/>
        </w:rPr>
        <w:t xml:space="preserve"> on the accounts of the Fund </w:t>
      </w:r>
      <w:r w:rsidRPr="000F42DF">
        <w:rPr>
          <w:lang w:val="en-CA"/>
        </w:rPr>
        <w:t>of the year ended 31 December 2015</w:t>
      </w:r>
      <w:r>
        <w:rPr>
          <w:lang w:val="en-CA"/>
        </w:rPr>
        <w:t xml:space="preserve"> </w:t>
      </w:r>
    </w:p>
    <w:p w:rsidR="00644F50" w:rsidRPr="000F0FAB" w:rsidRDefault="00644F50" w:rsidP="00644F50">
      <w:pPr>
        <w:keepNext/>
        <w:spacing w:after="240"/>
        <w:outlineLvl w:val="1"/>
        <w:rPr>
          <w:b/>
        </w:rPr>
      </w:pPr>
      <w:r w:rsidRPr="000F0FAB">
        <w:rPr>
          <w:b/>
        </w:rPr>
        <w:t>Part I:</w:t>
      </w:r>
      <w:r>
        <w:rPr>
          <w:b/>
        </w:rPr>
        <w:tab/>
      </w:r>
      <w:r w:rsidRPr="000F0FAB">
        <w:rPr>
          <w:b/>
        </w:rPr>
        <w:t xml:space="preserve">2015 </w:t>
      </w:r>
      <w:r>
        <w:rPr>
          <w:b/>
        </w:rPr>
        <w:t xml:space="preserve">final </w:t>
      </w:r>
      <w:r w:rsidRPr="000F0FAB">
        <w:rPr>
          <w:b/>
        </w:rPr>
        <w:t xml:space="preserve">accounts of the MLF </w:t>
      </w:r>
    </w:p>
    <w:p w:rsidR="00644F50" w:rsidRPr="000F0FAB" w:rsidRDefault="00644F50" w:rsidP="00644F50">
      <w:pPr>
        <w:pStyle w:val="Heading1"/>
      </w:pPr>
      <w:r w:rsidRPr="000F0FAB">
        <w:t xml:space="preserve">Annex I </w:t>
      </w:r>
      <w:r w:rsidR="00E877BF">
        <w:t xml:space="preserve">to the present document </w:t>
      </w:r>
      <w:r w:rsidR="005A6677">
        <w:t>consists of the following schedules:</w:t>
      </w:r>
      <w:r w:rsidRPr="000F0FAB">
        <w:t xml:space="preserve"> </w:t>
      </w:r>
      <w:r w:rsidR="001E56DC">
        <w:t xml:space="preserve"> </w:t>
      </w:r>
    </w:p>
    <w:p w:rsidR="00644F50" w:rsidRPr="004C7CCD" w:rsidRDefault="00644F50" w:rsidP="00644F50">
      <w:pPr>
        <w:pStyle w:val="Heading2"/>
      </w:pPr>
      <w:r w:rsidRPr="004C7CCD">
        <w:t xml:space="preserve">Schedule 1.1: The statement of </w:t>
      </w:r>
      <w:r w:rsidR="001E56DC">
        <w:t>revenue</w:t>
      </w:r>
      <w:r w:rsidR="001E56DC" w:rsidRPr="004C7CCD">
        <w:t xml:space="preserve"> </w:t>
      </w:r>
      <w:r w:rsidRPr="004C7CCD">
        <w:t xml:space="preserve">and </w:t>
      </w:r>
      <w:r w:rsidR="001E56DC">
        <w:t>expenses</w:t>
      </w:r>
    </w:p>
    <w:p w:rsidR="00644F50" w:rsidRPr="004C7CCD" w:rsidRDefault="00644F50" w:rsidP="00644F50">
      <w:pPr>
        <w:pStyle w:val="Heading2"/>
      </w:pPr>
      <w:r w:rsidRPr="004C7CCD">
        <w:t xml:space="preserve">Schedule 1.2: 2015 Statement of </w:t>
      </w:r>
      <w:r w:rsidR="001E56DC">
        <w:t>financial position</w:t>
      </w:r>
    </w:p>
    <w:p w:rsidR="00644F50" w:rsidRPr="004C7CCD" w:rsidRDefault="00644F50" w:rsidP="00644F50">
      <w:pPr>
        <w:pStyle w:val="Heading2"/>
      </w:pPr>
      <w:r w:rsidRPr="004C7CCD">
        <w:t>Schedule 1.3: 2015 MLF</w:t>
      </w:r>
      <w:r w:rsidR="001E56DC">
        <w:t xml:space="preserve"> expenses</w:t>
      </w:r>
    </w:p>
    <w:p w:rsidR="00644F50" w:rsidRPr="004C7CCD" w:rsidRDefault="00644F50" w:rsidP="00644F50">
      <w:pPr>
        <w:pStyle w:val="Heading2"/>
      </w:pPr>
      <w:r w:rsidRPr="004C7CCD">
        <w:t>Schedule 1.4: Sub-accounts of UNDP managed activities 1991-2015</w:t>
      </w:r>
    </w:p>
    <w:p w:rsidR="00644F50" w:rsidRPr="004C7CCD" w:rsidRDefault="00644F50" w:rsidP="00644F50">
      <w:pPr>
        <w:pStyle w:val="Heading2"/>
      </w:pPr>
      <w:r w:rsidRPr="004C7CCD">
        <w:t>Schedule 1.5: Sub-accounts of UNEP managed activities 1991-2015</w:t>
      </w:r>
    </w:p>
    <w:p w:rsidR="00644F50" w:rsidRPr="004C7CCD" w:rsidRDefault="00644F50" w:rsidP="00644F50">
      <w:pPr>
        <w:pStyle w:val="Heading2"/>
      </w:pPr>
      <w:r w:rsidRPr="004C7CCD">
        <w:t>Schedule 1.6: Sub-accounts of UNIDO managed activities 1991-2015</w:t>
      </w:r>
    </w:p>
    <w:p w:rsidR="00644F50" w:rsidRDefault="00644F50" w:rsidP="00644F50">
      <w:pPr>
        <w:pStyle w:val="Heading2"/>
      </w:pPr>
      <w:r w:rsidRPr="004C7CCD">
        <w:t xml:space="preserve">Schedule 1.7: Sub-accounts of the World Bank </w:t>
      </w:r>
      <w:r>
        <w:t>m</w:t>
      </w:r>
      <w:r w:rsidRPr="004C7CCD">
        <w:t xml:space="preserve">anaged </w:t>
      </w:r>
      <w:r>
        <w:t>a</w:t>
      </w:r>
      <w:r w:rsidRPr="004C7CCD">
        <w:t>ctivities 1991-2015</w:t>
      </w:r>
    </w:p>
    <w:p w:rsidR="00644F50" w:rsidRDefault="00644F50" w:rsidP="00644F50">
      <w:pPr>
        <w:pStyle w:val="Heading1"/>
      </w:pPr>
      <w:r w:rsidRPr="000F0FAB">
        <w:t xml:space="preserve">Schedule 1.1 provides information </w:t>
      </w:r>
      <w:r w:rsidR="00BC5E7D">
        <w:t xml:space="preserve">on </w:t>
      </w:r>
      <w:r>
        <w:t xml:space="preserve">agreed contributions under the </w:t>
      </w:r>
      <w:r w:rsidR="001E56DC">
        <w:t xml:space="preserve">revenue </w:t>
      </w:r>
      <w:r>
        <w:t>category</w:t>
      </w:r>
      <w:r w:rsidR="00BC5E7D">
        <w:t xml:space="preserve">. </w:t>
      </w:r>
      <w:r w:rsidR="00D81C1A">
        <w:t>T</w:t>
      </w:r>
      <w:r>
        <w:t xml:space="preserve">he </w:t>
      </w:r>
      <w:r w:rsidR="00D81C1A" w:rsidRPr="00616A8E">
        <w:t>Fixed Exchange Rate Mechanism</w:t>
      </w:r>
      <w:r w:rsidR="00D81C1A">
        <w:t xml:space="preserve"> </w:t>
      </w:r>
      <w:r w:rsidRPr="00A3465F">
        <w:t xml:space="preserve">loss </w:t>
      </w:r>
      <w:r w:rsidR="00BC5E7D">
        <w:t>was</w:t>
      </w:r>
      <w:r w:rsidR="00BC5E7D" w:rsidRPr="00035770">
        <w:t xml:space="preserve"> </w:t>
      </w:r>
      <w:r w:rsidRPr="0045319E">
        <w:rPr>
          <w:color w:val="000000"/>
          <w:lang w:val="en-US"/>
        </w:rPr>
        <w:t>US $</w:t>
      </w:r>
      <w:r w:rsidRPr="0045319E">
        <w:t xml:space="preserve">20,937,000 in 2015 compared to </w:t>
      </w:r>
      <w:r w:rsidRPr="0045319E">
        <w:rPr>
          <w:color w:val="000000"/>
          <w:lang w:val="en-US"/>
        </w:rPr>
        <w:t>US $</w:t>
      </w:r>
      <w:r w:rsidRPr="0045319E">
        <w:t>1,784,000 in</w:t>
      </w:r>
      <w:r w:rsidR="0045319E">
        <w:t xml:space="preserve"> </w:t>
      </w:r>
      <w:r w:rsidRPr="00A11925">
        <w:t>2014</w:t>
      </w:r>
      <w:r w:rsidR="00BC5E7D" w:rsidRPr="00A11925">
        <w:t>.</w:t>
      </w:r>
      <w:r>
        <w:t xml:space="preserve"> </w:t>
      </w:r>
      <w:r w:rsidR="00BC5E7D">
        <w:t xml:space="preserve">This is attributable to </w:t>
      </w:r>
      <w:r w:rsidR="001E56DC">
        <w:t xml:space="preserve">strengthening of the </w:t>
      </w:r>
      <w:r>
        <w:t>U</w:t>
      </w:r>
      <w:r w:rsidR="00A11925">
        <w:t xml:space="preserve">nited </w:t>
      </w:r>
      <w:r>
        <w:t>S</w:t>
      </w:r>
      <w:r w:rsidR="00A11925">
        <w:t>tates</w:t>
      </w:r>
      <w:r>
        <w:t xml:space="preserve"> dollar </w:t>
      </w:r>
      <w:r w:rsidR="00BC5E7D">
        <w:t xml:space="preserve">in 2015 </w:t>
      </w:r>
      <w:r w:rsidR="00D81C1A">
        <w:t xml:space="preserve">compared to other </w:t>
      </w:r>
      <w:r w:rsidR="00BC5E7D">
        <w:t>currencies in which significant amount of contributions were received</w:t>
      </w:r>
      <w:r w:rsidR="00D81C1A">
        <w:t xml:space="preserve">. This schedule also shows the </w:t>
      </w:r>
      <w:r>
        <w:t xml:space="preserve">aggregated data on the Secretariat and the implementing agencies’ (IAs) </w:t>
      </w:r>
      <w:r w:rsidR="002C31EB">
        <w:t>expenses</w:t>
      </w:r>
      <w:r>
        <w:t xml:space="preserve">; and the net Fund balance </w:t>
      </w:r>
      <w:r w:rsidR="00BC5E7D">
        <w:t xml:space="preserve">as </w:t>
      </w:r>
      <w:r>
        <w:t>at the end of 2015.</w:t>
      </w:r>
    </w:p>
    <w:p w:rsidR="00644F50" w:rsidRPr="00625A0D" w:rsidRDefault="00644F50" w:rsidP="00644F50">
      <w:pPr>
        <w:pStyle w:val="Heading1"/>
        <w:rPr>
          <w:lang w:eastAsia="fr-FR"/>
        </w:rPr>
      </w:pPr>
      <w:r w:rsidRPr="00D27429">
        <w:rPr>
          <w:lang w:val="en-CA" w:eastAsia="fr-FR"/>
        </w:rPr>
        <w:lastRenderedPageBreak/>
        <w:t xml:space="preserve">Schedule 1.2 </w:t>
      </w:r>
      <w:r w:rsidR="0021033C">
        <w:rPr>
          <w:lang w:eastAsia="fr-FR"/>
        </w:rPr>
        <w:t xml:space="preserve">presents the status of </w:t>
      </w:r>
      <w:r w:rsidR="005B1180" w:rsidRPr="00625A0D">
        <w:rPr>
          <w:lang w:eastAsia="fr-FR"/>
        </w:rPr>
        <w:t>voluntary pledges receivable</w:t>
      </w:r>
      <w:r w:rsidR="0021033C">
        <w:rPr>
          <w:lang w:eastAsia="fr-FR"/>
        </w:rPr>
        <w:t xml:space="preserve"> </w:t>
      </w:r>
      <w:r w:rsidR="008239D6">
        <w:rPr>
          <w:lang w:eastAsia="fr-FR"/>
        </w:rPr>
        <w:t>which amounted to</w:t>
      </w:r>
      <w:r w:rsidR="0021033C">
        <w:rPr>
          <w:lang w:eastAsia="fr-FR"/>
        </w:rPr>
        <w:t xml:space="preserve"> </w:t>
      </w:r>
      <w:r>
        <w:rPr>
          <w:lang w:eastAsia="fr-FR"/>
        </w:rPr>
        <w:t>US $11,427,124</w:t>
      </w:r>
      <w:r w:rsidR="008239D6">
        <w:rPr>
          <w:lang w:eastAsia="fr-FR"/>
        </w:rPr>
        <w:t xml:space="preserve">. This </w:t>
      </w:r>
      <w:r w:rsidR="00A11925">
        <w:rPr>
          <w:lang w:eastAsia="fr-FR"/>
        </w:rPr>
        <w:t>is</w:t>
      </w:r>
      <w:r w:rsidR="008239D6">
        <w:rPr>
          <w:lang w:eastAsia="fr-FR"/>
        </w:rPr>
        <w:t xml:space="preserve"> after </w:t>
      </w:r>
      <w:r w:rsidR="00A11925">
        <w:rPr>
          <w:lang w:eastAsia="fr-FR"/>
        </w:rPr>
        <w:t xml:space="preserve">reducing </w:t>
      </w:r>
      <w:r w:rsidR="008239D6">
        <w:t>total aggregate</w:t>
      </w:r>
      <w:r w:rsidR="008239D6" w:rsidRPr="00625A0D">
        <w:t xml:space="preserve"> </w:t>
      </w:r>
      <w:r w:rsidR="008239D6" w:rsidRPr="0045319E">
        <w:t>receivable</w:t>
      </w:r>
      <w:r w:rsidR="008239D6">
        <w:t xml:space="preserve"> of </w:t>
      </w:r>
      <w:r w:rsidR="008239D6">
        <w:rPr>
          <w:color w:val="000000"/>
          <w:lang w:val="en-US"/>
        </w:rPr>
        <w:t>US $</w:t>
      </w:r>
      <w:r w:rsidR="008239D6" w:rsidRPr="00035770">
        <w:rPr>
          <w:lang w:eastAsia="fr-FR"/>
        </w:rPr>
        <w:t xml:space="preserve">188,082,048 </w:t>
      </w:r>
      <w:r w:rsidR="008239D6">
        <w:rPr>
          <w:lang w:eastAsia="fr-FR"/>
        </w:rPr>
        <w:t xml:space="preserve">by </w:t>
      </w:r>
      <w:r w:rsidR="008239D6">
        <w:rPr>
          <w:color w:val="000000"/>
          <w:lang w:val="en-US"/>
        </w:rPr>
        <w:t>US $</w:t>
      </w:r>
      <w:r w:rsidR="008239D6" w:rsidRPr="00625A0D">
        <w:rPr>
          <w:lang w:eastAsia="fr-FR"/>
        </w:rPr>
        <w:t>176,654,924</w:t>
      </w:r>
      <w:r w:rsidR="00A11925">
        <w:rPr>
          <w:lang w:eastAsia="fr-FR"/>
        </w:rPr>
        <w:t>,</w:t>
      </w:r>
      <w:r w:rsidR="008239D6">
        <w:rPr>
          <w:lang w:eastAsia="fr-FR"/>
        </w:rPr>
        <w:t xml:space="preserve"> being provision for doubtful accounts </w:t>
      </w:r>
      <w:r w:rsidRPr="00625A0D">
        <w:rPr>
          <w:lang w:eastAsia="fr-FR"/>
        </w:rPr>
        <w:t xml:space="preserve">in line with </w:t>
      </w:r>
      <w:r>
        <w:rPr>
          <w:lang w:eastAsia="fr-FR"/>
        </w:rPr>
        <w:t xml:space="preserve">the </w:t>
      </w:r>
      <w:r w:rsidRPr="006F1051">
        <w:t xml:space="preserve">International Public Sector Accounting Standards </w:t>
      </w:r>
      <w:r>
        <w:t>(</w:t>
      </w:r>
      <w:r w:rsidRPr="00625A0D">
        <w:rPr>
          <w:lang w:eastAsia="fr-FR"/>
        </w:rPr>
        <w:t>IPSAS</w:t>
      </w:r>
      <w:r>
        <w:rPr>
          <w:lang w:eastAsia="fr-FR"/>
        </w:rPr>
        <w:t>)</w:t>
      </w:r>
      <w:r w:rsidR="0021033C">
        <w:rPr>
          <w:lang w:eastAsia="fr-FR"/>
        </w:rPr>
        <w:t xml:space="preserve">. </w:t>
      </w:r>
      <w:r w:rsidRPr="00625A0D">
        <w:rPr>
          <w:lang w:eastAsia="fr-FR"/>
        </w:rPr>
        <w:t xml:space="preserve"> </w:t>
      </w:r>
      <w:r w:rsidR="005B1180">
        <w:rPr>
          <w:lang w:eastAsia="fr-FR"/>
        </w:rPr>
        <w:t xml:space="preserve">It </w:t>
      </w:r>
      <w:r w:rsidRPr="00625A0D">
        <w:rPr>
          <w:lang w:eastAsia="fr-FR"/>
        </w:rPr>
        <w:t xml:space="preserve">also shows </w:t>
      </w:r>
      <w:r w:rsidRPr="00625A0D">
        <w:t>promissory notes deposited</w:t>
      </w:r>
      <w:r>
        <w:t xml:space="preserve"> and classified as </w:t>
      </w:r>
      <w:r w:rsidR="005B1180">
        <w:t xml:space="preserve">short-term </w:t>
      </w:r>
      <w:r>
        <w:t>(</w:t>
      </w:r>
      <w:r>
        <w:rPr>
          <w:color w:val="000000"/>
          <w:lang w:val="en-US"/>
        </w:rPr>
        <w:t>US $</w:t>
      </w:r>
      <w:r>
        <w:t xml:space="preserve">8,787,000) and </w:t>
      </w:r>
      <w:r w:rsidR="005B1180">
        <w:t xml:space="preserve">long-term </w:t>
      </w:r>
      <w:r>
        <w:t>(</w:t>
      </w:r>
      <w:r>
        <w:rPr>
          <w:color w:val="000000"/>
          <w:lang w:val="en-US"/>
        </w:rPr>
        <w:t>US $</w:t>
      </w:r>
      <w:r>
        <w:t>1,433,000)</w:t>
      </w:r>
      <w:r w:rsidR="005B1180">
        <w:t xml:space="preserve"> for a total aggregate </w:t>
      </w:r>
      <w:r w:rsidR="005B1180" w:rsidRPr="00625A0D">
        <w:rPr>
          <w:lang w:eastAsia="fr-FR"/>
        </w:rPr>
        <w:t xml:space="preserve">amount of </w:t>
      </w:r>
      <w:r w:rsidR="005B1180">
        <w:rPr>
          <w:color w:val="000000"/>
          <w:lang w:val="en-US"/>
        </w:rPr>
        <w:t>US $</w:t>
      </w:r>
      <w:r w:rsidR="005B1180" w:rsidRPr="00625A0D">
        <w:rPr>
          <w:lang w:eastAsia="fr-FR"/>
        </w:rPr>
        <w:t>1</w:t>
      </w:r>
      <w:r w:rsidR="005B1180">
        <w:rPr>
          <w:lang w:eastAsia="fr-FR"/>
        </w:rPr>
        <w:t>0</w:t>
      </w:r>
      <w:r w:rsidR="005B1180" w:rsidRPr="00625A0D">
        <w:rPr>
          <w:lang w:eastAsia="fr-FR"/>
        </w:rPr>
        <w:t>,</w:t>
      </w:r>
      <w:r w:rsidR="005B1180">
        <w:rPr>
          <w:lang w:eastAsia="fr-FR"/>
        </w:rPr>
        <w:t>220</w:t>
      </w:r>
      <w:r w:rsidR="005B1180" w:rsidRPr="00625A0D">
        <w:rPr>
          <w:lang w:eastAsia="fr-FR"/>
        </w:rPr>
        <w:t>,000</w:t>
      </w:r>
      <w:r w:rsidRPr="00625A0D">
        <w:t xml:space="preserve">. </w:t>
      </w:r>
    </w:p>
    <w:p w:rsidR="00644F50" w:rsidRPr="00A11925" w:rsidRDefault="00644F50" w:rsidP="005B1180">
      <w:pPr>
        <w:pStyle w:val="Heading1"/>
      </w:pPr>
      <w:r w:rsidRPr="006F1051">
        <w:t xml:space="preserve">Schedule 1.3 presents actual </w:t>
      </w:r>
      <w:r w:rsidR="002C31EB">
        <w:t>expenses</w:t>
      </w:r>
      <w:r w:rsidR="002C31EB" w:rsidRPr="006F1051">
        <w:t xml:space="preserve"> </w:t>
      </w:r>
      <w:r w:rsidRPr="006F1051">
        <w:t xml:space="preserve">of the Secretariat budget </w:t>
      </w:r>
      <w:r w:rsidR="00BC5E7D">
        <w:t xml:space="preserve">in 2015 </w:t>
      </w:r>
      <w:r w:rsidRPr="006F1051">
        <w:t>as approved by decision 72/43(c)</w:t>
      </w:r>
      <w:r w:rsidR="008A3539">
        <w:t>.</w:t>
      </w:r>
      <w:r w:rsidRPr="006F1051">
        <w:t xml:space="preserve"> </w:t>
      </w:r>
      <w:r w:rsidR="008239D6">
        <w:t xml:space="preserve">Although the </w:t>
      </w:r>
      <w:r w:rsidRPr="006F1051">
        <w:t xml:space="preserve">unspent balance </w:t>
      </w:r>
      <w:r w:rsidR="008239D6">
        <w:t xml:space="preserve">is </w:t>
      </w:r>
      <w:r>
        <w:t>US $</w:t>
      </w:r>
      <w:r w:rsidRPr="006F1051">
        <w:t xml:space="preserve">1,879,353, </w:t>
      </w:r>
      <w:r>
        <w:t>US $</w:t>
      </w:r>
      <w:r w:rsidR="007C4D93">
        <w:t>402,099</w:t>
      </w:r>
      <w:r w:rsidRPr="006F1051">
        <w:t xml:space="preserve"> </w:t>
      </w:r>
      <w:r w:rsidR="00A11925">
        <w:t>incurred</w:t>
      </w:r>
      <w:r w:rsidR="00A11925" w:rsidRPr="006F1051">
        <w:t xml:space="preserve"> </w:t>
      </w:r>
      <w:r w:rsidRPr="006F1051">
        <w:t xml:space="preserve">in 2015 </w:t>
      </w:r>
      <w:r w:rsidR="00A11925">
        <w:t xml:space="preserve">had </w:t>
      </w:r>
      <w:r w:rsidRPr="006F1051">
        <w:t xml:space="preserve">not </w:t>
      </w:r>
      <w:r w:rsidR="00A11925">
        <w:t xml:space="preserve">been </w:t>
      </w:r>
      <w:r w:rsidR="00AE406A">
        <w:t>expensed</w:t>
      </w:r>
      <w:r w:rsidR="008A3539">
        <w:t xml:space="preserve"> </w:t>
      </w:r>
      <w:r w:rsidRPr="006F1051">
        <w:t>in 2015</w:t>
      </w:r>
      <w:r w:rsidR="008A3539">
        <w:t xml:space="preserve">; </w:t>
      </w:r>
      <w:r w:rsidR="00601A91">
        <w:t>so</w:t>
      </w:r>
      <w:r w:rsidR="008A3539">
        <w:t xml:space="preserve"> the return to the Multilateral Fund at the 77</w:t>
      </w:r>
      <w:r w:rsidR="008A3539" w:rsidRPr="008A3539">
        <w:rPr>
          <w:vertAlign w:val="superscript"/>
        </w:rPr>
        <w:t>th</w:t>
      </w:r>
      <w:r w:rsidR="008A3539">
        <w:t xml:space="preserve"> mee</w:t>
      </w:r>
      <w:r w:rsidR="00601A91">
        <w:t>ting is US</w:t>
      </w:r>
      <w:r w:rsidR="00E877BF">
        <w:t xml:space="preserve"> </w:t>
      </w:r>
      <w:r w:rsidR="00601A91">
        <w:t>$1,</w:t>
      </w:r>
      <w:r w:rsidR="007C4D93">
        <w:t>477</w:t>
      </w:r>
      <w:r w:rsidR="00601A91">
        <w:t>,253</w:t>
      </w:r>
      <w:r w:rsidR="00E877BF">
        <w:t>,</w:t>
      </w:r>
      <w:r w:rsidR="00601A91">
        <w:t xml:space="preserve"> </w:t>
      </w:r>
      <w:r w:rsidR="00A11925">
        <w:t xml:space="preserve">consisting of </w:t>
      </w:r>
      <w:r>
        <w:t>US $</w:t>
      </w:r>
      <w:r w:rsidRPr="006F1051">
        <w:t>1,449,117</w:t>
      </w:r>
      <w:r w:rsidR="008A3539">
        <w:t xml:space="preserve"> from </w:t>
      </w:r>
      <w:r>
        <w:t>the Secretariat</w:t>
      </w:r>
      <w:r w:rsidR="008A3539">
        <w:t>’</w:t>
      </w:r>
      <w:r>
        <w:t>s</w:t>
      </w:r>
      <w:r w:rsidRPr="006F1051">
        <w:t xml:space="preserve"> budget</w:t>
      </w:r>
      <w:r w:rsidR="008172E9">
        <w:t xml:space="preserve"> </w:t>
      </w:r>
      <w:r w:rsidRPr="006F1051">
        <w:t xml:space="preserve">and </w:t>
      </w:r>
      <w:r>
        <w:t>US $</w:t>
      </w:r>
      <w:r w:rsidR="007C4D93">
        <w:t>28</w:t>
      </w:r>
      <w:r w:rsidRPr="006F1051">
        <w:t>,136</w:t>
      </w:r>
      <w:r w:rsidR="008A3539">
        <w:t xml:space="preserve"> from the </w:t>
      </w:r>
      <w:r w:rsidRPr="006F1051">
        <w:t>M</w:t>
      </w:r>
      <w:r>
        <w:t xml:space="preserve">onitoring and Evaluation </w:t>
      </w:r>
      <w:r w:rsidRPr="006F1051">
        <w:t>budget.</w:t>
      </w:r>
      <w:r w:rsidR="008A3539">
        <w:t xml:space="preserve"> </w:t>
      </w:r>
      <w:r w:rsidR="008A3539" w:rsidRPr="0045319E">
        <w:t xml:space="preserve">An additional </w:t>
      </w:r>
      <w:r w:rsidRPr="0045319E">
        <w:t>US $25,934</w:t>
      </w:r>
      <w:r w:rsidR="008A3539" w:rsidRPr="0045319E">
        <w:t>,</w:t>
      </w:r>
      <w:r w:rsidRPr="0045319E">
        <w:t xml:space="preserve"> representing the difference in cost between P4 and P5</w:t>
      </w:r>
      <w:r w:rsidR="00E877BF">
        <w:t>,</w:t>
      </w:r>
      <w:r w:rsidRPr="0045319E">
        <w:t xml:space="preserve"> </w:t>
      </w:r>
      <w:r w:rsidR="008A3539" w:rsidRPr="0045319E">
        <w:t xml:space="preserve">will </w:t>
      </w:r>
      <w:r w:rsidRPr="0045319E">
        <w:t xml:space="preserve">be returned in 2016 from the Treasurer’s </w:t>
      </w:r>
      <w:r w:rsidRPr="00A11925">
        <w:t xml:space="preserve">fee. </w:t>
      </w:r>
    </w:p>
    <w:p w:rsidR="00644F50" w:rsidRPr="00BA16ED" w:rsidRDefault="00644F50" w:rsidP="00A7166D">
      <w:pPr>
        <w:pStyle w:val="Heading1"/>
        <w:rPr>
          <w:lang w:val="en-CA"/>
        </w:rPr>
      </w:pPr>
      <w:r w:rsidRPr="004E3928">
        <w:t xml:space="preserve">Schedules 1.4 to 1.7 contain the </w:t>
      </w:r>
      <w:r w:rsidR="00A7166D">
        <w:t xml:space="preserve">final </w:t>
      </w:r>
      <w:r w:rsidRPr="004E3928">
        <w:t xml:space="preserve">accounts of </w:t>
      </w:r>
      <w:r w:rsidR="00A7166D">
        <w:t xml:space="preserve">the </w:t>
      </w:r>
      <w:r w:rsidRPr="004E3928">
        <w:t>IAs</w:t>
      </w:r>
      <w:r w:rsidR="00A7166D">
        <w:t xml:space="preserve"> submitted </w:t>
      </w:r>
      <w:r w:rsidRPr="004E3928">
        <w:t xml:space="preserve">to the Treasurer by the end of September 2016. Since the IAs’ final accounts were submitted after UNEP 2015 accounts were closed, only the provisional accounts </w:t>
      </w:r>
      <w:r w:rsidR="00A7166D">
        <w:t xml:space="preserve">submitted by the IAs in </w:t>
      </w:r>
      <w:r w:rsidR="00A7166D" w:rsidRPr="004E3928">
        <w:t>January 201</w:t>
      </w:r>
      <w:r w:rsidR="00A7166D">
        <w:t>6</w:t>
      </w:r>
      <w:r w:rsidR="00A7166D" w:rsidRPr="004E3928">
        <w:t xml:space="preserve"> </w:t>
      </w:r>
      <w:r w:rsidRPr="004E3928">
        <w:t>were recorded in the UNEP final accounts</w:t>
      </w:r>
      <w:r>
        <w:t xml:space="preserve">. </w:t>
      </w:r>
      <w:r w:rsidRPr="00BA16ED">
        <w:rPr>
          <w:bCs/>
          <w:sz w:val="21"/>
          <w:szCs w:val="21"/>
        </w:rPr>
        <w:t>Table 1 provide</w:t>
      </w:r>
      <w:r w:rsidR="00A7166D">
        <w:rPr>
          <w:bCs/>
          <w:sz w:val="21"/>
          <w:szCs w:val="21"/>
        </w:rPr>
        <w:t>s</w:t>
      </w:r>
      <w:r w:rsidRPr="00BA16ED">
        <w:rPr>
          <w:bCs/>
          <w:sz w:val="21"/>
          <w:szCs w:val="21"/>
        </w:rPr>
        <w:t xml:space="preserve"> the difference between IAs’ provisional</w:t>
      </w:r>
      <w:r w:rsidR="000A0073">
        <w:rPr>
          <w:bCs/>
          <w:sz w:val="21"/>
          <w:szCs w:val="21"/>
        </w:rPr>
        <w:t xml:space="preserve"> </w:t>
      </w:r>
      <w:r w:rsidRPr="00BA16ED">
        <w:rPr>
          <w:bCs/>
          <w:sz w:val="21"/>
          <w:szCs w:val="21"/>
        </w:rPr>
        <w:t xml:space="preserve">and final 2015 accounts on aggregate </w:t>
      </w:r>
      <w:r w:rsidR="002C31EB">
        <w:rPr>
          <w:bCs/>
          <w:sz w:val="21"/>
          <w:szCs w:val="21"/>
        </w:rPr>
        <w:t>revenue</w:t>
      </w:r>
      <w:r w:rsidR="002C31EB" w:rsidRPr="00BA16ED">
        <w:rPr>
          <w:bCs/>
          <w:sz w:val="21"/>
          <w:szCs w:val="21"/>
        </w:rPr>
        <w:t xml:space="preserve"> </w:t>
      </w:r>
      <w:r w:rsidRPr="00BA16ED">
        <w:rPr>
          <w:bCs/>
          <w:sz w:val="21"/>
          <w:szCs w:val="21"/>
        </w:rPr>
        <w:t xml:space="preserve">and </w:t>
      </w:r>
      <w:r w:rsidR="002C31EB" w:rsidRPr="00BA16ED">
        <w:rPr>
          <w:bCs/>
          <w:sz w:val="21"/>
          <w:szCs w:val="21"/>
        </w:rPr>
        <w:t>expen</w:t>
      </w:r>
      <w:r w:rsidR="002C31EB">
        <w:rPr>
          <w:bCs/>
          <w:sz w:val="21"/>
          <w:szCs w:val="21"/>
        </w:rPr>
        <w:t>ses</w:t>
      </w:r>
      <w:r w:rsidR="002C31EB" w:rsidRPr="00BA16ED">
        <w:rPr>
          <w:bCs/>
          <w:sz w:val="21"/>
          <w:szCs w:val="21"/>
        </w:rPr>
        <w:t xml:space="preserve"> </w:t>
      </w:r>
      <w:r w:rsidRPr="004E3928">
        <w:t>and shall be recorded in the 2016 accounts</w:t>
      </w:r>
      <w:r w:rsidRPr="00BA16ED">
        <w:rPr>
          <w:bCs/>
          <w:sz w:val="21"/>
          <w:szCs w:val="21"/>
        </w:rPr>
        <w:t>.</w:t>
      </w:r>
    </w:p>
    <w:p w:rsidR="00644F50" w:rsidRPr="00A7166D" w:rsidRDefault="00644F50" w:rsidP="00644F50">
      <w:pPr>
        <w:keepNext/>
        <w:tabs>
          <w:tab w:val="left" w:pos="1260"/>
        </w:tabs>
        <w:rPr>
          <w:b/>
          <w:sz w:val="20"/>
          <w:szCs w:val="20"/>
        </w:rPr>
      </w:pPr>
      <w:r w:rsidRPr="00A7166D">
        <w:rPr>
          <w:b/>
          <w:sz w:val="20"/>
          <w:szCs w:val="20"/>
        </w:rPr>
        <w:t xml:space="preserve">Table 1. </w:t>
      </w:r>
      <w:r w:rsidRPr="00A7166D">
        <w:rPr>
          <w:b/>
          <w:bCs/>
          <w:sz w:val="20"/>
          <w:szCs w:val="20"/>
        </w:rPr>
        <w:t xml:space="preserve">Differences between provisional and final 2015 accounts on aggregate income </w:t>
      </w:r>
      <w:r w:rsidR="00A7166D" w:rsidRPr="00A7166D">
        <w:rPr>
          <w:b/>
          <w:bCs/>
          <w:sz w:val="20"/>
          <w:szCs w:val="20"/>
        </w:rPr>
        <w:t xml:space="preserve">and expenditure </w:t>
      </w:r>
      <w:r w:rsidRPr="00A7166D">
        <w:rPr>
          <w:b/>
          <w:bCs/>
          <w:sz w:val="20"/>
          <w:szCs w:val="20"/>
        </w:rPr>
        <w:t>(US</w:t>
      </w:r>
      <w:r w:rsidR="00A7166D" w:rsidRPr="00A7166D">
        <w:rPr>
          <w:b/>
          <w:bCs/>
          <w:sz w:val="20"/>
          <w:szCs w:val="20"/>
        </w:rPr>
        <w:t> </w:t>
      </w:r>
      <w:r w:rsidRPr="00A7166D">
        <w:rPr>
          <w:b/>
          <w:bCs/>
          <w:sz w:val="20"/>
          <w:szCs w:val="20"/>
        </w:rPr>
        <w:t>$)</w:t>
      </w:r>
    </w:p>
    <w:tbl>
      <w:tblPr>
        <w:tblW w:w="9356" w:type="dxa"/>
        <w:tblInd w:w="108" w:type="dxa"/>
        <w:tblLook w:val="04A0" w:firstRow="1" w:lastRow="0" w:firstColumn="1" w:lastColumn="0" w:noHBand="0" w:noVBand="1"/>
      </w:tblPr>
      <w:tblGrid>
        <w:gridCol w:w="2326"/>
        <w:gridCol w:w="12"/>
        <w:gridCol w:w="2330"/>
        <w:gridCol w:w="8"/>
        <w:gridCol w:w="2338"/>
        <w:gridCol w:w="2342"/>
      </w:tblGrid>
      <w:tr w:rsidR="00644F50" w:rsidRPr="000F0FAB" w:rsidTr="00A7166D">
        <w:tc>
          <w:tcPr>
            <w:tcW w:w="2326" w:type="dxa"/>
            <w:tcBorders>
              <w:top w:val="single" w:sz="4" w:space="0" w:color="auto"/>
              <w:left w:val="single" w:sz="4" w:space="0" w:color="auto"/>
              <w:bottom w:val="single" w:sz="4" w:space="0" w:color="auto"/>
              <w:right w:val="single" w:sz="4" w:space="0" w:color="auto"/>
            </w:tcBorders>
            <w:vAlign w:val="center"/>
            <w:hideMark/>
          </w:tcPr>
          <w:p w:rsidR="00644F50" w:rsidRPr="000F0FAB" w:rsidRDefault="00644F50" w:rsidP="00A7166D">
            <w:pPr>
              <w:widowControl w:val="0"/>
              <w:jc w:val="left"/>
              <w:rPr>
                <w:rFonts w:eastAsia="MS Mincho"/>
                <w:b/>
                <w:bCs/>
                <w:sz w:val="21"/>
                <w:szCs w:val="21"/>
                <w:lang w:val="en-US" w:eastAsia="ja-JP"/>
              </w:rPr>
            </w:pPr>
            <w:r w:rsidRPr="000F0FAB">
              <w:rPr>
                <w:rFonts w:eastAsia="MS Mincho"/>
                <w:b/>
                <w:bCs/>
                <w:sz w:val="21"/>
                <w:szCs w:val="21"/>
                <w:lang w:eastAsia="ja-JP"/>
              </w:rPr>
              <w:t>Agency</w:t>
            </w:r>
          </w:p>
        </w:tc>
        <w:tc>
          <w:tcPr>
            <w:tcW w:w="2342" w:type="dxa"/>
            <w:gridSpan w:val="2"/>
            <w:tcBorders>
              <w:top w:val="single" w:sz="4" w:space="0" w:color="auto"/>
              <w:left w:val="nil"/>
              <w:bottom w:val="single" w:sz="4" w:space="0" w:color="auto"/>
              <w:right w:val="single" w:sz="4" w:space="0" w:color="auto"/>
            </w:tcBorders>
            <w:hideMark/>
          </w:tcPr>
          <w:p w:rsidR="00644F50" w:rsidRPr="000F0FAB" w:rsidRDefault="00644F50" w:rsidP="00803A84">
            <w:pPr>
              <w:keepNext/>
              <w:jc w:val="center"/>
              <w:rPr>
                <w:rFonts w:eastAsia="MS Mincho"/>
                <w:b/>
                <w:bCs/>
                <w:sz w:val="21"/>
                <w:szCs w:val="21"/>
                <w:lang w:val="en-US" w:eastAsia="ja-JP"/>
              </w:rPr>
            </w:pPr>
            <w:r w:rsidRPr="000F0FAB">
              <w:rPr>
                <w:rFonts w:eastAsia="MS Mincho"/>
                <w:b/>
                <w:bCs/>
                <w:sz w:val="21"/>
                <w:szCs w:val="21"/>
                <w:lang w:eastAsia="ja-JP"/>
              </w:rPr>
              <w:t>Provisional</w:t>
            </w:r>
          </w:p>
        </w:tc>
        <w:tc>
          <w:tcPr>
            <w:tcW w:w="2346" w:type="dxa"/>
            <w:gridSpan w:val="2"/>
            <w:tcBorders>
              <w:top w:val="single" w:sz="4" w:space="0" w:color="auto"/>
              <w:left w:val="nil"/>
              <w:bottom w:val="single" w:sz="4" w:space="0" w:color="auto"/>
              <w:right w:val="single" w:sz="4" w:space="0" w:color="auto"/>
            </w:tcBorders>
            <w:hideMark/>
          </w:tcPr>
          <w:p w:rsidR="00644F50" w:rsidRPr="000F0FAB" w:rsidRDefault="00644F50" w:rsidP="00803A84">
            <w:pPr>
              <w:keepNext/>
              <w:jc w:val="center"/>
              <w:rPr>
                <w:rFonts w:eastAsia="MS Mincho"/>
                <w:b/>
                <w:bCs/>
                <w:sz w:val="21"/>
                <w:szCs w:val="21"/>
                <w:lang w:val="en-US" w:eastAsia="ja-JP"/>
              </w:rPr>
            </w:pPr>
            <w:r w:rsidRPr="000F0FAB">
              <w:rPr>
                <w:rFonts w:eastAsia="MS Mincho"/>
                <w:b/>
                <w:bCs/>
                <w:sz w:val="21"/>
                <w:szCs w:val="21"/>
                <w:lang w:eastAsia="ja-JP"/>
              </w:rPr>
              <w:t>Final</w:t>
            </w:r>
          </w:p>
        </w:tc>
        <w:tc>
          <w:tcPr>
            <w:tcW w:w="2342" w:type="dxa"/>
            <w:tcBorders>
              <w:top w:val="single" w:sz="4" w:space="0" w:color="auto"/>
              <w:left w:val="nil"/>
              <w:bottom w:val="single" w:sz="4" w:space="0" w:color="auto"/>
              <w:right w:val="single" w:sz="4" w:space="0" w:color="auto"/>
            </w:tcBorders>
            <w:hideMark/>
          </w:tcPr>
          <w:p w:rsidR="00644F50" w:rsidRPr="000F0FAB" w:rsidRDefault="00644F50" w:rsidP="00803A84">
            <w:pPr>
              <w:keepNext/>
              <w:jc w:val="center"/>
              <w:rPr>
                <w:rFonts w:eastAsia="MS Mincho"/>
                <w:b/>
                <w:bCs/>
                <w:sz w:val="21"/>
                <w:szCs w:val="21"/>
                <w:lang w:val="en-US" w:eastAsia="ja-JP"/>
              </w:rPr>
            </w:pPr>
            <w:r w:rsidRPr="000F0FAB">
              <w:rPr>
                <w:rFonts w:eastAsia="MS Mincho"/>
                <w:b/>
                <w:bCs/>
                <w:sz w:val="21"/>
                <w:szCs w:val="21"/>
                <w:lang w:eastAsia="ja-JP"/>
              </w:rPr>
              <w:t>Difference</w:t>
            </w:r>
          </w:p>
        </w:tc>
      </w:tr>
      <w:tr w:rsidR="00A7166D" w:rsidRPr="00A7166D" w:rsidTr="00A7166D">
        <w:tc>
          <w:tcPr>
            <w:tcW w:w="9356" w:type="dxa"/>
            <w:gridSpan w:val="6"/>
            <w:tcBorders>
              <w:top w:val="nil"/>
              <w:left w:val="single" w:sz="4" w:space="0" w:color="auto"/>
              <w:bottom w:val="single" w:sz="4" w:space="0" w:color="auto"/>
              <w:right w:val="single" w:sz="4" w:space="0" w:color="auto"/>
            </w:tcBorders>
            <w:vAlign w:val="center"/>
          </w:tcPr>
          <w:p w:rsidR="00A7166D" w:rsidRPr="00A7166D" w:rsidRDefault="00A7166D" w:rsidP="00A7166D">
            <w:pPr>
              <w:jc w:val="left"/>
              <w:rPr>
                <w:b/>
                <w:sz w:val="21"/>
                <w:szCs w:val="21"/>
              </w:rPr>
            </w:pPr>
            <w:r w:rsidRPr="00A7166D">
              <w:rPr>
                <w:rFonts w:eastAsia="MS Mincho"/>
                <w:b/>
                <w:sz w:val="21"/>
                <w:szCs w:val="21"/>
                <w:lang w:eastAsia="ja-JP"/>
              </w:rPr>
              <w:t>Income</w:t>
            </w:r>
          </w:p>
        </w:tc>
      </w:tr>
      <w:tr w:rsidR="00644F50" w:rsidRPr="000F0FAB" w:rsidTr="00A7166D">
        <w:tc>
          <w:tcPr>
            <w:tcW w:w="2326" w:type="dxa"/>
            <w:tcBorders>
              <w:top w:val="nil"/>
              <w:left w:val="single" w:sz="4" w:space="0" w:color="auto"/>
              <w:bottom w:val="single" w:sz="4" w:space="0" w:color="auto"/>
              <w:right w:val="single" w:sz="4" w:space="0" w:color="auto"/>
            </w:tcBorders>
            <w:vAlign w:val="center"/>
            <w:hideMark/>
          </w:tcPr>
          <w:p w:rsidR="00644F50" w:rsidRPr="000F0FAB" w:rsidRDefault="00644F50" w:rsidP="00A7166D">
            <w:pPr>
              <w:widowControl w:val="0"/>
              <w:jc w:val="left"/>
              <w:rPr>
                <w:rFonts w:eastAsia="MS Mincho"/>
                <w:sz w:val="21"/>
                <w:szCs w:val="21"/>
                <w:lang w:val="en-US" w:eastAsia="ja-JP"/>
              </w:rPr>
            </w:pPr>
            <w:r w:rsidRPr="000F0FAB">
              <w:rPr>
                <w:rFonts w:eastAsia="MS Mincho"/>
                <w:sz w:val="21"/>
                <w:szCs w:val="21"/>
                <w:lang w:eastAsia="ja-JP"/>
              </w:rPr>
              <w:t>UNDP</w:t>
            </w:r>
          </w:p>
        </w:tc>
        <w:tc>
          <w:tcPr>
            <w:tcW w:w="2342"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809,130,012</w:t>
            </w:r>
          </w:p>
        </w:tc>
        <w:tc>
          <w:tcPr>
            <w:tcW w:w="2346"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809,235,358</w:t>
            </w:r>
          </w:p>
        </w:tc>
        <w:tc>
          <w:tcPr>
            <w:tcW w:w="2342"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sidRPr="00C47C6C">
              <w:rPr>
                <w:sz w:val="21"/>
                <w:szCs w:val="21"/>
              </w:rPr>
              <w:t>105,346</w:t>
            </w:r>
          </w:p>
        </w:tc>
      </w:tr>
      <w:tr w:rsidR="00644F50" w:rsidRPr="000F0FAB" w:rsidTr="00A7166D">
        <w:tc>
          <w:tcPr>
            <w:tcW w:w="2326" w:type="dxa"/>
            <w:tcBorders>
              <w:top w:val="nil"/>
              <w:left w:val="single" w:sz="4" w:space="0" w:color="auto"/>
              <w:bottom w:val="single" w:sz="4" w:space="0" w:color="auto"/>
              <w:right w:val="single" w:sz="4" w:space="0" w:color="auto"/>
            </w:tcBorders>
            <w:vAlign w:val="center"/>
            <w:hideMark/>
          </w:tcPr>
          <w:p w:rsidR="00644F50" w:rsidRPr="000F0FAB" w:rsidRDefault="00644F50" w:rsidP="00A7166D">
            <w:pPr>
              <w:widowControl w:val="0"/>
              <w:jc w:val="left"/>
              <w:rPr>
                <w:rFonts w:eastAsia="MS Mincho"/>
                <w:sz w:val="21"/>
                <w:szCs w:val="21"/>
                <w:lang w:val="en-US" w:eastAsia="ja-JP"/>
              </w:rPr>
            </w:pPr>
            <w:r w:rsidRPr="000F0FAB">
              <w:rPr>
                <w:rFonts w:eastAsia="MS Mincho"/>
                <w:sz w:val="21"/>
                <w:szCs w:val="21"/>
                <w:lang w:eastAsia="ja-JP"/>
              </w:rPr>
              <w:t>UNEP</w:t>
            </w:r>
          </w:p>
        </w:tc>
        <w:tc>
          <w:tcPr>
            <w:tcW w:w="2342"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284,585,939</w:t>
            </w:r>
          </w:p>
        </w:tc>
        <w:tc>
          <w:tcPr>
            <w:tcW w:w="2346"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285,596,881</w:t>
            </w:r>
          </w:p>
        </w:tc>
        <w:tc>
          <w:tcPr>
            <w:tcW w:w="2342"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sidRPr="00C47C6C">
              <w:rPr>
                <w:sz w:val="21"/>
                <w:szCs w:val="21"/>
              </w:rPr>
              <w:t>1,010,942</w:t>
            </w:r>
          </w:p>
        </w:tc>
      </w:tr>
      <w:tr w:rsidR="00644F50" w:rsidRPr="000F0FAB" w:rsidTr="00A7166D">
        <w:tc>
          <w:tcPr>
            <w:tcW w:w="2326" w:type="dxa"/>
            <w:tcBorders>
              <w:top w:val="nil"/>
              <w:left w:val="single" w:sz="4" w:space="0" w:color="auto"/>
              <w:bottom w:val="single" w:sz="4" w:space="0" w:color="auto"/>
              <w:right w:val="single" w:sz="4" w:space="0" w:color="auto"/>
            </w:tcBorders>
            <w:vAlign w:val="center"/>
            <w:hideMark/>
          </w:tcPr>
          <w:p w:rsidR="00644F50" w:rsidRPr="000F0FAB" w:rsidRDefault="00644F50" w:rsidP="00803A84">
            <w:pPr>
              <w:jc w:val="left"/>
              <w:rPr>
                <w:rFonts w:eastAsia="MS Mincho"/>
                <w:sz w:val="21"/>
                <w:szCs w:val="21"/>
                <w:lang w:val="en-US" w:eastAsia="ja-JP"/>
              </w:rPr>
            </w:pPr>
            <w:r w:rsidRPr="000F0FAB">
              <w:rPr>
                <w:rFonts w:eastAsia="MS Mincho"/>
                <w:sz w:val="21"/>
                <w:szCs w:val="21"/>
                <w:lang w:eastAsia="ja-JP"/>
              </w:rPr>
              <w:t>UNIDO</w:t>
            </w:r>
          </w:p>
        </w:tc>
        <w:tc>
          <w:tcPr>
            <w:tcW w:w="2342"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835,559,624</w:t>
            </w:r>
          </w:p>
        </w:tc>
        <w:tc>
          <w:tcPr>
            <w:tcW w:w="2346"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835,506,101</w:t>
            </w:r>
          </w:p>
        </w:tc>
        <w:tc>
          <w:tcPr>
            <w:tcW w:w="2342"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sidRPr="00C47C6C">
              <w:rPr>
                <w:sz w:val="21"/>
                <w:szCs w:val="21"/>
              </w:rPr>
              <w:t>(53,523)</w:t>
            </w:r>
          </w:p>
        </w:tc>
      </w:tr>
      <w:tr w:rsidR="00644F50" w:rsidRPr="000F0FAB" w:rsidTr="00A7166D">
        <w:tc>
          <w:tcPr>
            <w:tcW w:w="2326" w:type="dxa"/>
            <w:tcBorders>
              <w:top w:val="nil"/>
              <w:left w:val="single" w:sz="4" w:space="0" w:color="auto"/>
              <w:bottom w:val="single" w:sz="4" w:space="0" w:color="auto"/>
              <w:right w:val="single" w:sz="4" w:space="0" w:color="auto"/>
            </w:tcBorders>
            <w:vAlign w:val="center"/>
            <w:hideMark/>
          </w:tcPr>
          <w:p w:rsidR="00644F50" w:rsidRPr="000F0FAB" w:rsidRDefault="00644F50" w:rsidP="00803A84">
            <w:pPr>
              <w:jc w:val="left"/>
              <w:rPr>
                <w:rFonts w:eastAsia="MS Mincho"/>
                <w:sz w:val="21"/>
                <w:szCs w:val="21"/>
                <w:lang w:val="en-US" w:eastAsia="ja-JP"/>
              </w:rPr>
            </w:pPr>
            <w:r w:rsidRPr="000F0FAB">
              <w:rPr>
                <w:rFonts w:eastAsia="MS Mincho"/>
                <w:sz w:val="21"/>
                <w:szCs w:val="21"/>
                <w:lang w:eastAsia="ja-JP"/>
              </w:rPr>
              <w:t>World Bank</w:t>
            </w:r>
          </w:p>
        </w:tc>
        <w:tc>
          <w:tcPr>
            <w:tcW w:w="2342"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1,216,699,888</w:t>
            </w:r>
          </w:p>
        </w:tc>
        <w:tc>
          <w:tcPr>
            <w:tcW w:w="2346"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1,216,699,888</w:t>
            </w:r>
          </w:p>
        </w:tc>
        <w:tc>
          <w:tcPr>
            <w:tcW w:w="2342"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sidRPr="00C47C6C">
              <w:rPr>
                <w:sz w:val="21"/>
                <w:szCs w:val="21"/>
              </w:rPr>
              <w:t>0</w:t>
            </w:r>
          </w:p>
        </w:tc>
      </w:tr>
      <w:tr w:rsidR="00644F50" w:rsidRPr="000F0FAB" w:rsidTr="00A7166D">
        <w:tc>
          <w:tcPr>
            <w:tcW w:w="2326" w:type="dxa"/>
            <w:tcBorders>
              <w:top w:val="nil"/>
              <w:left w:val="single" w:sz="4" w:space="0" w:color="auto"/>
              <w:bottom w:val="single" w:sz="4" w:space="0" w:color="auto"/>
              <w:right w:val="single" w:sz="4" w:space="0" w:color="auto"/>
            </w:tcBorders>
            <w:vAlign w:val="bottom"/>
            <w:hideMark/>
          </w:tcPr>
          <w:p w:rsidR="00644F50" w:rsidRPr="000F0FAB" w:rsidRDefault="00644F50" w:rsidP="002C31EB">
            <w:pPr>
              <w:jc w:val="left"/>
              <w:rPr>
                <w:rFonts w:eastAsia="MS Mincho"/>
                <w:b/>
                <w:sz w:val="21"/>
                <w:szCs w:val="21"/>
                <w:lang w:eastAsia="ja-JP"/>
              </w:rPr>
            </w:pPr>
            <w:r w:rsidRPr="000F0FAB">
              <w:rPr>
                <w:rFonts w:eastAsia="MS Mincho"/>
                <w:b/>
                <w:sz w:val="21"/>
                <w:szCs w:val="21"/>
                <w:lang w:eastAsia="ja-JP"/>
              </w:rPr>
              <w:t>Total</w:t>
            </w:r>
            <w:r w:rsidR="00A7166D">
              <w:rPr>
                <w:rFonts w:eastAsia="MS Mincho"/>
                <w:b/>
                <w:sz w:val="21"/>
                <w:szCs w:val="21"/>
                <w:lang w:eastAsia="ja-JP"/>
              </w:rPr>
              <w:t xml:space="preserve"> </w:t>
            </w:r>
            <w:r w:rsidR="002C31EB">
              <w:rPr>
                <w:rFonts w:eastAsia="MS Mincho"/>
                <w:b/>
                <w:sz w:val="21"/>
                <w:szCs w:val="21"/>
                <w:lang w:eastAsia="ja-JP"/>
              </w:rPr>
              <w:t>revenue</w:t>
            </w:r>
          </w:p>
        </w:tc>
        <w:tc>
          <w:tcPr>
            <w:tcW w:w="2342" w:type="dxa"/>
            <w:gridSpan w:val="2"/>
            <w:tcBorders>
              <w:top w:val="nil"/>
              <w:left w:val="nil"/>
              <w:bottom w:val="single" w:sz="4" w:space="0" w:color="auto"/>
              <w:right w:val="single" w:sz="4" w:space="0" w:color="auto"/>
            </w:tcBorders>
          </w:tcPr>
          <w:p w:rsidR="00644F50" w:rsidRPr="00A06031" w:rsidRDefault="00644F50" w:rsidP="00803A84">
            <w:pPr>
              <w:jc w:val="center"/>
              <w:rPr>
                <w:b/>
                <w:sz w:val="21"/>
                <w:szCs w:val="21"/>
              </w:rPr>
            </w:pPr>
            <w:r w:rsidRPr="00A06031">
              <w:rPr>
                <w:b/>
                <w:sz w:val="21"/>
                <w:szCs w:val="21"/>
              </w:rPr>
              <w:t>3,145,975,463</w:t>
            </w:r>
          </w:p>
        </w:tc>
        <w:tc>
          <w:tcPr>
            <w:tcW w:w="2346" w:type="dxa"/>
            <w:gridSpan w:val="2"/>
            <w:tcBorders>
              <w:top w:val="nil"/>
              <w:left w:val="nil"/>
              <w:bottom w:val="single" w:sz="4" w:space="0" w:color="auto"/>
              <w:right w:val="single" w:sz="4" w:space="0" w:color="auto"/>
            </w:tcBorders>
          </w:tcPr>
          <w:p w:rsidR="00644F50" w:rsidRPr="00A06031" w:rsidRDefault="00644F50" w:rsidP="00803A84">
            <w:pPr>
              <w:jc w:val="center"/>
              <w:rPr>
                <w:b/>
                <w:sz w:val="21"/>
                <w:szCs w:val="21"/>
              </w:rPr>
            </w:pPr>
            <w:r w:rsidRPr="00A06031">
              <w:rPr>
                <w:b/>
                <w:sz w:val="21"/>
                <w:szCs w:val="21"/>
              </w:rPr>
              <w:t>3,147,038,228</w:t>
            </w:r>
          </w:p>
        </w:tc>
        <w:tc>
          <w:tcPr>
            <w:tcW w:w="2342" w:type="dxa"/>
            <w:tcBorders>
              <w:top w:val="nil"/>
              <w:left w:val="nil"/>
              <w:bottom w:val="single" w:sz="4" w:space="0" w:color="auto"/>
              <w:right w:val="single" w:sz="4" w:space="0" w:color="auto"/>
            </w:tcBorders>
          </w:tcPr>
          <w:p w:rsidR="00644F50" w:rsidRPr="00A06031" w:rsidRDefault="00644F50" w:rsidP="00803A84">
            <w:pPr>
              <w:jc w:val="center"/>
              <w:rPr>
                <w:b/>
                <w:sz w:val="21"/>
                <w:szCs w:val="21"/>
              </w:rPr>
            </w:pPr>
            <w:r w:rsidRPr="00A06031">
              <w:rPr>
                <w:b/>
                <w:sz w:val="21"/>
                <w:szCs w:val="21"/>
              </w:rPr>
              <w:t>1,062,765</w:t>
            </w:r>
          </w:p>
        </w:tc>
      </w:tr>
      <w:tr w:rsidR="00A7166D" w:rsidRPr="000F0FAB" w:rsidTr="00A7166D">
        <w:tc>
          <w:tcPr>
            <w:tcW w:w="9356" w:type="dxa"/>
            <w:gridSpan w:val="6"/>
            <w:tcBorders>
              <w:top w:val="nil"/>
              <w:left w:val="single" w:sz="4" w:space="0" w:color="auto"/>
              <w:bottom w:val="single" w:sz="4" w:space="0" w:color="auto"/>
              <w:right w:val="single" w:sz="4" w:space="0" w:color="auto"/>
            </w:tcBorders>
          </w:tcPr>
          <w:p w:rsidR="00A7166D" w:rsidRPr="00C47C6C" w:rsidRDefault="002C31EB" w:rsidP="002C31EB">
            <w:pPr>
              <w:jc w:val="left"/>
              <w:rPr>
                <w:sz w:val="21"/>
                <w:szCs w:val="21"/>
              </w:rPr>
            </w:pPr>
            <w:r w:rsidRPr="00A7166D">
              <w:rPr>
                <w:rFonts w:eastAsia="MS Mincho"/>
                <w:b/>
                <w:sz w:val="21"/>
                <w:szCs w:val="21"/>
                <w:lang w:eastAsia="ja-JP"/>
              </w:rPr>
              <w:t>Expen</w:t>
            </w:r>
            <w:r>
              <w:rPr>
                <w:rFonts w:eastAsia="MS Mincho"/>
                <w:b/>
                <w:sz w:val="21"/>
                <w:szCs w:val="21"/>
                <w:lang w:eastAsia="ja-JP"/>
              </w:rPr>
              <w:t>ses</w:t>
            </w:r>
          </w:p>
        </w:tc>
      </w:tr>
      <w:tr w:rsidR="00644F50" w:rsidRPr="000F0FAB" w:rsidTr="00A7166D">
        <w:tc>
          <w:tcPr>
            <w:tcW w:w="2338" w:type="dxa"/>
            <w:gridSpan w:val="2"/>
            <w:tcBorders>
              <w:top w:val="nil"/>
              <w:left w:val="single" w:sz="4" w:space="0" w:color="auto"/>
              <w:bottom w:val="single" w:sz="4" w:space="0" w:color="auto"/>
              <w:right w:val="single" w:sz="4" w:space="0" w:color="auto"/>
            </w:tcBorders>
            <w:vAlign w:val="bottom"/>
            <w:hideMark/>
          </w:tcPr>
          <w:p w:rsidR="00644F50" w:rsidRPr="000F0FAB" w:rsidRDefault="00644F50" w:rsidP="00803A84">
            <w:pPr>
              <w:jc w:val="left"/>
              <w:rPr>
                <w:rFonts w:eastAsia="MS Mincho"/>
                <w:sz w:val="21"/>
                <w:szCs w:val="21"/>
                <w:lang w:val="en-US" w:eastAsia="ja-JP"/>
              </w:rPr>
            </w:pPr>
            <w:r w:rsidRPr="000F0FAB">
              <w:rPr>
                <w:rFonts w:eastAsia="MS Mincho"/>
                <w:sz w:val="21"/>
                <w:szCs w:val="21"/>
                <w:lang w:eastAsia="ja-JP"/>
              </w:rPr>
              <w:t>UNDP</w:t>
            </w:r>
          </w:p>
        </w:tc>
        <w:tc>
          <w:tcPr>
            <w:tcW w:w="2338"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736,303,454</w:t>
            </w:r>
          </w:p>
        </w:tc>
        <w:tc>
          <w:tcPr>
            <w:tcW w:w="2338"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737,061,417</w:t>
            </w:r>
          </w:p>
        </w:tc>
        <w:tc>
          <w:tcPr>
            <w:tcW w:w="2342"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sidRPr="00C47C6C">
              <w:rPr>
                <w:sz w:val="21"/>
                <w:szCs w:val="21"/>
              </w:rPr>
              <w:t>757,963</w:t>
            </w:r>
          </w:p>
        </w:tc>
      </w:tr>
      <w:tr w:rsidR="00644F50" w:rsidRPr="000F0FAB" w:rsidTr="00A7166D">
        <w:tc>
          <w:tcPr>
            <w:tcW w:w="2338" w:type="dxa"/>
            <w:gridSpan w:val="2"/>
            <w:tcBorders>
              <w:top w:val="nil"/>
              <w:left w:val="single" w:sz="4" w:space="0" w:color="auto"/>
              <w:bottom w:val="single" w:sz="4" w:space="0" w:color="auto"/>
              <w:right w:val="single" w:sz="4" w:space="0" w:color="auto"/>
            </w:tcBorders>
            <w:vAlign w:val="bottom"/>
            <w:hideMark/>
          </w:tcPr>
          <w:p w:rsidR="00644F50" w:rsidRPr="000F0FAB" w:rsidRDefault="00644F50" w:rsidP="00803A84">
            <w:pPr>
              <w:jc w:val="left"/>
              <w:rPr>
                <w:rFonts w:eastAsia="MS Mincho"/>
                <w:sz w:val="21"/>
                <w:szCs w:val="21"/>
                <w:lang w:val="en-US" w:eastAsia="ja-JP"/>
              </w:rPr>
            </w:pPr>
            <w:r w:rsidRPr="000F0FAB">
              <w:rPr>
                <w:rFonts w:eastAsia="MS Mincho"/>
                <w:sz w:val="21"/>
                <w:szCs w:val="21"/>
                <w:lang w:eastAsia="ja-JP"/>
              </w:rPr>
              <w:t>UNEP</w:t>
            </w:r>
          </w:p>
        </w:tc>
        <w:tc>
          <w:tcPr>
            <w:tcW w:w="2338"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238,749,671</w:t>
            </w:r>
          </w:p>
        </w:tc>
        <w:tc>
          <w:tcPr>
            <w:tcW w:w="2338"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241,413,946*</w:t>
            </w:r>
          </w:p>
        </w:tc>
        <w:tc>
          <w:tcPr>
            <w:tcW w:w="2342"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sidRPr="00C47C6C">
              <w:rPr>
                <w:sz w:val="21"/>
                <w:szCs w:val="21"/>
              </w:rPr>
              <w:t>2,664,275</w:t>
            </w:r>
          </w:p>
        </w:tc>
      </w:tr>
      <w:tr w:rsidR="00644F50" w:rsidRPr="000F0FAB" w:rsidTr="00A7166D">
        <w:tc>
          <w:tcPr>
            <w:tcW w:w="2338" w:type="dxa"/>
            <w:gridSpan w:val="2"/>
            <w:tcBorders>
              <w:top w:val="nil"/>
              <w:left w:val="single" w:sz="4" w:space="0" w:color="auto"/>
              <w:bottom w:val="single" w:sz="4" w:space="0" w:color="auto"/>
              <w:right w:val="single" w:sz="4" w:space="0" w:color="auto"/>
            </w:tcBorders>
            <w:vAlign w:val="bottom"/>
            <w:hideMark/>
          </w:tcPr>
          <w:p w:rsidR="00644F50" w:rsidRPr="000F0FAB" w:rsidRDefault="00644F50" w:rsidP="00803A84">
            <w:pPr>
              <w:jc w:val="left"/>
              <w:rPr>
                <w:rFonts w:eastAsia="MS Mincho"/>
                <w:sz w:val="21"/>
                <w:szCs w:val="21"/>
                <w:lang w:val="en-US" w:eastAsia="ja-JP"/>
              </w:rPr>
            </w:pPr>
            <w:r w:rsidRPr="000F0FAB">
              <w:rPr>
                <w:rFonts w:eastAsia="MS Mincho"/>
                <w:sz w:val="21"/>
                <w:szCs w:val="21"/>
                <w:lang w:eastAsia="ja-JP"/>
              </w:rPr>
              <w:t>UNIDO</w:t>
            </w:r>
          </w:p>
        </w:tc>
        <w:tc>
          <w:tcPr>
            <w:tcW w:w="2338"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725,074,682</w:t>
            </w:r>
          </w:p>
        </w:tc>
        <w:tc>
          <w:tcPr>
            <w:tcW w:w="2338"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725,575,061</w:t>
            </w:r>
          </w:p>
        </w:tc>
        <w:tc>
          <w:tcPr>
            <w:tcW w:w="2342"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500,379</w:t>
            </w:r>
          </w:p>
        </w:tc>
      </w:tr>
      <w:tr w:rsidR="00644F50" w:rsidRPr="000F0FAB" w:rsidTr="00A7166D">
        <w:tc>
          <w:tcPr>
            <w:tcW w:w="2338" w:type="dxa"/>
            <w:gridSpan w:val="2"/>
            <w:tcBorders>
              <w:top w:val="nil"/>
              <w:left w:val="single" w:sz="4" w:space="0" w:color="auto"/>
              <w:bottom w:val="single" w:sz="4" w:space="0" w:color="auto"/>
              <w:right w:val="single" w:sz="4" w:space="0" w:color="auto"/>
            </w:tcBorders>
            <w:vAlign w:val="bottom"/>
          </w:tcPr>
          <w:p w:rsidR="00644F50" w:rsidRPr="000F0FAB" w:rsidRDefault="00644F50" w:rsidP="00803A84">
            <w:pPr>
              <w:jc w:val="left"/>
              <w:rPr>
                <w:rFonts w:eastAsia="MS Mincho"/>
                <w:sz w:val="21"/>
                <w:szCs w:val="21"/>
                <w:lang w:val="en-US" w:eastAsia="ja-JP"/>
              </w:rPr>
            </w:pPr>
            <w:r w:rsidRPr="000F0FAB">
              <w:rPr>
                <w:rFonts w:eastAsia="MS Mincho"/>
                <w:sz w:val="21"/>
                <w:szCs w:val="21"/>
                <w:lang w:eastAsia="ja-JP"/>
              </w:rPr>
              <w:t>World Bank</w:t>
            </w:r>
          </w:p>
        </w:tc>
        <w:tc>
          <w:tcPr>
            <w:tcW w:w="2338" w:type="dxa"/>
            <w:gridSpan w:val="2"/>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1,152,079,747</w:t>
            </w:r>
          </w:p>
        </w:tc>
        <w:tc>
          <w:tcPr>
            <w:tcW w:w="2338"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Pr>
                <w:sz w:val="21"/>
                <w:szCs w:val="21"/>
              </w:rPr>
              <w:t>1,152,079,747</w:t>
            </w:r>
          </w:p>
        </w:tc>
        <w:tc>
          <w:tcPr>
            <w:tcW w:w="2342" w:type="dxa"/>
            <w:tcBorders>
              <w:top w:val="nil"/>
              <w:left w:val="nil"/>
              <w:bottom w:val="single" w:sz="4" w:space="0" w:color="auto"/>
              <w:right w:val="single" w:sz="4" w:space="0" w:color="auto"/>
            </w:tcBorders>
            <w:vAlign w:val="center"/>
          </w:tcPr>
          <w:p w:rsidR="00644F50" w:rsidRPr="00C47C6C" w:rsidRDefault="00644F50" w:rsidP="00803A84">
            <w:pPr>
              <w:jc w:val="center"/>
              <w:rPr>
                <w:sz w:val="21"/>
                <w:szCs w:val="21"/>
              </w:rPr>
            </w:pPr>
            <w:r w:rsidRPr="00C47C6C">
              <w:rPr>
                <w:sz w:val="21"/>
                <w:szCs w:val="21"/>
              </w:rPr>
              <w:t>0</w:t>
            </w:r>
          </w:p>
        </w:tc>
      </w:tr>
      <w:tr w:rsidR="00644F50" w:rsidRPr="000F0FAB" w:rsidTr="00A7166D">
        <w:tc>
          <w:tcPr>
            <w:tcW w:w="2338" w:type="dxa"/>
            <w:gridSpan w:val="2"/>
            <w:tcBorders>
              <w:top w:val="nil"/>
              <w:left w:val="single" w:sz="4" w:space="0" w:color="auto"/>
              <w:bottom w:val="single" w:sz="4" w:space="0" w:color="auto"/>
              <w:right w:val="single" w:sz="4" w:space="0" w:color="auto"/>
            </w:tcBorders>
            <w:vAlign w:val="bottom"/>
            <w:hideMark/>
          </w:tcPr>
          <w:p w:rsidR="00644F50" w:rsidRPr="000F0FAB" w:rsidRDefault="00644F50" w:rsidP="002C31EB">
            <w:pPr>
              <w:jc w:val="left"/>
              <w:rPr>
                <w:rFonts w:eastAsia="MS Mincho"/>
                <w:b/>
                <w:sz w:val="21"/>
                <w:szCs w:val="21"/>
                <w:lang w:eastAsia="ja-JP"/>
              </w:rPr>
            </w:pPr>
            <w:r w:rsidRPr="000F0FAB">
              <w:rPr>
                <w:rFonts w:eastAsia="MS Mincho"/>
                <w:b/>
                <w:sz w:val="21"/>
                <w:szCs w:val="21"/>
                <w:lang w:eastAsia="ja-JP"/>
              </w:rPr>
              <w:t>Total</w:t>
            </w:r>
            <w:r w:rsidR="00A7166D">
              <w:rPr>
                <w:rFonts w:eastAsia="MS Mincho"/>
                <w:b/>
                <w:sz w:val="21"/>
                <w:szCs w:val="21"/>
                <w:lang w:eastAsia="ja-JP"/>
              </w:rPr>
              <w:t xml:space="preserve"> </w:t>
            </w:r>
            <w:r w:rsidR="002C31EB">
              <w:rPr>
                <w:rFonts w:eastAsia="MS Mincho"/>
                <w:b/>
                <w:sz w:val="21"/>
                <w:szCs w:val="21"/>
                <w:lang w:eastAsia="ja-JP"/>
              </w:rPr>
              <w:t>expenses</w:t>
            </w:r>
          </w:p>
        </w:tc>
        <w:tc>
          <w:tcPr>
            <w:tcW w:w="2338" w:type="dxa"/>
            <w:gridSpan w:val="2"/>
            <w:tcBorders>
              <w:top w:val="nil"/>
              <w:left w:val="nil"/>
              <w:bottom w:val="single" w:sz="4" w:space="0" w:color="auto"/>
              <w:right w:val="single" w:sz="4" w:space="0" w:color="auto"/>
            </w:tcBorders>
          </w:tcPr>
          <w:p w:rsidR="00644F50" w:rsidRPr="00A06031" w:rsidRDefault="00644F50" w:rsidP="00803A84">
            <w:pPr>
              <w:jc w:val="center"/>
              <w:rPr>
                <w:b/>
                <w:sz w:val="21"/>
                <w:szCs w:val="21"/>
              </w:rPr>
            </w:pPr>
            <w:r w:rsidRPr="00A06031">
              <w:rPr>
                <w:b/>
                <w:sz w:val="21"/>
                <w:szCs w:val="21"/>
              </w:rPr>
              <w:t>2,852,207,554</w:t>
            </w:r>
          </w:p>
        </w:tc>
        <w:tc>
          <w:tcPr>
            <w:tcW w:w="2338" w:type="dxa"/>
            <w:tcBorders>
              <w:top w:val="nil"/>
              <w:left w:val="nil"/>
              <w:bottom w:val="single" w:sz="4" w:space="0" w:color="auto"/>
              <w:right w:val="single" w:sz="4" w:space="0" w:color="auto"/>
            </w:tcBorders>
          </w:tcPr>
          <w:p w:rsidR="00644F50" w:rsidRPr="00A06031" w:rsidRDefault="00644F50" w:rsidP="00803A84">
            <w:pPr>
              <w:jc w:val="center"/>
              <w:rPr>
                <w:b/>
                <w:sz w:val="21"/>
                <w:szCs w:val="21"/>
              </w:rPr>
            </w:pPr>
            <w:r w:rsidRPr="00A06031">
              <w:rPr>
                <w:b/>
                <w:sz w:val="21"/>
                <w:szCs w:val="21"/>
              </w:rPr>
              <w:t>2,856</w:t>
            </w:r>
            <w:r w:rsidR="00A7166D">
              <w:rPr>
                <w:b/>
                <w:sz w:val="21"/>
                <w:szCs w:val="21"/>
              </w:rPr>
              <w:t>,</w:t>
            </w:r>
            <w:r w:rsidRPr="00A06031">
              <w:rPr>
                <w:b/>
                <w:sz w:val="21"/>
                <w:szCs w:val="21"/>
              </w:rPr>
              <w:t>130,171</w:t>
            </w:r>
          </w:p>
        </w:tc>
        <w:tc>
          <w:tcPr>
            <w:tcW w:w="2342" w:type="dxa"/>
            <w:tcBorders>
              <w:top w:val="nil"/>
              <w:left w:val="nil"/>
              <w:bottom w:val="single" w:sz="4" w:space="0" w:color="auto"/>
              <w:right w:val="single" w:sz="4" w:space="0" w:color="auto"/>
            </w:tcBorders>
          </w:tcPr>
          <w:p w:rsidR="00644F50" w:rsidRPr="00A06031" w:rsidRDefault="00644F50" w:rsidP="00803A84">
            <w:pPr>
              <w:jc w:val="center"/>
              <w:rPr>
                <w:b/>
                <w:sz w:val="21"/>
                <w:szCs w:val="21"/>
              </w:rPr>
            </w:pPr>
            <w:r w:rsidRPr="00A06031">
              <w:rPr>
                <w:b/>
                <w:sz w:val="21"/>
                <w:szCs w:val="21"/>
              </w:rPr>
              <w:t>3,922,617</w:t>
            </w:r>
          </w:p>
        </w:tc>
      </w:tr>
    </w:tbl>
    <w:p w:rsidR="00644F50" w:rsidRDefault="00644F50" w:rsidP="00644F50">
      <w:pPr>
        <w:rPr>
          <w:rStyle w:val="CommentReference"/>
          <w:sz w:val="18"/>
          <w:szCs w:val="18"/>
        </w:rPr>
      </w:pPr>
      <w:r w:rsidRPr="007032AA">
        <w:t>*</w:t>
      </w:r>
      <w:r w:rsidRPr="007032AA">
        <w:rPr>
          <w:sz w:val="18"/>
          <w:szCs w:val="18"/>
        </w:rPr>
        <w:t xml:space="preserve"> </w:t>
      </w:r>
      <w:r>
        <w:rPr>
          <w:sz w:val="18"/>
          <w:szCs w:val="18"/>
        </w:rPr>
        <w:t>Includes an adjustment of US $30,843,315 as a follow-up to decision 75/70</w:t>
      </w:r>
      <w:r w:rsidR="00A7166D">
        <w:rPr>
          <w:sz w:val="18"/>
          <w:szCs w:val="18"/>
        </w:rPr>
        <w:t>(c)</w:t>
      </w:r>
      <w:r>
        <w:rPr>
          <w:sz w:val="18"/>
          <w:szCs w:val="18"/>
        </w:rPr>
        <w:t xml:space="preserve"> </w:t>
      </w:r>
      <w:r w:rsidRPr="00A06031">
        <w:rPr>
          <w:sz w:val="18"/>
          <w:szCs w:val="18"/>
        </w:rPr>
        <w:t>to authorise the Treasurer to restate the 2014 expenditure balance in the 2015 accounts so that the UNIDO 2014 accounts me</w:t>
      </w:r>
      <w:r>
        <w:rPr>
          <w:sz w:val="18"/>
          <w:szCs w:val="18"/>
        </w:rPr>
        <w:t>e</w:t>
      </w:r>
      <w:r w:rsidRPr="00A06031">
        <w:rPr>
          <w:sz w:val="18"/>
          <w:szCs w:val="18"/>
        </w:rPr>
        <w:t>t the IPSAS reporting requirements</w:t>
      </w:r>
      <w:r w:rsidRPr="00A06031">
        <w:rPr>
          <w:rStyle w:val="CommentReference"/>
          <w:sz w:val="18"/>
          <w:szCs w:val="18"/>
        </w:rPr>
        <w:t xml:space="preserve">. </w:t>
      </w:r>
    </w:p>
    <w:p w:rsidR="00644F50" w:rsidRDefault="00644F50" w:rsidP="00644F50">
      <w:pPr>
        <w:jc w:val="left"/>
        <w:rPr>
          <w:u w:val="single"/>
        </w:rPr>
      </w:pPr>
    </w:p>
    <w:p w:rsidR="00644F50" w:rsidRPr="005D1FF2" w:rsidRDefault="00644F50" w:rsidP="00A7166D">
      <w:pPr>
        <w:ind w:left="720" w:hanging="720"/>
        <w:rPr>
          <w:b/>
          <w:u w:val="single"/>
        </w:rPr>
      </w:pPr>
      <w:r w:rsidRPr="005D1FF2">
        <w:rPr>
          <w:b/>
        </w:rPr>
        <w:t>Part II:</w:t>
      </w:r>
      <w:r w:rsidR="00A7166D">
        <w:rPr>
          <w:b/>
        </w:rPr>
        <w:tab/>
      </w:r>
      <w:r w:rsidR="00A7166D" w:rsidRPr="00A7166D">
        <w:rPr>
          <w:b/>
        </w:rPr>
        <w:t xml:space="preserve">Report of the </w:t>
      </w:r>
      <w:proofErr w:type="spellStart"/>
      <w:r w:rsidR="00A7166D" w:rsidRPr="00A7166D">
        <w:rPr>
          <w:b/>
        </w:rPr>
        <w:t>UNB</w:t>
      </w:r>
      <w:r w:rsidR="00991A91">
        <w:rPr>
          <w:b/>
        </w:rPr>
        <w:t>o</w:t>
      </w:r>
      <w:r w:rsidR="00A7166D" w:rsidRPr="00A7166D">
        <w:rPr>
          <w:b/>
        </w:rPr>
        <w:t>A</w:t>
      </w:r>
      <w:proofErr w:type="spellEnd"/>
      <w:r w:rsidR="00A7166D" w:rsidRPr="00A7166D">
        <w:rPr>
          <w:b/>
        </w:rPr>
        <w:t xml:space="preserve"> on the accounts of the Fund of the year ended 31 December 2015</w:t>
      </w:r>
    </w:p>
    <w:p w:rsidR="00644F50" w:rsidRPr="000F0FAB" w:rsidRDefault="00644F50" w:rsidP="00644F50">
      <w:pPr>
        <w:jc w:val="left"/>
        <w:rPr>
          <w:u w:val="single"/>
        </w:rPr>
      </w:pPr>
    </w:p>
    <w:p w:rsidR="00BC5E7D" w:rsidRDefault="00AD5AE9" w:rsidP="00E86FA1">
      <w:pPr>
        <w:pStyle w:val="Heading1"/>
        <w:rPr>
          <w:rStyle w:val="bumpedfont15"/>
          <w:szCs w:val="16"/>
        </w:rPr>
      </w:pPr>
      <w:r w:rsidRPr="00E86FA1">
        <w:rPr>
          <w:lang w:val="en-CA"/>
        </w:rPr>
        <w:t xml:space="preserve">The </w:t>
      </w:r>
      <w:r w:rsidR="00644F50" w:rsidRPr="00E86FA1">
        <w:rPr>
          <w:lang w:val="en-CA"/>
        </w:rPr>
        <w:t xml:space="preserve">report </w:t>
      </w:r>
      <w:r w:rsidRPr="00E86FA1">
        <w:rPr>
          <w:lang w:val="en-CA"/>
        </w:rPr>
        <w:t xml:space="preserve">of </w:t>
      </w:r>
      <w:r w:rsidR="00644F50" w:rsidRPr="00E86FA1">
        <w:rPr>
          <w:lang w:val="en-CA"/>
        </w:rPr>
        <w:t xml:space="preserve">the </w:t>
      </w:r>
      <w:proofErr w:type="spellStart"/>
      <w:r w:rsidR="00644F50" w:rsidRPr="00E86FA1">
        <w:rPr>
          <w:lang w:val="en-CA"/>
        </w:rPr>
        <w:t>UNB</w:t>
      </w:r>
      <w:r w:rsidR="00991A91" w:rsidRPr="00E86FA1">
        <w:rPr>
          <w:lang w:val="en-CA"/>
        </w:rPr>
        <w:t>o</w:t>
      </w:r>
      <w:r w:rsidR="00644F50" w:rsidRPr="00E86FA1">
        <w:rPr>
          <w:lang w:val="en-CA"/>
        </w:rPr>
        <w:t>A</w:t>
      </w:r>
      <w:proofErr w:type="spellEnd"/>
      <w:r w:rsidR="00644F50" w:rsidRPr="00E86FA1">
        <w:rPr>
          <w:lang w:val="en-CA"/>
        </w:rPr>
        <w:t xml:space="preserve"> on the accounts of the Fund of the year ended 31 December 2015 </w:t>
      </w:r>
      <w:r w:rsidR="00644F50" w:rsidRPr="002F033D">
        <w:t>has been finalised and submitted to the UNEP Executive Director</w:t>
      </w:r>
      <w:r>
        <w:rPr>
          <w:rStyle w:val="FootnoteReference"/>
        </w:rPr>
        <w:footnoteReference w:id="1"/>
      </w:r>
      <w:r w:rsidR="00644F50" w:rsidRPr="002F033D">
        <w:t>.</w:t>
      </w:r>
      <w:r w:rsidR="00644F50">
        <w:t xml:space="preserve"> </w:t>
      </w:r>
      <w:r w:rsidR="00644F50" w:rsidRPr="002F033D">
        <w:t xml:space="preserve">The </w:t>
      </w:r>
      <w:r w:rsidR="00644F50">
        <w:t>report</w:t>
      </w:r>
      <w:r w:rsidR="00644F50" w:rsidRPr="002F033D">
        <w:t xml:space="preserve"> included a section on the MLF accounts addressing the long</w:t>
      </w:r>
      <w:r w:rsidR="00644F50" w:rsidRPr="00E86FA1">
        <w:rPr>
          <w:rStyle w:val="bumpedfont15"/>
          <w:iCs/>
          <w:lang w:val="en-CA"/>
        </w:rPr>
        <w:t xml:space="preserve"> outstanding receivables from assessed contributions.</w:t>
      </w:r>
      <w:r w:rsidR="00991A91" w:rsidRPr="00E86FA1">
        <w:rPr>
          <w:rStyle w:val="bumpedfont15"/>
          <w:iCs/>
          <w:lang w:val="en-CA"/>
        </w:rPr>
        <w:t xml:space="preserve"> </w:t>
      </w:r>
      <w:r w:rsidR="00644F50" w:rsidRPr="00E86FA1">
        <w:rPr>
          <w:rStyle w:val="bumpedfont15"/>
          <w:szCs w:val="20"/>
        </w:rPr>
        <w:t xml:space="preserve">The </w:t>
      </w:r>
      <w:r w:rsidR="00644F50" w:rsidRPr="00E86FA1">
        <w:rPr>
          <w:rFonts w:eastAsiaTheme="minorHAnsi"/>
          <w:iCs/>
          <w:color w:val="000000"/>
          <w:lang w:val="en-US" w:eastAsia="fr-FR"/>
        </w:rPr>
        <w:t xml:space="preserve">report made reference to prior years’ audit recommendations on write offs </w:t>
      </w:r>
      <w:r w:rsidR="00AE406A">
        <w:rPr>
          <w:rFonts w:eastAsiaTheme="minorHAnsi"/>
          <w:iCs/>
          <w:color w:val="000000"/>
          <w:lang w:val="en-US" w:eastAsia="fr-FR"/>
        </w:rPr>
        <w:t xml:space="preserve">brought by UNEP </w:t>
      </w:r>
      <w:r w:rsidR="00644F50" w:rsidRPr="00E86FA1">
        <w:rPr>
          <w:rFonts w:eastAsiaTheme="minorHAnsi"/>
          <w:iCs/>
          <w:color w:val="000000"/>
          <w:lang w:val="en-US" w:eastAsia="fr-FR"/>
        </w:rPr>
        <w:t xml:space="preserve">to the attention of the </w:t>
      </w:r>
      <w:r w:rsidR="00AE406A">
        <w:rPr>
          <w:rFonts w:eastAsiaTheme="minorHAnsi"/>
          <w:iCs/>
          <w:color w:val="000000"/>
          <w:lang w:val="en-US" w:eastAsia="fr-FR"/>
        </w:rPr>
        <w:t>Executive Committee during</w:t>
      </w:r>
      <w:r w:rsidR="00AE406A" w:rsidRPr="00E86FA1">
        <w:rPr>
          <w:rFonts w:eastAsiaTheme="minorHAnsi"/>
          <w:iCs/>
          <w:color w:val="000000"/>
          <w:lang w:val="en-US" w:eastAsia="fr-FR"/>
        </w:rPr>
        <w:t xml:space="preserve"> </w:t>
      </w:r>
      <w:r w:rsidR="00644F50" w:rsidRPr="00E86FA1">
        <w:rPr>
          <w:rFonts w:eastAsiaTheme="minorHAnsi"/>
          <w:iCs/>
          <w:color w:val="000000"/>
          <w:lang w:val="en-US" w:eastAsia="fr-FR"/>
        </w:rPr>
        <w:t xml:space="preserve">a number of </w:t>
      </w:r>
      <w:r w:rsidR="00AE406A">
        <w:rPr>
          <w:rFonts w:eastAsiaTheme="minorHAnsi"/>
          <w:iCs/>
          <w:color w:val="000000"/>
          <w:lang w:val="en-US" w:eastAsia="fr-FR"/>
        </w:rPr>
        <w:t>meetings. W</w:t>
      </w:r>
      <w:r w:rsidR="00644F50" w:rsidRPr="00E86FA1">
        <w:rPr>
          <w:rFonts w:eastAsiaTheme="minorHAnsi"/>
          <w:iCs/>
          <w:color w:val="000000"/>
          <w:lang w:val="en-US" w:eastAsia="fr-FR"/>
        </w:rPr>
        <w:t>hile the Executive Committee agree</w:t>
      </w:r>
      <w:r w:rsidR="00D55BDD">
        <w:rPr>
          <w:rFonts w:eastAsiaTheme="minorHAnsi"/>
          <w:iCs/>
          <w:color w:val="000000"/>
          <w:lang w:val="en-US" w:eastAsia="fr-FR"/>
        </w:rPr>
        <w:t>d</w:t>
      </w:r>
      <w:r w:rsidR="00644F50" w:rsidRPr="00E86FA1">
        <w:rPr>
          <w:rFonts w:eastAsiaTheme="minorHAnsi"/>
          <w:iCs/>
          <w:color w:val="000000"/>
          <w:lang w:val="en-US" w:eastAsia="fr-FR"/>
        </w:rPr>
        <w:t xml:space="preserve"> to comply with UN IPSAS policies</w:t>
      </w:r>
      <w:r w:rsidR="00E86FA1">
        <w:rPr>
          <w:rStyle w:val="FootnoteReference"/>
          <w:rFonts w:eastAsiaTheme="minorHAnsi"/>
          <w:iCs/>
          <w:color w:val="000000"/>
          <w:lang w:val="en-US" w:eastAsia="fr-FR"/>
        </w:rPr>
        <w:footnoteReference w:id="2"/>
      </w:r>
      <w:r w:rsidR="00E86FA1">
        <w:rPr>
          <w:rFonts w:eastAsiaTheme="minorHAnsi"/>
          <w:iCs/>
          <w:color w:val="000000"/>
          <w:lang w:val="en-US" w:eastAsia="fr-FR"/>
        </w:rPr>
        <w:t xml:space="preserve"> </w:t>
      </w:r>
      <w:r w:rsidR="00AE406A">
        <w:rPr>
          <w:rFonts w:eastAsiaTheme="minorHAnsi"/>
          <w:iCs/>
          <w:color w:val="000000"/>
          <w:lang w:val="en-US" w:eastAsia="fr-FR"/>
        </w:rPr>
        <w:t xml:space="preserve">including allowances for doubtful accounts, </w:t>
      </w:r>
      <w:r w:rsidR="00E86FA1">
        <w:rPr>
          <w:rFonts w:eastAsiaTheme="minorHAnsi"/>
          <w:iCs/>
          <w:color w:val="000000"/>
          <w:lang w:val="en-US" w:eastAsia="fr-FR"/>
        </w:rPr>
        <w:t xml:space="preserve">it </w:t>
      </w:r>
      <w:r w:rsidR="00644F50" w:rsidRPr="00E86FA1">
        <w:rPr>
          <w:rFonts w:eastAsiaTheme="minorHAnsi"/>
          <w:iCs/>
          <w:color w:val="000000"/>
          <w:lang w:val="en-US" w:eastAsia="fr-FR"/>
        </w:rPr>
        <w:t>do</w:t>
      </w:r>
      <w:r w:rsidR="00E86FA1">
        <w:rPr>
          <w:rFonts w:eastAsiaTheme="minorHAnsi"/>
          <w:iCs/>
          <w:color w:val="000000"/>
          <w:lang w:val="en-US" w:eastAsia="fr-FR"/>
        </w:rPr>
        <w:t>es</w:t>
      </w:r>
      <w:r w:rsidR="00644F50" w:rsidRPr="00E86FA1">
        <w:rPr>
          <w:rFonts w:eastAsiaTheme="minorHAnsi"/>
          <w:iCs/>
          <w:color w:val="000000"/>
          <w:lang w:val="en-US" w:eastAsia="fr-FR"/>
        </w:rPr>
        <w:t xml:space="preserve"> not approve writing off any obligation due from parties. Therefore, all receivables </w:t>
      </w:r>
      <w:r w:rsidR="00AE406A">
        <w:rPr>
          <w:rFonts w:eastAsiaTheme="minorHAnsi"/>
          <w:iCs/>
          <w:color w:val="000000"/>
          <w:lang w:val="en-US" w:eastAsia="fr-FR"/>
        </w:rPr>
        <w:t>are</w:t>
      </w:r>
      <w:r w:rsidR="00AE406A" w:rsidRPr="00E86FA1">
        <w:rPr>
          <w:rFonts w:eastAsiaTheme="minorHAnsi"/>
          <w:iCs/>
          <w:color w:val="000000"/>
          <w:lang w:val="en-US" w:eastAsia="fr-FR"/>
        </w:rPr>
        <w:t xml:space="preserve"> </w:t>
      </w:r>
      <w:r w:rsidR="00644F50" w:rsidRPr="00E86FA1">
        <w:rPr>
          <w:rFonts w:eastAsiaTheme="minorHAnsi"/>
          <w:iCs/>
          <w:color w:val="000000"/>
          <w:lang w:val="en-US" w:eastAsia="fr-FR"/>
        </w:rPr>
        <w:t>required to be maintained and collection to be pursued through discussions and negotiations at meetings of the Executive Committee.</w:t>
      </w:r>
      <w:r w:rsidR="00644F50" w:rsidRPr="00E86FA1">
        <w:rPr>
          <w:rStyle w:val="bumpedfont15"/>
          <w:szCs w:val="16"/>
        </w:rPr>
        <w:t xml:space="preserve"> </w:t>
      </w:r>
    </w:p>
    <w:p w:rsidR="00B97DCA" w:rsidRDefault="00B97DCA" w:rsidP="00B97DCA">
      <w:pPr>
        <w:pStyle w:val="Heading1"/>
        <w:rPr>
          <w:rStyle w:val="bumpedfont15"/>
          <w:bCs/>
          <w:szCs w:val="16"/>
        </w:rPr>
      </w:pPr>
      <w:r>
        <w:rPr>
          <w:rStyle w:val="bumpedfont15"/>
          <w:szCs w:val="16"/>
        </w:rPr>
        <w:t xml:space="preserve">Despite the explanation provided to </w:t>
      </w:r>
      <w:proofErr w:type="spellStart"/>
      <w:r>
        <w:rPr>
          <w:rStyle w:val="bumpedfont15"/>
          <w:szCs w:val="16"/>
        </w:rPr>
        <w:t>UNBoA</w:t>
      </w:r>
      <w:proofErr w:type="spellEnd"/>
      <w:r>
        <w:rPr>
          <w:rStyle w:val="bumpedfont15"/>
          <w:szCs w:val="16"/>
        </w:rPr>
        <w:t xml:space="preserve"> regarding the decisions already taken by the Executive Committee not to write-off long-outstanding contributions receivable</w:t>
      </w:r>
      <w:r w:rsidR="00E877BF">
        <w:rPr>
          <w:rStyle w:val="FootnoteReference"/>
          <w:szCs w:val="16"/>
        </w:rPr>
        <w:footnoteReference w:id="3"/>
      </w:r>
      <w:r>
        <w:rPr>
          <w:rStyle w:val="bumpedfont15"/>
          <w:szCs w:val="16"/>
        </w:rPr>
        <w:t xml:space="preserve">, </w:t>
      </w:r>
      <w:r w:rsidRPr="00E86FA1">
        <w:rPr>
          <w:rStyle w:val="bumpedfont15"/>
          <w:szCs w:val="16"/>
        </w:rPr>
        <w:t>the</w:t>
      </w:r>
      <w:r>
        <w:rPr>
          <w:rStyle w:val="bumpedfont15"/>
          <w:szCs w:val="16"/>
        </w:rPr>
        <w:t xml:space="preserve"> Board</w:t>
      </w:r>
      <w:r w:rsidRPr="00E86FA1">
        <w:rPr>
          <w:rStyle w:val="bumpedfont15"/>
          <w:szCs w:val="16"/>
        </w:rPr>
        <w:t xml:space="preserve"> </w:t>
      </w:r>
      <w:r>
        <w:rPr>
          <w:rStyle w:val="bumpedfont15"/>
          <w:szCs w:val="16"/>
        </w:rPr>
        <w:t xml:space="preserve">reiterated that “in view of the uncertainty in the recoverability of the receivables outstanding since 2010, Management has to seek the Executive Committee position on the issue and properly disclose it in the financial statements”. </w:t>
      </w:r>
      <w:r w:rsidR="00BC6E08">
        <w:rPr>
          <w:rStyle w:val="bumpedfont15"/>
          <w:szCs w:val="16"/>
        </w:rPr>
        <w:t xml:space="preserve">Accordingly, the Treasurer has proposed a recommendation that the Executive Committee may wish to consider similar to previous decisions taken on this matter. </w:t>
      </w:r>
    </w:p>
    <w:p w:rsidR="00644F50" w:rsidRPr="000F0FAB" w:rsidRDefault="00827891" w:rsidP="00644F50">
      <w:pPr>
        <w:tabs>
          <w:tab w:val="left" w:pos="0"/>
        </w:tabs>
      </w:pPr>
      <w:r w:rsidRPr="000F0FAB">
        <w:rPr>
          <w:b/>
          <w:bCs/>
        </w:rPr>
        <w:t>R</w:t>
      </w:r>
      <w:r>
        <w:rPr>
          <w:b/>
          <w:bCs/>
        </w:rPr>
        <w:t>ecommendation</w:t>
      </w:r>
      <w:r w:rsidR="00583465">
        <w:rPr>
          <w:b/>
          <w:bCs/>
        </w:rPr>
        <w:t>s</w:t>
      </w:r>
    </w:p>
    <w:p w:rsidR="00644F50" w:rsidRPr="00424C17" w:rsidRDefault="00644F50" w:rsidP="00644F50">
      <w:pPr>
        <w:ind w:left="720"/>
      </w:pPr>
    </w:p>
    <w:p w:rsidR="00644F50" w:rsidRPr="00163DCD" w:rsidRDefault="00644F50" w:rsidP="008C00B4">
      <w:pPr>
        <w:pStyle w:val="Heading1"/>
      </w:pPr>
      <w:r w:rsidRPr="00163DCD">
        <w:t>The Executive Committee may wish:</w:t>
      </w:r>
    </w:p>
    <w:p w:rsidR="00644F50" w:rsidRPr="00163DCD" w:rsidRDefault="00644F50" w:rsidP="008C00B4">
      <w:pPr>
        <w:pStyle w:val="Heading2"/>
      </w:pPr>
      <w:r w:rsidRPr="00163DCD">
        <w:t>To note:</w:t>
      </w:r>
    </w:p>
    <w:p w:rsidR="00644F50" w:rsidRPr="00163DCD" w:rsidRDefault="00644F50" w:rsidP="008C00B4">
      <w:pPr>
        <w:pStyle w:val="Heading3"/>
      </w:pPr>
      <w:r w:rsidRPr="00163DCD">
        <w:t>The final financial statements of the Multilateral Fund as at 31 December 2015 prepared in accordance</w:t>
      </w:r>
      <w:r>
        <w:t xml:space="preserve"> with </w:t>
      </w:r>
      <w:r>
        <w:rPr>
          <w:lang w:eastAsia="fr-FR"/>
        </w:rPr>
        <w:t xml:space="preserve">the </w:t>
      </w:r>
      <w:r w:rsidRPr="006F1051">
        <w:t>International Public Sector Accounting Standards</w:t>
      </w:r>
      <w:r w:rsidR="00717FD2">
        <w:t xml:space="preserve"> as contained in document</w:t>
      </w:r>
      <w:r w:rsidR="00717FD2" w:rsidRPr="00717FD2">
        <w:t xml:space="preserve"> </w:t>
      </w:r>
      <w:r w:rsidR="00717FD2" w:rsidRPr="00D55C7A">
        <w:t>UNEP/</w:t>
      </w:r>
      <w:proofErr w:type="spellStart"/>
      <w:r w:rsidR="00717FD2" w:rsidRPr="00D55C7A">
        <w:t>OzL.Pro</w:t>
      </w:r>
      <w:proofErr w:type="spellEnd"/>
      <w:r w:rsidR="00717FD2" w:rsidRPr="00D55C7A">
        <w:t>/ExCom/77/</w:t>
      </w:r>
      <w:r w:rsidR="00717FD2">
        <w:t>72</w:t>
      </w:r>
      <w:r w:rsidRPr="00163DCD">
        <w:t>;</w:t>
      </w:r>
    </w:p>
    <w:p w:rsidR="00644F50" w:rsidRDefault="008C00B4" w:rsidP="008C00B4">
      <w:pPr>
        <w:pStyle w:val="Heading3"/>
      </w:pPr>
      <w:r>
        <w:t xml:space="preserve">The </w:t>
      </w:r>
      <w:r w:rsidR="00644F50" w:rsidRPr="000F0FAB">
        <w:t xml:space="preserve">report of </w:t>
      </w:r>
      <w:r>
        <w:t xml:space="preserve">the </w:t>
      </w:r>
      <w:r w:rsidR="00644F50" w:rsidRPr="000F0FAB">
        <w:t xml:space="preserve">United Nations Board of Auditors </w:t>
      </w:r>
      <w:r>
        <w:t>(</w:t>
      </w:r>
      <w:proofErr w:type="spellStart"/>
      <w:r>
        <w:t>UNBoA</w:t>
      </w:r>
      <w:proofErr w:type="spellEnd"/>
      <w:r>
        <w:t xml:space="preserve">) </w:t>
      </w:r>
      <w:r w:rsidR="00644F50" w:rsidRPr="000F0FAB">
        <w:t xml:space="preserve">for the </w:t>
      </w:r>
      <w:r w:rsidR="00644F50">
        <w:t>year</w:t>
      </w:r>
      <w:r w:rsidR="00644F50" w:rsidRPr="000F0FAB">
        <w:t xml:space="preserve"> ended 31 December </w:t>
      </w:r>
      <w:r w:rsidR="00644F50">
        <w:t>2015</w:t>
      </w:r>
      <w:bookmarkStart w:id="1" w:name="draft"/>
      <w:bookmarkEnd w:id="1"/>
      <w:r w:rsidR="00D4424F">
        <w:t xml:space="preserve"> submitted to UNEP</w:t>
      </w:r>
      <w:r w:rsidR="00644F50">
        <w:t>;</w:t>
      </w:r>
    </w:p>
    <w:p w:rsidR="00644F50" w:rsidRDefault="00D4424F" w:rsidP="008C00B4">
      <w:pPr>
        <w:pStyle w:val="Heading3"/>
      </w:pPr>
      <w:r>
        <w:t xml:space="preserve">The </w:t>
      </w:r>
      <w:proofErr w:type="spellStart"/>
      <w:r>
        <w:t>UNBoA</w:t>
      </w:r>
      <w:proofErr w:type="spellEnd"/>
      <w:r>
        <w:t xml:space="preserve"> </w:t>
      </w:r>
      <w:r w:rsidR="00644F50">
        <w:t xml:space="preserve">observation and recommendation indicating that UNEP should bring the issue of the long outstanding contribution to </w:t>
      </w:r>
      <w:r w:rsidR="00644F50" w:rsidRPr="007A624C">
        <w:t xml:space="preserve">the attention of the </w:t>
      </w:r>
      <w:r w:rsidR="00644F50">
        <w:t xml:space="preserve">Executive Committee </w:t>
      </w:r>
      <w:r w:rsidR="00644F50" w:rsidRPr="007A624C">
        <w:t>for its consideration</w:t>
      </w:r>
      <w:r w:rsidR="00644F50">
        <w:t xml:space="preserve"> or their write off</w:t>
      </w:r>
      <w:r>
        <w:t>, and the subsequent response by UNEP taking into account the Secretariat’s comments on the issue;</w:t>
      </w:r>
    </w:p>
    <w:p w:rsidR="00644F50" w:rsidRDefault="00644F50" w:rsidP="00956BB6">
      <w:pPr>
        <w:pStyle w:val="Heading2"/>
      </w:pPr>
      <w:r w:rsidRPr="00BC6E08">
        <w:rPr>
          <w:rStyle w:val="bumpedfont15"/>
          <w:bCs/>
          <w:szCs w:val="16"/>
        </w:rPr>
        <w:t>To request</w:t>
      </w:r>
      <w:r w:rsidR="00BC6E08">
        <w:t xml:space="preserve"> t</w:t>
      </w:r>
      <w:r w:rsidRPr="000F0FAB">
        <w:t xml:space="preserve">he Treasurer to record in the 2016 accounts of the Multilateral Fund the differences between the implementing agencies’ provisional 2015 financial statements and their final 2015 statements as reflected in Table 1 of the document </w:t>
      </w:r>
      <w:r w:rsidRPr="00D55C7A">
        <w:t>UNEP/</w:t>
      </w:r>
      <w:proofErr w:type="spellStart"/>
      <w:r w:rsidRPr="00D55C7A">
        <w:t>OzL.Pro</w:t>
      </w:r>
      <w:proofErr w:type="spellEnd"/>
      <w:r w:rsidRPr="00D55C7A">
        <w:t>/ExCom/77/</w:t>
      </w:r>
      <w:r>
        <w:t>7</w:t>
      </w:r>
      <w:r w:rsidR="00717FD2">
        <w:t>2</w:t>
      </w:r>
      <w:r w:rsidR="000A0073">
        <w:t>; and</w:t>
      </w:r>
    </w:p>
    <w:p w:rsidR="00BC6E08" w:rsidRPr="00931006" w:rsidRDefault="00BC6E08" w:rsidP="00956BB6">
      <w:pPr>
        <w:pStyle w:val="Heading2"/>
      </w:pPr>
      <w:proofErr w:type="gramStart"/>
      <w:r>
        <w:rPr>
          <w:rStyle w:val="bumpedfont15"/>
          <w:bCs/>
          <w:szCs w:val="16"/>
        </w:rPr>
        <w:t>To request th</w:t>
      </w:r>
      <w:r w:rsidRPr="00D8096D">
        <w:rPr>
          <w:rStyle w:val="bumpedfont15"/>
          <w:bCs/>
          <w:szCs w:val="16"/>
        </w:rPr>
        <w:t xml:space="preserve">e </w:t>
      </w:r>
      <w:r>
        <w:rPr>
          <w:rStyle w:val="bumpedfont15"/>
          <w:bCs/>
          <w:szCs w:val="16"/>
        </w:rPr>
        <w:t>Executive Committee</w:t>
      </w:r>
      <w:r w:rsidRPr="00D8096D">
        <w:rPr>
          <w:rStyle w:val="bumpedfont15"/>
          <w:bCs/>
          <w:szCs w:val="16"/>
        </w:rPr>
        <w:t xml:space="preserve"> to report to </w:t>
      </w:r>
      <w:r>
        <w:rPr>
          <w:rStyle w:val="bumpedfont15"/>
          <w:bCs/>
          <w:szCs w:val="16"/>
        </w:rPr>
        <w:t>the 29</w:t>
      </w:r>
      <w:r w:rsidRPr="00D4424F">
        <w:rPr>
          <w:rStyle w:val="bumpedfont15"/>
          <w:bCs/>
          <w:szCs w:val="16"/>
          <w:vertAlign w:val="superscript"/>
        </w:rPr>
        <w:t>th</w:t>
      </w:r>
      <w:r>
        <w:rPr>
          <w:rStyle w:val="bumpedfont15"/>
          <w:bCs/>
          <w:szCs w:val="16"/>
        </w:rPr>
        <w:t xml:space="preserve"> m</w:t>
      </w:r>
      <w:r w:rsidRPr="00D8096D">
        <w:rPr>
          <w:rStyle w:val="bumpedfont15"/>
          <w:bCs/>
          <w:szCs w:val="16"/>
        </w:rPr>
        <w:t>eeting of the Parties</w:t>
      </w:r>
      <w:r>
        <w:rPr>
          <w:rStyle w:val="bumpedfont15"/>
          <w:bCs/>
          <w:szCs w:val="16"/>
        </w:rPr>
        <w:t xml:space="preserve"> to the Montreal Protocol,</w:t>
      </w:r>
      <w:r w:rsidRPr="00D8096D">
        <w:rPr>
          <w:rStyle w:val="bumpedfont15"/>
          <w:bCs/>
          <w:szCs w:val="16"/>
        </w:rPr>
        <w:t xml:space="preserve"> the </w:t>
      </w:r>
      <w:proofErr w:type="spellStart"/>
      <w:r>
        <w:rPr>
          <w:rStyle w:val="bumpedfont15"/>
          <w:bCs/>
          <w:szCs w:val="16"/>
        </w:rPr>
        <w:t>UNBoA</w:t>
      </w:r>
      <w:proofErr w:type="spellEnd"/>
      <w:r>
        <w:rPr>
          <w:rStyle w:val="bumpedfont15"/>
          <w:bCs/>
          <w:szCs w:val="16"/>
        </w:rPr>
        <w:t xml:space="preserve"> </w:t>
      </w:r>
      <w:r w:rsidRPr="00D8096D">
        <w:rPr>
          <w:rStyle w:val="bumpedfont15"/>
          <w:bCs/>
          <w:szCs w:val="16"/>
        </w:rPr>
        <w:t xml:space="preserve">observation and recommendation that “UNEP bring again the matter to the attention of the MLF Executive </w:t>
      </w:r>
      <w:r w:rsidRPr="00E51942">
        <w:rPr>
          <w:rStyle w:val="bumpedfont15"/>
          <w:bCs/>
          <w:szCs w:val="16"/>
        </w:rPr>
        <w:t xml:space="preserve">Committee </w:t>
      </w:r>
      <w:r w:rsidRPr="00D8096D">
        <w:rPr>
          <w:rStyle w:val="bumpedfont15"/>
          <w:bCs/>
          <w:szCs w:val="16"/>
        </w:rPr>
        <w:t>for its consideration or their write off”</w:t>
      </w:r>
      <w:r>
        <w:rPr>
          <w:rStyle w:val="bumpedfont15"/>
          <w:bCs/>
          <w:szCs w:val="16"/>
        </w:rPr>
        <w:t>.</w:t>
      </w:r>
      <w:proofErr w:type="gramEnd"/>
    </w:p>
    <w:p w:rsidR="00644F50" w:rsidRDefault="00644F50" w:rsidP="00644F50">
      <w:pPr>
        <w:pStyle w:val="ListParagraph"/>
      </w:pPr>
    </w:p>
    <w:p w:rsidR="00644F50" w:rsidRPr="000F0FAB" w:rsidRDefault="00644F50" w:rsidP="00644F50">
      <w:pPr>
        <w:pStyle w:val="ListParagraph"/>
        <w:ind w:left="226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F0163" w:rsidTr="00484843">
        <w:tc>
          <w:tcPr>
            <w:tcW w:w="1915" w:type="dxa"/>
          </w:tcPr>
          <w:p w:rsidR="00AF0163" w:rsidRDefault="00AF0163" w:rsidP="00644F50">
            <w:pPr>
              <w:rPr>
                <w:lang w:val="en-CA"/>
              </w:rPr>
            </w:pPr>
          </w:p>
        </w:tc>
        <w:tc>
          <w:tcPr>
            <w:tcW w:w="1915" w:type="dxa"/>
          </w:tcPr>
          <w:p w:rsidR="00AF0163" w:rsidRDefault="00AF0163" w:rsidP="00644F50">
            <w:pPr>
              <w:rPr>
                <w:lang w:val="en-CA"/>
              </w:rPr>
            </w:pPr>
          </w:p>
        </w:tc>
        <w:tc>
          <w:tcPr>
            <w:tcW w:w="1915" w:type="dxa"/>
            <w:tcBorders>
              <w:bottom w:val="single" w:sz="4" w:space="0" w:color="auto"/>
            </w:tcBorders>
          </w:tcPr>
          <w:p w:rsidR="00AF0163" w:rsidRDefault="00AF0163" w:rsidP="00644F50">
            <w:pPr>
              <w:rPr>
                <w:lang w:val="en-CA"/>
              </w:rPr>
            </w:pPr>
          </w:p>
        </w:tc>
        <w:tc>
          <w:tcPr>
            <w:tcW w:w="1915" w:type="dxa"/>
          </w:tcPr>
          <w:p w:rsidR="00AF0163" w:rsidRDefault="00AF0163" w:rsidP="00644F50">
            <w:pPr>
              <w:rPr>
                <w:lang w:val="en-CA"/>
              </w:rPr>
            </w:pPr>
          </w:p>
        </w:tc>
        <w:tc>
          <w:tcPr>
            <w:tcW w:w="1916" w:type="dxa"/>
          </w:tcPr>
          <w:p w:rsidR="00AF0163" w:rsidRDefault="00AF0163" w:rsidP="00644F50">
            <w:pPr>
              <w:rPr>
                <w:lang w:val="en-CA"/>
              </w:rPr>
            </w:pPr>
          </w:p>
        </w:tc>
      </w:tr>
    </w:tbl>
    <w:p w:rsidR="00AF0163" w:rsidRPr="00B04161" w:rsidRDefault="00AF0163" w:rsidP="00644F50">
      <w:pPr>
        <w:rPr>
          <w:lang w:val="en-CA"/>
        </w:rPr>
      </w:pPr>
    </w:p>
    <w:sectPr w:rsidR="00AF0163" w:rsidRPr="00B04161"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BA" w:rsidRDefault="009A66BA" w:rsidP="004A504B">
      <w:r>
        <w:separator/>
      </w:r>
    </w:p>
  </w:endnote>
  <w:endnote w:type="continuationSeparator" w:id="0">
    <w:p w:rsidR="009A66BA" w:rsidRDefault="009A66B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3" w:rsidRPr="0033525D" w:rsidRDefault="00484843">
    <w:pPr>
      <w:jc w:val="center"/>
    </w:pPr>
    <w:r>
      <w:fldChar w:fldCharType="begin"/>
    </w:r>
    <w:r>
      <w:instrText xml:space="preserve"> PAGE </w:instrText>
    </w:r>
    <w:r>
      <w:fldChar w:fldCharType="separate"/>
    </w:r>
    <w:r w:rsidR="006055B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3" w:rsidRPr="0033525D" w:rsidRDefault="00484843">
    <w:pPr>
      <w:jc w:val="center"/>
    </w:pPr>
    <w:r>
      <w:fldChar w:fldCharType="begin"/>
    </w:r>
    <w:r>
      <w:instrText xml:space="preserve"> PAGE </w:instrText>
    </w:r>
    <w:r>
      <w:fldChar w:fldCharType="separate"/>
    </w:r>
    <w:r w:rsidR="006055B1">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3" w:rsidRDefault="00484843"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84843" w:rsidRDefault="00484843"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BA" w:rsidRDefault="009A66BA" w:rsidP="004A504B">
      <w:r>
        <w:separator/>
      </w:r>
    </w:p>
  </w:footnote>
  <w:footnote w:type="continuationSeparator" w:id="0">
    <w:p w:rsidR="009A66BA" w:rsidRDefault="009A66BA" w:rsidP="004A504B">
      <w:r>
        <w:continuationSeparator/>
      </w:r>
    </w:p>
  </w:footnote>
  <w:footnote w:id="1">
    <w:p w:rsidR="00AD5AE9" w:rsidRPr="00AD5AE9" w:rsidRDefault="00AD5AE9">
      <w:pPr>
        <w:pStyle w:val="FootnoteText"/>
      </w:pPr>
      <w:r>
        <w:rPr>
          <w:rStyle w:val="FootnoteReference"/>
        </w:rPr>
        <w:footnoteRef/>
      </w:r>
      <w:r>
        <w:t xml:space="preserve"> </w:t>
      </w:r>
      <w:r w:rsidR="00FD118E" w:rsidRPr="00FD118E">
        <w:t xml:space="preserve"> http://www.un.org/en/auditors/board/auditors-reports.shtml</w:t>
      </w:r>
    </w:p>
  </w:footnote>
  <w:footnote w:id="2">
    <w:p w:rsidR="00E86FA1" w:rsidRPr="00E86FA1" w:rsidRDefault="00E86FA1">
      <w:pPr>
        <w:pStyle w:val="FootnoteText"/>
      </w:pPr>
      <w:r>
        <w:rPr>
          <w:rStyle w:val="FootnoteReference"/>
        </w:rPr>
        <w:footnoteRef/>
      </w:r>
      <w:r>
        <w:t xml:space="preserve"> </w:t>
      </w:r>
      <w:r w:rsidRPr="00E86FA1">
        <w:t>UN IPSAS Policy 18.4.3 (j) requires that decisions for write offs are considered at the management level, or in the case of assessed or voluntary contributions from member states</w:t>
      </w:r>
      <w:r>
        <w:t>,</w:t>
      </w:r>
      <w:r w:rsidRPr="00E86FA1">
        <w:t xml:space="preserve"> at the General Assembly level or Executive Body level as appropriate.</w:t>
      </w:r>
    </w:p>
  </w:footnote>
  <w:footnote w:id="3">
    <w:p w:rsidR="00E877BF" w:rsidRPr="00956BB6" w:rsidRDefault="00E877BF">
      <w:pPr>
        <w:pStyle w:val="FootnoteText"/>
        <w:rPr>
          <w:lang w:val="en-CA"/>
        </w:rPr>
      </w:pPr>
      <w:r w:rsidRPr="00BC6E08">
        <w:rPr>
          <w:rStyle w:val="FootnoteReference"/>
        </w:rPr>
        <w:footnoteRef/>
      </w:r>
      <w:r w:rsidRPr="00BC6E08">
        <w:t xml:space="preserve"> </w:t>
      </w:r>
      <w:r w:rsidRPr="00BC6E08">
        <w:rPr>
          <w:lang w:val="en-CA"/>
        </w:rPr>
        <w:t xml:space="preserve">A comprehensive </w:t>
      </w:r>
      <w:r w:rsidR="00BC6E08" w:rsidRPr="00BC6E08">
        <w:rPr>
          <w:lang w:val="en-CA"/>
        </w:rPr>
        <w:t>explanation</w:t>
      </w:r>
      <w:r w:rsidRPr="00BC6E08">
        <w:rPr>
          <w:lang w:val="en-CA"/>
        </w:rPr>
        <w:t xml:space="preserve"> on the </w:t>
      </w:r>
      <w:r w:rsidR="00BC6E08" w:rsidRPr="00BC6E08">
        <w:rPr>
          <w:lang w:val="en-CA"/>
        </w:rPr>
        <w:t>observations</w:t>
      </w:r>
      <w:r w:rsidRPr="00BC6E08">
        <w:rPr>
          <w:lang w:val="en-CA"/>
        </w:rPr>
        <w:t xml:space="preserve"> by </w:t>
      </w:r>
      <w:proofErr w:type="spellStart"/>
      <w:r w:rsidRPr="00BC6E08">
        <w:rPr>
          <w:lang w:val="en-CA"/>
        </w:rPr>
        <w:t>UNBoA</w:t>
      </w:r>
      <w:proofErr w:type="spellEnd"/>
      <w:r w:rsidRPr="00BC6E08">
        <w:rPr>
          <w:lang w:val="en-CA"/>
        </w:rPr>
        <w:t xml:space="preserve"> jointly </w:t>
      </w:r>
      <w:r w:rsidR="00BC6E08" w:rsidRPr="00BC6E08">
        <w:rPr>
          <w:lang w:val="en-CA"/>
        </w:rPr>
        <w:t>prepared by the Secretariat and the Treasurer and submitted to UNEP on</w:t>
      </w:r>
      <w:r w:rsidR="00607A03">
        <w:rPr>
          <w:lang w:val="en-CA"/>
        </w:rPr>
        <w:t xml:space="preserve"> </w:t>
      </w:r>
      <w:r w:rsidR="00171F72">
        <w:rPr>
          <w:lang w:val="en-CA"/>
        </w:rPr>
        <w:t>01 July 2016</w:t>
      </w:r>
      <w:r w:rsidR="00BC6E08" w:rsidRPr="00171F72">
        <w:rPr>
          <w:lang w:val="en-CA"/>
        </w:rPr>
        <w:t>.</w:t>
      </w:r>
      <w:r w:rsidR="00BC6E08" w:rsidRPr="00BC6E08">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3" w:rsidRPr="0033525D" w:rsidRDefault="00956BB6">
    <w:r>
      <w:fldChar w:fldCharType="begin"/>
    </w:r>
    <w:r>
      <w:instrText xml:space="preserve"> DOCPROPERTY "Document number"  \* MERGEFORMAT </w:instrText>
    </w:r>
    <w:r>
      <w:fldChar w:fldCharType="separate"/>
    </w:r>
    <w:r w:rsidR="006055B1">
      <w:t>UNEP/</w:t>
    </w:r>
    <w:proofErr w:type="spellStart"/>
    <w:r w:rsidR="006055B1">
      <w:t>OzL.Pro</w:t>
    </w:r>
    <w:proofErr w:type="spellEnd"/>
    <w:r w:rsidR="006055B1">
      <w:t>/ExCom/77/72</w:t>
    </w:r>
    <w:r>
      <w:fldChar w:fldCharType="end"/>
    </w:r>
  </w:p>
  <w:p w:rsidR="00484843" w:rsidRPr="0033525D" w:rsidRDefault="00484843"/>
  <w:p w:rsidR="00484843" w:rsidRPr="0033525D" w:rsidRDefault="004848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3" w:rsidRPr="0033525D" w:rsidRDefault="00956BB6">
    <w:pPr>
      <w:jc w:val="right"/>
    </w:pPr>
    <w:r>
      <w:fldChar w:fldCharType="begin"/>
    </w:r>
    <w:r>
      <w:instrText xml:space="preserve"> DOCPROPERTY "Document number"  \* MERGEFORMAT </w:instrText>
    </w:r>
    <w:r>
      <w:fldChar w:fldCharType="separate"/>
    </w:r>
    <w:r w:rsidR="006055B1">
      <w:t>UNEP/</w:t>
    </w:r>
    <w:proofErr w:type="spellStart"/>
    <w:r w:rsidR="006055B1">
      <w:t>OzL.Pro</w:t>
    </w:r>
    <w:proofErr w:type="spellEnd"/>
    <w:r w:rsidR="006055B1">
      <w:t>/ExCom/77/72</w:t>
    </w:r>
    <w:r>
      <w:fldChar w:fldCharType="end"/>
    </w:r>
  </w:p>
  <w:p w:rsidR="00484843" w:rsidRPr="0033525D" w:rsidRDefault="00484843"/>
  <w:p w:rsidR="00484843" w:rsidRPr="0033525D" w:rsidRDefault="00484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1B8B573B"/>
    <w:multiLevelType w:val="multilevel"/>
    <w:tmpl w:val="0076161A"/>
    <w:lvl w:ilvl="0">
      <w:start w:val="1"/>
      <w:numFmt w:val="decimal"/>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883E63"/>
    <w:multiLevelType w:val="hybridMultilevel"/>
    <w:tmpl w:val="84B246B4"/>
    <w:lvl w:ilvl="0" w:tplc="4928DA9E">
      <w:start w:val="1"/>
      <w:numFmt w:val="lowerRoman"/>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nsid w:val="410639FB"/>
    <w:multiLevelType w:val="hybridMultilevel"/>
    <w:tmpl w:val="FEEC495C"/>
    <w:lvl w:ilvl="0" w:tplc="861C48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D248DB"/>
    <w:multiLevelType w:val="hybridMultilevel"/>
    <w:tmpl w:val="1FAA2AC4"/>
    <w:lvl w:ilvl="0" w:tplc="296ECF14">
      <w:start w:val="1"/>
      <w:numFmt w:val="lowerLetter"/>
      <w:lvlText w:val="(%1)"/>
      <w:lvlJc w:val="left"/>
      <w:pPr>
        <w:ind w:left="2062"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19"/>
  </w:num>
  <w:num w:numId="20">
    <w:abstractNumId w:val="14"/>
  </w:num>
  <w:num w:numId="21">
    <w:abstractNumId w:val="10"/>
  </w:num>
  <w:num w:numId="22">
    <w:abstractNumId w:val="16"/>
  </w:num>
  <w:num w:numId="23">
    <w:abstractNumId w:val="12"/>
  </w:num>
  <w:num w:numId="24">
    <w:abstractNumId w:val="15"/>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59"/>
    <w:rsid w:val="00000FED"/>
    <w:rsid w:val="0000434E"/>
    <w:rsid w:val="000211A9"/>
    <w:rsid w:val="00031260"/>
    <w:rsid w:val="0003681A"/>
    <w:rsid w:val="000635BB"/>
    <w:rsid w:val="00080ED0"/>
    <w:rsid w:val="00082FBA"/>
    <w:rsid w:val="00085B8F"/>
    <w:rsid w:val="00090481"/>
    <w:rsid w:val="000A0073"/>
    <w:rsid w:val="000A7FE2"/>
    <w:rsid w:val="000C4706"/>
    <w:rsid w:val="000E07BC"/>
    <w:rsid w:val="000F1CD4"/>
    <w:rsid w:val="000F3445"/>
    <w:rsid w:val="000F4103"/>
    <w:rsid w:val="000F70A7"/>
    <w:rsid w:val="00135980"/>
    <w:rsid w:val="001477E8"/>
    <w:rsid w:val="001634C3"/>
    <w:rsid w:val="00164719"/>
    <w:rsid w:val="00166FC4"/>
    <w:rsid w:val="001677AC"/>
    <w:rsid w:val="00171F72"/>
    <w:rsid w:val="001804EA"/>
    <w:rsid w:val="00190A61"/>
    <w:rsid w:val="001A3342"/>
    <w:rsid w:val="001A3E3D"/>
    <w:rsid w:val="001A7049"/>
    <w:rsid w:val="001B1E40"/>
    <w:rsid w:val="001C764E"/>
    <w:rsid w:val="001D37D9"/>
    <w:rsid w:val="001D4534"/>
    <w:rsid w:val="001E1052"/>
    <w:rsid w:val="001E21B1"/>
    <w:rsid w:val="001E2859"/>
    <w:rsid w:val="001E2F93"/>
    <w:rsid w:val="001E56DC"/>
    <w:rsid w:val="001E61E5"/>
    <w:rsid w:val="001F2159"/>
    <w:rsid w:val="0021033C"/>
    <w:rsid w:val="002156B4"/>
    <w:rsid w:val="002373F3"/>
    <w:rsid w:val="00253222"/>
    <w:rsid w:val="00262847"/>
    <w:rsid w:val="00272D07"/>
    <w:rsid w:val="00294328"/>
    <w:rsid w:val="002B4431"/>
    <w:rsid w:val="002B72E9"/>
    <w:rsid w:val="002C31EB"/>
    <w:rsid w:val="002C57CC"/>
    <w:rsid w:val="002C7998"/>
    <w:rsid w:val="002F0413"/>
    <w:rsid w:val="002F1E53"/>
    <w:rsid w:val="002F2CAA"/>
    <w:rsid w:val="00324FA8"/>
    <w:rsid w:val="003306E1"/>
    <w:rsid w:val="003320E4"/>
    <w:rsid w:val="0033525D"/>
    <w:rsid w:val="003414F3"/>
    <w:rsid w:val="0035613E"/>
    <w:rsid w:val="00362EAE"/>
    <w:rsid w:val="00363EE9"/>
    <w:rsid w:val="0037042C"/>
    <w:rsid w:val="00371C82"/>
    <w:rsid w:val="003750E8"/>
    <w:rsid w:val="00376128"/>
    <w:rsid w:val="0037742E"/>
    <w:rsid w:val="0038245A"/>
    <w:rsid w:val="00386036"/>
    <w:rsid w:val="0039337A"/>
    <w:rsid w:val="003A3189"/>
    <w:rsid w:val="003B569D"/>
    <w:rsid w:val="003C3C0E"/>
    <w:rsid w:val="003D4FAC"/>
    <w:rsid w:val="003E7906"/>
    <w:rsid w:val="003F3C50"/>
    <w:rsid w:val="004011F5"/>
    <w:rsid w:val="0040619D"/>
    <w:rsid w:val="0040628C"/>
    <w:rsid w:val="00406A6A"/>
    <w:rsid w:val="00406B22"/>
    <w:rsid w:val="00425D52"/>
    <w:rsid w:val="004328A7"/>
    <w:rsid w:val="00434C74"/>
    <w:rsid w:val="0045319E"/>
    <w:rsid w:val="00456EB4"/>
    <w:rsid w:val="004718F3"/>
    <w:rsid w:val="00475040"/>
    <w:rsid w:val="00484843"/>
    <w:rsid w:val="00493D40"/>
    <w:rsid w:val="004967B6"/>
    <w:rsid w:val="004A504B"/>
    <w:rsid w:val="004A6911"/>
    <w:rsid w:val="004B1408"/>
    <w:rsid w:val="004B24F0"/>
    <w:rsid w:val="004B54E0"/>
    <w:rsid w:val="004B7384"/>
    <w:rsid w:val="004C4269"/>
    <w:rsid w:val="004D6236"/>
    <w:rsid w:val="004E4DBB"/>
    <w:rsid w:val="004E4E41"/>
    <w:rsid w:val="004E709F"/>
    <w:rsid w:val="004E7F9C"/>
    <w:rsid w:val="004F3493"/>
    <w:rsid w:val="00501E84"/>
    <w:rsid w:val="00512A15"/>
    <w:rsid w:val="00512B09"/>
    <w:rsid w:val="00555D75"/>
    <w:rsid w:val="00560DF0"/>
    <w:rsid w:val="0056759C"/>
    <w:rsid w:val="00583465"/>
    <w:rsid w:val="0059513E"/>
    <w:rsid w:val="005A6677"/>
    <w:rsid w:val="005B1180"/>
    <w:rsid w:val="005B48FF"/>
    <w:rsid w:val="005C1FAF"/>
    <w:rsid w:val="005D7840"/>
    <w:rsid w:val="005F0490"/>
    <w:rsid w:val="00601A91"/>
    <w:rsid w:val="00604C15"/>
    <w:rsid w:val="006055B1"/>
    <w:rsid w:val="00607A03"/>
    <w:rsid w:val="006158D5"/>
    <w:rsid w:val="00625D83"/>
    <w:rsid w:val="00644F50"/>
    <w:rsid w:val="0065354D"/>
    <w:rsid w:val="006623E7"/>
    <w:rsid w:val="00662B80"/>
    <w:rsid w:val="00667244"/>
    <w:rsid w:val="006852C7"/>
    <w:rsid w:val="00693DE0"/>
    <w:rsid w:val="006A7FD5"/>
    <w:rsid w:val="006C1727"/>
    <w:rsid w:val="006C32FD"/>
    <w:rsid w:val="006C39CE"/>
    <w:rsid w:val="006C4804"/>
    <w:rsid w:val="006D0FCC"/>
    <w:rsid w:val="006E2649"/>
    <w:rsid w:val="006E361D"/>
    <w:rsid w:val="006E4A75"/>
    <w:rsid w:val="006F391A"/>
    <w:rsid w:val="00701181"/>
    <w:rsid w:val="0070616B"/>
    <w:rsid w:val="00706FDA"/>
    <w:rsid w:val="00711F9A"/>
    <w:rsid w:val="00713810"/>
    <w:rsid w:val="00717FD2"/>
    <w:rsid w:val="007303A5"/>
    <w:rsid w:val="00730B3E"/>
    <w:rsid w:val="0073420B"/>
    <w:rsid w:val="00735E55"/>
    <w:rsid w:val="00742F35"/>
    <w:rsid w:val="007435E9"/>
    <w:rsid w:val="0074760E"/>
    <w:rsid w:val="00754439"/>
    <w:rsid w:val="00754ABA"/>
    <w:rsid w:val="00755C59"/>
    <w:rsid w:val="0076309E"/>
    <w:rsid w:val="00775B66"/>
    <w:rsid w:val="00780368"/>
    <w:rsid w:val="007A1546"/>
    <w:rsid w:val="007A228C"/>
    <w:rsid w:val="007A368E"/>
    <w:rsid w:val="007A5868"/>
    <w:rsid w:val="007B04CE"/>
    <w:rsid w:val="007B1BAB"/>
    <w:rsid w:val="007B2D34"/>
    <w:rsid w:val="007B6871"/>
    <w:rsid w:val="007B7A2F"/>
    <w:rsid w:val="007C3D33"/>
    <w:rsid w:val="007C4D93"/>
    <w:rsid w:val="007D294A"/>
    <w:rsid w:val="007D3FDA"/>
    <w:rsid w:val="007D47D2"/>
    <w:rsid w:val="007D6EC0"/>
    <w:rsid w:val="007D7E1D"/>
    <w:rsid w:val="007E43D4"/>
    <w:rsid w:val="007F2917"/>
    <w:rsid w:val="00803F59"/>
    <w:rsid w:val="008172E9"/>
    <w:rsid w:val="00817496"/>
    <w:rsid w:val="00822233"/>
    <w:rsid w:val="008239D6"/>
    <w:rsid w:val="00827891"/>
    <w:rsid w:val="00835729"/>
    <w:rsid w:val="00851352"/>
    <w:rsid w:val="00854CEC"/>
    <w:rsid w:val="008616A9"/>
    <w:rsid w:val="00863230"/>
    <w:rsid w:val="008717D8"/>
    <w:rsid w:val="0087215C"/>
    <w:rsid w:val="008875FE"/>
    <w:rsid w:val="00887F8E"/>
    <w:rsid w:val="00896234"/>
    <w:rsid w:val="00897E43"/>
    <w:rsid w:val="008A0675"/>
    <w:rsid w:val="008A3539"/>
    <w:rsid w:val="008C00B4"/>
    <w:rsid w:val="008C4F97"/>
    <w:rsid w:val="008C5738"/>
    <w:rsid w:val="008C7EAD"/>
    <w:rsid w:val="008D3C92"/>
    <w:rsid w:val="008D6152"/>
    <w:rsid w:val="008F0F81"/>
    <w:rsid w:val="008F200A"/>
    <w:rsid w:val="008F27BF"/>
    <w:rsid w:val="00923540"/>
    <w:rsid w:val="00926767"/>
    <w:rsid w:val="009361D5"/>
    <w:rsid w:val="00943807"/>
    <w:rsid w:val="0094795B"/>
    <w:rsid w:val="00956BB6"/>
    <w:rsid w:val="00960599"/>
    <w:rsid w:val="009659F4"/>
    <w:rsid w:val="00970D60"/>
    <w:rsid w:val="00981A3F"/>
    <w:rsid w:val="009834D6"/>
    <w:rsid w:val="0099051F"/>
    <w:rsid w:val="00991A91"/>
    <w:rsid w:val="009928DB"/>
    <w:rsid w:val="009960E5"/>
    <w:rsid w:val="009A66BA"/>
    <w:rsid w:val="009A7ADC"/>
    <w:rsid w:val="009C12ED"/>
    <w:rsid w:val="009C19B7"/>
    <w:rsid w:val="009D7C51"/>
    <w:rsid w:val="009F36BF"/>
    <w:rsid w:val="00A07D67"/>
    <w:rsid w:val="00A111B6"/>
    <w:rsid w:val="00A11925"/>
    <w:rsid w:val="00A42A99"/>
    <w:rsid w:val="00A5151A"/>
    <w:rsid w:val="00A57E0A"/>
    <w:rsid w:val="00A62C58"/>
    <w:rsid w:val="00A7166D"/>
    <w:rsid w:val="00A7522F"/>
    <w:rsid w:val="00A8027D"/>
    <w:rsid w:val="00A823F6"/>
    <w:rsid w:val="00A86C29"/>
    <w:rsid w:val="00AA0A89"/>
    <w:rsid w:val="00AA6429"/>
    <w:rsid w:val="00AB2FB6"/>
    <w:rsid w:val="00AB5073"/>
    <w:rsid w:val="00AB7042"/>
    <w:rsid w:val="00AC01AA"/>
    <w:rsid w:val="00AC4F72"/>
    <w:rsid w:val="00AD5AE9"/>
    <w:rsid w:val="00AE406A"/>
    <w:rsid w:val="00AF0163"/>
    <w:rsid w:val="00AF741A"/>
    <w:rsid w:val="00B01ADB"/>
    <w:rsid w:val="00B04161"/>
    <w:rsid w:val="00B056F9"/>
    <w:rsid w:val="00B11E3D"/>
    <w:rsid w:val="00B17E82"/>
    <w:rsid w:val="00B4575A"/>
    <w:rsid w:val="00B575BA"/>
    <w:rsid w:val="00B76429"/>
    <w:rsid w:val="00B956D4"/>
    <w:rsid w:val="00B97446"/>
    <w:rsid w:val="00B97DCA"/>
    <w:rsid w:val="00BA7432"/>
    <w:rsid w:val="00BC09C0"/>
    <w:rsid w:val="00BC1AA0"/>
    <w:rsid w:val="00BC2495"/>
    <w:rsid w:val="00BC5E7D"/>
    <w:rsid w:val="00BC6E08"/>
    <w:rsid w:val="00BC7EB9"/>
    <w:rsid w:val="00BD2643"/>
    <w:rsid w:val="00BD56B1"/>
    <w:rsid w:val="00BD6558"/>
    <w:rsid w:val="00BE0E7C"/>
    <w:rsid w:val="00BE3E06"/>
    <w:rsid w:val="00BF3214"/>
    <w:rsid w:val="00C01A9D"/>
    <w:rsid w:val="00C15867"/>
    <w:rsid w:val="00C21E78"/>
    <w:rsid w:val="00C2296D"/>
    <w:rsid w:val="00C23155"/>
    <w:rsid w:val="00C26DEA"/>
    <w:rsid w:val="00C40C41"/>
    <w:rsid w:val="00C45885"/>
    <w:rsid w:val="00C5035F"/>
    <w:rsid w:val="00C50F22"/>
    <w:rsid w:val="00C57971"/>
    <w:rsid w:val="00C76BA4"/>
    <w:rsid w:val="00C83A48"/>
    <w:rsid w:val="00C84832"/>
    <w:rsid w:val="00C85865"/>
    <w:rsid w:val="00C85E85"/>
    <w:rsid w:val="00CA2EAE"/>
    <w:rsid w:val="00CA4AC1"/>
    <w:rsid w:val="00CB0316"/>
    <w:rsid w:val="00CB0B11"/>
    <w:rsid w:val="00CB5354"/>
    <w:rsid w:val="00CC6A14"/>
    <w:rsid w:val="00CC70A3"/>
    <w:rsid w:val="00CD23C2"/>
    <w:rsid w:val="00CD4442"/>
    <w:rsid w:val="00CD4E21"/>
    <w:rsid w:val="00CD53C3"/>
    <w:rsid w:val="00CD574E"/>
    <w:rsid w:val="00CE4C22"/>
    <w:rsid w:val="00CE7C58"/>
    <w:rsid w:val="00CF30E9"/>
    <w:rsid w:val="00CF41EC"/>
    <w:rsid w:val="00CF5D04"/>
    <w:rsid w:val="00D04DE4"/>
    <w:rsid w:val="00D063F1"/>
    <w:rsid w:val="00D070F8"/>
    <w:rsid w:val="00D14F22"/>
    <w:rsid w:val="00D4424F"/>
    <w:rsid w:val="00D55BDD"/>
    <w:rsid w:val="00D56E53"/>
    <w:rsid w:val="00D57918"/>
    <w:rsid w:val="00D72B83"/>
    <w:rsid w:val="00D73DC6"/>
    <w:rsid w:val="00D74C1A"/>
    <w:rsid w:val="00D754C1"/>
    <w:rsid w:val="00D7738C"/>
    <w:rsid w:val="00D77A35"/>
    <w:rsid w:val="00D81B3E"/>
    <w:rsid w:val="00D81C1A"/>
    <w:rsid w:val="00D90C70"/>
    <w:rsid w:val="00D90E49"/>
    <w:rsid w:val="00D96E88"/>
    <w:rsid w:val="00DA11FA"/>
    <w:rsid w:val="00DC2C92"/>
    <w:rsid w:val="00DC5BFD"/>
    <w:rsid w:val="00DC6A10"/>
    <w:rsid w:val="00DD5531"/>
    <w:rsid w:val="00DD6447"/>
    <w:rsid w:val="00DE657E"/>
    <w:rsid w:val="00DF4704"/>
    <w:rsid w:val="00DF74E6"/>
    <w:rsid w:val="00E024AA"/>
    <w:rsid w:val="00E250F1"/>
    <w:rsid w:val="00E260D5"/>
    <w:rsid w:val="00E3550D"/>
    <w:rsid w:val="00E613F2"/>
    <w:rsid w:val="00E614E0"/>
    <w:rsid w:val="00E66A74"/>
    <w:rsid w:val="00E73F7F"/>
    <w:rsid w:val="00E77236"/>
    <w:rsid w:val="00E86FA1"/>
    <w:rsid w:val="00E877BF"/>
    <w:rsid w:val="00EA429F"/>
    <w:rsid w:val="00EA4F9E"/>
    <w:rsid w:val="00EA63CA"/>
    <w:rsid w:val="00EA6D3B"/>
    <w:rsid w:val="00EB00AD"/>
    <w:rsid w:val="00EB136C"/>
    <w:rsid w:val="00EB480E"/>
    <w:rsid w:val="00EB5EC6"/>
    <w:rsid w:val="00EB7FC9"/>
    <w:rsid w:val="00EC1039"/>
    <w:rsid w:val="00ED27E8"/>
    <w:rsid w:val="00ED7137"/>
    <w:rsid w:val="00F02366"/>
    <w:rsid w:val="00F21088"/>
    <w:rsid w:val="00F327E7"/>
    <w:rsid w:val="00F35746"/>
    <w:rsid w:val="00F447C7"/>
    <w:rsid w:val="00F554A9"/>
    <w:rsid w:val="00F716FD"/>
    <w:rsid w:val="00F80355"/>
    <w:rsid w:val="00F80F0A"/>
    <w:rsid w:val="00F94DB3"/>
    <w:rsid w:val="00FB0C81"/>
    <w:rsid w:val="00FB1F03"/>
    <w:rsid w:val="00FB21C7"/>
    <w:rsid w:val="00FB444A"/>
    <w:rsid w:val="00FB644E"/>
    <w:rsid w:val="00FC0B38"/>
    <w:rsid w:val="00FC2200"/>
    <w:rsid w:val="00FC2540"/>
    <w:rsid w:val="00FD118E"/>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Title2">
    <w:name w:val="Title2"/>
    <w:rsid w:val="00755C59"/>
    <w:pPr>
      <w:jc w:val="center"/>
      <w:outlineLvl w:val="0"/>
    </w:pPr>
    <w:rPr>
      <w:b/>
      <w:caps/>
      <w:sz w:val="22"/>
      <w:szCs w:val="22"/>
      <w:lang w:val="en-GB"/>
    </w:rPr>
  </w:style>
  <w:style w:type="character" w:customStyle="1" w:styleId="FooterChar">
    <w:name w:val="Footer Char"/>
    <w:link w:val="Footer"/>
    <w:uiPriority w:val="99"/>
    <w:rsid w:val="00755C59"/>
    <w:rPr>
      <w:sz w:val="22"/>
      <w:szCs w:val="22"/>
      <w:lang w:val="en-GB"/>
    </w:rPr>
  </w:style>
  <w:style w:type="paragraph" w:customStyle="1" w:styleId="subhead">
    <w:name w:val="subhead"/>
    <w:basedOn w:val="Normal"/>
    <w:next w:val="Normal"/>
    <w:uiPriority w:val="99"/>
    <w:rsid w:val="00755C59"/>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a--">
    <w:name w:val="a-(-)"/>
    <w:basedOn w:val="Normal"/>
    <w:uiPriority w:val="99"/>
    <w:rsid w:val="00755C59"/>
    <w:pPr>
      <w:tabs>
        <w:tab w:val="left" w:pos="-720"/>
        <w:tab w:val="left" w:pos="0"/>
        <w:tab w:val="left" w:pos="720"/>
        <w:tab w:val="left" w:pos="1440"/>
        <w:tab w:val="left" w:pos="2160"/>
        <w:tab w:val="left" w:pos="2880"/>
        <w:tab w:val="left" w:pos="3600"/>
      </w:tabs>
      <w:suppressAutoHyphens/>
    </w:pPr>
    <w:rPr>
      <w:b/>
      <w:bCs/>
      <w:sz w:val="24"/>
      <w:szCs w:val="24"/>
    </w:rPr>
  </w:style>
  <w:style w:type="paragraph" w:styleId="FootnoteText">
    <w:name w:val="footnote text"/>
    <w:basedOn w:val="Normal"/>
    <w:link w:val="FootnoteTextChar"/>
    <w:uiPriority w:val="99"/>
    <w:semiHidden/>
    <w:rsid w:val="00755C59"/>
    <w:rPr>
      <w:sz w:val="20"/>
      <w:szCs w:val="20"/>
    </w:rPr>
  </w:style>
  <w:style w:type="character" w:customStyle="1" w:styleId="FootnoteTextChar">
    <w:name w:val="Footnote Text Char"/>
    <w:basedOn w:val="DefaultParagraphFont"/>
    <w:link w:val="FootnoteText"/>
    <w:uiPriority w:val="99"/>
    <w:semiHidden/>
    <w:rsid w:val="00755C59"/>
    <w:rPr>
      <w:lang w:val="en-GB"/>
    </w:rPr>
  </w:style>
  <w:style w:type="character" w:styleId="FootnoteReference">
    <w:name w:val="footnote reference"/>
    <w:uiPriority w:val="99"/>
    <w:semiHidden/>
    <w:rsid w:val="00755C59"/>
    <w:rPr>
      <w:vertAlign w:val="superscript"/>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755C59"/>
    <w:rPr>
      <w:sz w:val="22"/>
      <w:szCs w:val="22"/>
      <w:lang w:val="en-GB"/>
    </w:rPr>
  </w:style>
  <w:style w:type="paragraph" w:styleId="ListParagraph">
    <w:name w:val="List Paragraph"/>
    <w:basedOn w:val="Normal"/>
    <w:uiPriority w:val="34"/>
    <w:qFormat/>
    <w:rsid w:val="00644F50"/>
    <w:pPr>
      <w:ind w:left="720"/>
      <w:contextualSpacing/>
    </w:pPr>
  </w:style>
  <w:style w:type="character" w:customStyle="1" w:styleId="bumpedfont15">
    <w:name w:val="bumpedfont15"/>
    <w:basedOn w:val="DefaultParagraphFont"/>
    <w:rsid w:val="00644F50"/>
  </w:style>
  <w:style w:type="character" w:customStyle="1" w:styleId="s137">
    <w:name w:val="s137"/>
    <w:basedOn w:val="DefaultParagraphFont"/>
    <w:rsid w:val="00644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Title2">
    <w:name w:val="Title2"/>
    <w:rsid w:val="00755C59"/>
    <w:pPr>
      <w:jc w:val="center"/>
      <w:outlineLvl w:val="0"/>
    </w:pPr>
    <w:rPr>
      <w:b/>
      <w:caps/>
      <w:sz w:val="22"/>
      <w:szCs w:val="22"/>
      <w:lang w:val="en-GB"/>
    </w:rPr>
  </w:style>
  <w:style w:type="character" w:customStyle="1" w:styleId="FooterChar">
    <w:name w:val="Footer Char"/>
    <w:link w:val="Footer"/>
    <w:uiPriority w:val="99"/>
    <w:rsid w:val="00755C59"/>
    <w:rPr>
      <w:sz w:val="22"/>
      <w:szCs w:val="22"/>
      <w:lang w:val="en-GB"/>
    </w:rPr>
  </w:style>
  <w:style w:type="paragraph" w:customStyle="1" w:styleId="subhead">
    <w:name w:val="subhead"/>
    <w:basedOn w:val="Normal"/>
    <w:next w:val="Normal"/>
    <w:uiPriority w:val="99"/>
    <w:rsid w:val="00755C59"/>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a--">
    <w:name w:val="a-(-)"/>
    <w:basedOn w:val="Normal"/>
    <w:uiPriority w:val="99"/>
    <w:rsid w:val="00755C59"/>
    <w:pPr>
      <w:tabs>
        <w:tab w:val="left" w:pos="-720"/>
        <w:tab w:val="left" w:pos="0"/>
        <w:tab w:val="left" w:pos="720"/>
        <w:tab w:val="left" w:pos="1440"/>
        <w:tab w:val="left" w:pos="2160"/>
        <w:tab w:val="left" w:pos="2880"/>
        <w:tab w:val="left" w:pos="3600"/>
      </w:tabs>
      <w:suppressAutoHyphens/>
    </w:pPr>
    <w:rPr>
      <w:b/>
      <w:bCs/>
      <w:sz w:val="24"/>
      <w:szCs w:val="24"/>
    </w:rPr>
  </w:style>
  <w:style w:type="paragraph" w:styleId="FootnoteText">
    <w:name w:val="footnote text"/>
    <w:basedOn w:val="Normal"/>
    <w:link w:val="FootnoteTextChar"/>
    <w:uiPriority w:val="99"/>
    <w:semiHidden/>
    <w:rsid w:val="00755C59"/>
    <w:rPr>
      <w:sz w:val="20"/>
      <w:szCs w:val="20"/>
    </w:rPr>
  </w:style>
  <w:style w:type="character" w:customStyle="1" w:styleId="FootnoteTextChar">
    <w:name w:val="Footnote Text Char"/>
    <w:basedOn w:val="DefaultParagraphFont"/>
    <w:link w:val="FootnoteText"/>
    <w:uiPriority w:val="99"/>
    <w:semiHidden/>
    <w:rsid w:val="00755C59"/>
    <w:rPr>
      <w:lang w:val="en-GB"/>
    </w:rPr>
  </w:style>
  <w:style w:type="character" w:styleId="FootnoteReference">
    <w:name w:val="footnote reference"/>
    <w:uiPriority w:val="99"/>
    <w:semiHidden/>
    <w:rsid w:val="00755C59"/>
    <w:rPr>
      <w:vertAlign w:val="superscript"/>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755C59"/>
    <w:rPr>
      <w:sz w:val="22"/>
      <w:szCs w:val="22"/>
      <w:lang w:val="en-GB"/>
    </w:rPr>
  </w:style>
  <w:style w:type="paragraph" w:styleId="ListParagraph">
    <w:name w:val="List Paragraph"/>
    <w:basedOn w:val="Normal"/>
    <w:uiPriority w:val="34"/>
    <w:qFormat/>
    <w:rsid w:val="00644F50"/>
    <w:pPr>
      <w:ind w:left="720"/>
      <w:contextualSpacing/>
    </w:pPr>
  </w:style>
  <w:style w:type="character" w:customStyle="1" w:styleId="bumpedfont15">
    <w:name w:val="bumpedfont15"/>
    <w:basedOn w:val="DefaultParagraphFont"/>
    <w:rsid w:val="00644F50"/>
  </w:style>
  <w:style w:type="character" w:customStyle="1" w:styleId="s137">
    <w:name w:val="s137"/>
    <w:basedOn w:val="DefaultParagraphFont"/>
    <w:rsid w:val="0064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929">
      <w:bodyDiv w:val="1"/>
      <w:marLeft w:val="0"/>
      <w:marRight w:val="0"/>
      <w:marTop w:val="0"/>
      <w:marBottom w:val="0"/>
      <w:divBdr>
        <w:top w:val="none" w:sz="0" w:space="0" w:color="auto"/>
        <w:left w:val="none" w:sz="0" w:space="0" w:color="auto"/>
        <w:bottom w:val="none" w:sz="0" w:space="0" w:color="auto"/>
        <w:right w:val="none" w:sz="0" w:space="0" w:color="auto"/>
      </w:divBdr>
    </w:div>
    <w:div w:id="59834541">
      <w:bodyDiv w:val="1"/>
      <w:marLeft w:val="0"/>
      <w:marRight w:val="0"/>
      <w:marTop w:val="0"/>
      <w:marBottom w:val="0"/>
      <w:divBdr>
        <w:top w:val="none" w:sz="0" w:space="0" w:color="auto"/>
        <w:left w:val="none" w:sz="0" w:space="0" w:color="auto"/>
        <w:bottom w:val="none" w:sz="0" w:space="0" w:color="auto"/>
        <w:right w:val="none" w:sz="0" w:space="0" w:color="auto"/>
      </w:divBdr>
    </w:div>
    <w:div w:id="278343076">
      <w:bodyDiv w:val="1"/>
      <w:marLeft w:val="0"/>
      <w:marRight w:val="0"/>
      <w:marTop w:val="0"/>
      <w:marBottom w:val="0"/>
      <w:divBdr>
        <w:top w:val="none" w:sz="0" w:space="0" w:color="auto"/>
        <w:left w:val="none" w:sz="0" w:space="0" w:color="auto"/>
        <w:bottom w:val="none" w:sz="0" w:space="0" w:color="auto"/>
        <w:right w:val="none" w:sz="0" w:space="0" w:color="auto"/>
      </w:divBdr>
    </w:div>
    <w:div w:id="847520499">
      <w:bodyDiv w:val="1"/>
      <w:marLeft w:val="0"/>
      <w:marRight w:val="0"/>
      <w:marTop w:val="0"/>
      <w:marBottom w:val="0"/>
      <w:divBdr>
        <w:top w:val="none" w:sz="0" w:space="0" w:color="auto"/>
        <w:left w:val="none" w:sz="0" w:space="0" w:color="auto"/>
        <w:bottom w:val="none" w:sz="0" w:space="0" w:color="auto"/>
        <w:right w:val="none" w:sz="0" w:space="0" w:color="auto"/>
      </w:divBdr>
    </w:div>
    <w:div w:id="965811913">
      <w:bodyDiv w:val="1"/>
      <w:marLeft w:val="0"/>
      <w:marRight w:val="0"/>
      <w:marTop w:val="0"/>
      <w:marBottom w:val="0"/>
      <w:divBdr>
        <w:top w:val="none" w:sz="0" w:space="0" w:color="auto"/>
        <w:left w:val="none" w:sz="0" w:space="0" w:color="auto"/>
        <w:bottom w:val="none" w:sz="0" w:space="0" w:color="auto"/>
        <w:right w:val="none" w:sz="0" w:space="0" w:color="auto"/>
      </w:divBdr>
    </w:div>
    <w:div w:id="1024745629">
      <w:bodyDiv w:val="1"/>
      <w:marLeft w:val="0"/>
      <w:marRight w:val="0"/>
      <w:marTop w:val="0"/>
      <w:marBottom w:val="0"/>
      <w:divBdr>
        <w:top w:val="none" w:sz="0" w:space="0" w:color="auto"/>
        <w:left w:val="none" w:sz="0" w:space="0" w:color="auto"/>
        <w:bottom w:val="none" w:sz="0" w:space="0" w:color="auto"/>
        <w:right w:val="none" w:sz="0" w:space="0" w:color="auto"/>
      </w:divBdr>
    </w:div>
    <w:div w:id="1623533071">
      <w:bodyDiv w:val="1"/>
      <w:marLeft w:val="0"/>
      <w:marRight w:val="0"/>
      <w:marTop w:val="0"/>
      <w:marBottom w:val="0"/>
      <w:divBdr>
        <w:top w:val="none" w:sz="0" w:space="0" w:color="auto"/>
        <w:left w:val="none" w:sz="0" w:space="0" w:color="auto"/>
        <w:bottom w:val="none" w:sz="0" w:space="0" w:color="auto"/>
        <w:right w:val="none" w:sz="0" w:space="0" w:color="auto"/>
      </w:divBdr>
    </w:div>
    <w:div w:id="182342130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679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UNEP/OzL.Pro/ExCom/77/72</Document_x0020_Number>
    <DocumentType xmlns="64e33b30-101d-41de-b951-961aab25ea29">Pre-session</DocumentType>
  </documentManagement>
</p:properties>
</file>

<file path=customXml/itemProps1.xml><?xml version="1.0" encoding="utf-8"?>
<ds:datastoreItem xmlns:ds="http://schemas.openxmlformats.org/officeDocument/2006/customXml" ds:itemID="{204A25E2-B2E6-44B3-AA16-FAF25CD015AB}"/>
</file>

<file path=customXml/itemProps2.xml><?xml version="1.0" encoding="utf-8"?>
<ds:datastoreItem xmlns:ds="http://schemas.openxmlformats.org/officeDocument/2006/customXml" ds:itemID="{3746D505-D807-4EEB-BA90-7FB34C203F81}"/>
</file>

<file path=customXml/itemProps3.xml><?xml version="1.0" encoding="utf-8"?>
<ds:datastoreItem xmlns:ds="http://schemas.openxmlformats.org/officeDocument/2006/customXml" ds:itemID="{4A5B55A7-1613-49E5-B9B6-464FE50A41AE}"/>
</file>

<file path=customXml/itemProps4.xml><?xml version="1.0" encoding="utf-8"?>
<ds:datastoreItem xmlns:ds="http://schemas.openxmlformats.org/officeDocument/2006/customXml" ds:itemID="{F0E82383-4932-495C-9DAE-ED000BC01650}"/>
</file>

<file path=docProps/app.xml><?xml version="1.0" encoding="utf-8"?>
<Properties xmlns="http://schemas.openxmlformats.org/officeDocument/2006/extended-properties" xmlns:vt="http://schemas.openxmlformats.org/officeDocument/2006/docPropsVTypes">
  <Template>normal.dotm</Template>
  <TotalTime>66</TotalTime>
  <Pages>3</Pages>
  <Words>1000</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Final 2015 Accounts</vt:lpstr>
    </vt:vector>
  </TitlesOfParts>
  <Company>UNMFS</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2015 Accounts (part 1)</dc:title>
  <dc:subject/>
  <dc:creator>BB</dc:creator>
  <cp:lastModifiedBy>Julia Anne Dearing</cp:lastModifiedBy>
  <cp:revision>14</cp:revision>
  <cp:lastPrinted>2016-11-03T23:58:00Z</cp:lastPrinted>
  <dcterms:created xsi:type="dcterms:W3CDTF">2016-11-03T07:09:00Z</dcterms:created>
  <dcterms:modified xsi:type="dcterms:W3CDTF">2016-11-04T00:00:00Z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UNEP/OzL.Pro/ExCom/77/72</vt:lpwstr>
  </property>
  <property fmtid="{D5CDD505-2E9C-101B-9397-08002B2CF9AE}" pid="3" name="Revision date">
    <vt:lpwstr>03/11/2016</vt:lpwstr>
  </property>
  <property fmtid="{D5CDD505-2E9C-101B-9397-08002B2CF9AE}" pid="4" name="ContentTypeId">
    <vt:lpwstr>0x010100F409F5B17BF82F4083D32896D3516BC1</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