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572436" w:rsidTr="00C43337">
        <w:trPr>
          <w:trHeight w:val="720"/>
        </w:trPr>
        <w:tc>
          <w:tcPr>
            <w:tcW w:w="5490" w:type="dxa"/>
            <w:gridSpan w:val="2"/>
            <w:tcBorders>
              <w:bottom w:val="single" w:sz="18" w:space="0" w:color="auto"/>
            </w:tcBorders>
          </w:tcPr>
          <w:p w:rsidR="00C15867" w:rsidRPr="00572436" w:rsidRDefault="00C15867" w:rsidP="006B2327">
            <w:pPr>
              <w:pStyle w:val="Heading3"/>
              <w:rPr>
                <w:lang w:val="en-CA"/>
              </w:rPr>
            </w:pPr>
            <w:r w:rsidRPr="00572436">
              <w:rPr>
                <w:lang w:val="en-CA"/>
              </w:rPr>
              <w:t>UNITED</w:t>
            </w:r>
            <w:r w:rsidRPr="00572436">
              <w:rPr>
                <w:lang w:val="en-CA"/>
              </w:rPr>
              <w:br/>
              <w:t>NATIONS</w:t>
            </w:r>
          </w:p>
        </w:tc>
        <w:tc>
          <w:tcPr>
            <w:tcW w:w="4590" w:type="dxa"/>
            <w:tcBorders>
              <w:bottom w:val="single" w:sz="18" w:space="0" w:color="auto"/>
            </w:tcBorders>
          </w:tcPr>
          <w:p w:rsidR="00C15867" w:rsidRPr="00572436" w:rsidRDefault="00C15867" w:rsidP="00C43337">
            <w:pPr>
              <w:jc w:val="right"/>
              <w:rPr>
                <w:sz w:val="52"/>
                <w:szCs w:val="52"/>
                <w:lang w:val="en-CA"/>
              </w:rPr>
            </w:pPr>
            <w:r w:rsidRPr="00572436">
              <w:rPr>
                <w:rFonts w:ascii="Univers Bold" w:hAnsi="Univers Bold"/>
                <w:b/>
                <w:sz w:val="72"/>
                <w:lang w:val="en-CA"/>
              </w:rPr>
              <w:t>EP</w:t>
            </w:r>
          </w:p>
        </w:tc>
      </w:tr>
      <w:tr w:rsidR="00C15867" w:rsidRPr="00572436"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572436" w:rsidRDefault="00C15867" w:rsidP="00C43337">
            <w:pPr>
              <w:spacing w:before="120"/>
              <w:rPr>
                <w:lang w:val="en-CA"/>
              </w:rPr>
            </w:pPr>
            <w:r w:rsidRPr="00572436">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572436">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572436">
              <w:rPr>
                <w:rFonts w:ascii="Univers" w:hAnsi="Univers"/>
                <w:b/>
                <w:sz w:val="32"/>
                <w:lang w:val="en-CA"/>
              </w:rPr>
              <w:t>United Nations</w:t>
            </w:r>
          </w:p>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572436">
              <w:rPr>
                <w:rFonts w:ascii="Univers" w:hAnsi="Univers"/>
                <w:b/>
                <w:sz w:val="32"/>
                <w:lang w:val="en-CA"/>
              </w:rPr>
              <w:t>Environment</w:t>
            </w:r>
          </w:p>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572436">
              <w:rPr>
                <w:rFonts w:ascii="Univers" w:hAnsi="Univers"/>
                <w:b/>
                <w:sz w:val="32"/>
                <w:lang w:val="en-CA"/>
              </w:rPr>
              <w:t>Programme</w:t>
            </w:r>
          </w:p>
          <w:p w:rsidR="00C15867" w:rsidRPr="00572436" w:rsidRDefault="00C15867" w:rsidP="00C43337">
            <w:pPr>
              <w:spacing w:before="720"/>
              <w:ind w:left="158"/>
              <w:rPr>
                <w:lang w:val="en-CA"/>
              </w:rPr>
            </w:pPr>
          </w:p>
        </w:tc>
        <w:tc>
          <w:tcPr>
            <w:tcW w:w="4590" w:type="dxa"/>
            <w:tcBorders>
              <w:top w:val="nil"/>
              <w:left w:val="nil"/>
              <w:bottom w:val="single" w:sz="36" w:space="0" w:color="auto"/>
              <w:right w:val="nil"/>
            </w:tcBorders>
          </w:tcPr>
          <w:p w:rsidR="00C15867" w:rsidRPr="00572436" w:rsidRDefault="00C15867" w:rsidP="00C43337">
            <w:pPr>
              <w:rPr>
                <w:lang w:val="en-CA"/>
              </w:rPr>
            </w:pPr>
            <w:r w:rsidRPr="00572436">
              <w:rPr>
                <w:lang w:val="en-CA"/>
              </w:rPr>
              <w:t>Distr.</w:t>
            </w:r>
          </w:p>
          <w:p w:rsidR="00923540" w:rsidRPr="00572436" w:rsidRDefault="00923540" w:rsidP="00923540">
            <w:pPr>
              <w:rPr>
                <w:lang w:val="en-CA"/>
              </w:rPr>
            </w:pPr>
            <w:r w:rsidRPr="00572436">
              <w:rPr>
                <w:lang w:val="en-CA"/>
              </w:rPr>
              <w:t>GENERAL</w:t>
            </w:r>
          </w:p>
          <w:p w:rsidR="00C15867" w:rsidRPr="00572436" w:rsidRDefault="00C15867" w:rsidP="00C43337">
            <w:pPr>
              <w:rPr>
                <w:lang w:val="en-CA"/>
              </w:rPr>
            </w:pPr>
          </w:p>
          <w:p w:rsidR="00C15867" w:rsidRPr="00572436" w:rsidRDefault="00C15867" w:rsidP="00C43337">
            <w:pPr>
              <w:rPr>
                <w:lang w:val="en-CA"/>
              </w:rPr>
            </w:pPr>
          </w:p>
          <w:p w:rsidR="00C15867" w:rsidRPr="00572436" w:rsidRDefault="00C2319A" w:rsidP="00C43337">
            <w:pPr>
              <w:rPr>
                <w:lang w:val="en-CA"/>
              </w:rPr>
            </w:pPr>
            <w:r>
              <w:fldChar w:fldCharType="begin"/>
            </w:r>
            <w:r>
              <w:instrText xml:space="preserve"> DOCPROPERTY  "Document number"  \* MERGEFORMAT </w:instrText>
            </w:r>
            <w:r>
              <w:fldChar w:fldCharType="separate"/>
            </w:r>
            <w:r w:rsidR="003B1FDF">
              <w:rPr>
                <w:lang w:val="en-CA"/>
              </w:rPr>
              <w:t>UNEP/OzL.Pro/ExCom/77/67</w:t>
            </w:r>
            <w:r>
              <w:rPr>
                <w:lang w:val="en-CA"/>
              </w:rPr>
              <w:fldChar w:fldCharType="end"/>
            </w:r>
          </w:p>
          <w:p w:rsidR="00C15867" w:rsidRPr="00572436" w:rsidRDefault="00EE5442" w:rsidP="00C43337">
            <w:pPr>
              <w:rPr>
                <w:lang w:val="en-CA"/>
              </w:rPr>
            </w:pPr>
            <w:r>
              <w:rPr>
                <w:lang w:val="en-CA"/>
              </w:rPr>
              <w:fldChar w:fldCharType="begin"/>
            </w:r>
            <w:r w:rsidR="003B1FDF">
              <w:rPr>
                <w:lang w:val="en-CA"/>
              </w:rPr>
              <w:instrText xml:space="preserve"> DATE  \@ "d MMMM yyyy"  \* MERGEFORMAT </w:instrText>
            </w:r>
            <w:r>
              <w:rPr>
                <w:lang w:val="en-CA"/>
              </w:rPr>
              <w:fldChar w:fldCharType="separate"/>
            </w:r>
            <w:r w:rsidR="00C2319A">
              <w:rPr>
                <w:noProof/>
                <w:lang w:val="en-CA"/>
              </w:rPr>
              <w:t>3 November 2016</w:t>
            </w:r>
            <w:r>
              <w:rPr>
                <w:lang w:val="en-CA"/>
              </w:rPr>
              <w:fldChar w:fldCharType="end"/>
            </w:r>
          </w:p>
          <w:p w:rsidR="00C15867" w:rsidRPr="00572436" w:rsidRDefault="00C15867" w:rsidP="00C43337">
            <w:pPr>
              <w:rPr>
                <w:caps/>
                <w:lang w:val="en-CA"/>
              </w:rPr>
            </w:pPr>
          </w:p>
          <w:p w:rsidR="00C15867" w:rsidRPr="00572436" w:rsidRDefault="00C15867" w:rsidP="00C43337">
            <w:pPr>
              <w:rPr>
                <w:lang w:val="en-CA"/>
              </w:rPr>
            </w:pPr>
            <w:r w:rsidRPr="00572436">
              <w:rPr>
                <w:lang w:val="en-CA"/>
              </w:rPr>
              <w:t>ORIGINAL: ENGLISH</w:t>
            </w:r>
          </w:p>
        </w:tc>
      </w:tr>
    </w:tbl>
    <w:p w:rsidR="00667244" w:rsidRPr="00572436" w:rsidRDefault="00C15867" w:rsidP="00667244">
      <w:pPr>
        <w:jc w:val="left"/>
        <w:rPr>
          <w:lang w:val="en-CA"/>
        </w:rPr>
      </w:pPr>
      <w:r w:rsidRPr="00572436">
        <w:rPr>
          <w:lang w:val="en-CA"/>
        </w:rPr>
        <w:t>EXECUTIVE COMMITTEE OF</w:t>
      </w:r>
      <w:r w:rsidRPr="00572436">
        <w:rPr>
          <w:lang w:val="en-CA"/>
        </w:rPr>
        <w:br/>
        <w:t xml:space="preserve">  THE MULTILATERAL FUND FOR THE</w:t>
      </w:r>
      <w:r w:rsidRPr="00572436">
        <w:rPr>
          <w:lang w:val="en-CA"/>
        </w:rPr>
        <w:br/>
        <w:t xml:space="preserve">  IMPLEMENTATION OF THE MONTREAL PROTOCOL</w:t>
      </w:r>
      <w:r w:rsidRPr="00572436">
        <w:rPr>
          <w:lang w:val="en-CA"/>
        </w:rPr>
        <w:br/>
      </w:r>
      <w:r w:rsidR="00667244" w:rsidRPr="00572436">
        <w:rPr>
          <w:lang w:val="en-CA"/>
        </w:rPr>
        <w:t>Seventy-</w:t>
      </w:r>
      <w:r w:rsidR="00822233" w:rsidRPr="00572436">
        <w:rPr>
          <w:lang w:val="en-CA"/>
        </w:rPr>
        <w:t>seventh</w:t>
      </w:r>
      <w:r w:rsidR="00667244" w:rsidRPr="00572436">
        <w:rPr>
          <w:lang w:val="en-CA"/>
        </w:rPr>
        <w:t xml:space="preserve"> Meeting</w:t>
      </w:r>
    </w:p>
    <w:p w:rsidR="00667244" w:rsidRPr="00572436" w:rsidRDefault="00667244" w:rsidP="00667244">
      <w:pPr>
        <w:jc w:val="left"/>
        <w:rPr>
          <w:lang w:val="en-CA"/>
        </w:rPr>
      </w:pPr>
      <w:r w:rsidRPr="00572436">
        <w:rPr>
          <w:lang w:val="en-CA"/>
        </w:rPr>
        <w:t xml:space="preserve">Montreal, </w:t>
      </w:r>
      <w:r w:rsidR="00822233" w:rsidRPr="00572436">
        <w:rPr>
          <w:lang w:val="en-CA"/>
        </w:rPr>
        <w:t xml:space="preserve">28 November </w:t>
      </w:r>
      <w:r w:rsidR="00E86935">
        <w:rPr>
          <w:lang w:val="en-CA"/>
        </w:rPr>
        <w:t xml:space="preserve">– </w:t>
      </w:r>
      <w:r w:rsidR="00822233" w:rsidRPr="00572436">
        <w:rPr>
          <w:lang w:val="en-CA"/>
        </w:rPr>
        <w:t>2 December 2016</w:t>
      </w:r>
    </w:p>
    <w:p w:rsidR="00C15867" w:rsidRPr="00572436" w:rsidRDefault="00C15867" w:rsidP="00667244">
      <w:pPr>
        <w:jc w:val="left"/>
        <w:rPr>
          <w:lang w:val="en-CA"/>
        </w:rPr>
      </w:pPr>
    </w:p>
    <w:p w:rsidR="00C15867" w:rsidRPr="00572436" w:rsidRDefault="00C15867" w:rsidP="00C15867">
      <w:pPr>
        <w:pStyle w:val="Heading3"/>
        <w:spacing w:after="0"/>
        <w:rPr>
          <w:lang w:val="en-CA"/>
        </w:rPr>
      </w:pPr>
    </w:p>
    <w:p w:rsidR="004E7F9C" w:rsidRPr="00572436" w:rsidRDefault="004E7F9C" w:rsidP="00572436">
      <w:pPr>
        <w:pStyle w:val="Heading1"/>
        <w:spacing w:after="0"/>
        <w:rPr>
          <w:lang w:val="en-CA"/>
        </w:rPr>
      </w:pPr>
    </w:p>
    <w:p w:rsidR="00572436" w:rsidRPr="00572436" w:rsidRDefault="00572436" w:rsidP="00572436">
      <w:pPr>
        <w:jc w:val="center"/>
        <w:rPr>
          <w:b/>
          <w:lang w:val="en-CA"/>
        </w:rPr>
      </w:pPr>
      <w:r w:rsidRPr="00572436">
        <w:rPr>
          <w:b/>
          <w:lang w:val="en-CA"/>
        </w:rPr>
        <w:t xml:space="preserve">PROJECT PROPOSAL: </w:t>
      </w:r>
      <w:r w:rsidR="0066171C">
        <w:rPr>
          <w:b/>
          <w:lang w:val="en-CA"/>
        </w:rPr>
        <w:t>URUGUAY</w:t>
      </w:r>
    </w:p>
    <w:p w:rsidR="00572436" w:rsidRPr="00572436" w:rsidRDefault="00572436" w:rsidP="00572436">
      <w:pPr>
        <w:rPr>
          <w:lang w:val="en-CA"/>
        </w:rPr>
      </w:pPr>
    </w:p>
    <w:p w:rsidR="00572436" w:rsidRPr="00572436" w:rsidRDefault="00572436" w:rsidP="00572436">
      <w:pPr>
        <w:rPr>
          <w:lang w:val="en-CA"/>
        </w:rPr>
      </w:pPr>
    </w:p>
    <w:p w:rsidR="00572436" w:rsidRPr="00572436" w:rsidRDefault="00572436" w:rsidP="00572436">
      <w:pPr>
        <w:ind w:firstLine="720"/>
        <w:rPr>
          <w:lang w:val="en-CA"/>
        </w:rPr>
      </w:pPr>
      <w:r w:rsidRPr="00572436">
        <w:rPr>
          <w:lang w:val="en-CA"/>
        </w:rPr>
        <w:t xml:space="preserve">This document consists of the comments and recommendation of the Secretariat on the following project proposal: </w:t>
      </w:r>
    </w:p>
    <w:p w:rsidR="00572436" w:rsidRPr="00572436" w:rsidRDefault="00572436" w:rsidP="00572436">
      <w:pPr>
        <w:rPr>
          <w:lang w:val="en-CA"/>
        </w:rPr>
      </w:pPr>
    </w:p>
    <w:p w:rsidR="00572436" w:rsidRPr="00572436" w:rsidRDefault="00572436" w:rsidP="00572436">
      <w:pPr>
        <w:rPr>
          <w:u w:val="single"/>
          <w:lang w:val="en-CA"/>
        </w:rPr>
      </w:pPr>
      <w:r w:rsidRPr="00572436">
        <w:rPr>
          <w:u w:val="single"/>
          <w:lang w:val="en-CA"/>
        </w:rPr>
        <w:t>Phase-out</w:t>
      </w:r>
    </w:p>
    <w:p w:rsidR="00572436" w:rsidRPr="00572436" w:rsidRDefault="00572436" w:rsidP="0057243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572436" w:rsidRPr="005D5402" w:rsidTr="00C43337">
        <w:tc>
          <w:tcPr>
            <w:tcW w:w="7128" w:type="dxa"/>
          </w:tcPr>
          <w:p w:rsidR="00572436" w:rsidRPr="009510BF" w:rsidRDefault="00572436" w:rsidP="00BE716D">
            <w:pPr>
              <w:rPr>
                <w:lang w:val="en-CA"/>
              </w:rPr>
            </w:pPr>
            <w:r w:rsidRPr="009510BF">
              <w:rPr>
                <w:lang w:val="en-CA"/>
              </w:rPr>
              <w:t>•</w:t>
            </w:r>
            <w:r w:rsidRPr="009510BF">
              <w:rPr>
                <w:lang w:val="en-CA"/>
              </w:rPr>
              <w:tab/>
            </w:r>
            <w:r w:rsidR="005D5402" w:rsidRPr="005D5402">
              <w:rPr>
                <w:lang w:val="en-CA"/>
              </w:rPr>
              <w:t>HCFC phase-out management plan (stage II, first tranche)</w:t>
            </w:r>
          </w:p>
        </w:tc>
        <w:tc>
          <w:tcPr>
            <w:tcW w:w="2448" w:type="dxa"/>
          </w:tcPr>
          <w:p w:rsidR="00572436" w:rsidRPr="00EB111C" w:rsidRDefault="00A6737D" w:rsidP="00407E73">
            <w:pPr>
              <w:jc w:val="right"/>
              <w:rPr>
                <w:lang w:val="en-CA"/>
              </w:rPr>
            </w:pPr>
            <w:r>
              <w:rPr>
                <w:lang w:val="en-CA"/>
              </w:rPr>
              <w:t>UNDP</w:t>
            </w:r>
          </w:p>
        </w:tc>
      </w:tr>
    </w:tbl>
    <w:p w:rsidR="00572436" w:rsidRPr="00572436" w:rsidRDefault="00572436" w:rsidP="00572436">
      <w:pPr>
        <w:pStyle w:val="Title1"/>
        <w:rPr>
          <w:lang w:val="en-CA"/>
        </w:rPr>
      </w:pPr>
    </w:p>
    <w:p w:rsidR="00572436" w:rsidRPr="00572436" w:rsidRDefault="00572436" w:rsidP="00572436">
      <w:pPr>
        <w:pStyle w:val="Heading1"/>
        <w:rPr>
          <w:lang w:val="en-CA"/>
        </w:rPr>
      </w:pPr>
    </w:p>
    <w:p w:rsidR="00572436" w:rsidRPr="00572436" w:rsidRDefault="00572436" w:rsidP="00572436">
      <w:pPr>
        <w:pStyle w:val="StyleHeader4Para4Left0Firstline0"/>
        <w:numPr>
          <w:ilvl w:val="0"/>
          <w:numId w:val="0"/>
        </w:numPr>
        <w:rPr>
          <w:lang w:val="en-CA"/>
        </w:rPr>
      </w:pPr>
    </w:p>
    <w:p w:rsidR="00572436" w:rsidRPr="00572436" w:rsidRDefault="00572436" w:rsidP="00572436">
      <w:pPr>
        <w:pStyle w:val="StyleHeader4Para4Left0Firstline0"/>
        <w:numPr>
          <w:ilvl w:val="0"/>
          <w:numId w:val="0"/>
        </w:numPr>
        <w:rPr>
          <w:lang w:val="en-CA"/>
        </w:rPr>
      </w:pPr>
      <w:r w:rsidRPr="00572436">
        <w:rPr>
          <w:lang w:val="en-CA"/>
        </w:rPr>
        <w:br w:type="page"/>
      </w:r>
    </w:p>
    <w:p w:rsidR="00572436" w:rsidRPr="00572436" w:rsidRDefault="00572436" w:rsidP="00572436">
      <w:pPr>
        <w:jc w:val="center"/>
        <w:rPr>
          <w:b/>
          <w:lang w:val="en-CA"/>
        </w:rPr>
      </w:pPr>
      <w:r w:rsidRPr="00572436">
        <w:rPr>
          <w:b/>
          <w:lang w:val="en-CA"/>
        </w:rPr>
        <w:lastRenderedPageBreak/>
        <w:t>PROJECT EVALUATION SHEET – MULTI-YEAR PROJECTS</w:t>
      </w:r>
    </w:p>
    <w:p w:rsidR="00572436" w:rsidRPr="00572436" w:rsidRDefault="00572436" w:rsidP="00572436">
      <w:pPr>
        <w:jc w:val="center"/>
        <w:rPr>
          <w:b/>
          <w:lang w:val="en-CA"/>
        </w:rPr>
      </w:pPr>
    </w:p>
    <w:p w:rsidR="00572436" w:rsidRPr="00AA6ACA" w:rsidRDefault="0066171C" w:rsidP="00572436">
      <w:pPr>
        <w:jc w:val="center"/>
        <w:rPr>
          <w:b/>
          <w:lang w:val="en-CA"/>
        </w:rPr>
      </w:pPr>
      <w:r>
        <w:rPr>
          <w:b/>
          <w:lang w:val="en-CA"/>
        </w:rPr>
        <w:t>Uruguay</w:t>
      </w:r>
    </w:p>
    <w:p w:rsidR="00572436" w:rsidRPr="00572436" w:rsidRDefault="00572436" w:rsidP="00572436">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00"/>
        <w:gridCol w:w="2500"/>
        <w:gridCol w:w="2500"/>
        <w:gridCol w:w="2500"/>
      </w:tblGrid>
      <w:tr w:rsidR="00D0205E" w:rsidRPr="005D6E73" w:rsidTr="00D0205E">
        <w:trPr>
          <w:trHeight w:val="240"/>
        </w:trPr>
        <w:tc>
          <w:tcPr>
            <w:tcW w:w="2394" w:type="dxa"/>
            <w:shd w:val="clear" w:color="auto" w:fill="auto"/>
          </w:tcPr>
          <w:p w:rsidR="00D0205E" w:rsidRPr="005D6E73" w:rsidRDefault="00D0205E" w:rsidP="00D0205E">
            <w:pPr>
              <w:spacing w:after="80"/>
              <w:jc w:val="left"/>
              <w:rPr>
                <w:b/>
                <w:sz w:val="18"/>
              </w:rPr>
            </w:pPr>
            <w:r w:rsidRPr="005D6E73">
              <w:rPr>
                <w:b/>
                <w:sz w:val="18"/>
              </w:rPr>
              <w:t>(I) PROJECT TITLE</w:t>
            </w:r>
          </w:p>
        </w:tc>
        <w:tc>
          <w:tcPr>
            <w:tcW w:w="2394" w:type="dxa"/>
            <w:shd w:val="clear" w:color="auto" w:fill="auto"/>
          </w:tcPr>
          <w:p w:rsidR="00D0205E" w:rsidRPr="005D6E73" w:rsidRDefault="00D0205E" w:rsidP="00D0205E">
            <w:pPr>
              <w:spacing w:after="80"/>
              <w:jc w:val="center"/>
              <w:rPr>
                <w:b/>
                <w:sz w:val="18"/>
              </w:rPr>
            </w:pPr>
            <w:r w:rsidRPr="005D6E73">
              <w:rPr>
                <w:b/>
                <w:sz w:val="18"/>
              </w:rPr>
              <w:t>AGENCY</w:t>
            </w:r>
          </w:p>
        </w:tc>
        <w:tc>
          <w:tcPr>
            <w:tcW w:w="2394" w:type="dxa"/>
            <w:shd w:val="clear" w:color="auto" w:fill="auto"/>
          </w:tcPr>
          <w:p w:rsidR="00D0205E" w:rsidRPr="005D6E73" w:rsidRDefault="00D0205E" w:rsidP="00D0205E">
            <w:pPr>
              <w:spacing w:after="80"/>
              <w:jc w:val="center"/>
              <w:rPr>
                <w:b/>
                <w:sz w:val="18"/>
              </w:rPr>
            </w:pPr>
            <w:r w:rsidRPr="005D6E73">
              <w:rPr>
                <w:b/>
                <w:sz w:val="18"/>
              </w:rPr>
              <w:t>MEETING APPROVED</w:t>
            </w:r>
          </w:p>
        </w:tc>
        <w:tc>
          <w:tcPr>
            <w:tcW w:w="2394" w:type="dxa"/>
            <w:shd w:val="clear" w:color="auto" w:fill="auto"/>
          </w:tcPr>
          <w:p w:rsidR="00D0205E" w:rsidRPr="005D6E73" w:rsidRDefault="00D0205E" w:rsidP="00D0205E">
            <w:pPr>
              <w:spacing w:after="80"/>
              <w:jc w:val="center"/>
              <w:rPr>
                <w:b/>
                <w:sz w:val="18"/>
              </w:rPr>
            </w:pPr>
            <w:r w:rsidRPr="005D6E73">
              <w:rPr>
                <w:b/>
                <w:sz w:val="18"/>
              </w:rPr>
              <w:t>CONTROL MEASURE</w:t>
            </w:r>
          </w:p>
        </w:tc>
      </w:tr>
      <w:tr w:rsidR="00D0205E" w:rsidRPr="005D6E73" w:rsidTr="00D0205E">
        <w:trPr>
          <w:trHeight w:val="240"/>
        </w:trPr>
        <w:tc>
          <w:tcPr>
            <w:tcW w:w="2394" w:type="dxa"/>
            <w:shd w:val="clear" w:color="auto" w:fill="auto"/>
          </w:tcPr>
          <w:p w:rsidR="00D0205E" w:rsidRPr="005D6E73" w:rsidRDefault="00D0205E" w:rsidP="00D0205E">
            <w:pPr>
              <w:spacing w:after="80"/>
              <w:jc w:val="center"/>
              <w:rPr>
                <w:sz w:val="18"/>
              </w:rPr>
            </w:pPr>
            <w:r>
              <w:rPr>
                <w:sz w:val="18"/>
              </w:rPr>
              <w:t>HCFC phase out plan (stage II)</w:t>
            </w:r>
          </w:p>
        </w:tc>
        <w:tc>
          <w:tcPr>
            <w:tcW w:w="2394" w:type="dxa"/>
            <w:shd w:val="clear" w:color="auto" w:fill="auto"/>
          </w:tcPr>
          <w:p w:rsidR="00D0205E" w:rsidRPr="005D6E73" w:rsidRDefault="00D0205E" w:rsidP="00D0205E">
            <w:pPr>
              <w:spacing w:after="80"/>
              <w:jc w:val="center"/>
              <w:rPr>
                <w:sz w:val="18"/>
              </w:rPr>
            </w:pPr>
            <w:r>
              <w:rPr>
                <w:sz w:val="18"/>
              </w:rPr>
              <w:t xml:space="preserve">UNDP (lead) </w:t>
            </w:r>
          </w:p>
        </w:tc>
        <w:tc>
          <w:tcPr>
            <w:tcW w:w="2394" w:type="dxa"/>
            <w:shd w:val="clear" w:color="auto" w:fill="auto"/>
          </w:tcPr>
          <w:p w:rsidR="00D0205E" w:rsidRPr="005D6E73" w:rsidRDefault="00D0205E" w:rsidP="00D0205E">
            <w:pPr>
              <w:spacing w:after="80"/>
              <w:jc w:val="center"/>
              <w:rPr>
                <w:sz w:val="18"/>
              </w:rPr>
            </w:pPr>
            <w:r>
              <w:rPr>
                <w:sz w:val="18"/>
              </w:rPr>
              <w:t xml:space="preserve">n/a </w:t>
            </w:r>
          </w:p>
        </w:tc>
        <w:tc>
          <w:tcPr>
            <w:tcW w:w="2394" w:type="dxa"/>
            <w:shd w:val="clear" w:color="auto" w:fill="auto"/>
          </w:tcPr>
          <w:p w:rsidR="00D0205E" w:rsidRPr="005D6E73" w:rsidRDefault="00D0205E" w:rsidP="00D0205E">
            <w:pPr>
              <w:spacing w:after="80"/>
              <w:jc w:val="center"/>
              <w:rPr>
                <w:sz w:val="18"/>
              </w:rPr>
            </w:pPr>
            <w:r>
              <w:rPr>
                <w:sz w:val="18"/>
              </w:rPr>
              <w:t>n/a</w:t>
            </w:r>
          </w:p>
        </w:tc>
      </w:tr>
    </w:tbl>
    <w:p w:rsidR="00D0205E" w:rsidRDefault="00D0205E" w:rsidP="00D0205E">
      <w:pPr>
        <w:spacing w:after="60"/>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C22984" w:rsidRPr="005D6E73" w:rsidTr="00627F6B">
        <w:trPr>
          <w:trHeight w:val="240"/>
        </w:trPr>
        <w:tc>
          <w:tcPr>
            <w:tcW w:w="5200" w:type="dxa"/>
            <w:shd w:val="clear" w:color="auto" w:fill="auto"/>
          </w:tcPr>
          <w:p w:rsidR="00C22984" w:rsidRPr="005D6E73" w:rsidRDefault="00C22984" w:rsidP="00627F6B">
            <w:pPr>
              <w:spacing w:after="60"/>
              <w:jc w:val="left"/>
              <w:rPr>
                <w:b/>
                <w:sz w:val="18"/>
              </w:rPr>
            </w:pPr>
            <w:r w:rsidRPr="005D6E73">
              <w:rPr>
                <w:b/>
                <w:sz w:val="18"/>
              </w:rPr>
              <w:t>(II) LATEST ARTICLE 7 DATA (Annex C Group l)</w:t>
            </w:r>
          </w:p>
        </w:tc>
        <w:tc>
          <w:tcPr>
            <w:tcW w:w="2400" w:type="dxa"/>
            <w:shd w:val="clear" w:color="auto" w:fill="auto"/>
          </w:tcPr>
          <w:p w:rsidR="00C22984" w:rsidRPr="005D6E73" w:rsidRDefault="00C22984" w:rsidP="00C22984">
            <w:pPr>
              <w:spacing w:after="60"/>
              <w:jc w:val="center"/>
              <w:rPr>
                <w:sz w:val="18"/>
              </w:rPr>
            </w:pPr>
            <w:r>
              <w:rPr>
                <w:sz w:val="18"/>
              </w:rPr>
              <w:t>Year: 2015</w:t>
            </w:r>
          </w:p>
        </w:tc>
        <w:tc>
          <w:tcPr>
            <w:tcW w:w="2400" w:type="dxa"/>
            <w:shd w:val="clear" w:color="auto" w:fill="auto"/>
          </w:tcPr>
          <w:p w:rsidR="00C22984" w:rsidRPr="005D6E73" w:rsidRDefault="00004372" w:rsidP="0001159B">
            <w:pPr>
              <w:spacing w:after="60"/>
              <w:jc w:val="right"/>
              <w:rPr>
                <w:sz w:val="18"/>
              </w:rPr>
            </w:pPr>
            <w:r>
              <w:rPr>
                <w:sz w:val="18"/>
              </w:rPr>
              <w:t>15.</w:t>
            </w:r>
            <w:r w:rsidR="0001159B">
              <w:rPr>
                <w:sz w:val="18"/>
              </w:rPr>
              <w:t xml:space="preserve">78 </w:t>
            </w:r>
            <w:r w:rsidR="00C22984">
              <w:rPr>
                <w:sz w:val="18"/>
              </w:rPr>
              <w:t>(ODP tonnes)</w:t>
            </w:r>
          </w:p>
        </w:tc>
      </w:tr>
    </w:tbl>
    <w:p w:rsidR="00C22984" w:rsidRDefault="00C22984" w:rsidP="00C22984">
      <w:pPr>
        <w:spacing w:after="60"/>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668"/>
        <w:gridCol w:w="850"/>
        <w:gridCol w:w="851"/>
        <w:gridCol w:w="1068"/>
        <w:gridCol w:w="1286"/>
        <w:gridCol w:w="906"/>
        <w:gridCol w:w="793"/>
        <w:gridCol w:w="766"/>
        <w:gridCol w:w="666"/>
        <w:gridCol w:w="1146"/>
      </w:tblGrid>
      <w:tr w:rsidR="00D0205E" w:rsidRPr="00416F96" w:rsidTr="00D0205E">
        <w:trPr>
          <w:trHeight w:val="240"/>
        </w:trPr>
        <w:tc>
          <w:tcPr>
            <w:tcW w:w="8188" w:type="dxa"/>
            <w:gridSpan w:val="8"/>
            <w:shd w:val="clear" w:color="auto" w:fill="auto"/>
          </w:tcPr>
          <w:p w:rsidR="00D0205E" w:rsidRPr="00416F96" w:rsidRDefault="00D0205E" w:rsidP="00D0205E">
            <w:pPr>
              <w:spacing w:after="60"/>
              <w:jc w:val="left"/>
              <w:rPr>
                <w:b/>
                <w:sz w:val="18"/>
              </w:rPr>
            </w:pPr>
            <w:r w:rsidRPr="00416F96">
              <w:rPr>
                <w:b/>
                <w:sz w:val="18"/>
              </w:rPr>
              <w:t>(III) LATEST COUNTRY PROGRAMME SECTORAL DATA (ODP tonnes)</w:t>
            </w:r>
          </w:p>
        </w:tc>
        <w:tc>
          <w:tcPr>
            <w:tcW w:w="1812" w:type="dxa"/>
            <w:gridSpan w:val="2"/>
            <w:shd w:val="clear" w:color="auto" w:fill="auto"/>
          </w:tcPr>
          <w:p w:rsidR="00D0205E" w:rsidRPr="00416F96" w:rsidRDefault="00D0205E" w:rsidP="00FB3963">
            <w:pPr>
              <w:spacing w:after="60"/>
              <w:jc w:val="right"/>
              <w:rPr>
                <w:b/>
                <w:sz w:val="18"/>
              </w:rPr>
            </w:pPr>
            <w:r w:rsidRPr="00416F96">
              <w:rPr>
                <w:b/>
                <w:sz w:val="18"/>
              </w:rPr>
              <w:t xml:space="preserve">Year: </w:t>
            </w:r>
            <w:r w:rsidR="00FB3963" w:rsidRPr="00416F96">
              <w:rPr>
                <w:b/>
                <w:sz w:val="18"/>
              </w:rPr>
              <w:t>2015</w:t>
            </w:r>
          </w:p>
        </w:tc>
      </w:tr>
      <w:tr w:rsidR="00D0205E" w:rsidRPr="00416F96" w:rsidTr="00D0205E">
        <w:trPr>
          <w:trHeight w:val="225"/>
        </w:trPr>
        <w:tc>
          <w:tcPr>
            <w:tcW w:w="1668" w:type="dxa"/>
            <w:vMerge w:val="restart"/>
            <w:shd w:val="clear" w:color="auto" w:fill="auto"/>
          </w:tcPr>
          <w:p w:rsidR="00D0205E" w:rsidRPr="00416F96" w:rsidRDefault="00D0205E" w:rsidP="00D0205E">
            <w:pPr>
              <w:spacing w:after="60"/>
              <w:jc w:val="center"/>
              <w:rPr>
                <w:sz w:val="18"/>
              </w:rPr>
            </w:pPr>
            <w:r w:rsidRPr="00416F96">
              <w:rPr>
                <w:sz w:val="18"/>
              </w:rPr>
              <w:t>Chemical</w:t>
            </w:r>
          </w:p>
        </w:tc>
        <w:tc>
          <w:tcPr>
            <w:tcW w:w="850" w:type="dxa"/>
            <w:vMerge w:val="restart"/>
            <w:shd w:val="clear" w:color="auto" w:fill="auto"/>
          </w:tcPr>
          <w:p w:rsidR="00D0205E" w:rsidRPr="00416F96" w:rsidRDefault="00D0205E" w:rsidP="00D0205E">
            <w:pPr>
              <w:spacing w:after="60"/>
              <w:jc w:val="center"/>
              <w:rPr>
                <w:sz w:val="18"/>
              </w:rPr>
            </w:pPr>
            <w:r w:rsidRPr="00416F96">
              <w:rPr>
                <w:sz w:val="18"/>
              </w:rPr>
              <w:t>Aerosol</w:t>
            </w:r>
          </w:p>
        </w:tc>
        <w:tc>
          <w:tcPr>
            <w:tcW w:w="851" w:type="dxa"/>
            <w:vMerge w:val="restart"/>
            <w:shd w:val="clear" w:color="auto" w:fill="auto"/>
          </w:tcPr>
          <w:p w:rsidR="00D0205E" w:rsidRPr="00416F96" w:rsidRDefault="00D0205E" w:rsidP="00D0205E">
            <w:pPr>
              <w:spacing w:after="60"/>
              <w:jc w:val="center"/>
              <w:rPr>
                <w:sz w:val="18"/>
              </w:rPr>
            </w:pPr>
            <w:r w:rsidRPr="00416F96">
              <w:rPr>
                <w:sz w:val="18"/>
              </w:rPr>
              <w:t>Foam</w:t>
            </w:r>
          </w:p>
        </w:tc>
        <w:tc>
          <w:tcPr>
            <w:tcW w:w="1068" w:type="dxa"/>
            <w:vMerge w:val="restart"/>
            <w:shd w:val="clear" w:color="auto" w:fill="auto"/>
          </w:tcPr>
          <w:p w:rsidR="00D0205E" w:rsidRPr="00416F96" w:rsidRDefault="00D0205E" w:rsidP="00D0205E">
            <w:pPr>
              <w:spacing w:after="60"/>
              <w:jc w:val="center"/>
              <w:rPr>
                <w:sz w:val="18"/>
              </w:rPr>
            </w:pPr>
            <w:r w:rsidRPr="00416F96">
              <w:rPr>
                <w:sz w:val="18"/>
              </w:rPr>
              <w:t>Fire fighting</w:t>
            </w:r>
          </w:p>
        </w:tc>
        <w:tc>
          <w:tcPr>
            <w:tcW w:w="2192" w:type="dxa"/>
            <w:gridSpan w:val="2"/>
            <w:tcBorders>
              <w:bottom w:val="single" w:sz="4" w:space="0" w:color="1F497D" w:themeColor="text2"/>
            </w:tcBorders>
            <w:shd w:val="clear" w:color="auto" w:fill="auto"/>
          </w:tcPr>
          <w:p w:rsidR="00D0205E" w:rsidRPr="00416F96" w:rsidRDefault="00D0205E" w:rsidP="00D0205E">
            <w:pPr>
              <w:spacing w:after="60"/>
              <w:jc w:val="center"/>
              <w:rPr>
                <w:sz w:val="18"/>
              </w:rPr>
            </w:pPr>
            <w:r w:rsidRPr="00416F96">
              <w:rPr>
                <w:sz w:val="18"/>
              </w:rPr>
              <w:t>Refrigeration</w:t>
            </w:r>
          </w:p>
        </w:tc>
        <w:tc>
          <w:tcPr>
            <w:tcW w:w="793" w:type="dxa"/>
            <w:vMerge w:val="restart"/>
            <w:shd w:val="clear" w:color="auto" w:fill="auto"/>
          </w:tcPr>
          <w:p w:rsidR="00D0205E" w:rsidRPr="00416F96" w:rsidRDefault="00D0205E" w:rsidP="00D0205E">
            <w:pPr>
              <w:spacing w:after="60"/>
              <w:jc w:val="center"/>
              <w:rPr>
                <w:sz w:val="18"/>
              </w:rPr>
            </w:pPr>
            <w:r w:rsidRPr="00416F96">
              <w:rPr>
                <w:sz w:val="18"/>
              </w:rPr>
              <w:t>Solvent</w:t>
            </w:r>
          </w:p>
        </w:tc>
        <w:tc>
          <w:tcPr>
            <w:tcW w:w="766" w:type="dxa"/>
            <w:vMerge w:val="restart"/>
            <w:shd w:val="clear" w:color="auto" w:fill="auto"/>
          </w:tcPr>
          <w:p w:rsidR="00D0205E" w:rsidRPr="00416F96" w:rsidRDefault="00D0205E" w:rsidP="00D0205E">
            <w:pPr>
              <w:spacing w:after="60"/>
              <w:jc w:val="center"/>
              <w:rPr>
                <w:sz w:val="18"/>
              </w:rPr>
            </w:pPr>
            <w:r w:rsidRPr="00416F96">
              <w:rPr>
                <w:sz w:val="18"/>
              </w:rPr>
              <w:t>Process agent</w:t>
            </w:r>
          </w:p>
        </w:tc>
        <w:tc>
          <w:tcPr>
            <w:tcW w:w="666" w:type="dxa"/>
            <w:vMerge w:val="restart"/>
            <w:shd w:val="clear" w:color="auto" w:fill="auto"/>
          </w:tcPr>
          <w:p w:rsidR="00D0205E" w:rsidRPr="00416F96" w:rsidRDefault="00D0205E" w:rsidP="00D0205E">
            <w:pPr>
              <w:spacing w:after="60"/>
              <w:jc w:val="center"/>
              <w:rPr>
                <w:sz w:val="18"/>
              </w:rPr>
            </w:pPr>
            <w:r w:rsidRPr="00416F96">
              <w:rPr>
                <w:sz w:val="18"/>
              </w:rPr>
              <w:t>Lab use</w:t>
            </w:r>
          </w:p>
        </w:tc>
        <w:tc>
          <w:tcPr>
            <w:tcW w:w="1146" w:type="dxa"/>
            <w:vMerge w:val="restart"/>
            <w:shd w:val="clear" w:color="auto" w:fill="auto"/>
          </w:tcPr>
          <w:p w:rsidR="00D0205E" w:rsidRPr="00416F96" w:rsidRDefault="00D0205E" w:rsidP="00D0205E">
            <w:pPr>
              <w:spacing w:after="60"/>
              <w:jc w:val="center"/>
              <w:rPr>
                <w:sz w:val="18"/>
              </w:rPr>
            </w:pPr>
            <w:r w:rsidRPr="00416F96">
              <w:rPr>
                <w:sz w:val="18"/>
              </w:rPr>
              <w:t>Total sector consumption</w:t>
            </w:r>
          </w:p>
        </w:tc>
      </w:tr>
      <w:tr w:rsidR="00D0205E" w:rsidRPr="00416F96" w:rsidTr="00D0205E">
        <w:trPr>
          <w:trHeight w:val="234"/>
        </w:trPr>
        <w:tc>
          <w:tcPr>
            <w:tcW w:w="1668" w:type="dxa"/>
            <w:vMerge/>
            <w:shd w:val="clear" w:color="auto" w:fill="auto"/>
          </w:tcPr>
          <w:p w:rsidR="00D0205E" w:rsidRPr="00416F96" w:rsidRDefault="00D0205E" w:rsidP="00D0205E">
            <w:pPr>
              <w:spacing w:after="60"/>
              <w:jc w:val="center"/>
              <w:rPr>
                <w:sz w:val="18"/>
              </w:rPr>
            </w:pPr>
          </w:p>
        </w:tc>
        <w:tc>
          <w:tcPr>
            <w:tcW w:w="850" w:type="dxa"/>
            <w:vMerge/>
            <w:shd w:val="clear" w:color="auto" w:fill="auto"/>
          </w:tcPr>
          <w:p w:rsidR="00D0205E" w:rsidRPr="00416F96" w:rsidRDefault="00D0205E" w:rsidP="00D0205E">
            <w:pPr>
              <w:spacing w:after="60"/>
              <w:jc w:val="center"/>
              <w:rPr>
                <w:sz w:val="18"/>
              </w:rPr>
            </w:pPr>
          </w:p>
        </w:tc>
        <w:tc>
          <w:tcPr>
            <w:tcW w:w="851" w:type="dxa"/>
            <w:vMerge/>
            <w:shd w:val="clear" w:color="auto" w:fill="auto"/>
          </w:tcPr>
          <w:p w:rsidR="00D0205E" w:rsidRPr="00416F96" w:rsidRDefault="00D0205E" w:rsidP="00D0205E">
            <w:pPr>
              <w:spacing w:after="60"/>
              <w:jc w:val="center"/>
              <w:rPr>
                <w:sz w:val="18"/>
              </w:rPr>
            </w:pPr>
          </w:p>
        </w:tc>
        <w:tc>
          <w:tcPr>
            <w:tcW w:w="1068" w:type="dxa"/>
            <w:vMerge/>
            <w:shd w:val="clear" w:color="auto" w:fill="auto"/>
          </w:tcPr>
          <w:p w:rsidR="00D0205E" w:rsidRPr="00416F96" w:rsidRDefault="00D0205E" w:rsidP="00D0205E">
            <w:pPr>
              <w:spacing w:after="60"/>
              <w:jc w:val="center"/>
              <w:rPr>
                <w:sz w:val="18"/>
              </w:rPr>
            </w:pPr>
          </w:p>
        </w:tc>
        <w:tc>
          <w:tcPr>
            <w:tcW w:w="1286" w:type="dxa"/>
            <w:tcBorders>
              <w:top w:val="single" w:sz="4" w:space="0" w:color="1F497D" w:themeColor="text2"/>
              <w:right w:val="single" w:sz="4" w:space="0" w:color="002060"/>
            </w:tcBorders>
            <w:shd w:val="clear" w:color="auto" w:fill="auto"/>
          </w:tcPr>
          <w:p w:rsidR="00D0205E" w:rsidRPr="00416F96" w:rsidRDefault="00D0205E" w:rsidP="00D0205E">
            <w:pPr>
              <w:spacing w:after="60"/>
              <w:jc w:val="center"/>
              <w:rPr>
                <w:sz w:val="18"/>
              </w:rPr>
            </w:pPr>
            <w:r w:rsidRPr="00416F96">
              <w:rPr>
                <w:sz w:val="18"/>
              </w:rPr>
              <w:t>Manufacturing</w:t>
            </w:r>
          </w:p>
        </w:tc>
        <w:tc>
          <w:tcPr>
            <w:tcW w:w="906" w:type="dxa"/>
            <w:tcBorders>
              <w:top w:val="single" w:sz="4" w:space="0" w:color="1F497D" w:themeColor="text2"/>
              <w:right w:val="single" w:sz="4" w:space="0" w:color="002060"/>
            </w:tcBorders>
            <w:shd w:val="clear" w:color="auto" w:fill="auto"/>
          </w:tcPr>
          <w:p w:rsidR="00D0205E" w:rsidRPr="00416F96" w:rsidRDefault="00D0205E" w:rsidP="00D0205E">
            <w:pPr>
              <w:spacing w:after="60"/>
              <w:jc w:val="center"/>
              <w:rPr>
                <w:sz w:val="18"/>
              </w:rPr>
            </w:pPr>
            <w:r w:rsidRPr="00416F96">
              <w:rPr>
                <w:sz w:val="18"/>
              </w:rPr>
              <w:t>Servicing</w:t>
            </w:r>
          </w:p>
        </w:tc>
        <w:tc>
          <w:tcPr>
            <w:tcW w:w="793" w:type="dxa"/>
            <w:vMerge/>
            <w:tcBorders>
              <w:left w:val="single" w:sz="4" w:space="0" w:color="002060"/>
            </w:tcBorders>
            <w:shd w:val="clear" w:color="auto" w:fill="auto"/>
          </w:tcPr>
          <w:p w:rsidR="00D0205E" w:rsidRPr="00416F96" w:rsidRDefault="00D0205E" w:rsidP="00D0205E">
            <w:pPr>
              <w:spacing w:after="60"/>
              <w:jc w:val="center"/>
              <w:rPr>
                <w:sz w:val="18"/>
              </w:rPr>
            </w:pPr>
          </w:p>
        </w:tc>
        <w:tc>
          <w:tcPr>
            <w:tcW w:w="766" w:type="dxa"/>
            <w:vMerge/>
            <w:shd w:val="clear" w:color="auto" w:fill="auto"/>
          </w:tcPr>
          <w:p w:rsidR="00D0205E" w:rsidRPr="00416F96" w:rsidRDefault="00D0205E" w:rsidP="00D0205E">
            <w:pPr>
              <w:spacing w:after="60"/>
              <w:jc w:val="center"/>
              <w:rPr>
                <w:sz w:val="18"/>
              </w:rPr>
            </w:pPr>
          </w:p>
        </w:tc>
        <w:tc>
          <w:tcPr>
            <w:tcW w:w="666" w:type="dxa"/>
            <w:vMerge/>
            <w:shd w:val="clear" w:color="auto" w:fill="auto"/>
          </w:tcPr>
          <w:p w:rsidR="00D0205E" w:rsidRPr="00416F96" w:rsidRDefault="00D0205E" w:rsidP="00D0205E">
            <w:pPr>
              <w:spacing w:after="60"/>
              <w:jc w:val="center"/>
              <w:rPr>
                <w:sz w:val="18"/>
              </w:rPr>
            </w:pPr>
          </w:p>
        </w:tc>
        <w:tc>
          <w:tcPr>
            <w:tcW w:w="1146" w:type="dxa"/>
            <w:vMerge/>
            <w:shd w:val="clear" w:color="auto" w:fill="auto"/>
          </w:tcPr>
          <w:p w:rsidR="00D0205E" w:rsidRPr="00416F96" w:rsidRDefault="00D0205E" w:rsidP="00D0205E">
            <w:pPr>
              <w:spacing w:after="60"/>
              <w:jc w:val="center"/>
              <w:rPr>
                <w:sz w:val="18"/>
              </w:rPr>
            </w:pPr>
          </w:p>
        </w:tc>
      </w:tr>
      <w:tr w:rsidR="00D0205E" w:rsidRPr="00416F96" w:rsidTr="00D0205E">
        <w:trPr>
          <w:trHeight w:val="240"/>
        </w:trPr>
        <w:tc>
          <w:tcPr>
            <w:tcW w:w="1668" w:type="dxa"/>
            <w:shd w:val="clear" w:color="auto" w:fill="auto"/>
          </w:tcPr>
          <w:p w:rsidR="00D0205E" w:rsidRPr="00416F96" w:rsidRDefault="00D0205E" w:rsidP="00D0205E">
            <w:pPr>
              <w:spacing w:after="60"/>
              <w:jc w:val="left"/>
              <w:rPr>
                <w:sz w:val="18"/>
              </w:rPr>
            </w:pPr>
            <w:r w:rsidRPr="00416F96">
              <w:rPr>
                <w:sz w:val="18"/>
              </w:rPr>
              <w:t>HCFC</w:t>
            </w:r>
            <w:r w:rsidRPr="00416F96">
              <w:rPr>
                <w:sz w:val="18"/>
              </w:rPr>
              <w:noBreakHyphen/>
              <w:t>141b</w:t>
            </w:r>
          </w:p>
        </w:tc>
        <w:tc>
          <w:tcPr>
            <w:tcW w:w="850" w:type="dxa"/>
            <w:shd w:val="clear" w:color="auto" w:fill="auto"/>
          </w:tcPr>
          <w:p w:rsidR="00D0205E" w:rsidRPr="00416F96" w:rsidRDefault="00D0205E" w:rsidP="00D0205E">
            <w:pPr>
              <w:spacing w:after="60"/>
              <w:jc w:val="right"/>
              <w:rPr>
                <w:sz w:val="18"/>
              </w:rPr>
            </w:pPr>
            <w:r w:rsidRPr="00416F96">
              <w:rPr>
                <w:sz w:val="18"/>
              </w:rPr>
              <w:t>0</w:t>
            </w:r>
          </w:p>
        </w:tc>
        <w:tc>
          <w:tcPr>
            <w:tcW w:w="851" w:type="dxa"/>
            <w:shd w:val="clear" w:color="auto" w:fill="auto"/>
          </w:tcPr>
          <w:p w:rsidR="00D0205E" w:rsidRPr="00416F96" w:rsidRDefault="00DC7AF9" w:rsidP="00D0205E">
            <w:pPr>
              <w:spacing w:after="60"/>
              <w:jc w:val="right"/>
              <w:rPr>
                <w:sz w:val="18"/>
              </w:rPr>
            </w:pPr>
            <w:r w:rsidRPr="00416F96">
              <w:rPr>
                <w:sz w:val="18"/>
              </w:rPr>
              <w:t>0</w:t>
            </w:r>
          </w:p>
        </w:tc>
        <w:tc>
          <w:tcPr>
            <w:tcW w:w="1068" w:type="dxa"/>
            <w:shd w:val="clear" w:color="auto" w:fill="auto"/>
          </w:tcPr>
          <w:p w:rsidR="00D0205E" w:rsidRPr="00416F96" w:rsidRDefault="00D0205E" w:rsidP="00D0205E">
            <w:pPr>
              <w:spacing w:after="60"/>
              <w:jc w:val="right"/>
              <w:rPr>
                <w:sz w:val="18"/>
              </w:rPr>
            </w:pPr>
            <w:r w:rsidRPr="00416F96">
              <w:rPr>
                <w:sz w:val="18"/>
              </w:rPr>
              <w:t>0</w:t>
            </w:r>
          </w:p>
        </w:tc>
        <w:tc>
          <w:tcPr>
            <w:tcW w:w="1286" w:type="dxa"/>
            <w:shd w:val="clear" w:color="auto" w:fill="auto"/>
          </w:tcPr>
          <w:p w:rsidR="00D0205E" w:rsidRPr="00416F96" w:rsidRDefault="00D0205E" w:rsidP="00D0205E">
            <w:pPr>
              <w:spacing w:after="60"/>
              <w:jc w:val="right"/>
              <w:rPr>
                <w:sz w:val="18"/>
              </w:rPr>
            </w:pPr>
            <w:r w:rsidRPr="00416F96">
              <w:rPr>
                <w:sz w:val="18"/>
              </w:rPr>
              <w:t>0</w:t>
            </w:r>
          </w:p>
        </w:tc>
        <w:tc>
          <w:tcPr>
            <w:tcW w:w="906" w:type="dxa"/>
            <w:shd w:val="clear" w:color="auto" w:fill="auto"/>
          </w:tcPr>
          <w:p w:rsidR="00D0205E" w:rsidRPr="00416F96" w:rsidRDefault="0001159B" w:rsidP="00D0205E">
            <w:pPr>
              <w:spacing w:after="60"/>
              <w:jc w:val="right"/>
              <w:rPr>
                <w:sz w:val="18"/>
              </w:rPr>
            </w:pPr>
            <w:r>
              <w:rPr>
                <w:sz w:val="18"/>
              </w:rPr>
              <w:t>1.63</w:t>
            </w:r>
          </w:p>
        </w:tc>
        <w:tc>
          <w:tcPr>
            <w:tcW w:w="793" w:type="dxa"/>
            <w:shd w:val="clear" w:color="auto" w:fill="auto"/>
          </w:tcPr>
          <w:p w:rsidR="00D0205E" w:rsidRPr="00416F96" w:rsidRDefault="00D0205E" w:rsidP="00D0205E">
            <w:pPr>
              <w:spacing w:after="60"/>
              <w:jc w:val="right"/>
              <w:rPr>
                <w:sz w:val="18"/>
              </w:rPr>
            </w:pPr>
            <w:r w:rsidRPr="00416F96">
              <w:rPr>
                <w:sz w:val="18"/>
              </w:rPr>
              <w:t>0</w:t>
            </w:r>
          </w:p>
        </w:tc>
        <w:tc>
          <w:tcPr>
            <w:tcW w:w="766" w:type="dxa"/>
            <w:shd w:val="clear" w:color="auto" w:fill="auto"/>
          </w:tcPr>
          <w:p w:rsidR="00D0205E" w:rsidRPr="00416F96" w:rsidRDefault="00D0205E" w:rsidP="00D0205E">
            <w:pPr>
              <w:spacing w:after="60"/>
              <w:jc w:val="right"/>
              <w:rPr>
                <w:sz w:val="18"/>
              </w:rPr>
            </w:pPr>
            <w:r w:rsidRPr="00416F96">
              <w:rPr>
                <w:sz w:val="18"/>
              </w:rPr>
              <w:t>0</w:t>
            </w:r>
          </w:p>
        </w:tc>
        <w:tc>
          <w:tcPr>
            <w:tcW w:w="666" w:type="dxa"/>
            <w:shd w:val="clear" w:color="auto" w:fill="auto"/>
          </w:tcPr>
          <w:p w:rsidR="00D0205E" w:rsidRPr="00416F96" w:rsidRDefault="00D0205E" w:rsidP="00D0205E">
            <w:pPr>
              <w:spacing w:after="60"/>
              <w:jc w:val="right"/>
              <w:rPr>
                <w:sz w:val="18"/>
              </w:rPr>
            </w:pPr>
            <w:r w:rsidRPr="00416F96">
              <w:rPr>
                <w:sz w:val="18"/>
              </w:rPr>
              <w:t>0</w:t>
            </w:r>
          </w:p>
        </w:tc>
        <w:tc>
          <w:tcPr>
            <w:tcW w:w="1146" w:type="dxa"/>
            <w:shd w:val="clear" w:color="auto" w:fill="auto"/>
          </w:tcPr>
          <w:p w:rsidR="00D0205E" w:rsidRPr="00416F96" w:rsidRDefault="00A76C8D" w:rsidP="00D0205E">
            <w:pPr>
              <w:spacing w:after="60"/>
              <w:jc w:val="right"/>
              <w:rPr>
                <w:sz w:val="18"/>
              </w:rPr>
            </w:pPr>
            <w:r>
              <w:rPr>
                <w:sz w:val="18"/>
              </w:rPr>
              <w:t>1.63</w:t>
            </w:r>
          </w:p>
        </w:tc>
      </w:tr>
      <w:tr w:rsidR="00D0205E" w:rsidRPr="00416F96" w:rsidTr="00D0205E">
        <w:trPr>
          <w:trHeight w:val="240"/>
        </w:trPr>
        <w:tc>
          <w:tcPr>
            <w:tcW w:w="1668" w:type="dxa"/>
            <w:shd w:val="clear" w:color="auto" w:fill="auto"/>
          </w:tcPr>
          <w:p w:rsidR="00D0205E" w:rsidRPr="00416F96" w:rsidRDefault="00D0205E" w:rsidP="00D0205E">
            <w:pPr>
              <w:spacing w:after="60"/>
              <w:jc w:val="left"/>
              <w:rPr>
                <w:sz w:val="18"/>
              </w:rPr>
            </w:pPr>
            <w:r w:rsidRPr="00416F96">
              <w:rPr>
                <w:sz w:val="18"/>
              </w:rPr>
              <w:t>HCFC</w:t>
            </w:r>
            <w:r w:rsidRPr="00416F96">
              <w:rPr>
                <w:sz w:val="18"/>
              </w:rPr>
              <w:noBreakHyphen/>
              <w:t>142b</w:t>
            </w:r>
          </w:p>
        </w:tc>
        <w:tc>
          <w:tcPr>
            <w:tcW w:w="850" w:type="dxa"/>
            <w:shd w:val="clear" w:color="auto" w:fill="auto"/>
          </w:tcPr>
          <w:p w:rsidR="00D0205E" w:rsidRPr="00416F96" w:rsidRDefault="00D0205E" w:rsidP="00D0205E">
            <w:pPr>
              <w:spacing w:after="60"/>
              <w:jc w:val="right"/>
              <w:rPr>
                <w:sz w:val="18"/>
              </w:rPr>
            </w:pPr>
            <w:r w:rsidRPr="00416F96">
              <w:rPr>
                <w:sz w:val="18"/>
              </w:rPr>
              <w:t>0</w:t>
            </w:r>
          </w:p>
        </w:tc>
        <w:tc>
          <w:tcPr>
            <w:tcW w:w="851" w:type="dxa"/>
            <w:shd w:val="clear" w:color="auto" w:fill="auto"/>
          </w:tcPr>
          <w:p w:rsidR="00D0205E" w:rsidRPr="00416F96" w:rsidRDefault="00D0205E" w:rsidP="00D0205E">
            <w:pPr>
              <w:spacing w:after="60"/>
              <w:jc w:val="right"/>
              <w:rPr>
                <w:sz w:val="18"/>
              </w:rPr>
            </w:pPr>
          </w:p>
        </w:tc>
        <w:tc>
          <w:tcPr>
            <w:tcW w:w="1068" w:type="dxa"/>
            <w:shd w:val="clear" w:color="auto" w:fill="auto"/>
          </w:tcPr>
          <w:p w:rsidR="00D0205E" w:rsidRPr="00416F96" w:rsidRDefault="00D0205E" w:rsidP="00D0205E">
            <w:pPr>
              <w:spacing w:after="60"/>
              <w:jc w:val="right"/>
              <w:rPr>
                <w:sz w:val="18"/>
              </w:rPr>
            </w:pPr>
            <w:r w:rsidRPr="00416F96">
              <w:rPr>
                <w:sz w:val="18"/>
              </w:rPr>
              <w:t>0</w:t>
            </w:r>
          </w:p>
        </w:tc>
        <w:tc>
          <w:tcPr>
            <w:tcW w:w="1286" w:type="dxa"/>
            <w:shd w:val="clear" w:color="auto" w:fill="auto"/>
          </w:tcPr>
          <w:p w:rsidR="00D0205E" w:rsidRPr="00416F96" w:rsidRDefault="00D0205E" w:rsidP="00D0205E">
            <w:pPr>
              <w:spacing w:after="60"/>
              <w:jc w:val="right"/>
              <w:rPr>
                <w:sz w:val="18"/>
              </w:rPr>
            </w:pPr>
            <w:r w:rsidRPr="00416F96">
              <w:rPr>
                <w:sz w:val="18"/>
              </w:rPr>
              <w:t>0</w:t>
            </w:r>
          </w:p>
        </w:tc>
        <w:tc>
          <w:tcPr>
            <w:tcW w:w="906" w:type="dxa"/>
            <w:shd w:val="clear" w:color="auto" w:fill="auto"/>
          </w:tcPr>
          <w:p w:rsidR="00D0205E" w:rsidRPr="00416F96" w:rsidRDefault="0001159B" w:rsidP="00D0205E">
            <w:pPr>
              <w:spacing w:after="60"/>
              <w:jc w:val="right"/>
              <w:rPr>
                <w:sz w:val="18"/>
              </w:rPr>
            </w:pPr>
            <w:r>
              <w:rPr>
                <w:sz w:val="18"/>
              </w:rPr>
              <w:t>0.06</w:t>
            </w:r>
          </w:p>
        </w:tc>
        <w:tc>
          <w:tcPr>
            <w:tcW w:w="793" w:type="dxa"/>
            <w:shd w:val="clear" w:color="auto" w:fill="auto"/>
          </w:tcPr>
          <w:p w:rsidR="00D0205E" w:rsidRPr="00416F96" w:rsidRDefault="00D0205E" w:rsidP="00D0205E">
            <w:pPr>
              <w:spacing w:after="60"/>
              <w:jc w:val="right"/>
              <w:rPr>
                <w:sz w:val="18"/>
              </w:rPr>
            </w:pPr>
            <w:r w:rsidRPr="00416F96">
              <w:rPr>
                <w:sz w:val="18"/>
              </w:rPr>
              <w:t>0</w:t>
            </w:r>
          </w:p>
        </w:tc>
        <w:tc>
          <w:tcPr>
            <w:tcW w:w="766" w:type="dxa"/>
            <w:shd w:val="clear" w:color="auto" w:fill="auto"/>
          </w:tcPr>
          <w:p w:rsidR="00D0205E" w:rsidRPr="00416F96" w:rsidRDefault="00D0205E" w:rsidP="00D0205E">
            <w:pPr>
              <w:spacing w:after="60"/>
              <w:jc w:val="right"/>
              <w:rPr>
                <w:sz w:val="18"/>
              </w:rPr>
            </w:pPr>
            <w:r w:rsidRPr="00416F96">
              <w:rPr>
                <w:sz w:val="18"/>
              </w:rPr>
              <w:t>0</w:t>
            </w:r>
          </w:p>
        </w:tc>
        <w:tc>
          <w:tcPr>
            <w:tcW w:w="666" w:type="dxa"/>
            <w:shd w:val="clear" w:color="auto" w:fill="auto"/>
          </w:tcPr>
          <w:p w:rsidR="00D0205E" w:rsidRPr="00416F96" w:rsidRDefault="00D0205E" w:rsidP="00D0205E">
            <w:pPr>
              <w:spacing w:after="60"/>
              <w:jc w:val="right"/>
              <w:rPr>
                <w:sz w:val="18"/>
              </w:rPr>
            </w:pPr>
            <w:r w:rsidRPr="00416F96">
              <w:rPr>
                <w:sz w:val="18"/>
              </w:rPr>
              <w:t>0</w:t>
            </w:r>
          </w:p>
        </w:tc>
        <w:tc>
          <w:tcPr>
            <w:tcW w:w="1146" w:type="dxa"/>
            <w:shd w:val="clear" w:color="auto" w:fill="auto"/>
          </w:tcPr>
          <w:p w:rsidR="00D0205E" w:rsidRPr="00416F96" w:rsidRDefault="00DC7AF9" w:rsidP="00D0205E">
            <w:pPr>
              <w:spacing w:after="60"/>
              <w:jc w:val="right"/>
              <w:rPr>
                <w:sz w:val="18"/>
              </w:rPr>
            </w:pPr>
            <w:r w:rsidRPr="00416F96">
              <w:rPr>
                <w:sz w:val="18"/>
              </w:rPr>
              <w:t>0</w:t>
            </w:r>
            <w:r w:rsidR="00A76C8D">
              <w:rPr>
                <w:sz w:val="18"/>
              </w:rPr>
              <w:t>.06</w:t>
            </w:r>
          </w:p>
        </w:tc>
      </w:tr>
      <w:tr w:rsidR="00D0205E" w:rsidRPr="00416F96" w:rsidTr="00D0205E">
        <w:trPr>
          <w:trHeight w:val="240"/>
        </w:trPr>
        <w:tc>
          <w:tcPr>
            <w:tcW w:w="1668" w:type="dxa"/>
            <w:shd w:val="clear" w:color="auto" w:fill="auto"/>
          </w:tcPr>
          <w:p w:rsidR="00D0205E" w:rsidRPr="00416F96" w:rsidRDefault="00D0205E" w:rsidP="00D0205E">
            <w:pPr>
              <w:spacing w:after="60"/>
              <w:jc w:val="left"/>
              <w:rPr>
                <w:sz w:val="18"/>
              </w:rPr>
            </w:pPr>
            <w:r w:rsidRPr="00416F96">
              <w:rPr>
                <w:sz w:val="18"/>
              </w:rPr>
              <w:t>HCFC</w:t>
            </w:r>
            <w:r w:rsidRPr="00416F96">
              <w:rPr>
                <w:sz w:val="18"/>
              </w:rPr>
              <w:noBreakHyphen/>
              <w:t>22</w:t>
            </w:r>
          </w:p>
        </w:tc>
        <w:tc>
          <w:tcPr>
            <w:tcW w:w="850" w:type="dxa"/>
            <w:shd w:val="clear" w:color="auto" w:fill="auto"/>
          </w:tcPr>
          <w:p w:rsidR="00D0205E" w:rsidRPr="00416F96" w:rsidRDefault="00D0205E" w:rsidP="00D0205E">
            <w:pPr>
              <w:spacing w:after="60"/>
              <w:jc w:val="right"/>
              <w:rPr>
                <w:sz w:val="18"/>
              </w:rPr>
            </w:pPr>
            <w:r w:rsidRPr="00416F96">
              <w:rPr>
                <w:sz w:val="18"/>
              </w:rPr>
              <w:t>0</w:t>
            </w:r>
          </w:p>
        </w:tc>
        <w:tc>
          <w:tcPr>
            <w:tcW w:w="851" w:type="dxa"/>
            <w:shd w:val="clear" w:color="auto" w:fill="auto"/>
          </w:tcPr>
          <w:p w:rsidR="00D0205E" w:rsidRPr="00416F96" w:rsidRDefault="00D0205E" w:rsidP="00D0205E">
            <w:pPr>
              <w:spacing w:after="60"/>
              <w:jc w:val="right"/>
              <w:rPr>
                <w:sz w:val="18"/>
              </w:rPr>
            </w:pPr>
          </w:p>
        </w:tc>
        <w:tc>
          <w:tcPr>
            <w:tcW w:w="1068" w:type="dxa"/>
            <w:shd w:val="clear" w:color="auto" w:fill="auto"/>
          </w:tcPr>
          <w:p w:rsidR="00D0205E" w:rsidRPr="00416F96" w:rsidRDefault="00A76C8D" w:rsidP="00D0205E">
            <w:pPr>
              <w:spacing w:after="60"/>
              <w:jc w:val="right"/>
              <w:rPr>
                <w:sz w:val="18"/>
              </w:rPr>
            </w:pPr>
            <w:r>
              <w:rPr>
                <w:sz w:val="18"/>
              </w:rPr>
              <w:t>0</w:t>
            </w:r>
          </w:p>
        </w:tc>
        <w:tc>
          <w:tcPr>
            <w:tcW w:w="1286" w:type="dxa"/>
            <w:shd w:val="clear" w:color="auto" w:fill="auto"/>
          </w:tcPr>
          <w:p w:rsidR="00D0205E" w:rsidRPr="00416F96" w:rsidRDefault="00DC7AF9" w:rsidP="00D0205E">
            <w:pPr>
              <w:spacing w:after="60"/>
              <w:jc w:val="right"/>
              <w:rPr>
                <w:sz w:val="18"/>
              </w:rPr>
            </w:pPr>
            <w:r w:rsidRPr="00416F96">
              <w:rPr>
                <w:sz w:val="18"/>
              </w:rPr>
              <w:t>1.10</w:t>
            </w:r>
          </w:p>
        </w:tc>
        <w:tc>
          <w:tcPr>
            <w:tcW w:w="906" w:type="dxa"/>
            <w:shd w:val="clear" w:color="auto" w:fill="auto"/>
          </w:tcPr>
          <w:p w:rsidR="00D0205E" w:rsidRPr="00416F96" w:rsidRDefault="0001159B" w:rsidP="00D0205E">
            <w:pPr>
              <w:spacing w:after="60"/>
              <w:jc w:val="right"/>
              <w:rPr>
                <w:sz w:val="18"/>
              </w:rPr>
            </w:pPr>
            <w:r>
              <w:rPr>
                <w:sz w:val="18"/>
              </w:rPr>
              <w:t>12.88</w:t>
            </w:r>
          </w:p>
        </w:tc>
        <w:tc>
          <w:tcPr>
            <w:tcW w:w="793" w:type="dxa"/>
            <w:shd w:val="clear" w:color="auto" w:fill="auto"/>
          </w:tcPr>
          <w:p w:rsidR="00D0205E" w:rsidRPr="00416F96" w:rsidRDefault="00D0205E" w:rsidP="00D0205E">
            <w:pPr>
              <w:spacing w:after="60"/>
              <w:jc w:val="right"/>
              <w:rPr>
                <w:sz w:val="18"/>
              </w:rPr>
            </w:pPr>
            <w:r w:rsidRPr="00416F96">
              <w:rPr>
                <w:sz w:val="18"/>
              </w:rPr>
              <w:t>0</w:t>
            </w:r>
          </w:p>
        </w:tc>
        <w:tc>
          <w:tcPr>
            <w:tcW w:w="766" w:type="dxa"/>
            <w:shd w:val="clear" w:color="auto" w:fill="auto"/>
          </w:tcPr>
          <w:p w:rsidR="00D0205E" w:rsidRPr="00416F96" w:rsidRDefault="00D0205E" w:rsidP="00D0205E">
            <w:pPr>
              <w:spacing w:after="60"/>
              <w:jc w:val="right"/>
              <w:rPr>
                <w:sz w:val="18"/>
              </w:rPr>
            </w:pPr>
            <w:r w:rsidRPr="00416F96">
              <w:rPr>
                <w:sz w:val="18"/>
              </w:rPr>
              <w:t>0</w:t>
            </w:r>
          </w:p>
        </w:tc>
        <w:tc>
          <w:tcPr>
            <w:tcW w:w="666" w:type="dxa"/>
            <w:shd w:val="clear" w:color="auto" w:fill="auto"/>
          </w:tcPr>
          <w:p w:rsidR="00D0205E" w:rsidRPr="00416F96" w:rsidRDefault="00D0205E" w:rsidP="00D0205E">
            <w:pPr>
              <w:spacing w:after="60"/>
              <w:jc w:val="right"/>
              <w:rPr>
                <w:sz w:val="18"/>
              </w:rPr>
            </w:pPr>
            <w:r w:rsidRPr="00416F96">
              <w:rPr>
                <w:sz w:val="18"/>
              </w:rPr>
              <w:t>0</w:t>
            </w:r>
          </w:p>
        </w:tc>
        <w:tc>
          <w:tcPr>
            <w:tcW w:w="1146" w:type="dxa"/>
            <w:shd w:val="clear" w:color="auto" w:fill="auto"/>
          </w:tcPr>
          <w:p w:rsidR="00D0205E" w:rsidRPr="00416F96" w:rsidRDefault="00A76C8D" w:rsidP="00D0205E">
            <w:pPr>
              <w:spacing w:after="60"/>
              <w:jc w:val="right"/>
              <w:rPr>
                <w:sz w:val="18"/>
              </w:rPr>
            </w:pPr>
            <w:r>
              <w:rPr>
                <w:sz w:val="18"/>
              </w:rPr>
              <w:t>13.98</w:t>
            </w:r>
          </w:p>
        </w:tc>
      </w:tr>
      <w:tr w:rsidR="00D0205E" w:rsidRPr="005D6E73" w:rsidTr="00D0205E">
        <w:trPr>
          <w:trHeight w:val="240"/>
        </w:trPr>
        <w:tc>
          <w:tcPr>
            <w:tcW w:w="1668" w:type="dxa"/>
            <w:shd w:val="clear" w:color="auto" w:fill="auto"/>
          </w:tcPr>
          <w:p w:rsidR="00D0205E" w:rsidRPr="00416F96" w:rsidRDefault="00D0205E" w:rsidP="00D0205E">
            <w:pPr>
              <w:spacing w:after="60"/>
              <w:jc w:val="left"/>
              <w:rPr>
                <w:sz w:val="18"/>
              </w:rPr>
            </w:pPr>
            <w:r w:rsidRPr="00416F96">
              <w:rPr>
                <w:sz w:val="18"/>
              </w:rPr>
              <w:t>HCFC</w:t>
            </w:r>
            <w:r w:rsidRPr="00416F96">
              <w:rPr>
                <w:sz w:val="18"/>
              </w:rPr>
              <w:noBreakHyphen/>
              <w:t>141b in imported pre</w:t>
            </w:r>
            <w:r w:rsidRPr="00416F96">
              <w:rPr>
                <w:sz w:val="18"/>
              </w:rPr>
              <w:noBreakHyphen/>
              <w:t>blended polyol</w:t>
            </w:r>
          </w:p>
        </w:tc>
        <w:tc>
          <w:tcPr>
            <w:tcW w:w="850" w:type="dxa"/>
            <w:shd w:val="clear" w:color="auto" w:fill="auto"/>
          </w:tcPr>
          <w:p w:rsidR="00D0205E" w:rsidRPr="00416F96" w:rsidRDefault="00D0205E" w:rsidP="00D0205E">
            <w:pPr>
              <w:spacing w:after="60"/>
              <w:jc w:val="right"/>
              <w:rPr>
                <w:sz w:val="18"/>
              </w:rPr>
            </w:pPr>
            <w:r w:rsidRPr="00416F96">
              <w:rPr>
                <w:sz w:val="18"/>
              </w:rPr>
              <w:t>0</w:t>
            </w:r>
          </w:p>
        </w:tc>
        <w:tc>
          <w:tcPr>
            <w:tcW w:w="851" w:type="dxa"/>
            <w:shd w:val="clear" w:color="auto" w:fill="auto"/>
          </w:tcPr>
          <w:p w:rsidR="00D0205E" w:rsidRPr="00416F96" w:rsidRDefault="0001159B" w:rsidP="00D0205E">
            <w:pPr>
              <w:spacing w:after="60"/>
              <w:jc w:val="right"/>
              <w:rPr>
                <w:sz w:val="18"/>
              </w:rPr>
            </w:pPr>
            <w:r>
              <w:rPr>
                <w:sz w:val="18"/>
              </w:rPr>
              <w:t>3.93</w:t>
            </w:r>
          </w:p>
        </w:tc>
        <w:tc>
          <w:tcPr>
            <w:tcW w:w="1068" w:type="dxa"/>
            <w:shd w:val="clear" w:color="auto" w:fill="auto"/>
          </w:tcPr>
          <w:p w:rsidR="00D0205E" w:rsidRPr="00416F96" w:rsidRDefault="00D0205E" w:rsidP="00D0205E">
            <w:pPr>
              <w:spacing w:after="60"/>
              <w:jc w:val="right"/>
              <w:rPr>
                <w:sz w:val="18"/>
              </w:rPr>
            </w:pPr>
            <w:r w:rsidRPr="00416F96">
              <w:rPr>
                <w:sz w:val="18"/>
              </w:rPr>
              <w:t>0</w:t>
            </w:r>
          </w:p>
        </w:tc>
        <w:tc>
          <w:tcPr>
            <w:tcW w:w="1286" w:type="dxa"/>
            <w:shd w:val="clear" w:color="auto" w:fill="auto"/>
          </w:tcPr>
          <w:p w:rsidR="00D0205E" w:rsidRPr="00416F96" w:rsidRDefault="00D0205E" w:rsidP="00D0205E">
            <w:pPr>
              <w:spacing w:after="60"/>
              <w:jc w:val="right"/>
              <w:rPr>
                <w:sz w:val="18"/>
              </w:rPr>
            </w:pPr>
            <w:r w:rsidRPr="00416F96">
              <w:rPr>
                <w:sz w:val="18"/>
              </w:rPr>
              <w:t>0</w:t>
            </w:r>
          </w:p>
        </w:tc>
        <w:tc>
          <w:tcPr>
            <w:tcW w:w="906" w:type="dxa"/>
            <w:shd w:val="clear" w:color="auto" w:fill="auto"/>
          </w:tcPr>
          <w:p w:rsidR="00D0205E" w:rsidRPr="00416F96" w:rsidRDefault="00D0205E" w:rsidP="00D0205E">
            <w:pPr>
              <w:spacing w:after="60"/>
              <w:jc w:val="right"/>
              <w:rPr>
                <w:sz w:val="18"/>
              </w:rPr>
            </w:pPr>
          </w:p>
        </w:tc>
        <w:tc>
          <w:tcPr>
            <w:tcW w:w="793" w:type="dxa"/>
            <w:shd w:val="clear" w:color="auto" w:fill="auto"/>
          </w:tcPr>
          <w:p w:rsidR="00D0205E" w:rsidRPr="00416F96" w:rsidRDefault="00D0205E" w:rsidP="00D0205E">
            <w:pPr>
              <w:spacing w:after="60"/>
              <w:jc w:val="right"/>
              <w:rPr>
                <w:sz w:val="18"/>
              </w:rPr>
            </w:pPr>
            <w:r w:rsidRPr="00416F96">
              <w:rPr>
                <w:sz w:val="18"/>
              </w:rPr>
              <w:t>0</w:t>
            </w:r>
          </w:p>
        </w:tc>
        <w:tc>
          <w:tcPr>
            <w:tcW w:w="766" w:type="dxa"/>
            <w:shd w:val="clear" w:color="auto" w:fill="auto"/>
          </w:tcPr>
          <w:p w:rsidR="00D0205E" w:rsidRPr="00416F96" w:rsidRDefault="00D0205E" w:rsidP="00D0205E">
            <w:pPr>
              <w:spacing w:after="60"/>
              <w:jc w:val="right"/>
              <w:rPr>
                <w:sz w:val="18"/>
              </w:rPr>
            </w:pPr>
            <w:r w:rsidRPr="00416F96">
              <w:rPr>
                <w:sz w:val="18"/>
              </w:rPr>
              <w:t>0</w:t>
            </w:r>
          </w:p>
        </w:tc>
        <w:tc>
          <w:tcPr>
            <w:tcW w:w="666" w:type="dxa"/>
            <w:shd w:val="clear" w:color="auto" w:fill="auto"/>
          </w:tcPr>
          <w:p w:rsidR="00D0205E" w:rsidRPr="00416F96" w:rsidRDefault="00D0205E" w:rsidP="00D0205E">
            <w:pPr>
              <w:spacing w:after="60"/>
              <w:jc w:val="right"/>
              <w:rPr>
                <w:sz w:val="18"/>
              </w:rPr>
            </w:pPr>
            <w:r w:rsidRPr="00416F96">
              <w:rPr>
                <w:sz w:val="18"/>
              </w:rPr>
              <w:t>0</w:t>
            </w:r>
          </w:p>
        </w:tc>
        <w:tc>
          <w:tcPr>
            <w:tcW w:w="1146" w:type="dxa"/>
            <w:shd w:val="clear" w:color="auto" w:fill="auto"/>
          </w:tcPr>
          <w:p w:rsidR="00D0205E" w:rsidRPr="00416F96" w:rsidRDefault="00004372" w:rsidP="00D0205E">
            <w:pPr>
              <w:spacing w:after="60"/>
              <w:jc w:val="right"/>
              <w:rPr>
                <w:sz w:val="18"/>
              </w:rPr>
            </w:pPr>
            <w:r w:rsidRPr="00416F96">
              <w:rPr>
                <w:sz w:val="18"/>
              </w:rPr>
              <w:t>3.93</w:t>
            </w:r>
          </w:p>
        </w:tc>
      </w:tr>
    </w:tbl>
    <w:p w:rsidR="00D0205E" w:rsidRDefault="00D0205E" w:rsidP="00D0205E">
      <w:pPr>
        <w:spacing w:after="60"/>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46"/>
        <w:gridCol w:w="1853"/>
        <w:gridCol w:w="5114"/>
        <w:gridCol w:w="787"/>
      </w:tblGrid>
      <w:tr w:rsidR="00D0205E" w:rsidRPr="00416F96" w:rsidTr="00D0205E">
        <w:trPr>
          <w:trHeight w:val="240"/>
        </w:trPr>
        <w:tc>
          <w:tcPr>
            <w:tcW w:w="0" w:type="auto"/>
            <w:gridSpan w:val="4"/>
            <w:shd w:val="clear" w:color="auto" w:fill="auto"/>
          </w:tcPr>
          <w:p w:rsidR="00D0205E" w:rsidRPr="00416F96" w:rsidRDefault="00D0205E" w:rsidP="00D0205E">
            <w:pPr>
              <w:spacing w:after="60"/>
              <w:jc w:val="left"/>
              <w:rPr>
                <w:b/>
                <w:sz w:val="18"/>
              </w:rPr>
            </w:pPr>
            <w:r w:rsidRPr="00416F96">
              <w:rPr>
                <w:b/>
                <w:sz w:val="18"/>
              </w:rPr>
              <w:t>(IV) CONSUMPTION DATA (ODP tonnes)</w:t>
            </w:r>
          </w:p>
        </w:tc>
      </w:tr>
      <w:tr w:rsidR="00D0205E" w:rsidRPr="00416F96" w:rsidTr="00A37496">
        <w:trPr>
          <w:trHeight w:val="240"/>
        </w:trPr>
        <w:tc>
          <w:tcPr>
            <w:tcW w:w="0" w:type="auto"/>
            <w:shd w:val="clear" w:color="auto" w:fill="auto"/>
          </w:tcPr>
          <w:p w:rsidR="00D0205E" w:rsidRPr="00416F96" w:rsidRDefault="00D0205E" w:rsidP="00D0205E">
            <w:pPr>
              <w:spacing w:after="60"/>
              <w:jc w:val="center"/>
              <w:rPr>
                <w:sz w:val="18"/>
              </w:rPr>
            </w:pPr>
            <w:r w:rsidRPr="00416F96">
              <w:rPr>
                <w:sz w:val="18"/>
              </w:rPr>
              <w:t xml:space="preserve">2009 </w:t>
            </w:r>
            <w:r w:rsidRPr="00416F96">
              <w:rPr>
                <w:sz w:val="18"/>
              </w:rPr>
              <w:noBreakHyphen/>
              <w:t xml:space="preserve"> 2010 baseline:</w:t>
            </w:r>
          </w:p>
        </w:tc>
        <w:tc>
          <w:tcPr>
            <w:tcW w:w="1853" w:type="dxa"/>
            <w:shd w:val="clear" w:color="auto" w:fill="auto"/>
          </w:tcPr>
          <w:p w:rsidR="00D0205E" w:rsidRPr="00416F96" w:rsidRDefault="00DC7AF9" w:rsidP="00D0205E">
            <w:pPr>
              <w:spacing w:after="60"/>
              <w:jc w:val="right"/>
              <w:rPr>
                <w:sz w:val="18"/>
              </w:rPr>
            </w:pPr>
            <w:r w:rsidRPr="00416F96">
              <w:rPr>
                <w:sz w:val="18"/>
              </w:rPr>
              <w:t>23.40</w:t>
            </w:r>
          </w:p>
        </w:tc>
        <w:tc>
          <w:tcPr>
            <w:tcW w:w="5114" w:type="dxa"/>
            <w:shd w:val="clear" w:color="auto" w:fill="auto"/>
          </w:tcPr>
          <w:p w:rsidR="00D0205E" w:rsidRPr="00416F96" w:rsidRDefault="00D0205E" w:rsidP="00D0205E">
            <w:pPr>
              <w:spacing w:after="60"/>
              <w:jc w:val="center"/>
              <w:rPr>
                <w:sz w:val="18"/>
              </w:rPr>
            </w:pPr>
            <w:r w:rsidRPr="00416F96">
              <w:rPr>
                <w:sz w:val="18"/>
              </w:rPr>
              <w:t>Starting point for sustained aggregate reductions:</w:t>
            </w:r>
          </w:p>
        </w:tc>
        <w:tc>
          <w:tcPr>
            <w:tcW w:w="0" w:type="auto"/>
            <w:shd w:val="clear" w:color="auto" w:fill="auto"/>
          </w:tcPr>
          <w:p w:rsidR="00D0205E" w:rsidRPr="00416F96" w:rsidRDefault="005325E3" w:rsidP="00D0205E">
            <w:pPr>
              <w:spacing w:after="60"/>
              <w:jc w:val="right"/>
              <w:rPr>
                <w:sz w:val="18"/>
              </w:rPr>
            </w:pPr>
            <w:r w:rsidRPr="00416F96">
              <w:rPr>
                <w:sz w:val="18"/>
              </w:rPr>
              <w:t>28.66</w:t>
            </w:r>
          </w:p>
        </w:tc>
      </w:tr>
      <w:tr w:rsidR="00D0205E" w:rsidRPr="00416F96" w:rsidTr="00D0205E">
        <w:trPr>
          <w:trHeight w:val="240"/>
        </w:trPr>
        <w:tc>
          <w:tcPr>
            <w:tcW w:w="0" w:type="auto"/>
            <w:gridSpan w:val="4"/>
            <w:shd w:val="clear" w:color="auto" w:fill="auto"/>
          </w:tcPr>
          <w:p w:rsidR="00D0205E" w:rsidRPr="00416F96" w:rsidRDefault="00D0205E" w:rsidP="00D0205E">
            <w:pPr>
              <w:spacing w:after="60"/>
              <w:jc w:val="center"/>
              <w:rPr>
                <w:b/>
                <w:sz w:val="18"/>
              </w:rPr>
            </w:pPr>
            <w:r w:rsidRPr="00416F96">
              <w:rPr>
                <w:b/>
                <w:sz w:val="18"/>
              </w:rPr>
              <w:t>CONSUMPTION ELIGIBLE FOR FUNDING (ODP tonnes)</w:t>
            </w:r>
          </w:p>
        </w:tc>
      </w:tr>
      <w:tr w:rsidR="00D0205E" w:rsidRPr="005D6E73" w:rsidTr="00A37496">
        <w:trPr>
          <w:trHeight w:val="240"/>
        </w:trPr>
        <w:tc>
          <w:tcPr>
            <w:tcW w:w="0" w:type="auto"/>
            <w:shd w:val="clear" w:color="auto" w:fill="auto"/>
          </w:tcPr>
          <w:p w:rsidR="00D0205E" w:rsidRPr="00416F96" w:rsidRDefault="00D0205E" w:rsidP="00D0205E">
            <w:pPr>
              <w:spacing w:after="60"/>
              <w:jc w:val="center"/>
              <w:rPr>
                <w:sz w:val="18"/>
              </w:rPr>
            </w:pPr>
            <w:r w:rsidRPr="00416F96">
              <w:rPr>
                <w:sz w:val="18"/>
              </w:rPr>
              <w:t>Already approved:</w:t>
            </w:r>
          </w:p>
        </w:tc>
        <w:tc>
          <w:tcPr>
            <w:tcW w:w="1853" w:type="dxa"/>
            <w:shd w:val="clear" w:color="auto" w:fill="auto"/>
          </w:tcPr>
          <w:p w:rsidR="00D0205E" w:rsidRPr="00416F96" w:rsidRDefault="00D0205E" w:rsidP="00C22984">
            <w:pPr>
              <w:tabs>
                <w:tab w:val="left" w:pos="255"/>
              </w:tabs>
              <w:spacing w:after="60"/>
              <w:jc w:val="right"/>
              <w:rPr>
                <w:sz w:val="18"/>
              </w:rPr>
            </w:pPr>
            <w:r w:rsidRPr="00416F96">
              <w:rPr>
                <w:sz w:val="18"/>
              </w:rPr>
              <w:tab/>
            </w:r>
            <w:r w:rsidR="00C22984" w:rsidRPr="00416F96">
              <w:rPr>
                <w:sz w:val="18"/>
              </w:rPr>
              <w:t>4.18</w:t>
            </w:r>
          </w:p>
        </w:tc>
        <w:tc>
          <w:tcPr>
            <w:tcW w:w="5114" w:type="dxa"/>
            <w:shd w:val="clear" w:color="auto" w:fill="auto"/>
          </w:tcPr>
          <w:p w:rsidR="00D0205E" w:rsidRPr="00416F96" w:rsidRDefault="00D0205E" w:rsidP="00D0205E">
            <w:pPr>
              <w:spacing w:after="60"/>
              <w:jc w:val="center"/>
              <w:rPr>
                <w:sz w:val="18"/>
              </w:rPr>
            </w:pPr>
            <w:r w:rsidRPr="00416F96">
              <w:rPr>
                <w:sz w:val="18"/>
              </w:rPr>
              <w:t>Remaining:</w:t>
            </w:r>
          </w:p>
        </w:tc>
        <w:tc>
          <w:tcPr>
            <w:tcW w:w="0" w:type="auto"/>
            <w:shd w:val="clear" w:color="auto" w:fill="auto"/>
          </w:tcPr>
          <w:p w:rsidR="00D0205E" w:rsidRPr="005D6E73" w:rsidRDefault="00C9305C" w:rsidP="00D0205E">
            <w:pPr>
              <w:spacing w:after="60"/>
              <w:jc w:val="right"/>
              <w:rPr>
                <w:sz w:val="18"/>
              </w:rPr>
            </w:pPr>
            <w:r w:rsidRPr="00416F96">
              <w:rPr>
                <w:sz w:val="18"/>
              </w:rPr>
              <w:t>24.48</w:t>
            </w:r>
          </w:p>
        </w:tc>
      </w:tr>
    </w:tbl>
    <w:p w:rsidR="00D0205E" w:rsidRDefault="00D0205E" w:rsidP="00D0205E">
      <w:pPr>
        <w:spacing w:after="60"/>
        <w:jc w:val="center"/>
      </w:pPr>
    </w:p>
    <w:tbl>
      <w:tblPr>
        <w:tblStyle w:val="TableGrid"/>
        <w:tblW w:w="100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97"/>
        <w:gridCol w:w="3202"/>
        <w:gridCol w:w="986"/>
        <w:gridCol w:w="987"/>
        <w:gridCol w:w="1004"/>
        <w:gridCol w:w="969"/>
        <w:gridCol w:w="1016"/>
        <w:gridCol w:w="957"/>
      </w:tblGrid>
      <w:tr w:rsidR="00A37496" w:rsidRPr="00416F96" w:rsidTr="00A37496">
        <w:trPr>
          <w:trHeight w:val="251"/>
        </w:trPr>
        <w:tc>
          <w:tcPr>
            <w:tcW w:w="4099" w:type="dxa"/>
            <w:gridSpan w:val="2"/>
            <w:shd w:val="clear" w:color="auto" w:fill="auto"/>
          </w:tcPr>
          <w:p w:rsidR="00004372" w:rsidRPr="00416F96" w:rsidRDefault="00004372" w:rsidP="00627F6B">
            <w:pPr>
              <w:spacing w:after="60"/>
              <w:jc w:val="left"/>
              <w:rPr>
                <w:b/>
                <w:sz w:val="18"/>
                <w:szCs w:val="18"/>
              </w:rPr>
            </w:pPr>
            <w:r w:rsidRPr="00416F96">
              <w:rPr>
                <w:b/>
                <w:sz w:val="18"/>
                <w:szCs w:val="18"/>
              </w:rPr>
              <w:t>(V) BUSINESS PLAN</w:t>
            </w:r>
          </w:p>
        </w:tc>
        <w:tc>
          <w:tcPr>
            <w:tcW w:w="986" w:type="dxa"/>
            <w:shd w:val="clear" w:color="auto" w:fill="auto"/>
          </w:tcPr>
          <w:p w:rsidR="00004372" w:rsidRPr="00416F96" w:rsidRDefault="00004372" w:rsidP="00627F6B">
            <w:pPr>
              <w:spacing w:after="60"/>
              <w:jc w:val="center"/>
              <w:rPr>
                <w:b/>
                <w:sz w:val="18"/>
                <w:szCs w:val="18"/>
              </w:rPr>
            </w:pPr>
            <w:r w:rsidRPr="00416F96">
              <w:rPr>
                <w:b/>
                <w:sz w:val="18"/>
                <w:szCs w:val="18"/>
              </w:rPr>
              <w:t>2016</w:t>
            </w:r>
          </w:p>
        </w:tc>
        <w:tc>
          <w:tcPr>
            <w:tcW w:w="987" w:type="dxa"/>
            <w:shd w:val="clear" w:color="auto" w:fill="auto"/>
          </w:tcPr>
          <w:p w:rsidR="00004372" w:rsidRPr="00416F96" w:rsidRDefault="00004372" w:rsidP="00627F6B">
            <w:pPr>
              <w:spacing w:after="60"/>
              <w:jc w:val="center"/>
              <w:rPr>
                <w:b/>
                <w:sz w:val="18"/>
                <w:szCs w:val="18"/>
              </w:rPr>
            </w:pPr>
            <w:r w:rsidRPr="00416F96">
              <w:rPr>
                <w:b/>
                <w:sz w:val="18"/>
                <w:szCs w:val="18"/>
              </w:rPr>
              <w:t>2017</w:t>
            </w:r>
          </w:p>
        </w:tc>
        <w:tc>
          <w:tcPr>
            <w:tcW w:w="1004" w:type="dxa"/>
            <w:shd w:val="clear" w:color="auto" w:fill="auto"/>
          </w:tcPr>
          <w:p w:rsidR="00004372" w:rsidRPr="00416F96" w:rsidRDefault="00004372" w:rsidP="00627F6B">
            <w:pPr>
              <w:spacing w:after="60"/>
              <w:jc w:val="center"/>
              <w:rPr>
                <w:b/>
                <w:sz w:val="18"/>
                <w:szCs w:val="18"/>
              </w:rPr>
            </w:pPr>
            <w:r w:rsidRPr="00416F96">
              <w:rPr>
                <w:b/>
                <w:sz w:val="18"/>
                <w:szCs w:val="18"/>
              </w:rPr>
              <w:t>2018</w:t>
            </w:r>
          </w:p>
        </w:tc>
        <w:tc>
          <w:tcPr>
            <w:tcW w:w="969" w:type="dxa"/>
          </w:tcPr>
          <w:p w:rsidR="00004372" w:rsidRPr="00416F96" w:rsidRDefault="00004372" w:rsidP="00627F6B">
            <w:pPr>
              <w:spacing w:after="60"/>
              <w:jc w:val="center"/>
              <w:rPr>
                <w:b/>
                <w:sz w:val="18"/>
                <w:szCs w:val="18"/>
              </w:rPr>
            </w:pPr>
            <w:r w:rsidRPr="00416F96">
              <w:rPr>
                <w:b/>
                <w:sz w:val="18"/>
                <w:szCs w:val="18"/>
              </w:rPr>
              <w:t>2019</w:t>
            </w:r>
          </w:p>
        </w:tc>
        <w:tc>
          <w:tcPr>
            <w:tcW w:w="1016" w:type="dxa"/>
          </w:tcPr>
          <w:p w:rsidR="00004372" w:rsidRPr="00416F96" w:rsidRDefault="00004372" w:rsidP="00627F6B">
            <w:pPr>
              <w:spacing w:after="60"/>
              <w:jc w:val="center"/>
              <w:rPr>
                <w:b/>
                <w:sz w:val="18"/>
                <w:szCs w:val="18"/>
              </w:rPr>
            </w:pPr>
            <w:r w:rsidRPr="00416F96">
              <w:rPr>
                <w:b/>
                <w:sz w:val="18"/>
                <w:szCs w:val="18"/>
              </w:rPr>
              <w:t>2020</w:t>
            </w:r>
          </w:p>
        </w:tc>
        <w:tc>
          <w:tcPr>
            <w:tcW w:w="957" w:type="dxa"/>
          </w:tcPr>
          <w:p w:rsidR="00004372" w:rsidRPr="00416F96" w:rsidRDefault="00004372" w:rsidP="00627F6B">
            <w:pPr>
              <w:spacing w:after="60"/>
              <w:jc w:val="center"/>
              <w:rPr>
                <w:b/>
                <w:sz w:val="18"/>
                <w:szCs w:val="18"/>
              </w:rPr>
            </w:pPr>
            <w:r w:rsidRPr="00416F96">
              <w:rPr>
                <w:b/>
                <w:sz w:val="18"/>
                <w:szCs w:val="18"/>
              </w:rPr>
              <w:t>Total</w:t>
            </w:r>
          </w:p>
        </w:tc>
      </w:tr>
      <w:tr w:rsidR="00A37496" w:rsidRPr="00416F96" w:rsidTr="00A37496">
        <w:trPr>
          <w:trHeight w:val="251"/>
        </w:trPr>
        <w:tc>
          <w:tcPr>
            <w:tcW w:w="897" w:type="dxa"/>
            <w:vMerge w:val="restart"/>
            <w:shd w:val="clear" w:color="auto" w:fill="auto"/>
          </w:tcPr>
          <w:p w:rsidR="00004372" w:rsidRPr="00416F96" w:rsidRDefault="00004372" w:rsidP="00627F6B">
            <w:pPr>
              <w:spacing w:after="60"/>
              <w:rPr>
                <w:sz w:val="18"/>
                <w:szCs w:val="18"/>
              </w:rPr>
            </w:pPr>
            <w:r w:rsidRPr="00416F96">
              <w:rPr>
                <w:sz w:val="18"/>
                <w:szCs w:val="18"/>
              </w:rPr>
              <w:t>UNDP</w:t>
            </w:r>
          </w:p>
        </w:tc>
        <w:tc>
          <w:tcPr>
            <w:tcW w:w="3202" w:type="dxa"/>
            <w:shd w:val="clear" w:color="auto" w:fill="auto"/>
          </w:tcPr>
          <w:p w:rsidR="00004372" w:rsidRPr="00416F96" w:rsidRDefault="00004372" w:rsidP="00627F6B">
            <w:pPr>
              <w:spacing w:after="60"/>
              <w:jc w:val="left"/>
              <w:rPr>
                <w:sz w:val="18"/>
                <w:szCs w:val="18"/>
              </w:rPr>
            </w:pPr>
            <w:r w:rsidRPr="00416F96">
              <w:rPr>
                <w:sz w:val="18"/>
                <w:szCs w:val="18"/>
              </w:rPr>
              <w:t>ODS phase</w:t>
            </w:r>
            <w:r w:rsidRPr="00416F96">
              <w:rPr>
                <w:sz w:val="18"/>
                <w:szCs w:val="18"/>
              </w:rPr>
              <w:noBreakHyphen/>
              <w:t>out (ODP tonnes)</w:t>
            </w:r>
          </w:p>
        </w:tc>
        <w:tc>
          <w:tcPr>
            <w:tcW w:w="986" w:type="dxa"/>
            <w:shd w:val="clear" w:color="auto" w:fill="auto"/>
          </w:tcPr>
          <w:p w:rsidR="00004372" w:rsidRPr="00416F96" w:rsidRDefault="00004372" w:rsidP="00627F6B">
            <w:pPr>
              <w:spacing w:after="60"/>
              <w:jc w:val="right"/>
              <w:rPr>
                <w:sz w:val="18"/>
                <w:szCs w:val="18"/>
              </w:rPr>
            </w:pPr>
            <w:r w:rsidRPr="00416F96">
              <w:rPr>
                <w:sz w:val="18"/>
                <w:szCs w:val="18"/>
              </w:rPr>
              <w:t>2.0</w:t>
            </w:r>
          </w:p>
        </w:tc>
        <w:tc>
          <w:tcPr>
            <w:tcW w:w="987" w:type="dxa"/>
            <w:shd w:val="clear" w:color="auto" w:fill="auto"/>
          </w:tcPr>
          <w:p w:rsidR="00004372" w:rsidRPr="00416F96" w:rsidRDefault="00004372" w:rsidP="00627F6B">
            <w:pPr>
              <w:spacing w:after="60"/>
              <w:jc w:val="right"/>
              <w:rPr>
                <w:sz w:val="18"/>
                <w:szCs w:val="18"/>
              </w:rPr>
            </w:pPr>
            <w:r w:rsidRPr="00416F96">
              <w:rPr>
                <w:sz w:val="18"/>
                <w:szCs w:val="18"/>
              </w:rPr>
              <w:t>0</w:t>
            </w:r>
          </w:p>
        </w:tc>
        <w:tc>
          <w:tcPr>
            <w:tcW w:w="1004" w:type="dxa"/>
            <w:shd w:val="clear" w:color="auto" w:fill="auto"/>
          </w:tcPr>
          <w:p w:rsidR="00004372" w:rsidRPr="00416F96" w:rsidRDefault="00004372" w:rsidP="00627F6B">
            <w:pPr>
              <w:spacing w:after="60"/>
              <w:jc w:val="right"/>
              <w:rPr>
                <w:sz w:val="18"/>
                <w:szCs w:val="18"/>
              </w:rPr>
            </w:pPr>
            <w:r w:rsidRPr="00416F96">
              <w:rPr>
                <w:sz w:val="18"/>
                <w:szCs w:val="18"/>
              </w:rPr>
              <w:t>5.8</w:t>
            </w:r>
          </w:p>
        </w:tc>
        <w:tc>
          <w:tcPr>
            <w:tcW w:w="969" w:type="dxa"/>
          </w:tcPr>
          <w:p w:rsidR="00004372" w:rsidRPr="00416F96" w:rsidRDefault="00004372" w:rsidP="00627F6B">
            <w:pPr>
              <w:spacing w:after="60"/>
              <w:jc w:val="right"/>
              <w:rPr>
                <w:sz w:val="18"/>
                <w:szCs w:val="18"/>
              </w:rPr>
            </w:pPr>
            <w:r w:rsidRPr="00416F96">
              <w:rPr>
                <w:sz w:val="18"/>
                <w:szCs w:val="18"/>
              </w:rPr>
              <w:t>0</w:t>
            </w:r>
          </w:p>
        </w:tc>
        <w:tc>
          <w:tcPr>
            <w:tcW w:w="1016" w:type="dxa"/>
          </w:tcPr>
          <w:p w:rsidR="00004372" w:rsidRPr="00416F96" w:rsidRDefault="00A37496" w:rsidP="00627F6B">
            <w:pPr>
              <w:spacing w:after="60"/>
              <w:jc w:val="right"/>
              <w:rPr>
                <w:sz w:val="18"/>
                <w:szCs w:val="18"/>
              </w:rPr>
            </w:pPr>
            <w:r w:rsidRPr="00416F96">
              <w:rPr>
                <w:sz w:val="18"/>
                <w:szCs w:val="18"/>
              </w:rPr>
              <w:t>3.9</w:t>
            </w:r>
          </w:p>
        </w:tc>
        <w:tc>
          <w:tcPr>
            <w:tcW w:w="957" w:type="dxa"/>
          </w:tcPr>
          <w:p w:rsidR="00004372" w:rsidRPr="00416F96" w:rsidRDefault="00A37496" w:rsidP="00627F6B">
            <w:pPr>
              <w:spacing w:after="60"/>
              <w:jc w:val="right"/>
              <w:rPr>
                <w:sz w:val="18"/>
                <w:szCs w:val="18"/>
              </w:rPr>
            </w:pPr>
            <w:r w:rsidRPr="00416F96">
              <w:rPr>
                <w:sz w:val="18"/>
                <w:szCs w:val="18"/>
              </w:rPr>
              <w:t>11.7</w:t>
            </w:r>
          </w:p>
        </w:tc>
      </w:tr>
      <w:tr w:rsidR="00A37496" w:rsidRPr="003012D9" w:rsidTr="00A37496">
        <w:trPr>
          <w:trHeight w:val="251"/>
        </w:trPr>
        <w:tc>
          <w:tcPr>
            <w:tcW w:w="897" w:type="dxa"/>
            <w:vMerge/>
            <w:shd w:val="clear" w:color="auto" w:fill="auto"/>
          </w:tcPr>
          <w:p w:rsidR="00004372" w:rsidRPr="00416F96" w:rsidRDefault="00004372" w:rsidP="00627F6B">
            <w:pPr>
              <w:spacing w:after="60"/>
              <w:jc w:val="center"/>
              <w:rPr>
                <w:sz w:val="18"/>
                <w:szCs w:val="18"/>
              </w:rPr>
            </w:pPr>
          </w:p>
        </w:tc>
        <w:tc>
          <w:tcPr>
            <w:tcW w:w="3202" w:type="dxa"/>
            <w:shd w:val="clear" w:color="auto" w:fill="auto"/>
          </w:tcPr>
          <w:p w:rsidR="00004372" w:rsidRPr="00416F96" w:rsidRDefault="00004372" w:rsidP="00627F6B">
            <w:pPr>
              <w:spacing w:after="60"/>
              <w:jc w:val="left"/>
              <w:rPr>
                <w:sz w:val="18"/>
                <w:szCs w:val="18"/>
              </w:rPr>
            </w:pPr>
            <w:r w:rsidRPr="00416F96">
              <w:rPr>
                <w:sz w:val="18"/>
                <w:szCs w:val="18"/>
              </w:rPr>
              <w:t>Funding (US $)</w:t>
            </w:r>
          </w:p>
        </w:tc>
        <w:tc>
          <w:tcPr>
            <w:tcW w:w="986" w:type="dxa"/>
            <w:shd w:val="clear" w:color="auto" w:fill="auto"/>
          </w:tcPr>
          <w:p w:rsidR="00004372" w:rsidRPr="00416F96" w:rsidRDefault="00004372" w:rsidP="00627F6B">
            <w:pPr>
              <w:spacing w:after="60"/>
              <w:jc w:val="right"/>
              <w:rPr>
                <w:sz w:val="18"/>
                <w:szCs w:val="18"/>
              </w:rPr>
            </w:pPr>
            <w:r w:rsidRPr="00416F96">
              <w:rPr>
                <w:sz w:val="18"/>
                <w:szCs w:val="18"/>
              </w:rPr>
              <w:t>186,297</w:t>
            </w:r>
          </w:p>
        </w:tc>
        <w:tc>
          <w:tcPr>
            <w:tcW w:w="987" w:type="dxa"/>
            <w:shd w:val="clear" w:color="auto" w:fill="auto"/>
          </w:tcPr>
          <w:p w:rsidR="00004372" w:rsidRPr="00416F96" w:rsidRDefault="00004372" w:rsidP="00627F6B">
            <w:pPr>
              <w:spacing w:after="60"/>
              <w:jc w:val="right"/>
              <w:rPr>
                <w:sz w:val="18"/>
                <w:szCs w:val="18"/>
              </w:rPr>
            </w:pPr>
            <w:r w:rsidRPr="00416F96">
              <w:rPr>
                <w:sz w:val="18"/>
                <w:szCs w:val="18"/>
              </w:rPr>
              <w:t>0</w:t>
            </w:r>
          </w:p>
        </w:tc>
        <w:tc>
          <w:tcPr>
            <w:tcW w:w="1004" w:type="dxa"/>
            <w:shd w:val="clear" w:color="auto" w:fill="auto"/>
          </w:tcPr>
          <w:p w:rsidR="00004372" w:rsidRPr="00416F96" w:rsidRDefault="00004372" w:rsidP="00627F6B">
            <w:pPr>
              <w:spacing w:after="60"/>
              <w:jc w:val="right"/>
              <w:rPr>
                <w:sz w:val="18"/>
                <w:szCs w:val="18"/>
              </w:rPr>
            </w:pPr>
            <w:r w:rsidRPr="00416F96">
              <w:rPr>
                <w:sz w:val="18"/>
                <w:szCs w:val="18"/>
              </w:rPr>
              <w:t>446,858</w:t>
            </w:r>
          </w:p>
        </w:tc>
        <w:tc>
          <w:tcPr>
            <w:tcW w:w="969" w:type="dxa"/>
          </w:tcPr>
          <w:p w:rsidR="00004372" w:rsidRPr="00416F96" w:rsidRDefault="00004372" w:rsidP="00627F6B">
            <w:pPr>
              <w:spacing w:after="60"/>
              <w:jc w:val="right"/>
              <w:rPr>
                <w:sz w:val="18"/>
                <w:szCs w:val="18"/>
              </w:rPr>
            </w:pPr>
            <w:r w:rsidRPr="00416F96">
              <w:rPr>
                <w:sz w:val="18"/>
                <w:szCs w:val="18"/>
              </w:rPr>
              <w:t>0</w:t>
            </w:r>
          </w:p>
        </w:tc>
        <w:tc>
          <w:tcPr>
            <w:tcW w:w="1016" w:type="dxa"/>
          </w:tcPr>
          <w:p w:rsidR="00004372" w:rsidRPr="00416F96" w:rsidRDefault="00004372" w:rsidP="00627F6B">
            <w:pPr>
              <w:spacing w:after="60"/>
              <w:jc w:val="right"/>
              <w:rPr>
                <w:sz w:val="18"/>
                <w:szCs w:val="18"/>
              </w:rPr>
            </w:pPr>
            <w:r w:rsidRPr="00416F96">
              <w:rPr>
                <w:sz w:val="18"/>
                <w:szCs w:val="18"/>
              </w:rPr>
              <w:t>316,578</w:t>
            </w:r>
          </w:p>
        </w:tc>
        <w:tc>
          <w:tcPr>
            <w:tcW w:w="957" w:type="dxa"/>
          </w:tcPr>
          <w:p w:rsidR="00004372" w:rsidRPr="00416F96" w:rsidRDefault="00A37496" w:rsidP="00627F6B">
            <w:pPr>
              <w:spacing w:after="60"/>
              <w:jc w:val="right"/>
              <w:rPr>
                <w:sz w:val="18"/>
                <w:szCs w:val="18"/>
              </w:rPr>
            </w:pPr>
            <w:r w:rsidRPr="00416F96">
              <w:rPr>
                <w:sz w:val="18"/>
                <w:szCs w:val="18"/>
              </w:rPr>
              <w:t>949,733</w:t>
            </w:r>
          </w:p>
        </w:tc>
      </w:tr>
    </w:tbl>
    <w:p w:rsidR="00D0205E" w:rsidRDefault="00D0205E" w:rsidP="00D0205E">
      <w:pPr>
        <w:spacing w:after="60"/>
        <w:jc w:val="center"/>
      </w:pPr>
    </w:p>
    <w:tbl>
      <w:tblPr>
        <w:tblStyle w:val="TableGrid"/>
        <w:tblW w:w="5246"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547"/>
        <w:gridCol w:w="709"/>
        <w:gridCol w:w="1835"/>
        <w:gridCol w:w="1017"/>
        <w:gridCol w:w="995"/>
        <w:gridCol w:w="995"/>
        <w:gridCol w:w="963"/>
        <w:gridCol w:w="999"/>
        <w:gridCol w:w="987"/>
      </w:tblGrid>
      <w:tr w:rsidR="00A37496" w:rsidRPr="00416F96" w:rsidTr="00A37496">
        <w:trPr>
          <w:trHeight w:val="269"/>
        </w:trPr>
        <w:tc>
          <w:tcPr>
            <w:tcW w:w="2036" w:type="pct"/>
            <w:gridSpan w:val="3"/>
            <w:shd w:val="clear" w:color="auto" w:fill="auto"/>
          </w:tcPr>
          <w:p w:rsidR="00A37496" w:rsidRPr="00416F96" w:rsidRDefault="00A37496" w:rsidP="00627F6B">
            <w:pPr>
              <w:spacing w:after="60"/>
              <w:jc w:val="left"/>
              <w:rPr>
                <w:b/>
                <w:sz w:val="18"/>
                <w:szCs w:val="18"/>
              </w:rPr>
            </w:pPr>
            <w:r w:rsidRPr="00416F96">
              <w:rPr>
                <w:b/>
                <w:sz w:val="18"/>
                <w:szCs w:val="18"/>
              </w:rPr>
              <w:t>(VI) PROJECT DATA</w:t>
            </w:r>
          </w:p>
        </w:tc>
        <w:tc>
          <w:tcPr>
            <w:tcW w:w="506" w:type="pct"/>
            <w:shd w:val="clear" w:color="auto" w:fill="auto"/>
          </w:tcPr>
          <w:p w:rsidR="00A37496" w:rsidRPr="00416F96" w:rsidRDefault="00A37496" w:rsidP="00627F6B">
            <w:pPr>
              <w:spacing w:after="60"/>
              <w:jc w:val="center"/>
              <w:rPr>
                <w:b/>
                <w:sz w:val="18"/>
                <w:szCs w:val="18"/>
              </w:rPr>
            </w:pPr>
            <w:r w:rsidRPr="00416F96">
              <w:rPr>
                <w:b/>
                <w:sz w:val="18"/>
                <w:szCs w:val="18"/>
              </w:rPr>
              <w:t>2016</w:t>
            </w:r>
          </w:p>
        </w:tc>
        <w:tc>
          <w:tcPr>
            <w:tcW w:w="495" w:type="pct"/>
            <w:shd w:val="clear" w:color="auto" w:fill="auto"/>
          </w:tcPr>
          <w:p w:rsidR="00A37496" w:rsidRPr="00416F96" w:rsidRDefault="00A37496" w:rsidP="00627F6B">
            <w:pPr>
              <w:spacing w:after="60"/>
              <w:jc w:val="center"/>
              <w:rPr>
                <w:b/>
                <w:sz w:val="18"/>
                <w:szCs w:val="18"/>
              </w:rPr>
            </w:pPr>
            <w:r w:rsidRPr="00416F96">
              <w:rPr>
                <w:b/>
                <w:sz w:val="18"/>
                <w:szCs w:val="18"/>
              </w:rPr>
              <w:t>2017</w:t>
            </w:r>
          </w:p>
        </w:tc>
        <w:tc>
          <w:tcPr>
            <w:tcW w:w="495" w:type="pct"/>
            <w:shd w:val="clear" w:color="auto" w:fill="auto"/>
          </w:tcPr>
          <w:p w:rsidR="00A37496" w:rsidRPr="00416F96" w:rsidRDefault="00A37496" w:rsidP="00627F6B">
            <w:pPr>
              <w:spacing w:after="60"/>
              <w:jc w:val="center"/>
              <w:rPr>
                <w:b/>
                <w:sz w:val="18"/>
                <w:szCs w:val="18"/>
              </w:rPr>
            </w:pPr>
            <w:r w:rsidRPr="00416F96">
              <w:rPr>
                <w:b/>
                <w:sz w:val="18"/>
                <w:szCs w:val="18"/>
              </w:rPr>
              <w:t>2018</w:t>
            </w:r>
          </w:p>
        </w:tc>
        <w:tc>
          <w:tcPr>
            <w:tcW w:w="479" w:type="pct"/>
            <w:shd w:val="clear" w:color="auto" w:fill="auto"/>
          </w:tcPr>
          <w:p w:rsidR="00A37496" w:rsidRPr="00416F96" w:rsidRDefault="00A37496" w:rsidP="00627F6B">
            <w:pPr>
              <w:spacing w:after="60"/>
              <w:jc w:val="center"/>
              <w:rPr>
                <w:b/>
                <w:sz w:val="18"/>
                <w:szCs w:val="18"/>
              </w:rPr>
            </w:pPr>
            <w:r w:rsidRPr="00416F96">
              <w:rPr>
                <w:b/>
                <w:sz w:val="18"/>
                <w:szCs w:val="18"/>
              </w:rPr>
              <w:t>2019</w:t>
            </w:r>
          </w:p>
        </w:tc>
        <w:tc>
          <w:tcPr>
            <w:tcW w:w="497" w:type="pct"/>
            <w:tcBorders>
              <w:right w:val="single" w:sz="4" w:space="0" w:color="1F497D" w:themeColor="text2"/>
            </w:tcBorders>
          </w:tcPr>
          <w:p w:rsidR="00A37496" w:rsidRPr="00416F96" w:rsidRDefault="00A37496" w:rsidP="00627F6B">
            <w:pPr>
              <w:spacing w:after="60"/>
              <w:jc w:val="center"/>
              <w:rPr>
                <w:b/>
                <w:sz w:val="18"/>
                <w:szCs w:val="18"/>
              </w:rPr>
            </w:pPr>
            <w:r w:rsidRPr="00416F96">
              <w:rPr>
                <w:b/>
                <w:sz w:val="18"/>
                <w:szCs w:val="18"/>
              </w:rPr>
              <w:t>2020</w:t>
            </w:r>
          </w:p>
        </w:tc>
        <w:tc>
          <w:tcPr>
            <w:tcW w:w="491" w:type="pct"/>
            <w:shd w:val="clear" w:color="auto" w:fill="auto"/>
          </w:tcPr>
          <w:p w:rsidR="00A37496" w:rsidRPr="00416F96" w:rsidRDefault="00A37496" w:rsidP="00627F6B">
            <w:pPr>
              <w:spacing w:after="60"/>
              <w:jc w:val="center"/>
              <w:rPr>
                <w:b/>
                <w:sz w:val="18"/>
                <w:szCs w:val="18"/>
              </w:rPr>
            </w:pPr>
            <w:r w:rsidRPr="00416F96">
              <w:rPr>
                <w:b/>
                <w:sz w:val="18"/>
                <w:szCs w:val="18"/>
              </w:rPr>
              <w:t>Total</w:t>
            </w:r>
          </w:p>
        </w:tc>
      </w:tr>
      <w:tr w:rsidR="00A37496" w:rsidRPr="00416F96" w:rsidTr="00A37496">
        <w:trPr>
          <w:trHeight w:val="269"/>
        </w:trPr>
        <w:tc>
          <w:tcPr>
            <w:tcW w:w="2036" w:type="pct"/>
            <w:gridSpan w:val="3"/>
            <w:shd w:val="clear" w:color="auto" w:fill="auto"/>
          </w:tcPr>
          <w:p w:rsidR="00A37496" w:rsidRPr="00416F96" w:rsidRDefault="00A37496" w:rsidP="00627F6B">
            <w:pPr>
              <w:spacing w:after="60"/>
              <w:jc w:val="left"/>
              <w:rPr>
                <w:sz w:val="18"/>
                <w:szCs w:val="18"/>
              </w:rPr>
            </w:pPr>
            <w:r w:rsidRPr="00416F96">
              <w:rPr>
                <w:sz w:val="18"/>
                <w:szCs w:val="18"/>
              </w:rPr>
              <w:t>Montreal Protocol consumption limits</w:t>
            </w:r>
          </w:p>
        </w:tc>
        <w:tc>
          <w:tcPr>
            <w:tcW w:w="506"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95"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95"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79"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97" w:type="pct"/>
            <w:tcBorders>
              <w:right w:val="single" w:sz="4" w:space="0" w:color="1F497D" w:themeColor="text2"/>
            </w:tcBorders>
          </w:tcPr>
          <w:p w:rsidR="00A37496" w:rsidRPr="00416F96" w:rsidRDefault="005325E3" w:rsidP="00A76C8D">
            <w:pPr>
              <w:spacing w:after="60"/>
              <w:jc w:val="right"/>
              <w:rPr>
                <w:sz w:val="18"/>
                <w:szCs w:val="18"/>
              </w:rPr>
            </w:pPr>
            <w:r w:rsidRPr="00416F96">
              <w:rPr>
                <w:sz w:val="18"/>
                <w:szCs w:val="18"/>
              </w:rPr>
              <w:t>15.</w:t>
            </w:r>
            <w:r w:rsidR="00A76C8D">
              <w:rPr>
                <w:sz w:val="18"/>
                <w:szCs w:val="18"/>
              </w:rPr>
              <w:t>16</w:t>
            </w:r>
          </w:p>
        </w:tc>
        <w:tc>
          <w:tcPr>
            <w:tcW w:w="491" w:type="pct"/>
            <w:shd w:val="clear" w:color="auto" w:fill="auto"/>
          </w:tcPr>
          <w:p w:rsidR="00A37496" w:rsidRPr="00416F96" w:rsidRDefault="00A37496" w:rsidP="00627F6B">
            <w:pPr>
              <w:spacing w:after="60"/>
              <w:jc w:val="center"/>
              <w:rPr>
                <w:sz w:val="18"/>
                <w:szCs w:val="18"/>
                <w:lang w:val="en-CA"/>
              </w:rPr>
            </w:pPr>
            <w:r w:rsidRPr="00416F96">
              <w:rPr>
                <w:sz w:val="18"/>
                <w:szCs w:val="18"/>
                <w:lang w:val="en-CA"/>
              </w:rPr>
              <w:t>n/a</w:t>
            </w:r>
          </w:p>
        </w:tc>
      </w:tr>
      <w:tr w:rsidR="00A37496" w:rsidRPr="00416F96" w:rsidTr="00A37496">
        <w:trPr>
          <w:trHeight w:val="269"/>
        </w:trPr>
        <w:tc>
          <w:tcPr>
            <w:tcW w:w="2036" w:type="pct"/>
            <w:gridSpan w:val="3"/>
            <w:shd w:val="clear" w:color="auto" w:fill="auto"/>
          </w:tcPr>
          <w:p w:rsidR="00A37496" w:rsidRPr="00416F96" w:rsidRDefault="00A37496" w:rsidP="00627F6B">
            <w:pPr>
              <w:spacing w:after="60"/>
              <w:jc w:val="left"/>
              <w:rPr>
                <w:sz w:val="18"/>
                <w:szCs w:val="18"/>
              </w:rPr>
            </w:pPr>
            <w:r w:rsidRPr="00416F96">
              <w:rPr>
                <w:sz w:val="18"/>
                <w:szCs w:val="18"/>
              </w:rPr>
              <w:t>Maximum allowable consumption (ODP tonnes)</w:t>
            </w:r>
          </w:p>
        </w:tc>
        <w:tc>
          <w:tcPr>
            <w:tcW w:w="506"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95"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95"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79" w:type="pct"/>
            <w:shd w:val="clear" w:color="auto" w:fill="auto"/>
          </w:tcPr>
          <w:p w:rsidR="00A37496" w:rsidRPr="00416F96" w:rsidRDefault="005325E3" w:rsidP="00627F6B">
            <w:pPr>
              <w:spacing w:after="60"/>
              <w:jc w:val="right"/>
              <w:rPr>
                <w:sz w:val="18"/>
                <w:szCs w:val="18"/>
              </w:rPr>
            </w:pPr>
            <w:r w:rsidRPr="00416F96">
              <w:rPr>
                <w:sz w:val="18"/>
                <w:szCs w:val="18"/>
              </w:rPr>
              <w:t>21.0</w:t>
            </w:r>
          </w:p>
        </w:tc>
        <w:tc>
          <w:tcPr>
            <w:tcW w:w="497" w:type="pct"/>
            <w:tcBorders>
              <w:right w:val="single" w:sz="4" w:space="0" w:color="1F497D" w:themeColor="text2"/>
            </w:tcBorders>
          </w:tcPr>
          <w:p w:rsidR="00A37496" w:rsidRPr="00416F96" w:rsidRDefault="005325E3" w:rsidP="00A76C8D">
            <w:pPr>
              <w:spacing w:after="60"/>
              <w:jc w:val="right"/>
              <w:rPr>
                <w:sz w:val="18"/>
                <w:szCs w:val="18"/>
              </w:rPr>
            </w:pPr>
            <w:r w:rsidRPr="00416F96">
              <w:rPr>
                <w:sz w:val="18"/>
                <w:szCs w:val="18"/>
              </w:rPr>
              <w:t>15.</w:t>
            </w:r>
            <w:r w:rsidR="00A76C8D">
              <w:rPr>
                <w:sz w:val="18"/>
                <w:szCs w:val="18"/>
              </w:rPr>
              <w:t>16</w:t>
            </w:r>
          </w:p>
        </w:tc>
        <w:tc>
          <w:tcPr>
            <w:tcW w:w="491" w:type="pct"/>
            <w:shd w:val="clear" w:color="auto" w:fill="auto"/>
          </w:tcPr>
          <w:p w:rsidR="00A37496" w:rsidRPr="00416F96" w:rsidRDefault="00A37496" w:rsidP="00627F6B">
            <w:pPr>
              <w:spacing w:after="60"/>
              <w:jc w:val="center"/>
              <w:rPr>
                <w:sz w:val="18"/>
                <w:szCs w:val="18"/>
              </w:rPr>
            </w:pPr>
            <w:r w:rsidRPr="00416F96">
              <w:rPr>
                <w:sz w:val="18"/>
                <w:szCs w:val="18"/>
              </w:rPr>
              <w:t>n/a</w:t>
            </w:r>
          </w:p>
        </w:tc>
      </w:tr>
      <w:tr w:rsidR="00B82DFA" w:rsidRPr="00416F96" w:rsidTr="005325E3">
        <w:trPr>
          <w:trHeight w:val="269"/>
        </w:trPr>
        <w:tc>
          <w:tcPr>
            <w:tcW w:w="770" w:type="pct"/>
            <w:vMerge w:val="restart"/>
            <w:tcBorders>
              <w:top w:val="single" w:sz="4" w:space="0" w:color="auto"/>
              <w:right w:val="single" w:sz="4" w:space="0" w:color="auto"/>
            </w:tcBorders>
            <w:shd w:val="clear" w:color="auto" w:fill="auto"/>
          </w:tcPr>
          <w:p w:rsidR="00A37496" w:rsidRPr="00416F96" w:rsidRDefault="00A37496" w:rsidP="00627F6B">
            <w:pPr>
              <w:spacing w:after="60"/>
              <w:jc w:val="left"/>
              <w:rPr>
                <w:sz w:val="18"/>
                <w:szCs w:val="18"/>
              </w:rPr>
            </w:pPr>
            <w:r w:rsidRPr="00416F96">
              <w:rPr>
                <w:sz w:val="18"/>
                <w:szCs w:val="18"/>
              </w:rPr>
              <w:t>Project costs requested in principle (US $)</w:t>
            </w:r>
          </w:p>
        </w:tc>
        <w:tc>
          <w:tcPr>
            <w:tcW w:w="353" w:type="pct"/>
            <w:vMerge w:val="restart"/>
            <w:tcBorders>
              <w:left w:val="single" w:sz="4" w:space="0" w:color="auto"/>
            </w:tcBorders>
            <w:shd w:val="clear" w:color="auto" w:fill="auto"/>
          </w:tcPr>
          <w:p w:rsidR="00A37496" w:rsidRPr="00416F96" w:rsidRDefault="00A37496" w:rsidP="00627F6B">
            <w:pPr>
              <w:spacing w:after="60"/>
              <w:jc w:val="center"/>
              <w:rPr>
                <w:sz w:val="18"/>
                <w:szCs w:val="18"/>
              </w:rPr>
            </w:pPr>
            <w:r w:rsidRPr="00416F96">
              <w:rPr>
                <w:sz w:val="18"/>
                <w:szCs w:val="18"/>
              </w:rPr>
              <w:t>UNDP</w:t>
            </w:r>
          </w:p>
        </w:tc>
        <w:tc>
          <w:tcPr>
            <w:tcW w:w="913" w:type="pct"/>
            <w:shd w:val="clear" w:color="auto" w:fill="auto"/>
          </w:tcPr>
          <w:p w:rsidR="00A37496" w:rsidRPr="00416F96" w:rsidRDefault="00A37496" w:rsidP="00627F6B">
            <w:pPr>
              <w:spacing w:after="60"/>
              <w:jc w:val="left"/>
              <w:rPr>
                <w:sz w:val="18"/>
                <w:szCs w:val="18"/>
              </w:rPr>
            </w:pPr>
            <w:r w:rsidRPr="00416F96">
              <w:rPr>
                <w:sz w:val="18"/>
                <w:szCs w:val="18"/>
              </w:rPr>
              <w:t>Project costs</w:t>
            </w:r>
          </w:p>
        </w:tc>
        <w:tc>
          <w:tcPr>
            <w:tcW w:w="506" w:type="pct"/>
            <w:shd w:val="clear" w:color="auto" w:fill="auto"/>
          </w:tcPr>
          <w:p w:rsidR="00A37496" w:rsidRPr="00416F96" w:rsidRDefault="00B82DFA" w:rsidP="00627F6B">
            <w:pPr>
              <w:jc w:val="right"/>
              <w:rPr>
                <w:color w:val="000000"/>
                <w:sz w:val="18"/>
                <w:szCs w:val="18"/>
              </w:rPr>
            </w:pPr>
            <w:r w:rsidRPr="00416F96">
              <w:rPr>
                <w:color w:val="000000"/>
                <w:sz w:val="18"/>
                <w:szCs w:val="18"/>
              </w:rPr>
              <w:t>314,000</w:t>
            </w:r>
          </w:p>
        </w:tc>
        <w:tc>
          <w:tcPr>
            <w:tcW w:w="495" w:type="pct"/>
            <w:shd w:val="clear" w:color="auto" w:fill="auto"/>
          </w:tcPr>
          <w:p w:rsidR="00A37496" w:rsidRPr="00416F96" w:rsidRDefault="00A37496" w:rsidP="00627F6B">
            <w:pPr>
              <w:jc w:val="right"/>
              <w:rPr>
                <w:color w:val="000000"/>
                <w:sz w:val="18"/>
                <w:szCs w:val="18"/>
              </w:rPr>
            </w:pPr>
            <w:r w:rsidRPr="00416F96">
              <w:rPr>
                <w:color w:val="000000"/>
                <w:sz w:val="18"/>
                <w:szCs w:val="18"/>
              </w:rPr>
              <w:t>0</w:t>
            </w:r>
          </w:p>
        </w:tc>
        <w:tc>
          <w:tcPr>
            <w:tcW w:w="495" w:type="pct"/>
            <w:shd w:val="clear" w:color="auto" w:fill="auto"/>
          </w:tcPr>
          <w:p w:rsidR="00A37496" w:rsidRPr="00416F96" w:rsidRDefault="00E86935" w:rsidP="00627F6B">
            <w:pPr>
              <w:jc w:val="right"/>
              <w:rPr>
                <w:color w:val="000000"/>
                <w:sz w:val="18"/>
                <w:szCs w:val="18"/>
              </w:rPr>
            </w:pPr>
            <w:r>
              <w:rPr>
                <w:color w:val="000000"/>
                <w:sz w:val="18"/>
                <w:szCs w:val="18"/>
              </w:rPr>
              <w:t>679,889</w:t>
            </w:r>
          </w:p>
        </w:tc>
        <w:tc>
          <w:tcPr>
            <w:tcW w:w="479" w:type="pct"/>
            <w:shd w:val="clear" w:color="auto" w:fill="auto"/>
          </w:tcPr>
          <w:p w:rsidR="00A37496" w:rsidRPr="00416F96" w:rsidRDefault="00A37496" w:rsidP="00627F6B">
            <w:pPr>
              <w:jc w:val="right"/>
              <w:rPr>
                <w:color w:val="000000"/>
                <w:sz w:val="18"/>
                <w:szCs w:val="18"/>
              </w:rPr>
            </w:pPr>
            <w:r w:rsidRPr="00416F96">
              <w:rPr>
                <w:color w:val="000000"/>
                <w:sz w:val="18"/>
                <w:szCs w:val="18"/>
              </w:rPr>
              <w:t>0</w:t>
            </w:r>
          </w:p>
        </w:tc>
        <w:tc>
          <w:tcPr>
            <w:tcW w:w="497" w:type="pct"/>
            <w:tcBorders>
              <w:right w:val="single" w:sz="4" w:space="0" w:color="1F497D" w:themeColor="text2"/>
            </w:tcBorders>
          </w:tcPr>
          <w:p w:rsidR="00A37496" w:rsidRPr="00416F96" w:rsidRDefault="00E86935" w:rsidP="00627F6B">
            <w:pPr>
              <w:jc w:val="right"/>
              <w:rPr>
                <w:color w:val="000000"/>
                <w:sz w:val="18"/>
                <w:szCs w:val="18"/>
              </w:rPr>
            </w:pPr>
            <w:r>
              <w:rPr>
                <w:color w:val="000000"/>
                <w:sz w:val="18"/>
                <w:szCs w:val="18"/>
              </w:rPr>
              <w:t>111,268</w:t>
            </w:r>
          </w:p>
        </w:tc>
        <w:tc>
          <w:tcPr>
            <w:tcW w:w="491" w:type="pct"/>
            <w:shd w:val="clear" w:color="auto" w:fill="auto"/>
          </w:tcPr>
          <w:p w:rsidR="00A37496" w:rsidRPr="00416F96" w:rsidRDefault="00E86935" w:rsidP="00627F6B">
            <w:pPr>
              <w:jc w:val="right"/>
              <w:rPr>
                <w:color w:val="000000"/>
                <w:sz w:val="18"/>
                <w:szCs w:val="18"/>
              </w:rPr>
            </w:pPr>
            <w:r>
              <w:rPr>
                <w:color w:val="000000"/>
                <w:sz w:val="18"/>
                <w:szCs w:val="18"/>
              </w:rPr>
              <w:t>1,105,157</w:t>
            </w:r>
          </w:p>
        </w:tc>
      </w:tr>
      <w:tr w:rsidR="00B82DFA" w:rsidRPr="00416F96" w:rsidTr="005325E3">
        <w:trPr>
          <w:trHeight w:val="143"/>
        </w:trPr>
        <w:tc>
          <w:tcPr>
            <w:tcW w:w="770" w:type="pct"/>
            <w:vMerge/>
            <w:tcBorders>
              <w:right w:val="single" w:sz="4" w:space="0" w:color="auto"/>
            </w:tcBorders>
            <w:shd w:val="clear" w:color="auto" w:fill="auto"/>
          </w:tcPr>
          <w:p w:rsidR="00A37496" w:rsidRPr="00416F96" w:rsidRDefault="00A37496" w:rsidP="00627F6B">
            <w:pPr>
              <w:spacing w:after="60"/>
              <w:jc w:val="center"/>
              <w:rPr>
                <w:sz w:val="18"/>
                <w:szCs w:val="18"/>
              </w:rPr>
            </w:pPr>
          </w:p>
        </w:tc>
        <w:tc>
          <w:tcPr>
            <w:tcW w:w="353" w:type="pct"/>
            <w:vMerge/>
            <w:tcBorders>
              <w:left w:val="single" w:sz="4" w:space="0" w:color="auto"/>
            </w:tcBorders>
            <w:shd w:val="clear" w:color="auto" w:fill="auto"/>
          </w:tcPr>
          <w:p w:rsidR="00A37496" w:rsidRPr="00416F96" w:rsidRDefault="00A37496" w:rsidP="00627F6B">
            <w:pPr>
              <w:spacing w:after="60"/>
              <w:jc w:val="center"/>
              <w:rPr>
                <w:sz w:val="18"/>
                <w:szCs w:val="18"/>
              </w:rPr>
            </w:pPr>
          </w:p>
        </w:tc>
        <w:tc>
          <w:tcPr>
            <w:tcW w:w="913" w:type="pct"/>
            <w:shd w:val="clear" w:color="auto" w:fill="auto"/>
          </w:tcPr>
          <w:p w:rsidR="00A37496" w:rsidRPr="00416F96" w:rsidRDefault="00A37496" w:rsidP="00627F6B">
            <w:pPr>
              <w:spacing w:after="60"/>
              <w:jc w:val="left"/>
              <w:rPr>
                <w:sz w:val="18"/>
                <w:szCs w:val="18"/>
              </w:rPr>
            </w:pPr>
            <w:r w:rsidRPr="00416F96">
              <w:rPr>
                <w:sz w:val="18"/>
                <w:szCs w:val="18"/>
              </w:rPr>
              <w:t>Support costs</w:t>
            </w:r>
          </w:p>
        </w:tc>
        <w:tc>
          <w:tcPr>
            <w:tcW w:w="506" w:type="pct"/>
            <w:shd w:val="clear" w:color="auto" w:fill="auto"/>
          </w:tcPr>
          <w:p w:rsidR="00A37496" w:rsidRPr="00416F96" w:rsidRDefault="005325E3" w:rsidP="00627F6B">
            <w:pPr>
              <w:jc w:val="right"/>
              <w:rPr>
                <w:color w:val="000000"/>
                <w:sz w:val="18"/>
                <w:szCs w:val="18"/>
              </w:rPr>
            </w:pPr>
            <w:r w:rsidRPr="00416F96">
              <w:rPr>
                <w:color w:val="000000"/>
                <w:sz w:val="18"/>
                <w:szCs w:val="18"/>
              </w:rPr>
              <w:t>21,980</w:t>
            </w:r>
          </w:p>
        </w:tc>
        <w:tc>
          <w:tcPr>
            <w:tcW w:w="495"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5" w:type="pct"/>
            <w:shd w:val="clear" w:color="auto" w:fill="auto"/>
          </w:tcPr>
          <w:p w:rsidR="00A37496" w:rsidRPr="00416F96" w:rsidRDefault="00E86935" w:rsidP="00627F6B">
            <w:pPr>
              <w:jc w:val="right"/>
              <w:rPr>
                <w:color w:val="000000"/>
                <w:sz w:val="18"/>
                <w:szCs w:val="18"/>
              </w:rPr>
            </w:pPr>
            <w:r>
              <w:rPr>
                <w:color w:val="000000"/>
                <w:sz w:val="18"/>
                <w:szCs w:val="18"/>
              </w:rPr>
              <w:t>47,592</w:t>
            </w:r>
          </w:p>
        </w:tc>
        <w:tc>
          <w:tcPr>
            <w:tcW w:w="479"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7" w:type="pct"/>
            <w:tcBorders>
              <w:right w:val="single" w:sz="4" w:space="0" w:color="1F497D" w:themeColor="text2"/>
            </w:tcBorders>
          </w:tcPr>
          <w:p w:rsidR="00A37496" w:rsidRPr="00416F96" w:rsidRDefault="00E86935" w:rsidP="00627F6B">
            <w:pPr>
              <w:jc w:val="right"/>
              <w:rPr>
                <w:color w:val="000000"/>
                <w:sz w:val="18"/>
                <w:szCs w:val="18"/>
              </w:rPr>
            </w:pPr>
            <w:r>
              <w:rPr>
                <w:color w:val="000000"/>
                <w:sz w:val="18"/>
                <w:szCs w:val="18"/>
              </w:rPr>
              <w:t>7,789</w:t>
            </w:r>
          </w:p>
        </w:tc>
        <w:tc>
          <w:tcPr>
            <w:tcW w:w="491" w:type="pct"/>
            <w:shd w:val="clear" w:color="auto" w:fill="auto"/>
          </w:tcPr>
          <w:p w:rsidR="00A37496" w:rsidRPr="00416F96" w:rsidRDefault="00E86935" w:rsidP="00627F6B">
            <w:pPr>
              <w:jc w:val="right"/>
              <w:rPr>
                <w:color w:val="000000"/>
                <w:sz w:val="18"/>
                <w:szCs w:val="18"/>
              </w:rPr>
            </w:pPr>
            <w:r>
              <w:rPr>
                <w:color w:val="000000"/>
                <w:sz w:val="18"/>
                <w:szCs w:val="18"/>
              </w:rPr>
              <w:t>77,361</w:t>
            </w:r>
          </w:p>
        </w:tc>
      </w:tr>
      <w:tr w:rsidR="00A37496" w:rsidRPr="00416F96" w:rsidTr="00A37496">
        <w:trPr>
          <w:trHeight w:val="269"/>
        </w:trPr>
        <w:tc>
          <w:tcPr>
            <w:tcW w:w="2036" w:type="pct"/>
            <w:gridSpan w:val="3"/>
            <w:tcBorders>
              <w:top w:val="single" w:sz="4" w:space="0" w:color="auto"/>
              <w:bottom w:val="single" w:sz="4" w:space="0" w:color="auto"/>
            </w:tcBorders>
            <w:shd w:val="clear" w:color="auto" w:fill="auto"/>
          </w:tcPr>
          <w:p w:rsidR="00A37496" w:rsidRPr="00416F96" w:rsidRDefault="00A37496" w:rsidP="00627F6B">
            <w:pPr>
              <w:spacing w:after="60"/>
              <w:jc w:val="left"/>
              <w:rPr>
                <w:sz w:val="18"/>
                <w:szCs w:val="18"/>
              </w:rPr>
            </w:pPr>
            <w:r w:rsidRPr="00416F96">
              <w:rPr>
                <w:sz w:val="18"/>
                <w:szCs w:val="18"/>
              </w:rPr>
              <w:t>Total project costs requested in principle (US$)</w:t>
            </w:r>
          </w:p>
        </w:tc>
        <w:tc>
          <w:tcPr>
            <w:tcW w:w="506" w:type="pct"/>
            <w:shd w:val="clear" w:color="auto" w:fill="auto"/>
          </w:tcPr>
          <w:p w:rsidR="00A37496" w:rsidRPr="00416F96" w:rsidRDefault="005325E3" w:rsidP="00627F6B">
            <w:pPr>
              <w:jc w:val="right"/>
              <w:rPr>
                <w:color w:val="000000"/>
                <w:sz w:val="18"/>
                <w:szCs w:val="18"/>
              </w:rPr>
            </w:pPr>
            <w:r w:rsidRPr="00416F96">
              <w:rPr>
                <w:color w:val="000000"/>
                <w:sz w:val="18"/>
                <w:szCs w:val="18"/>
              </w:rPr>
              <w:t>314,000</w:t>
            </w:r>
          </w:p>
        </w:tc>
        <w:tc>
          <w:tcPr>
            <w:tcW w:w="495"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5" w:type="pct"/>
            <w:shd w:val="clear" w:color="auto" w:fill="auto"/>
          </w:tcPr>
          <w:p w:rsidR="00A37496" w:rsidRPr="00416F96" w:rsidRDefault="00E86935" w:rsidP="00627F6B">
            <w:pPr>
              <w:jc w:val="right"/>
              <w:rPr>
                <w:color w:val="000000"/>
                <w:sz w:val="18"/>
                <w:szCs w:val="18"/>
              </w:rPr>
            </w:pPr>
            <w:r>
              <w:rPr>
                <w:color w:val="000000"/>
                <w:sz w:val="18"/>
                <w:szCs w:val="18"/>
              </w:rPr>
              <w:t>679,889</w:t>
            </w:r>
          </w:p>
        </w:tc>
        <w:tc>
          <w:tcPr>
            <w:tcW w:w="479"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7" w:type="pct"/>
            <w:tcBorders>
              <w:right w:val="single" w:sz="4" w:space="0" w:color="1F497D" w:themeColor="text2"/>
            </w:tcBorders>
          </w:tcPr>
          <w:p w:rsidR="00A37496" w:rsidRPr="00416F96" w:rsidRDefault="00E86935" w:rsidP="00627F6B">
            <w:pPr>
              <w:jc w:val="right"/>
              <w:rPr>
                <w:color w:val="000000"/>
                <w:sz w:val="18"/>
                <w:szCs w:val="18"/>
              </w:rPr>
            </w:pPr>
            <w:r>
              <w:rPr>
                <w:color w:val="000000"/>
                <w:sz w:val="18"/>
                <w:szCs w:val="18"/>
              </w:rPr>
              <w:t>111,268</w:t>
            </w:r>
          </w:p>
        </w:tc>
        <w:tc>
          <w:tcPr>
            <w:tcW w:w="491" w:type="pct"/>
            <w:shd w:val="clear" w:color="auto" w:fill="auto"/>
          </w:tcPr>
          <w:p w:rsidR="00A37496" w:rsidRPr="00416F96" w:rsidRDefault="00E86935" w:rsidP="00627F6B">
            <w:pPr>
              <w:jc w:val="right"/>
              <w:rPr>
                <w:color w:val="000000"/>
                <w:sz w:val="18"/>
                <w:szCs w:val="18"/>
              </w:rPr>
            </w:pPr>
            <w:r>
              <w:rPr>
                <w:color w:val="000000"/>
                <w:sz w:val="18"/>
                <w:szCs w:val="18"/>
              </w:rPr>
              <w:t>1,105,157</w:t>
            </w:r>
          </w:p>
        </w:tc>
      </w:tr>
      <w:tr w:rsidR="00A37496" w:rsidRPr="00416F96" w:rsidTr="00A37496">
        <w:trPr>
          <w:trHeight w:val="269"/>
        </w:trPr>
        <w:tc>
          <w:tcPr>
            <w:tcW w:w="2036" w:type="pct"/>
            <w:gridSpan w:val="3"/>
            <w:tcBorders>
              <w:top w:val="single" w:sz="4" w:space="0" w:color="auto"/>
              <w:bottom w:val="single" w:sz="4" w:space="0" w:color="auto"/>
            </w:tcBorders>
            <w:shd w:val="clear" w:color="auto" w:fill="auto"/>
          </w:tcPr>
          <w:p w:rsidR="00A37496" w:rsidRPr="00416F96" w:rsidRDefault="00A37496" w:rsidP="00627F6B">
            <w:pPr>
              <w:spacing w:after="60"/>
              <w:jc w:val="left"/>
              <w:rPr>
                <w:sz w:val="18"/>
                <w:szCs w:val="18"/>
              </w:rPr>
            </w:pPr>
            <w:r w:rsidRPr="00416F96">
              <w:rPr>
                <w:sz w:val="18"/>
                <w:szCs w:val="18"/>
              </w:rPr>
              <w:t>Total support costs requested in principle (US$)</w:t>
            </w:r>
          </w:p>
        </w:tc>
        <w:tc>
          <w:tcPr>
            <w:tcW w:w="506" w:type="pct"/>
            <w:shd w:val="clear" w:color="auto" w:fill="auto"/>
          </w:tcPr>
          <w:p w:rsidR="00A37496" w:rsidRPr="00416F96" w:rsidRDefault="005325E3" w:rsidP="00627F6B">
            <w:pPr>
              <w:jc w:val="right"/>
              <w:rPr>
                <w:color w:val="000000"/>
                <w:sz w:val="18"/>
                <w:szCs w:val="18"/>
              </w:rPr>
            </w:pPr>
            <w:r w:rsidRPr="00416F96">
              <w:rPr>
                <w:color w:val="000000"/>
                <w:sz w:val="18"/>
                <w:szCs w:val="18"/>
              </w:rPr>
              <w:t>21,980</w:t>
            </w:r>
          </w:p>
        </w:tc>
        <w:tc>
          <w:tcPr>
            <w:tcW w:w="495"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5" w:type="pct"/>
            <w:shd w:val="clear" w:color="auto" w:fill="auto"/>
          </w:tcPr>
          <w:p w:rsidR="00A37496" w:rsidRPr="00416F96" w:rsidRDefault="00E86935" w:rsidP="00627F6B">
            <w:pPr>
              <w:jc w:val="right"/>
              <w:rPr>
                <w:color w:val="000000"/>
                <w:sz w:val="18"/>
                <w:szCs w:val="18"/>
              </w:rPr>
            </w:pPr>
            <w:r>
              <w:rPr>
                <w:color w:val="000000"/>
                <w:sz w:val="18"/>
                <w:szCs w:val="18"/>
              </w:rPr>
              <w:t>47,592</w:t>
            </w:r>
          </w:p>
        </w:tc>
        <w:tc>
          <w:tcPr>
            <w:tcW w:w="479"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7" w:type="pct"/>
            <w:tcBorders>
              <w:right w:val="single" w:sz="4" w:space="0" w:color="1F497D" w:themeColor="text2"/>
            </w:tcBorders>
          </w:tcPr>
          <w:p w:rsidR="00A37496" w:rsidRPr="00416F96" w:rsidRDefault="00E86935" w:rsidP="00627F6B">
            <w:pPr>
              <w:jc w:val="right"/>
              <w:rPr>
                <w:color w:val="000000"/>
                <w:sz w:val="18"/>
                <w:szCs w:val="18"/>
              </w:rPr>
            </w:pPr>
            <w:r>
              <w:rPr>
                <w:color w:val="000000"/>
                <w:sz w:val="18"/>
                <w:szCs w:val="18"/>
              </w:rPr>
              <w:t>7,789</w:t>
            </w:r>
          </w:p>
        </w:tc>
        <w:tc>
          <w:tcPr>
            <w:tcW w:w="491" w:type="pct"/>
            <w:shd w:val="clear" w:color="auto" w:fill="auto"/>
          </w:tcPr>
          <w:p w:rsidR="00A37496" w:rsidRPr="00416F96" w:rsidRDefault="00E86935" w:rsidP="00627F6B">
            <w:pPr>
              <w:jc w:val="right"/>
              <w:rPr>
                <w:color w:val="000000"/>
                <w:sz w:val="18"/>
                <w:szCs w:val="18"/>
              </w:rPr>
            </w:pPr>
            <w:r>
              <w:rPr>
                <w:color w:val="000000"/>
                <w:sz w:val="18"/>
                <w:szCs w:val="18"/>
              </w:rPr>
              <w:t>77,361</w:t>
            </w:r>
          </w:p>
        </w:tc>
      </w:tr>
      <w:tr w:rsidR="00A37496" w:rsidRPr="003012D9" w:rsidTr="00A37496">
        <w:trPr>
          <w:trHeight w:val="269"/>
        </w:trPr>
        <w:tc>
          <w:tcPr>
            <w:tcW w:w="2036" w:type="pct"/>
            <w:gridSpan w:val="3"/>
            <w:tcBorders>
              <w:top w:val="single" w:sz="4" w:space="0" w:color="auto"/>
            </w:tcBorders>
            <w:shd w:val="clear" w:color="auto" w:fill="auto"/>
          </w:tcPr>
          <w:p w:rsidR="00A37496" w:rsidRPr="00416F96" w:rsidRDefault="00A37496" w:rsidP="00627F6B">
            <w:pPr>
              <w:spacing w:after="60"/>
              <w:jc w:val="left"/>
              <w:rPr>
                <w:sz w:val="18"/>
                <w:szCs w:val="18"/>
              </w:rPr>
            </w:pPr>
            <w:r w:rsidRPr="00416F96">
              <w:rPr>
                <w:sz w:val="18"/>
                <w:szCs w:val="18"/>
              </w:rPr>
              <w:t>Total funds requested in principle (US$)</w:t>
            </w:r>
          </w:p>
        </w:tc>
        <w:tc>
          <w:tcPr>
            <w:tcW w:w="506" w:type="pct"/>
            <w:shd w:val="clear" w:color="auto" w:fill="auto"/>
          </w:tcPr>
          <w:p w:rsidR="00A37496" w:rsidRPr="00416F96" w:rsidRDefault="005325E3" w:rsidP="00627F6B">
            <w:pPr>
              <w:jc w:val="right"/>
              <w:rPr>
                <w:color w:val="000000"/>
                <w:sz w:val="18"/>
                <w:szCs w:val="18"/>
              </w:rPr>
            </w:pPr>
            <w:r w:rsidRPr="00416F96">
              <w:rPr>
                <w:color w:val="000000"/>
                <w:sz w:val="18"/>
                <w:szCs w:val="18"/>
              </w:rPr>
              <w:t>335,980</w:t>
            </w:r>
          </w:p>
        </w:tc>
        <w:tc>
          <w:tcPr>
            <w:tcW w:w="495"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5" w:type="pct"/>
            <w:shd w:val="clear" w:color="auto" w:fill="auto"/>
          </w:tcPr>
          <w:p w:rsidR="00A37496" w:rsidRPr="00416F96" w:rsidRDefault="00E86935" w:rsidP="00627F6B">
            <w:pPr>
              <w:jc w:val="right"/>
              <w:rPr>
                <w:color w:val="000000"/>
                <w:sz w:val="18"/>
                <w:szCs w:val="18"/>
              </w:rPr>
            </w:pPr>
            <w:r>
              <w:rPr>
                <w:color w:val="000000"/>
                <w:sz w:val="18"/>
                <w:szCs w:val="18"/>
              </w:rPr>
              <w:t>727,481</w:t>
            </w:r>
          </w:p>
        </w:tc>
        <w:tc>
          <w:tcPr>
            <w:tcW w:w="479" w:type="pct"/>
            <w:shd w:val="clear" w:color="auto" w:fill="auto"/>
          </w:tcPr>
          <w:p w:rsidR="00A37496" w:rsidRPr="00416F96" w:rsidRDefault="005325E3" w:rsidP="00627F6B">
            <w:pPr>
              <w:jc w:val="right"/>
              <w:rPr>
                <w:color w:val="000000"/>
                <w:sz w:val="18"/>
                <w:szCs w:val="18"/>
              </w:rPr>
            </w:pPr>
            <w:r w:rsidRPr="00416F96">
              <w:rPr>
                <w:color w:val="000000"/>
                <w:sz w:val="18"/>
                <w:szCs w:val="18"/>
              </w:rPr>
              <w:t>0</w:t>
            </w:r>
          </w:p>
        </w:tc>
        <w:tc>
          <w:tcPr>
            <w:tcW w:w="497" w:type="pct"/>
            <w:tcBorders>
              <w:right w:val="single" w:sz="4" w:space="0" w:color="1F497D" w:themeColor="text2"/>
            </w:tcBorders>
          </w:tcPr>
          <w:p w:rsidR="00A37496" w:rsidRPr="00416F96" w:rsidRDefault="00E86935" w:rsidP="00627F6B">
            <w:pPr>
              <w:jc w:val="right"/>
              <w:rPr>
                <w:color w:val="000000"/>
                <w:sz w:val="18"/>
                <w:szCs w:val="18"/>
              </w:rPr>
            </w:pPr>
            <w:r>
              <w:rPr>
                <w:color w:val="000000"/>
                <w:sz w:val="18"/>
                <w:szCs w:val="18"/>
              </w:rPr>
              <w:t>119,057</w:t>
            </w:r>
          </w:p>
        </w:tc>
        <w:tc>
          <w:tcPr>
            <w:tcW w:w="491" w:type="pct"/>
            <w:shd w:val="clear" w:color="auto" w:fill="auto"/>
          </w:tcPr>
          <w:p w:rsidR="00A37496" w:rsidRPr="00416F96" w:rsidRDefault="00E86935" w:rsidP="00627F6B">
            <w:pPr>
              <w:jc w:val="right"/>
              <w:rPr>
                <w:color w:val="000000"/>
                <w:sz w:val="18"/>
                <w:szCs w:val="18"/>
              </w:rPr>
            </w:pPr>
            <w:r>
              <w:rPr>
                <w:color w:val="000000"/>
                <w:sz w:val="18"/>
                <w:szCs w:val="18"/>
              </w:rPr>
              <w:t>1,182,518</w:t>
            </w:r>
          </w:p>
        </w:tc>
      </w:tr>
    </w:tbl>
    <w:p w:rsidR="00A37496" w:rsidRPr="005A5CF1" w:rsidRDefault="00A37496" w:rsidP="00A37496">
      <w:pPr>
        <w:jc w:val="left"/>
      </w:pPr>
    </w:p>
    <w:tbl>
      <w:tblPr>
        <w:tblStyle w:val="TableGrid10"/>
        <w:tblW w:w="5228" w:type="pct"/>
        <w:tblInd w:w="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79"/>
        <w:gridCol w:w="2944"/>
        <w:gridCol w:w="3190"/>
      </w:tblGrid>
      <w:tr w:rsidR="00A37496" w:rsidRPr="00416F96" w:rsidTr="00A37496">
        <w:trPr>
          <w:trHeight w:val="55"/>
        </w:trPr>
        <w:tc>
          <w:tcPr>
            <w:tcW w:w="5000" w:type="pct"/>
            <w:gridSpan w:val="3"/>
            <w:shd w:val="clear" w:color="auto" w:fill="auto"/>
          </w:tcPr>
          <w:p w:rsidR="00A37496" w:rsidRPr="00416F96" w:rsidRDefault="00A37496" w:rsidP="00627F6B">
            <w:pPr>
              <w:spacing w:after="60"/>
              <w:rPr>
                <w:b/>
                <w:sz w:val="18"/>
                <w:szCs w:val="18"/>
              </w:rPr>
            </w:pPr>
            <w:r w:rsidRPr="00416F96">
              <w:rPr>
                <w:b/>
                <w:sz w:val="18"/>
                <w:szCs w:val="18"/>
              </w:rPr>
              <w:t>(VII) Request for funding for the first tranche (2016)</w:t>
            </w:r>
          </w:p>
        </w:tc>
      </w:tr>
      <w:tr w:rsidR="00A37496" w:rsidRPr="00416F96" w:rsidTr="00A37496">
        <w:trPr>
          <w:trHeight w:val="55"/>
        </w:trPr>
        <w:tc>
          <w:tcPr>
            <w:tcW w:w="1937" w:type="pct"/>
            <w:shd w:val="clear" w:color="auto" w:fill="auto"/>
          </w:tcPr>
          <w:p w:rsidR="00A37496" w:rsidRPr="00416F96" w:rsidRDefault="00A37496" w:rsidP="00627F6B">
            <w:pPr>
              <w:spacing w:after="60"/>
              <w:jc w:val="center"/>
              <w:rPr>
                <w:b/>
                <w:sz w:val="18"/>
                <w:szCs w:val="18"/>
              </w:rPr>
            </w:pPr>
            <w:r w:rsidRPr="00416F96">
              <w:rPr>
                <w:b/>
                <w:sz w:val="18"/>
                <w:szCs w:val="18"/>
              </w:rPr>
              <w:t>Agency</w:t>
            </w:r>
          </w:p>
        </w:tc>
        <w:tc>
          <w:tcPr>
            <w:tcW w:w="1470" w:type="pct"/>
            <w:shd w:val="clear" w:color="auto" w:fill="auto"/>
          </w:tcPr>
          <w:p w:rsidR="00A37496" w:rsidRPr="00416F96" w:rsidRDefault="00A37496" w:rsidP="00627F6B">
            <w:pPr>
              <w:spacing w:after="60"/>
              <w:jc w:val="center"/>
              <w:rPr>
                <w:b/>
                <w:sz w:val="18"/>
                <w:szCs w:val="18"/>
              </w:rPr>
            </w:pPr>
            <w:r w:rsidRPr="00416F96">
              <w:rPr>
                <w:b/>
                <w:sz w:val="18"/>
                <w:szCs w:val="18"/>
              </w:rPr>
              <w:t>Funds requested (US $)</w:t>
            </w:r>
          </w:p>
        </w:tc>
        <w:tc>
          <w:tcPr>
            <w:tcW w:w="1593" w:type="pct"/>
            <w:shd w:val="clear" w:color="auto" w:fill="auto"/>
          </w:tcPr>
          <w:p w:rsidR="00A37496" w:rsidRPr="00416F96" w:rsidRDefault="00A37496" w:rsidP="00627F6B">
            <w:pPr>
              <w:spacing w:after="60"/>
              <w:jc w:val="center"/>
              <w:rPr>
                <w:b/>
                <w:sz w:val="18"/>
                <w:szCs w:val="18"/>
              </w:rPr>
            </w:pPr>
            <w:r w:rsidRPr="00416F96">
              <w:rPr>
                <w:b/>
                <w:sz w:val="18"/>
                <w:szCs w:val="18"/>
              </w:rPr>
              <w:t>Support costs (US $)</w:t>
            </w:r>
          </w:p>
        </w:tc>
      </w:tr>
      <w:tr w:rsidR="00A37496" w:rsidRPr="00416F96" w:rsidTr="00A37496">
        <w:trPr>
          <w:trHeight w:val="55"/>
        </w:trPr>
        <w:tc>
          <w:tcPr>
            <w:tcW w:w="1937" w:type="pct"/>
            <w:shd w:val="clear" w:color="auto" w:fill="auto"/>
          </w:tcPr>
          <w:p w:rsidR="00A37496" w:rsidRPr="00416F96" w:rsidRDefault="00A37496" w:rsidP="00627F6B">
            <w:pPr>
              <w:spacing w:after="60"/>
              <w:rPr>
                <w:sz w:val="18"/>
                <w:szCs w:val="18"/>
              </w:rPr>
            </w:pPr>
            <w:r w:rsidRPr="00416F96">
              <w:rPr>
                <w:sz w:val="18"/>
                <w:szCs w:val="18"/>
              </w:rPr>
              <w:t>UNDP</w:t>
            </w:r>
          </w:p>
        </w:tc>
        <w:tc>
          <w:tcPr>
            <w:tcW w:w="1470" w:type="pct"/>
            <w:shd w:val="clear" w:color="auto" w:fill="auto"/>
          </w:tcPr>
          <w:p w:rsidR="00A37496" w:rsidRPr="00416F96" w:rsidRDefault="005325E3" w:rsidP="00627F6B">
            <w:pPr>
              <w:spacing w:after="60"/>
              <w:jc w:val="right"/>
              <w:rPr>
                <w:sz w:val="18"/>
                <w:szCs w:val="18"/>
              </w:rPr>
            </w:pPr>
            <w:r w:rsidRPr="00416F96">
              <w:rPr>
                <w:sz w:val="18"/>
                <w:szCs w:val="18"/>
              </w:rPr>
              <w:t>314,000</w:t>
            </w:r>
          </w:p>
        </w:tc>
        <w:tc>
          <w:tcPr>
            <w:tcW w:w="1593" w:type="pct"/>
            <w:shd w:val="clear" w:color="auto" w:fill="auto"/>
          </w:tcPr>
          <w:p w:rsidR="00A37496" w:rsidRPr="00416F96" w:rsidRDefault="005325E3" w:rsidP="00627F6B">
            <w:pPr>
              <w:spacing w:after="60"/>
              <w:jc w:val="right"/>
              <w:rPr>
                <w:sz w:val="18"/>
                <w:szCs w:val="18"/>
              </w:rPr>
            </w:pPr>
            <w:r w:rsidRPr="00416F96">
              <w:rPr>
                <w:sz w:val="18"/>
                <w:szCs w:val="18"/>
              </w:rPr>
              <w:t>21,980</w:t>
            </w:r>
          </w:p>
        </w:tc>
      </w:tr>
      <w:tr w:rsidR="00A37496" w:rsidRPr="00416F96" w:rsidTr="00A37496">
        <w:trPr>
          <w:trHeight w:val="113"/>
        </w:trPr>
        <w:tc>
          <w:tcPr>
            <w:tcW w:w="1937" w:type="pct"/>
            <w:shd w:val="clear" w:color="auto" w:fill="auto"/>
          </w:tcPr>
          <w:p w:rsidR="00A37496" w:rsidRPr="00416F96" w:rsidRDefault="00A37496" w:rsidP="00627F6B">
            <w:pPr>
              <w:spacing w:after="60"/>
              <w:rPr>
                <w:b/>
                <w:sz w:val="18"/>
                <w:szCs w:val="18"/>
              </w:rPr>
            </w:pPr>
            <w:r w:rsidRPr="00416F96">
              <w:rPr>
                <w:b/>
                <w:sz w:val="18"/>
                <w:szCs w:val="18"/>
              </w:rPr>
              <w:t>Total</w:t>
            </w:r>
          </w:p>
        </w:tc>
        <w:tc>
          <w:tcPr>
            <w:tcW w:w="1470" w:type="pct"/>
            <w:tcBorders>
              <w:right w:val="single" w:sz="4" w:space="0" w:color="auto"/>
            </w:tcBorders>
            <w:shd w:val="clear" w:color="auto" w:fill="auto"/>
          </w:tcPr>
          <w:p w:rsidR="00A37496" w:rsidRPr="00416F96" w:rsidRDefault="005325E3" w:rsidP="00627F6B">
            <w:pPr>
              <w:spacing w:after="60"/>
              <w:jc w:val="right"/>
              <w:rPr>
                <w:sz w:val="18"/>
                <w:szCs w:val="18"/>
              </w:rPr>
            </w:pPr>
            <w:r w:rsidRPr="00416F96">
              <w:rPr>
                <w:sz w:val="18"/>
                <w:szCs w:val="18"/>
              </w:rPr>
              <w:t>314,000</w:t>
            </w:r>
          </w:p>
        </w:tc>
        <w:tc>
          <w:tcPr>
            <w:tcW w:w="1593" w:type="pct"/>
            <w:tcBorders>
              <w:left w:val="single" w:sz="4" w:space="0" w:color="auto"/>
            </w:tcBorders>
            <w:shd w:val="clear" w:color="auto" w:fill="auto"/>
          </w:tcPr>
          <w:p w:rsidR="00A37496" w:rsidRPr="00416F96" w:rsidRDefault="005325E3" w:rsidP="00627F6B">
            <w:pPr>
              <w:spacing w:after="60"/>
              <w:jc w:val="right"/>
              <w:rPr>
                <w:sz w:val="18"/>
                <w:szCs w:val="18"/>
              </w:rPr>
            </w:pPr>
            <w:r w:rsidRPr="00416F96">
              <w:rPr>
                <w:sz w:val="18"/>
                <w:szCs w:val="18"/>
              </w:rPr>
              <w:t>21,980</w:t>
            </w:r>
          </w:p>
        </w:tc>
      </w:tr>
      <w:tr w:rsidR="00A37496" w:rsidRPr="003012D9" w:rsidTr="00A37496">
        <w:trPr>
          <w:trHeight w:val="113"/>
        </w:trPr>
        <w:tc>
          <w:tcPr>
            <w:tcW w:w="1937" w:type="pct"/>
            <w:shd w:val="clear" w:color="auto" w:fill="auto"/>
          </w:tcPr>
          <w:p w:rsidR="00A37496" w:rsidRPr="00416F96" w:rsidRDefault="00A37496" w:rsidP="00627F6B">
            <w:pPr>
              <w:spacing w:after="60"/>
              <w:rPr>
                <w:sz w:val="18"/>
                <w:szCs w:val="18"/>
              </w:rPr>
            </w:pPr>
            <w:r w:rsidRPr="00416F96">
              <w:rPr>
                <w:b/>
                <w:sz w:val="18"/>
                <w:szCs w:val="18"/>
              </w:rPr>
              <w:t>Funding request:</w:t>
            </w:r>
          </w:p>
        </w:tc>
        <w:tc>
          <w:tcPr>
            <w:tcW w:w="3063" w:type="pct"/>
            <w:gridSpan w:val="2"/>
            <w:shd w:val="clear" w:color="auto" w:fill="auto"/>
          </w:tcPr>
          <w:p w:rsidR="00A37496" w:rsidRPr="006A37DF" w:rsidRDefault="00A37496" w:rsidP="00627F6B">
            <w:pPr>
              <w:spacing w:after="60"/>
              <w:jc w:val="center"/>
              <w:rPr>
                <w:sz w:val="18"/>
                <w:szCs w:val="18"/>
              </w:rPr>
            </w:pPr>
            <w:r w:rsidRPr="00416F96">
              <w:rPr>
                <w:sz w:val="18"/>
                <w:szCs w:val="18"/>
              </w:rPr>
              <w:t>Approval of funding for the first tranche (2016) as indicated above</w:t>
            </w:r>
          </w:p>
        </w:tc>
      </w:tr>
    </w:tbl>
    <w:p w:rsidR="00A37496" w:rsidRPr="00FF4373" w:rsidRDefault="00A37496" w:rsidP="00D0205E">
      <w:pPr>
        <w:spacing w:after="60"/>
        <w:jc w:val="left"/>
        <w:rPr>
          <w:b/>
          <w:sz w:val="18"/>
          <w:szCs w:val="18"/>
        </w:rPr>
      </w:pPr>
    </w:p>
    <w:tbl>
      <w:tblPr>
        <w:tblStyle w:val="TableGrid"/>
        <w:tblW w:w="1006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20"/>
        <w:gridCol w:w="7048"/>
      </w:tblGrid>
      <w:tr w:rsidR="00D0205E" w:rsidRPr="005D6E73" w:rsidTr="00A37496">
        <w:trPr>
          <w:trHeight w:val="265"/>
        </w:trPr>
        <w:tc>
          <w:tcPr>
            <w:tcW w:w="3020" w:type="dxa"/>
            <w:shd w:val="clear" w:color="auto" w:fill="auto"/>
          </w:tcPr>
          <w:p w:rsidR="00D0205E" w:rsidRPr="005D6E73" w:rsidRDefault="00D0205E" w:rsidP="00D0205E">
            <w:pPr>
              <w:spacing w:after="60"/>
              <w:jc w:val="left"/>
              <w:rPr>
                <w:b/>
                <w:sz w:val="18"/>
              </w:rPr>
            </w:pPr>
            <w:r w:rsidRPr="005D6E73">
              <w:rPr>
                <w:b/>
                <w:sz w:val="18"/>
              </w:rPr>
              <w:t>Secretariat's recommendation:</w:t>
            </w:r>
          </w:p>
        </w:tc>
        <w:tc>
          <w:tcPr>
            <w:tcW w:w="7048" w:type="dxa"/>
            <w:shd w:val="clear" w:color="auto" w:fill="auto"/>
          </w:tcPr>
          <w:p w:rsidR="00D0205E" w:rsidRPr="005D6E73" w:rsidRDefault="00D0205E" w:rsidP="00D0205E">
            <w:pPr>
              <w:spacing w:after="60"/>
              <w:jc w:val="center"/>
              <w:rPr>
                <w:sz w:val="18"/>
              </w:rPr>
            </w:pPr>
            <w:r w:rsidRPr="008217A7">
              <w:rPr>
                <w:sz w:val="18"/>
              </w:rPr>
              <w:t>Individual consideration</w:t>
            </w:r>
          </w:p>
        </w:tc>
      </w:tr>
    </w:tbl>
    <w:p w:rsidR="00A37496" w:rsidRDefault="00A37496" w:rsidP="00FB3963">
      <w:pPr>
        <w:pStyle w:val="StyleHeader4Para4Left0Firstline0"/>
        <w:numPr>
          <w:ilvl w:val="0"/>
          <w:numId w:val="0"/>
        </w:numPr>
        <w:jc w:val="center"/>
        <w:rPr>
          <w:sz w:val="22"/>
          <w:lang w:val="en-CA"/>
        </w:rPr>
      </w:pPr>
    </w:p>
    <w:p w:rsidR="00390A3D" w:rsidRDefault="00390A3D" w:rsidP="00FB3963">
      <w:pPr>
        <w:pStyle w:val="StyleHeader4Para4Left0Firstline0"/>
        <w:numPr>
          <w:ilvl w:val="0"/>
          <w:numId w:val="0"/>
        </w:numPr>
        <w:jc w:val="center"/>
        <w:rPr>
          <w:b/>
          <w:lang w:val="en-CA"/>
        </w:rPr>
      </w:pPr>
    </w:p>
    <w:p w:rsidR="009416AB" w:rsidRDefault="009416AB" w:rsidP="00FA7457">
      <w:pPr>
        <w:pStyle w:val="StyleHeader4Para4Left0Firstline0"/>
        <w:numPr>
          <w:ilvl w:val="0"/>
          <w:numId w:val="0"/>
        </w:numPr>
        <w:jc w:val="center"/>
        <w:rPr>
          <w:b/>
          <w:sz w:val="22"/>
          <w:lang w:val="en-CA"/>
        </w:rPr>
      </w:pPr>
    </w:p>
    <w:p w:rsidR="00572436" w:rsidRPr="002D6E85" w:rsidRDefault="00572436" w:rsidP="002748EF">
      <w:pPr>
        <w:pStyle w:val="StyleHeader4Para4Left0Firstline0"/>
        <w:numPr>
          <w:ilvl w:val="0"/>
          <w:numId w:val="0"/>
        </w:numPr>
        <w:jc w:val="center"/>
        <w:rPr>
          <w:b/>
          <w:sz w:val="22"/>
          <w:lang w:val="en-CA"/>
        </w:rPr>
      </w:pPr>
      <w:r w:rsidRPr="002D6E85">
        <w:rPr>
          <w:b/>
          <w:sz w:val="22"/>
          <w:lang w:val="en-CA"/>
        </w:rPr>
        <w:lastRenderedPageBreak/>
        <w:t>PROJECT DESCRIPTION</w:t>
      </w:r>
    </w:p>
    <w:p w:rsidR="0073572A" w:rsidRPr="002D6E85" w:rsidRDefault="0073572A" w:rsidP="002748EF">
      <w:pPr>
        <w:jc w:val="center"/>
        <w:rPr>
          <w:b/>
          <w:lang w:val="en-CA"/>
        </w:rPr>
      </w:pPr>
    </w:p>
    <w:p w:rsidR="00AA4AFB" w:rsidRPr="002D6E85" w:rsidRDefault="0073572A" w:rsidP="002748EF">
      <w:pPr>
        <w:pStyle w:val="Heading1"/>
        <w:numPr>
          <w:ilvl w:val="0"/>
          <w:numId w:val="7"/>
        </w:numPr>
        <w:ind w:left="0" w:firstLine="0"/>
        <w:rPr>
          <w:lang w:val="en-US"/>
        </w:rPr>
      </w:pPr>
      <w:r w:rsidRPr="002D6E85">
        <w:t xml:space="preserve">On behalf of the Government of </w:t>
      </w:r>
      <w:r w:rsidR="0066171C" w:rsidRPr="002D6E85">
        <w:t>Uruguay</w:t>
      </w:r>
      <w:r w:rsidRPr="002D6E85">
        <w:t xml:space="preserve">, </w:t>
      </w:r>
      <w:r w:rsidR="00A54A03" w:rsidRPr="002D6E85">
        <w:t>UNDP</w:t>
      </w:r>
      <w:r w:rsidR="0066171C" w:rsidRPr="002D6E85">
        <w:t xml:space="preserve">, as the designated </w:t>
      </w:r>
      <w:r w:rsidRPr="002D6E85">
        <w:t>implementing agency, has</w:t>
      </w:r>
      <w:r w:rsidRPr="002D6E85">
        <w:rPr>
          <w:lang w:val="en-US"/>
        </w:rPr>
        <w:t xml:space="preserve"> submitted to the 77</w:t>
      </w:r>
      <w:r w:rsidRPr="002D6E85">
        <w:rPr>
          <w:vertAlign w:val="superscript"/>
          <w:lang w:val="en-US"/>
        </w:rPr>
        <w:t>th</w:t>
      </w:r>
      <w:r w:rsidRPr="002D6E85">
        <w:rPr>
          <w:lang w:val="en-US"/>
        </w:rPr>
        <w:t xml:space="preserve"> meeting stage II of the HCFC phase-out ma</w:t>
      </w:r>
      <w:r w:rsidR="00B93634" w:rsidRPr="002D6E85">
        <w:rPr>
          <w:lang w:val="en-US"/>
        </w:rPr>
        <w:t>nagement plan (HPMP)</w:t>
      </w:r>
      <w:r w:rsidR="003B1FDF" w:rsidRPr="002D6E85">
        <w:rPr>
          <w:rStyle w:val="FootnoteReference"/>
          <w:lang w:val="en-US"/>
        </w:rPr>
        <w:footnoteReference w:id="1"/>
      </w:r>
      <w:r w:rsidR="00B93634" w:rsidRPr="002D6E85">
        <w:rPr>
          <w:lang w:val="en-US"/>
        </w:rPr>
        <w:t>, at the amount of US $</w:t>
      </w:r>
      <w:r w:rsidR="003B1FDF" w:rsidRPr="002D6E85">
        <w:rPr>
          <w:lang w:val="en-US"/>
        </w:rPr>
        <w:t>1</w:t>
      </w:r>
      <w:r w:rsidR="00200A7E" w:rsidRPr="002D6E85">
        <w:rPr>
          <w:lang w:val="en-US"/>
        </w:rPr>
        <w:t>,124,903,</w:t>
      </w:r>
      <w:r w:rsidR="005C7B83" w:rsidRPr="002D6E85">
        <w:rPr>
          <w:lang w:val="en-US"/>
        </w:rPr>
        <w:t xml:space="preserve"> </w:t>
      </w:r>
      <w:r w:rsidR="00200A7E" w:rsidRPr="002D6E85">
        <w:rPr>
          <w:lang w:val="en-US"/>
        </w:rPr>
        <w:t>plus</w:t>
      </w:r>
      <w:r w:rsidR="00AB1933" w:rsidRPr="002D6E85">
        <w:rPr>
          <w:lang w:val="en-US"/>
        </w:rPr>
        <w:t xml:space="preserve"> agency support costs of US $</w:t>
      </w:r>
      <w:r w:rsidR="003B1FDF" w:rsidRPr="002D6E85">
        <w:rPr>
          <w:lang w:val="en-US"/>
        </w:rPr>
        <w:t xml:space="preserve">78,743, as originally </w:t>
      </w:r>
      <w:r w:rsidR="00200A7E" w:rsidRPr="002D6E85">
        <w:rPr>
          <w:lang w:val="en-US"/>
        </w:rPr>
        <w:t>submitted. The</w:t>
      </w:r>
      <w:r w:rsidR="00AA4AFB" w:rsidRPr="002D6E85">
        <w:rPr>
          <w:lang w:val="en-US"/>
        </w:rPr>
        <w:t xml:space="preserve"> implementation of stage II of the HPMP will phase out </w:t>
      </w:r>
      <w:r w:rsidR="00B87021" w:rsidRPr="002D6E85">
        <w:rPr>
          <w:lang w:val="en-US"/>
        </w:rPr>
        <w:t>11.25 ODP</w:t>
      </w:r>
      <w:r w:rsidR="005C7B83" w:rsidRPr="002D6E85">
        <w:rPr>
          <w:lang w:val="en-US"/>
        </w:rPr>
        <w:t xml:space="preserve"> </w:t>
      </w:r>
      <w:r w:rsidR="009E6330" w:rsidRPr="002D6E85">
        <w:rPr>
          <w:lang w:val="en-US"/>
        </w:rPr>
        <w:t xml:space="preserve">tonnes of HCFCs </w:t>
      </w:r>
      <w:r w:rsidR="00AA4AFB" w:rsidRPr="002D6E85">
        <w:rPr>
          <w:lang w:val="en-US"/>
        </w:rPr>
        <w:t xml:space="preserve">and assist </w:t>
      </w:r>
      <w:r w:rsidR="00856753" w:rsidRPr="002D6E85">
        <w:rPr>
          <w:lang w:val="en-US"/>
        </w:rPr>
        <w:t>Uruguay</w:t>
      </w:r>
      <w:r w:rsidR="00AA4AFB" w:rsidRPr="002D6E85">
        <w:rPr>
          <w:lang w:val="en-US"/>
        </w:rPr>
        <w:t xml:space="preserve"> in meeting the Montreal Protocol compliance target of 35 per cent reduction by 2020.</w:t>
      </w:r>
    </w:p>
    <w:p w:rsidR="00D670E1" w:rsidRPr="002D6E85" w:rsidRDefault="00D670E1" w:rsidP="002748EF">
      <w:pPr>
        <w:pStyle w:val="Heading1"/>
        <w:numPr>
          <w:ilvl w:val="0"/>
          <w:numId w:val="7"/>
        </w:numPr>
        <w:ind w:left="0" w:firstLine="0"/>
        <w:rPr>
          <w:lang w:val="en-CA"/>
        </w:rPr>
      </w:pPr>
      <w:r w:rsidRPr="002D6E85">
        <w:rPr>
          <w:lang w:val="en-US"/>
        </w:rPr>
        <w:t xml:space="preserve">The first tranche for stage II of the HPMP </w:t>
      </w:r>
      <w:r w:rsidR="00E11023" w:rsidRPr="002D6E85">
        <w:rPr>
          <w:lang w:val="en-US"/>
        </w:rPr>
        <w:t xml:space="preserve">being requested at this </w:t>
      </w:r>
      <w:r w:rsidR="00084117" w:rsidRPr="002D6E85">
        <w:rPr>
          <w:lang w:val="en-US"/>
        </w:rPr>
        <w:t xml:space="preserve">meeting </w:t>
      </w:r>
      <w:r w:rsidR="005C7B83" w:rsidRPr="002D6E85">
        <w:rPr>
          <w:lang w:val="en-US"/>
        </w:rPr>
        <w:t xml:space="preserve">amounts to </w:t>
      </w:r>
      <w:r w:rsidRPr="002D6E85">
        <w:rPr>
          <w:lang w:val="en-US"/>
        </w:rPr>
        <w:t>US</w:t>
      </w:r>
      <w:r w:rsidR="00597DDF">
        <w:rPr>
          <w:lang w:val="en-US"/>
        </w:rPr>
        <w:t> </w:t>
      </w:r>
      <w:r w:rsidRPr="002D6E85">
        <w:rPr>
          <w:lang w:val="en-US"/>
        </w:rPr>
        <w:t>$</w:t>
      </w:r>
      <w:r w:rsidR="008F31AF" w:rsidRPr="002D6E85">
        <w:rPr>
          <w:lang w:val="en-US"/>
        </w:rPr>
        <w:t>3</w:t>
      </w:r>
      <w:r w:rsidRPr="002D6E85">
        <w:rPr>
          <w:lang w:val="en-US"/>
        </w:rPr>
        <w:t>14,000, plus agency support costs of US $</w:t>
      </w:r>
      <w:r w:rsidR="00BC3840" w:rsidRPr="002D6E85">
        <w:rPr>
          <w:lang w:val="en-US"/>
        </w:rPr>
        <w:t>21,980</w:t>
      </w:r>
      <w:r w:rsidR="00084117" w:rsidRPr="002D6E85">
        <w:rPr>
          <w:lang w:val="en-US"/>
        </w:rPr>
        <w:t xml:space="preserve"> for UNDP</w:t>
      </w:r>
      <w:r w:rsidRPr="002D6E85">
        <w:rPr>
          <w:lang w:val="en-US"/>
        </w:rPr>
        <w:t>.</w:t>
      </w:r>
    </w:p>
    <w:p w:rsidR="0076717F" w:rsidRPr="002D6E85" w:rsidRDefault="0076717F" w:rsidP="002748EF">
      <w:pPr>
        <w:rPr>
          <w:lang w:val="en-CA"/>
        </w:rPr>
      </w:pPr>
      <w:r w:rsidRPr="002D6E85">
        <w:rPr>
          <w:b/>
        </w:rPr>
        <w:t>Status of implementation of stage I of the HPMP</w:t>
      </w:r>
    </w:p>
    <w:p w:rsidR="00572436" w:rsidRPr="002D6E85" w:rsidRDefault="00572436" w:rsidP="002748EF">
      <w:pPr>
        <w:rPr>
          <w:u w:val="single"/>
          <w:lang w:val="en-CA"/>
        </w:rPr>
      </w:pPr>
    </w:p>
    <w:p w:rsidR="00CA73AE" w:rsidRPr="002D6E85" w:rsidRDefault="007751E9" w:rsidP="002748EF">
      <w:pPr>
        <w:pStyle w:val="Heading1"/>
        <w:numPr>
          <w:ilvl w:val="0"/>
          <w:numId w:val="7"/>
        </w:numPr>
        <w:ind w:left="0" w:firstLine="0"/>
      </w:pPr>
      <w:r w:rsidRPr="002D6E85">
        <w:rPr>
          <w:lang w:val="en-CA"/>
        </w:rPr>
        <w:t>Stage</w:t>
      </w:r>
      <w:r w:rsidRPr="002D6E85">
        <w:t xml:space="preserve"> I of the HPMP for </w:t>
      </w:r>
      <w:r w:rsidR="00CA73AE" w:rsidRPr="002D6E85">
        <w:t>Uruguay</w:t>
      </w:r>
      <w:r w:rsidRPr="002D6E85">
        <w:t xml:space="preserve"> was approved at the 65</w:t>
      </w:r>
      <w:r w:rsidRPr="002D6E85">
        <w:rPr>
          <w:vertAlign w:val="superscript"/>
        </w:rPr>
        <w:t>th </w:t>
      </w:r>
      <w:r w:rsidRPr="002D6E85">
        <w:t xml:space="preserve">meeting to meet </w:t>
      </w:r>
      <w:r w:rsidR="00084117" w:rsidRPr="002D6E85">
        <w:t xml:space="preserve">the </w:t>
      </w:r>
      <w:r w:rsidRPr="002D6E85">
        <w:t>10 per cent reduction from the b</w:t>
      </w:r>
      <w:r w:rsidR="009B015C" w:rsidRPr="002D6E85">
        <w:t xml:space="preserve">aseline by 2015 </w:t>
      </w:r>
      <w:r w:rsidR="00A76C8D" w:rsidRPr="002D6E85">
        <w:t>resulting in the</w:t>
      </w:r>
      <w:r w:rsidR="005C7B83" w:rsidRPr="002D6E85">
        <w:t xml:space="preserve"> </w:t>
      </w:r>
      <w:r w:rsidR="009B015C" w:rsidRPr="002D6E85">
        <w:t>phase</w:t>
      </w:r>
      <w:r w:rsidR="00A76C8D" w:rsidRPr="002D6E85">
        <w:t>-</w:t>
      </w:r>
      <w:r w:rsidR="009B015C" w:rsidRPr="002D6E85">
        <w:t>out</w:t>
      </w:r>
      <w:r w:rsidR="005C7B83" w:rsidRPr="002D6E85">
        <w:t xml:space="preserve"> </w:t>
      </w:r>
      <w:r w:rsidR="00A76C8D" w:rsidRPr="002D6E85">
        <w:t xml:space="preserve">of </w:t>
      </w:r>
      <w:r w:rsidR="00BC402F" w:rsidRPr="002D6E85">
        <w:t>4.18 ODP tonnes of HCFCs</w:t>
      </w:r>
      <w:r w:rsidR="0061481A" w:rsidRPr="002D6E85">
        <w:t xml:space="preserve"> (</w:t>
      </w:r>
      <w:r w:rsidR="00A76C8D" w:rsidRPr="002D6E85">
        <w:t xml:space="preserve">i.e., </w:t>
      </w:r>
      <w:r w:rsidR="0061481A" w:rsidRPr="002D6E85">
        <w:t>2.34</w:t>
      </w:r>
      <w:r w:rsidR="002D6E85">
        <w:t> </w:t>
      </w:r>
      <w:r w:rsidR="0061481A" w:rsidRPr="002D6E85">
        <w:t>ODP tonnes of HCFC-22, 1.08 ODP tonnes of HCFC-141b, 0.04 ODP tonnes of HCFC-123, 0.09</w:t>
      </w:r>
      <w:r w:rsidR="00597DDF">
        <w:t> </w:t>
      </w:r>
      <w:r w:rsidR="0061481A" w:rsidRPr="002D6E85">
        <w:t>ODP tonnes of HCFC-124 and 0.63 ODP tonnes of HCFC-142b)</w:t>
      </w:r>
      <w:r w:rsidR="00A76C8D" w:rsidRPr="002D6E85">
        <w:t>,</w:t>
      </w:r>
      <w:r w:rsidRPr="002D6E85">
        <w:t xml:space="preserve"> at the amount of US $</w:t>
      </w:r>
      <w:r w:rsidR="009B015C" w:rsidRPr="002D6E85">
        <w:t>380,004</w:t>
      </w:r>
      <w:r w:rsidR="00A76C8D" w:rsidRPr="002D6E85">
        <w:t>,</w:t>
      </w:r>
      <w:r w:rsidRPr="002D6E85">
        <w:t xml:space="preserve"> plus agency support costs. </w:t>
      </w:r>
      <w:r w:rsidR="00084117" w:rsidRPr="002D6E85">
        <w:t xml:space="preserve">Stage I of the HPMP included only activities for the servicing sector. </w:t>
      </w:r>
      <w:r w:rsidRPr="002D6E85">
        <w:rPr>
          <w:lang w:val="en-CA"/>
        </w:rPr>
        <w:t xml:space="preserve">The </w:t>
      </w:r>
      <w:r w:rsidR="00046326" w:rsidRPr="002D6E85">
        <w:rPr>
          <w:lang w:val="en-CA"/>
        </w:rPr>
        <w:t>fifth</w:t>
      </w:r>
      <w:r w:rsidRPr="002D6E85">
        <w:rPr>
          <w:lang w:val="en-CA"/>
        </w:rPr>
        <w:t xml:space="preserve"> and final tranche of stage</w:t>
      </w:r>
      <w:r w:rsidRPr="002D6E85">
        <w:t xml:space="preserve"> I was approved at the 7</w:t>
      </w:r>
      <w:r w:rsidR="00046326" w:rsidRPr="002D6E85">
        <w:t>5</w:t>
      </w:r>
      <w:r w:rsidRPr="002D6E85">
        <w:rPr>
          <w:vertAlign w:val="superscript"/>
        </w:rPr>
        <w:t>th</w:t>
      </w:r>
      <w:r w:rsidR="00200A7E" w:rsidRPr="002D6E85">
        <w:t> </w:t>
      </w:r>
      <w:r w:rsidR="009B015C" w:rsidRPr="002D6E85">
        <w:t>meeting.</w:t>
      </w:r>
    </w:p>
    <w:p w:rsidR="005D5A2A" w:rsidRPr="002D6E85" w:rsidRDefault="005D5A2A" w:rsidP="002748EF">
      <w:pPr>
        <w:pStyle w:val="Heading1"/>
        <w:rPr>
          <w:u w:val="single"/>
        </w:rPr>
      </w:pPr>
      <w:r w:rsidRPr="002D6E85">
        <w:rPr>
          <w:u w:val="single"/>
        </w:rPr>
        <w:t>ODS policy and regulatory framework</w:t>
      </w:r>
    </w:p>
    <w:p w:rsidR="007E7610" w:rsidRPr="002D6E85" w:rsidRDefault="00084117" w:rsidP="002748EF">
      <w:pPr>
        <w:pStyle w:val="Heading1"/>
        <w:numPr>
          <w:ilvl w:val="0"/>
          <w:numId w:val="7"/>
        </w:numPr>
        <w:ind w:left="0" w:firstLine="0"/>
      </w:pPr>
      <w:r w:rsidRPr="002D6E85">
        <w:t xml:space="preserve">The </w:t>
      </w:r>
      <w:r w:rsidR="008B7D20" w:rsidRPr="002D6E85">
        <w:t xml:space="preserve">HCFC import </w:t>
      </w:r>
      <w:r w:rsidR="005C5E94" w:rsidRPr="002D6E85">
        <w:t>control system was established in 2012</w:t>
      </w:r>
      <w:r w:rsidR="00B255AA" w:rsidRPr="002D6E85">
        <w:t>, and an electronic platform for the licensing system (Ventanilla</w:t>
      </w:r>
      <w:r w:rsidR="002D6E85">
        <w:t xml:space="preserve"> </w:t>
      </w:r>
      <w:r w:rsidR="00B255AA" w:rsidRPr="002D6E85">
        <w:t>Unica de Comercio Exterior, VUCE) was developed in 2013</w:t>
      </w:r>
      <w:r w:rsidR="004A3A0F" w:rsidRPr="002D6E85">
        <w:t xml:space="preserve">; annual </w:t>
      </w:r>
      <w:r w:rsidR="00B255AA" w:rsidRPr="002D6E85">
        <w:t>quotas have been issued since 2013, and imports and exports of all ODS are controlled through VUCE. Imports of hydrocarbons</w:t>
      </w:r>
      <w:r w:rsidR="00A76C8D" w:rsidRPr="002D6E85">
        <w:t xml:space="preserve"> and </w:t>
      </w:r>
      <w:r w:rsidR="00B255AA" w:rsidRPr="002D6E85">
        <w:t xml:space="preserve">ammonia </w:t>
      </w:r>
      <w:r w:rsidR="00A76C8D" w:rsidRPr="002D6E85">
        <w:t xml:space="preserve">as </w:t>
      </w:r>
      <w:r w:rsidR="00160D11" w:rsidRPr="002D6E85">
        <w:t>refrigerants</w:t>
      </w:r>
      <w:r w:rsidR="003C5623" w:rsidRPr="002D6E85">
        <w:t xml:space="preserve"> and</w:t>
      </w:r>
      <w:r w:rsidR="005C7B83" w:rsidRPr="002D6E85">
        <w:t xml:space="preserve"> </w:t>
      </w:r>
      <w:r w:rsidR="00B255AA" w:rsidRPr="002D6E85">
        <w:t xml:space="preserve">hydroflourocarbons (HFCs) are recorded but not regulated. </w:t>
      </w:r>
      <w:r w:rsidR="004A3A0F" w:rsidRPr="002D6E85">
        <w:t xml:space="preserve">During </w:t>
      </w:r>
      <w:r w:rsidR="00C9305C" w:rsidRPr="002D6E85">
        <w:t>stage I</w:t>
      </w:r>
      <w:r w:rsidR="004A3A0F" w:rsidRPr="002D6E85">
        <w:t xml:space="preserve">, </w:t>
      </w:r>
      <w:r w:rsidR="005D1390" w:rsidRPr="002D6E85">
        <w:t xml:space="preserve">60 </w:t>
      </w:r>
      <w:r w:rsidR="004A3A0F" w:rsidRPr="002D6E85">
        <w:t>customs officers, brokers and importers were trained.</w:t>
      </w:r>
    </w:p>
    <w:p w:rsidR="007E7610" w:rsidRPr="002D6E85" w:rsidRDefault="005D5A2A" w:rsidP="002748EF">
      <w:pPr>
        <w:pStyle w:val="Heading1"/>
        <w:rPr>
          <w:u w:val="single"/>
        </w:rPr>
      </w:pPr>
      <w:r w:rsidRPr="002D6E85">
        <w:rPr>
          <w:u w:val="single"/>
        </w:rPr>
        <w:t>Progress in implementation of stage I</w:t>
      </w:r>
    </w:p>
    <w:p w:rsidR="0076717F" w:rsidRPr="002D6E85" w:rsidRDefault="00A76C8D" w:rsidP="002748EF">
      <w:pPr>
        <w:pStyle w:val="Style1"/>
        <w:numPr>
          <w:ilvl w:val="0"/>
          <w:numId w:val="7"/>
        </w:numPr>
        <w:spacing w:line="240" w:lineRule="auto"/>
        <w:ind w:left="0" w:firstLine="0"/>
        <w:rPr>
          <w:lang w:val="en-CA"/>
        </w:rPr>
      </w:pPr>
      <w:r w:rsidRPr="002D6E85">
        <w:t>T</w:t>
      </w:r>
      <w:r w:rsidR="0076717F" w:rsidRPr="002D6E85">
        <w:t>he results achieved include:</w:t>
      </w:r>
    </w:p>
    <w:p w:rsidR="00FA7457" w:rsidRPr="002D6E85" w:rsidRDefault="00FA7457" w:rsidP="002748EF">
      <w:pPr>
        <w:pStyle w:val="Style1"/>
        <w:numPr>
          <w:ilvl w:val="0"/>
          <w:numId w:val="0"/>
        </w:numPr>
        <w:spacing w:line="240" w:lineRule="auto"/>
        <w:rPr>
          <w:lang w:val="en-CA"/>
        </w:rPr>
      </w:pPr>
    </w:p>
    <w:p w:rsidR="00DD2D9E" w:rsidRPr="002D6E85" w:rsidRDefault="0076717F" w:rsidP="002748EF">
      <w:pPr>
        <w:pStyle w:val="Heading2"/>
        <w:numPr>
          <w:ilvl w:val="1"/>
          <w:numId w:val="1"/>
        </w:numPr>
      </w:pPr>
      <w:r w:rsidRPr="002D6E85">
        <w:rPr>
          <w:i/>
          <w:color w:val="000000"/>
        </w:rPr>
        <w:t xml:space="preserve">Refrigeration servicing </w:t>
      </w:r>
      <w:r w:rsidR="00160D11" w:rsidRPr="002D6E85">
        <w:rPr>
          <w:i/>
          <w:color w:val="000000"/>
        </w:rPr>
        <w:t>sector:</w:t>
      </w:r>
      <w:r w:rsidR="005C7B83" w:rsidRPr="002D6E85">
        <w:rPr>
          <w:i/>
          <w:color w:val="000000"/>
        </w:rPr>
        <w:t xml:space="preserve"> </w:t>
      </w:r>
      <w:r w:rsidR="00160D11" w:rsidRPr="002D6E85">
        <w:t>Equipment</w:t>
      </w:r>
      <w:r w:rsidR="004A3A0F" w:rsidRPr="002D6E85">
        <w:t xml:space="preserve"> (i.e., cold chambers, milk coolers, air conditioners and refrigerators) </w:t>
      </w:r>
      <w:r w:rsidR="00160D11" w:rsidRPr="002D6E85">
        <w:t>was provided</w:t>
      </w:r>
      <w:r w:rsidR="004A3A0F" w:rsidRPr="002D6E85">
        <w:t xml:space="preserve"> to the </w:t>
      </w:r>
      <w:r w:rsidR="00DD2D9E" w:rsidRPr="002D6E85">
        <w:t>t</w:t>
      </w:r>
      <w:r w:rsidR="00013F07" w:rsidRPr="002D6E85">
        <w:t xml:space="preserve">echnological </w:t>
      </w:r>
      <w:r w:rsidR="00DD2D9E" w:rsidRPr="002D6E85">
        <w:t>l</w:t>
      </w:r>
      <w:r w:rsidR="00013F07" w:rsidRPr="002D6E85">
        <w:t>aboratory (Laboratorio</w:t>
      </w:r>
      <w:r w:rsidR="007F021C">
        <w:t xml:space="preserve"> </w:t>
      </w:r>
      <w:r w:rsidR="00013F07" w:rsidRPr="002D6E85">
        <w:t>Tecnológico del Uruguay</w:t>
      </w:r>
      <w:r w:rsidR="00DD2D9E" w:rsidRPr="002D6E85">
        <w:t>, LATU</w:t>
      </w:r>
      <w:r w:rsidR="00013F07" w:rsidRPr="002D6E85">
        <w:t xml:space="preserve">) </w:t>
      </w:r>
      <w:r w:rsidR="00A76C8D" w:rsidRPr="002D6E85">
        <w:t xml:space="preserve">for </w:t>
      </w:r>
      <w:r w:rsidR="00DD2D9E" w:rsidRPr="002D6E85">
        <w:t xml:space="preserve">training </w:t>
      </w:r>
      <w:r w:rsidR="00C9305C" w:rsidRPr="002D6E85">
        <w:t>refrigeration and</w:t>
      </w:r>
      <w:r w:rsidR="005C7B83" w:rsidRPr="002D6E85">
        <w:t xml:space="preserve"> </w:t>
      </w:r>
      <w:r w:rsidR="00C9305C" w:rsidRPr="002D6E85">
        <w:t>air-conditioning (</w:t>
      </w:r>
      <w:r w:rsidR="00DD2D9E" w:rsidRPr="002D6E85">
        <w:t>RAC</w:t>
      </w:r>
      <w:r w:rsidR="00C9305C" w:rsidRPr="002D6E85">
        <w:t>)</w:t>
      </w:r>
      <w:r w:rsidR="00DD2D9E" w:rsidRPr="002D6E85">
        <w:t xml:space="preserve"> technicians and </w:t>
      </w:r>
      <w:r w:rsidR="00013F07" w:rsidRPr="002D6E85">
        <w:t xml:space="preserve">testing of </w:t>
      </w:r>
      <w:r w:rsidR="00160D11" w:rsidRPr="002D6E85">
        <w:t>alternatives; training</w:t>
      </w:r>
      <w:r w:rsidR="004A3A0F" w:rsidRPr="002D6E85">
        <w:t xml:space="preserve"> material</w:t>
      </w:r>
      <w:r w:rsidR="00524090" w:rsidRPr="002D6E85">
        <w:t xml:space="preserve"> was updated;</w:t>
      </w:r>
      <w:r w:rsidR="005C7B83" w:rsidRPr="002D6E85">
        <w:t xml:space="preserve"> </w:t>
      </w:r>
      <w:r w:rsidR="00FA125D" w:rsidRPr="002D6E85">
        <w:t>927</w:t>
      </w:r>
      <w:r w:rsidR="00D3167A" w:rsidRPr="002D6E85">
        <w:t xml:space="preserve"> technicians were trained </w:t>
      </w:r>
      <w:r w:rsidR="00D3167A" w:rsidRPr="002D6E85">
        <w:rPr>
          <w:color w:val="000000"/>
          <w:lang w:eastAsia="es-PA"/>
        </w:rPr>
        <w:t xml:space="preserve">on </w:t>
      </w:r>
      <w:r w:rsidR="004A3A0F" w:rsidRPr="002D6E85">
        <w:rPr>
          <w:color w:val="000000"/>
          <w:lang w:eastAsia="es-PA"/>
        </w:rPr>
        <w:t xml:space="preserve">good practices in refrigeration servicing and </w:t>
      </w:r>
      <w:r w:rsidR="00FA125D" w:rsidRPr="002D6E85">
        <w:rPr>
          <w:color w:val="000000"/>
          <w:lang w:eastAsia="es-PA"/>
        </w:rPr>
        <w:t xml:space="preserve">safe </w:t>
      </w:r>
      <w:r w:rsidR="004A3A0F" w:rsidRPr="002D6E85">
        <w:rPr>
          <w:color w:val="000000"/>
          <w:lang w:eastAsia="es-PA"/>
        </w:rPr>
        <w:t xml:space="preserve">use of </w:t>
      </w:r>
      <w:r w:rsidR="00160D11" w:rsidRPr="002D6E85">
        <w:rPr>
          <w:color w:val="000000"/>
          <w:lang w:eastAsia="es-PA"/>
        </w:rPr>
        <w:t>refrigerants including</w:t>
      </w:r>
      <w:r w:rsidR="00FA125D" w:rsidRPr="002D6E85">
        <w:rPr>
          <w:color w:val="000000"/>
          <w:lang w:eastAsia="es-PA"/>
        </w:rPr>
        <w:t xml:space="preserve"> flammables</w:t>
      </w:r>
      <w:r w:rsidR="00D3167A" w:rsidRPr="002D6E85">
        <w:rPr>
          <w:color w:val="000000"/>
          <w:lang w:eastAsia="es-PA"/>
        </w:rPr>
        <w:t>;</w:t>
      </w:r>
      <w:r w:rsidR="00DD2D9E" w:rsidRPr="002D6E85">
        <w:t xml:space="preserve"> a workshop on flushing procedures and alternatives was organized</w:t>
      </w:r>
      <w:r w:rsidR="004A3A0F" w:rsidRPr="002D6E85">
        <w:t>,</w:t>
      </w:r>
      <w:r w:rsidR="00DD2D9E" w:rsidRPr="002D6E85">
        <w:t xml:space="preserve"> and</w:t>
      </w:r>
      <w:r w:rsidR="00A00AC9" w:rsidRPr="002D6E85">
        <w:t xml:space="preserve"> two</w:t>
      </w:r>
      <w:r w:rsidR="00DD2D9E" w:rsidRPr="002D6E85">
        <w:t xml:space="preserve"> closed-cycle flushing tools were purchased;</w:t>
      </w:r>
    </w:p>
    <w:p w:rsidR="00EB34AC" w:rsidRPr="002D6E85" w:rsidRDefault="00030DE9" w:rsidP="002748EF">
      <w:pPr>
        <w:pStyle w:val="Heading2"/>
        <w:numPr>
          <w:ilvl w:val="1"/>
          <w:numId w:val="1"/>
        </w:numPr>
        <w:rPr>
          <w:lang w:val="en-CA"/>
        </w:rPr>
      </w:pPr>
      <w:r w:rsidRPr="002D6E85">
        <w:rPr>
          <w:i/>
          <w:lang w:val="en-CA"/>
        </w:rPr>
        <w:t xml:space="preserve">Awareness programme: </w:t>
      </w:r>
      <w:r w:rsidR="00A76C8D" w:rsidRPr="002D6E85">
        <w:rPr>
          <w:color w:val="000000"/>
          <w:lang w:eastAsia="es-PA"/>
        </w:rPr>
        <w:t xml:space="preserve">Awareness </w:t>
      </w:r>
      <w:r w:rsidR="00EB34AC" w:rsidRPr="002D6E85">
        <w:rPr>
          <w:color w:val="000000"/>
          <w:lang w:eastAsia="es-PA"/>
        </w:rPr>
        <w:t>material on HCFC control measures</w:t>
      </w:r>
      <w:r w:rsidR="005C7B83" w:rsidRPr="002D6E85">
        <w:rPr>
          <w:color w:val="000000"/>
          <w:lang w:eastAsia="es-PA"/>
        </w:rPr>
        <w:t xml:space="preserve"> </w:t>
      </w:r>
      <w:r w:rsidR="00741167" w:rsidRPr="002D6E85">
        <w:rPr>
          <w:color w:val="000000"/>
          <w:lang w:eastAsia="es-PA"/>
        </w:rPr>
        <w:t>and on</w:t>
      </w:r>
      <w:r w:rsidR="00233035" w:rsidRPr="002D6E85">
        <w:rPr>
          <w:color w:val="000000"/>
          <w:lang w:eastAsia="es-PA"/>
        </w:rPr>
        <w:t xml:space="preserve"> alternatives was developed and distributed</w:t>
      </w:r>
      <w:r w:rsidR="00A53BA8" w:rsidRPr="002D6E85">
        <w:rPr>
          <w:color w:val="000000"/>
          <w:lang w:eastAsia="es-PA"/>
        </w:rPr>
        <w:t>,</w:t>
      </w:r>
      <w:r w:rsidR="00233035" w:rsidRPr="002D6E85">
        <w:rPr>
          <w:color w:val="000000"/>
          <w:lang w:eastAsia="es-PA"/>
        </w:rPr>
        <w:t xml:space="preserve"> and</w:t>
      </w:r>
      <w:r w:rsidR="002750FD" w:rsidRPr="002D6E85">
        <w:rPr>
          <w:color w:val="000000"/>
          <w:lang w:eastAsia="es-PA"/>
        </w:rPr>
        <w:t xml:space="preserve"> outreach </w:t>
      </w:r>
      <w:r w:rsidR="00233035" w:rsidRPr="002D6E85">
        <w:rPr>
          <w:color w:val="000000"/>
          <w:lang w:eastAsia="es-PA"/>
        </w:rPr>
        <w:t>activities were conducted with universities and colleges</w:t>
      </w:r>
      <w:r w:rsidR="002750FD" w:rsidRPr="002D6E85">
        <w:rPr>
          <w:color w:val="000000"/>
          <w:lang w:eastAsia="es-PA"/>
        </w:rPr>
        <w:t>.</w:t>
      </w:r>
    </w:p>
    <w:p w:rsidR="005C7B83" w:rsidRPr="002D6E85" w:rsidRDefault="002750FD" w:rsidP="002748EF">
      <w:pPr>
        <w:pStyle w:val="Style1"/>
        <w:numPr>
          <w:ilvl w:val="0"/>
          <w:numId w:val="7"/>
        </w:numPr>
        <w:spacing w:line="240" w:lineRule="auto"/>
        <w:ind w:left="0" w:firstLine="0"/>
      </w:pPr>
      <w:r w:rsidRPr="002D6E85">
        <w:t>The National Ozone Unit (NOU)</w:t>
      </w:r>
      <w:r w:rsidR="00A53BA8" w:rsidRPr="00A32832">
        <w:rPr>
          <w:vertAlign w:val="superscript"/>
        </w:rPr>
        <w:footnoteReference w:id="2"/>
      </w:r>
      <w:r w:rsidR="005C7B83" w:rsidRPr="002D6E85">
        <w:t xml:space="preserve"> </w:t>
      </w:r>
      <w:r w:rsidR="000E437D" w:rsidRPr="002D6E85">
        <w:t>wa</w:t>
      </w:r>
      <w:r w:rsidRPr="002D6E85">
        <w:t xml:space="preserve">s responsible for the </w:t>
      </w:r>
      <w:r w:rsidR="009C65B3" w:rsidRPr="002D6E85">
        <w:t>coordination and management</w:t>
      </w:r>
      <w:r w:rsidRPr="002D6E85">
        <w:t xml:space="preserve"> of</w:t>
      </w:r>
      <w:r w:rsidR="009C65B3" w:rsidRPr="002D6E85">
        <w:t xml:space="preserve"> stage I of</w:t>
      </w:r>
      <w:r w:rsidRPr="002D6E85">
        <w:t xml:space="preserve"> the</w:t>
      </w:r>
      <w:r w:rsidR="000E437D" w:rsidRPr="002D6E85">
        <w:t xml:space="preserve"> HPMP</w:t>
      </w:r>
      <w:r w:rsidR="005D1390" w:rsidRPr="002D6E85">
        <w:t xml:space="preserve">, and </w:t>
      </w:r>
      <w:r w:rsidR="00160D11" w:rsidRPr="002D6E85">
        <w:t>acted as</w:t>
      </w:r>
      <w:r w:rsidR="005D1390" w:rsidRPr="002D6E85">
        <w:t xml:space="preserve"> the project implementation and monitoring unit (PMU)</w:t>
      </w:r>
      <w:r w:rsidRPr="002D6E85">
        <w:t>.</w:t>
      </w:r>
    </w:p>
    <w:p w:rsidR="005C7B83" w:rsidRPr="002D6E85" w:rsidRDefault="005C7B83" w:rsidP="002748EF"/>
    <w:p w:rsidR="00E1330F" w:rsidRPr="002D6E85" w:rsidRDefault="00E1330F" w:rsidP="002748EF">
      <w:pPr>
        <w:pStyle w:val="ListParagraph"/>
        <w:keepNext/>
        <w:spacing w:after="240"/>
        <w:ind w:left="0"/>
        <w:contextualSpacing w:val="0"/>
        <w:outlineLvl w:val="0"/>
        <w:rPr>
          <w:u w:val="single"/>
        </w:rPr>
      </w:pPr>
      <w:r w:rsidRPr="002D6E85">
        <w:rPr>
          <w:u w:val="single"/>
        </w:rPr>
        <w:lastRenderedPageBreak/>
        <w:t>Status of disbursements</w:t>
      </w:r>
    </w:p>
    <w:p w:rsidR="0084549A" w:rsidRDefault="002B7E9F" w:rsidP="002748EF">
      <w:pPr>
        <w:pStyle w:val="Style1"/>
        <w:keepNext/>
        <w:numPr>
          <w:ilvl w:val="0"/>
          <w:numId w:val="7"/>
        </w:numPr>
        <w:spacing w:line="240" w:lineRule="auto"/>
        <w:ind w:left="0" w:firstLine="0"/>
      </w:pPr>
      <w:r w:rsidRPr="002D6E85">
        <w:t xml:space="preserve">As of August 2016, of the total funds </w:t>
      </w:r>
      <w:r w:rsidR="00A53BA8" w:rsidRPr="002D6E85">
        <w:t xml:space="preserve">of </w:t>
      </w:r>
      <w:r w:rsidRPr="002D6E85">
        <w:t>US $</w:t>
      </w:r>
      <w:r w:rsidR="009B015C" w:rsidRPr="002D6E85">
        <w:t xml:space="preserve">380,004 </w:t>
      </w:r>
      <w:r w:rsidRPr="002D6E85">
        <w:t>approved, US $</w:t>
      </w:r>
      <w:r w:rsidR="009B015C" w:rsidRPr="00A32832">
        <w:t>368,811</w:t>
      </w:r>
      <w:r w:rsidR="00741167" w:rsidRPr="002D6E85">
        <w:t>had been</w:t>
      </w:r>
      <w:r w:rsidRPr="002D6E85">
        <w:t xml:space="preserve"> disbursed. The remaining </w:t>
      </w:r>
      <w:r w:rsidR="002E373B" w:rsidRPr="002D6E85">
        <w:t>US $</w:t>
      </w:r>
      <w:r w:rsidR="009B015C" w:rsidRPr="00A32832">
        <w:t>11,193</w:t>
      </w:r>
      <w:r w:rsidR="005C7B83" w:rsidRPr="00A32832">
        <w:t xml:space="preserve"> </w:t>
      </w:r>
      <w:r w:rsidRPr="002D6E85">
        <w:t xml:space="preserve">will be disbursed </w:t>
      </w:r>
      <w:r w:rsidR="00046326" w:rsidRPr="002D6E85">
        <w:t>by 31 December 2016</w:t>
      </w:r>
      <w:r w:rsidR="005D1390" w:rsidRPr="002D6E85">
        <w:t>, and any balances returned to the Multilateral Fund</w:t>
      </w:r>
      <w:r w:rsidR="00046326" w:rsidRPr="002D6E85">
        <w:t>.</w:t>
      </w:r>
    </w:p>
    <w:p w:rsidR="007F021C" w:rsidRPr="002D6E85" w:rsidRDefault="007F021C" w:rsidP="002748EF">
      <w:pPr>
        <w:pStyle w:val="Style1"/>
        <w:numPr>
          <w:ilvl w:val="0"/>
          <w:numId w:val="0"/>
        </w:numPr>
        <w:spacing w:line="240" w:lineRule="auto"/>
      </w:pPr>
    </w:p>
    <w:p w:rsidR="006D7286" w:rsidRPr="002D6E85" w:rsidRDefault="00FF2F5A" w:rsidP="002748EF">
      <w:pPr>
        <w:pStyle w:val="ListParagraph"/>
        <w:ind w:left="0"/>
        <w:rPr>
          <w:b/>
        </w:rPr>
      </w:pPr>
      <w:r w:rsidRPr="002D6E85">
        <w:rPr>
          <w:b/>
        </w:rPr>
        <w:t xml:space="preserve">HCFC </w:t>
      </w:r>
      <w:r w:rsidR="00A53BA8" w:rsidRPr="002D6E85">
        <w:rPr>
          <w:b/>
        </w:rPr>
        <w:t>consumption</w:t>
      </w:r>
    </w:p>
    <w:p w:rsidR="00FF2F5A" w:rsidRPr="002D6E85" w:rsidRDefault="00FF2F5A" w:rsidP="002748EF">
      <w:pPr>
        <w:pStyle w:val="ListParagraph"/>
        <w:ind w:left="0"/>
      </w:pPr>
    </w:p>
    <w:p w:rsidR="00A9014C" w:rsidRDefault="00FF2F5A" w:rsidP="002748EF">
      <w:pPr>
        <w:pStyle w:val="Style1"/>
        <w:numPr>
          <w:ilvl w:val="0"/>
          <w:numId w:val="7"/>
        </w:numPr>
        <w:spacing w:line="240" w:lineRule="auto"/>
        <w:ind w:left="0" w:firstLine="0"/>
      </w:pPr>
      <w:r w:rsidRPr="00A32832">
        <w:t xml:space="preserve">The starting point for aggregate reductions in HCFC consumption was established at 28.66 ODP tonnes, </w:t>
      </w:r>
      <w:r w:rsidR="00A53BA8" w:rsidRPr="00A32832">
        <w:t xml:space="preserve">including </w:t>
      </w:r>
      <w:r w:rsidRPr="00A32832">
        <w:t xml:space="preserve">5.33 ODP tonnes </w:t>
      </w:r>
      <w:r w:rsidR="00A53BA8" w:rsidRPr="00A32832">
        <w:t xml:space="preserve">of </w:t>
      </w:r>
      <w:r w:rsidRPr="00A32832">
        <w:t xml:space="preserve">HCFC-141b contained in imported pre-blended polyols. </w:t>
      </w:r>
      <w:r w:rsidR="00483D60" w:rsidRPr="00A32832">
        <w:t>S</w:t>
      </w:r>
      <w:r w:rsidR="00A53BA8" w:rsidRPr="00A32832">
        <w:t>ince s</w:t>
      </w:r>
      <w:r w:rsidR="00483D60" w:rsidRPr="00A32832">
        <w:t>tage I of the HPMP phased out a total of 4.18 ODP tonnes of HCFCs</w:t>
      </w:r>
      <w:r w:rsidR="00915FBE" w:rsidRPr="00A32832">
        <w:t>,</w:t>
      </w:r>
      <w:r w:rsidR="00A9014C" w:rsidRPr="002D6E85">
        <w:t xml:space="preserve"> the </w:t>
      </w:r>
      <w:r w:rsidR="00A9014C" w:rsidRPr="00A32832">
        <w:t xml:space="preserve">remaining consumption </w:t>
      </w:r>
      <w:r w:rsidR="00915FBE" w:rsidRPr="00A32832">
        <w:t xml:space="preserve">eligible </w:t>
      </w:r>
      <w:r w:rsidR="00483D60" w:rsidRPr="00A32832">
        <w:t xml:space="preserve">for funding is </w:t>
      </w:r>
      <w:r w:rsidR="003B35A1" w:rsidRPr="00A32832">
        <w:t xml:space="preserve">24.48 </w:t>
      </w:r>
      <w:r w:rsidR="00A9014C" w:rsidRPr="00A32832">
        <w:t>ODP tonnes</w:t>
      </w:r>
      <w:r w:rsidR="00483D60" w:rsidRPr="00A32832">
        <w:t xml:space="preserve"> (i.e.</w:t>
      </w:r>
      <w:r w:rsidR="003C5623" w:rsidRPr="00A32832">
        <w:t>, 18.74</w:t>
      </w:r>
      <w:r w:rsidR="00483D60" w:rsidRPr="00A32832">
        <w:t xml:space="preserve"> ODP tonnes of HCFC-22, 0.41 ODP tonnes of bulk HCFC-141b, and 5.33 ODP tonnes of HCFC-141b </w:t>
      </w:r>
      <w:r w:rsidR="00915FBE" w:rsidRPr="00A32832">
        <w:t xml:space="preserve">contained </w:t>
      </w:r>
      <w:r w:rsidR="00483D60" w:rsidRPr="00A32832">
        <w:t>in imported pre-blended polyols).</w:t>
      </w:r>
    </w:p>
    <w:p w:rsidR="002748EF" w:rsidRPr="002D6E85" w:rsidRDefault="002748EF" w:rsidP="002748EF">
      <w:pPr>
        <w:pStyle w:val="Style1"/>
        <w:numPr>
          <w:ilvl w:val="0"/>
          <w:numId w:val="0"/>
        </w:numPr>
        <w:spacing w:line="240" w:lineRule="auto"/>
      </w:pPr>
    </w:p>
    <w:p w:rsidR="00BB44BB" w:rsidRDefault="00625E0A" w:rsidP="002748EF">
      <w:pPr>
        <w:pStyle w:val="Style1"/>
        <w:numPr>
          <w:ilvl w:val="0"/>
          <w:numId w:val="7"/>
        </w:numPr>
        <w:spacing w:line="240" w:lineRule="auto"/>
        <w:ind w:left="0" w:firstLine="0"/>
      </w:pPr>
      <w:r w:rsidRPr="00A32832">
        <w:t xml:space="preserve">The Government of </w:t>
      </w:r>
      <w:r w:rsidR="003C5623" w:rsidRPr="00A32832">
        <w:t>Uruguay reported</w:t>
      </w:r>
      <w:r w:rsidR="00D833FC" w:rsidRPr="00A32832">
        <w:t xml:space="preserve"> a consumption of </w:t>
      </w:r>
      <w:r w:rsidR="00471D6C" w:rsidRPr="00A32832">
        <w:t>15.78</w:t>
      </w:r>
      <w:r w:rsidR="00D833FC" w:rsidRPr="00A32832">
        <w:t xml:space="preserve"> ODP tonnes of HCFC in 201</w:t>
      </w:r>
      <w:r w:rsidR="007E257B" w:rsidRPr="00A32832">
        <w:t>5</w:t>
      </w:r>
      <w:r w:rsidR="00D833FC" w:rsidRPr="00A32832">
        <w:t xml:space="preserve"> under Art</w:t>
      </w:r>
      <w:r w:rsidR="00ED4E96" w:rsidRPr="00A32832">
        <w:t>icle 7 of the Montreal Protocol</w:t>
      </w:r>
      <w:r w:rsidR="00D833FC" w:rsidRPr="00A32832">
        <w:t xml:space="preserve"> and </w:t>
      </w:r>
      <w:r w:rsidR="00471D6C" w:rsidRPr="00A32832">
        <w:t>3.93</w:t>
      </w:r>
      <w:r w:rsidR="001709AE">
        <w:t xml:space="preserve"> </w:t>
      </w:r>
      <w:r w:rsidR="00D833FC" w:rsidRPr="00A32832">
        <w:t xml:space="preserve">ODP tonnes of HCFC-141b </w:t>
      </w:r>
      <w:r w:rsidR="005C7B83" w:rsidRPr="00A32832">
        <w:t>c</w:t>
      </w:r>
      <w:r w:rsidR="00D833FC" w:rsidRPr="00A32832">
        <w:t>ontained in imported</w:t>
      </w:r>
      <w:r w:rsidR="005C7B83" w:rsidRPr="00A32832">
        <w:t xml:space="preserve"> </w:t>
      </w:r>
      <w:r w:rsidR="00D833FC" w:rsidRPr="00A32832">
        <w:t>pre</w:t>
      </w:r>
      <w:r w:rsidR="002748EF">
        <w:noBreakHyphen/>
      </w:r>
      <w:r w:rsidR="00D833FC" w:rsidRPr="00A32832">
        <w:t xml:space="preserve">blended polyols under the country programme (CP) </w:t>
      </w:r>
      <w:r w:rsidR="00915FBE" w:rsidRPr="00A32832">
        <w:t xml:space="preserve">implementation </w:t>
      </w:r>
      <w:r w:rsidR="00D833FC" w:rsidRPr="00A32832">
        <w:t>report. The 201</w:t>
      </w:r>
      <w:r w:rsidR="0048018C" w:rsidRPr="00A32832">
        <w:t>1</w:t>
      </w:r>
      <w:r w:rsidR="00D833FC" w:rsidRPr="00A32832">
        <w:t xml:space="preserve">-2015 HCFC consumption is shown in Table </w:t>
      </w:r>
      <w:r w:rsidR="00483D60" w:rsidRPr="00A32832">
        <w:t>1</w:t>
      </w:r>
      <w:r w:rsidR="00D833FC" w:rsidRPr="00A32832">
        <w:t>.</w:t>
      </w:r>
    </w:p>
    <w:p w:rsidR="002748EF" w:rsidRPr="00A32832" w:rsidRDefault="002748EF" w:rsidP="002748EF">
      <w:pPr>
        <w:pStyle w:val="Style1"/>
        <w:numPr>
          <w:ilvl w:val="0"/>
          <w:numId w:val="0"/>
        </w:numPr>
        <w:spacing w:line="240" w:lineRule="auto"/>
      </w:pPr>
    </w:p>
    <w:p w:rsidR="00BB44BB" w:rsidRPr="005C7B83" w:rsidRDefault="00BB44BB" w:rsidP="005C7B83">
      <w:pPr>
        <w:rPr>
          <w:b/>
          <w:sz w:val="20"/>
          <w:szCs w:val="20"/>
          <w:lang w:val="en-CA"/>
        </w:rPr>
      </w:pPr>
      <w:r w:rsidRPr="005C7B83">
        <w:rPr>
          <w:b/>
          <w:sz w:val="20"/>
          <w:szCs w:val="20"/>
          <w:lang w:val="en-CA"/>
        </w:rPr>
        <w:t xml:space="preserve">Table </w:t>
      </w:r>
      <w:r w:rsidR="00483D60" w:rsidRPr="005C7B83">
        <w:rPr>
          <w:b/>
          <w:sz w:val="20"/>
          <w:szCs w:val="20"/>
          <w:lang w:val="en-CA"/>
        </w:rPr>
        <w:t>1</w:t>
      </w:r>
      <w:r w:rsidRPr="005C7B83">
        <w:rPr>
          <w:b/>
          <w:sz w:val="20"/>
          <w:szCs w:val="20"/>
          <w:lang w:val="en-CA"/>
        </w:rPr>
        <w:t>. HCFC consumption in Uruguay (2011-2015 Article 7 data)</w:t>
      </w:r>
    </w:p>
    <w:tbl>
      <w:tblPr>
        <w:tblW w:w="4906" w:type="pct"/>
        <w:tblLook w:val="04A0" w:firstRow="1" w:lastRow="0" w:firstColumn="1" w:lastColumn="0" w:noHBand="0" w:noVBand="1"/>
      </w:tblPr>
      <w:tblGrid>
        <w:gridCol w:w="4003"/>
        <w:gridCol w:w="806"/>
        <w:gridCol w:w="812"/>
        <w:gridCol w:w="900"/>
        <w:gridCol w:w="954"/>
        <w:gridCol w:w="929"/>
        <w:gridCol w:w="928"/>
      </w:tblGrid>
      <w:tr w:rsidR="00922B62" w:rsidRPr="002D6E85" w:rsidTr="00922B62">
        <w:trPr>
          <w:tblHeader/>
        </w:trPr>
        <w:tc>
          <w:tcPr>
            <w:tcW w:w="21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b/>
                <w:bCs/>
                <w:color w:val="000000"/>
                <w:sz w:val="20"/>
                <w:szCs w:val="20"/>
                <w:lang w:val="en-CA"/>
              </w:rPr>
            </w:pPr>
            <w:r w:rsidRPr="002D6E85">
              <w:rPr>
                <w:b/>
                <w:bCs/>
                <w:color w:val="000000"/>
                <w:sz w:val="20"/>
                <w:szCs w:val="20"/>
                <w:lang w:val="en-CA"/>
              </w:rPr>
              <w:t>HCFC</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922B62" w:rsidRPr="002D6E85" w:rsidRDefault="00922B62" w:rsidP="005C7B83">
            <w:pPr>
              <w:widowControl w:val="0"/>
              <w:jc w:val="center"/>
              <w:rPr>
                <w:b/>
                <w:bCs/>
                <w:color w:val="000000"/>
                <w:sz w:val="20"/>
                <w:szCs w:val="20"/>
                <w:lang w:val="en-CA"/>
              </w:rPr>
            </w:pPr>
            <w:r w:rsidRPr="002D6E85">
              <w:rPr>
                <w:b/>
                <w:bCs/>
                <w:color w:val="000000"/>
                <w:sz w:val="20"/>
                <w:szCs w:val="20"/>
                <w:lang w:val="en-CA"/>
              </w:rPr>
              <w:t>2011</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922B62" w:rsidRPr="002D6E85" w:rsidRDefault="00922B62" w:rsidP="005C7B83">
            <w:pPr>
              <w:widowControl w:val="0"/>
              <w:jc w:val="center"/>
              <w:rPr>
                <w:b/>
                <w:bCs/>
                <w:color w:val="000000"/>
                <w:sz w:val="20"/>
                <w:szCs w:val="20"/>
                <w:lang w:val="en-CA"/>
              </w:rPr>
            </w:pPr>
            <w:r w:rsidRPr="002D6E85">
              <w:rPr>
                <w:b/>
                <w:bCs/>
                <w:color w:val="000000"/>
                <w:sz w:val="20"/>
                <w:szCs w:val="20"/>
                <w:lang w:val="en-CA"/>
              </w:rPr>
              <w:t>2012</w:t>
            </w:r>
          </w:p>
        </w:tc>
        <w:tc>
          <w:tcPr>
            <w:tcW w:w="482" w:type="pct"/>
            <w:tcBorders>
              <w:top w:val="single" w:sz="4" w:space="0" w:color="auto"/>
              <w:left w:val="nil"/>
              <w:bottom w:val="single" w:sz="4" w:space="0" w:color="auto"/>
              <w:right w:val="single" w:sz="4" w:space="0" w:color="auto"/>
            </w:tcBorders>
          </w:tcPr>
          <w:p w:rsidR="00922B62" w:rsidRPr="002D6E85" w:rsidRDefault="00922B62" w:rsidP="005C7B83">
            <w:pPr>
              <w:widowControl w:val="0"/>
              <w:jc w:val="center"/>
              <w:rPr>
                <w:b/>
                <w:bCs/>
                <w:color w:val="000000"/>
                <w:sz w:val="20"/>
                <w:szCs w:val="20"/>
                <w:lang w:val="en-CA"/>
              </w:rPr>
            </w:pPr>
            <w:r w:rsidRPr="002D6E85">
              <w:rPr>
                <w:b/>
                <w:bCs/>
                <w:color w:val="000000"/>
                <w:sz w:val="20"/>
                <w:szCs w:val="20"/>
                <w:lang w:val="en-CA"/>
              </w:rPr>
              <w:t>2013</w:t>
            </w:r>
          </w:p>
        </w:tc>
        <w:tc>
          <w:tcPr>
            <w:tcW w:w="511" w:type="pct"/>
            <w:tcBorders>
              <w:top w:val="single" w:sz="4" w:space="0" w:color="auto"/>
              <w:left w:val="single" w:sz="4" w:space="0" w:color="auto"/>
              <w:bottom w:val="single" w:sz="4" w:space="0" w:color="auto"/>
              <w:right w:val="single" w:sz="4" w:space="0" w:color="auto"/>
            </w:tcBorders>
          </w:tcPr>
          <w:p w:rsidR="00922B62" w:rsidRPr="002D6E85" w:rsidRDefault="00922B62" w:rsidP="005C7B83">
            <w:pPr>
              <w:widowControl w:val="0"/>
              <w:jc w:val="center"/>
              <w:rPr>
                <w:b/>
                <w:bCs/>
                <w:color w:val="000000"/>
                <w:sz w:val="20"/>
                <w:szCs w:val="20"/>
                <w:lang w:val="en-CA"/>
              </w:rPr>
            </w:pPr>
            <w:r w:rsidRPr="002D6E85">
              <w:rPr>
                <w:b/>
                <w:bCs/>
                <w:color w:val="000000"/>
                <w:sz w:val="20"/>
                <w:szCs w:val="20"/>
                <w:lang w:val="en-CA"/>
              </w:rPr>
              <w:t>2014</w:t>
            </w:r>
          </w:p>
        </w:tc>
        <w:tc>
          <w:tcPr>
            <w:tcW w:w="498" w:type="pct"/>
            <w:tcBorders>
              <w:top w:val="single" w:sz="4" w:space="0" w:color="auto"/>
              <w:left w:val="single" w:sz="4" w:space="0" w:color="auto"/>
              <w:bottom w:val="single" w:sz="4" w:space="0" w:color="auto"/>
              <w:right w:val="single" w:sz="4" w:space="0" w:color="auto"/>
            </w:tcBorders>
          </w:tcPr>
          <w:p w:rsidR="00922B62" w:rsidRPr="002D6E85" w:rsidRDefault="00922B62" w:rsidP="005C7B83">
            <w:pPr>
              <w:widowControl w:val="0"/>
              <w:jc w:val="center"/>
              <w:rPr>
                <w:b/>
                <w:bCs/>
                <w:color w:val="000000"/>
                <w:sz w:val="20"/>
                <w:szCs w:val="20"/>
                <w:lang w:val="en-CA"/>
              </w:rPr>
            </w:pPr>
            <w:r w:rsidRPr="002D6E85">
              <w:rPr>
                <w:b/>
                <w:bCs/>
                <w:color w:val="000000"/>
                <w:sz w:val="20"/>
                <w:szCs w:val="20"/>
                <w:lang w:val="en-CA"/>
              </w:rPr>
              <w:t>2015</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62" w:rsidRPr="002D6E85" w:rsidRDefault="00922B62" w:rsidP="005C7B83">
            <w:pPr>
              <w:widowControl w:val="0"/>
              <w:jc w:val="center"/>
              <w:rPr>
                <w:b/>
                <w:bCs/>
                <w:color w:val="000000"/>
                <w:sz w:val="20"/>
                <w:szCs w:val="20"/>
                <w:lang w:val="en-CA"/>
              </w:rPr>
            </w:pPr>
            <w:r w:rsidRPr="002D6E85">
              <w:rPr>
                <w:b/>
                <w:bCs/>
                <w:color w:val="000000"/>
                <w:sz w:val="20"/>
                <w:szCs w:val="20"/>
                <w:lang w:val="en-CA"/>
              </w:rPr>
              <w:t>Baseline</w:t>
            </w:r>
          </w:p>
        </w:tc>
      </w:tr>
      <w:tr w:rsidR="00840B46" w:rsidRPr="002D6E85" w:rsidTr="00840B46">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40B46" w:rsidRPr="002D6E85" w:rsidRDefault="00840B46" w:rsidP="005C7B83">
            <w:pPr>
              <w:widowControl w:val="0"/>
              <w:jc w:val="left"/>
              <w:rPr>
                <w:b/>
                <w:bCs/>
                <w:color w:val="000000"/>
                <w:sz w:val="20"/>
                <w:szCs w:val="20"/>
                <w:lang w:val="en-CA"/>
              </w:rPr>
            </w:pPr>
            <w:r w:rsidRPr="002D6E85">
              <w:rPr>
                <w:b/>
                <w:bCs/>
                <w:color w:val="000000"/>
                <w:sz w:val="20"/>
                <w:szCs w:val="20"/>
                <w:lang w:val="en-CA"/>
              </w:rPr>
              <w:t>Metric tonnes</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HCFC-22</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294.26</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453.58</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261.89</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298.26</w:t>
            </w:r>
          </w:p>
        </w:tc>
        <w:tc>
          <w:tcPr>
            <w:tcW w:w="498" w:type="pct"/>
            <w:tcBorders>
              <w:top w:val="nil"/>
              <w:left w:val="single" w:sz="4" w:space="0" w:color="auto"/>
              <w:bottom w:val="single" w:sz="4" w:space="0" w:color="auto"/>
              <w:right w:val="single" w:sz="4" w:space="0" w:color="auto"/>
            </w:tcBorders>
          </w:tcPr>
          <w:p w:rsidR="00922B62" w:rsidRPr="002D6E85" w:rsidRDefault="00F74EE8" w:rsidP="005C7B83">
            <w:pPr>
              <w:jc w:val="right"/>
              <w:rPr>
                <w:color w:val="000000"/>
                <w:sz w:val="20"/>
                <w:szCs w:val="20"/>
              </w:rPr>
            </w:pPr>
            <w:r w:rsidRPr="002D6E85">
              <w:rPr>
                <w:color w:val="000000"/>
                <w:sz w:val="20"/>
                <w:szCs w:val="20"/>
              </w:rPr>
              <w:t>254.23</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383.</w:t>
            </w:r>
            <w:r w:rsidR="00F6187E" w:rsidRPr="002D6E85">
              <w:rPr>
                <w:color w:val="000000"/>
                <w:sz w:val="20"/>
                <w:szCs w:val="20"/>
              </w:rPr>
              <w:t>36</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HCFC-123</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0.57</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2.13</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0.74</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1.54</w:t>
            </w:r>
          </w:p>
        </w:tc>
        <w:tc>
          <w:tcPr>
            <w:tcW w:w="498" w:type="pct"/>
            <w:tcBorders>
              <w:top w:val="nil"/>
              <w:left w:val="single" w:sz="4" w:space="0" w:color="auto"/>
              <w:bottom w:val="single" w:sz="4" w:space="0" w:color="auto"/>
              <w:right w:val="single" w:sz="4" w:space="0" w:color="auto"/>
            </w:tcBorders>
          </w:tcPr>
          <w:p w:rsidR="00922B62" w:rsidRPr="002D6E85" w:rsidRDefault="00F74EE8" w:rsidP="005C7B83">
            <w:pPr>
              <w:jc w:val="right"/>
              <w:rPr>
                <w:color w:val="000000"/>
                <w:sz w:val="20"/>
                <w:szCs w:val="20"/>
              </w:rPr>
            </w:pPr>
            <w:r w:rsidRPr="002D6E85">
              <w:rPr>
                <w:color w:val="000000"/>
                <w:sz w:val="20"/>
                <w:szCs w:val="20"/>
              </w:rPr>
              <w:t>1.6</w:t>
            </w:r>
            <w:r w:rsidR="00471D6C" w:rsidRPr="002D6E85">
              <w:rPr>
                <w:color w:val="000000"/>
                <w:sz w:val="20"/>
                <w:szCs w:val="20"/>
              </w:rPr>
              <w:t>0</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1.</w:t>
            </w:r>
            <w:r w:rsidR="00F6187E" w:rsidRPr="002D6E85">
              <w:rPr>
                <w:color w:val="000000"/>
                <w:sz w:val="20"/>
                <w:szCs w:val="20"/>
              </w:rPr>
              <w:t>86</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HCFC-124</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4.03</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5.95</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7.14</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6.22</w:t>
            </w:r>
          </w:p>
        </w:tc>
        <w:tc>
          <w:tcPr>
            <w:tcW w:w="498" w:type="pct"/>
            <w:tcBorders>
              <w:top w:val="nil"/>
              <w:left w:val="single" w:sz="4" w:space="0" w:color="auto"/>
              <w:bottom w:val="single" w:sz="4" w:space="0" w:color="auto"/>
              <w:right w:val="single" w:sz="4" w:space="0" w:color="auto"/>
            </w:tcBorders>
          </w:tcPr>
          <w:p w:rsidR="00922B62" w:rsidRPr="002D6E85" w:rsidRDefault="00F74EE8" w:rsidP="005C7B83">
            <w:pPr>
              <w:jc w:val="right"/>
              <w:rPr>
                <w:color w:val="000000"/>
                <w:sz w:val="20"/>
                <w:szCs w:val="20"/>
              </w:rPr>
            </w:pPr>
            <w:r w:rsidRPr="002D6E85">
              <w:rPr>
                <w:color w:val="000000"/>
                <w:sz w:val="20"/>
                <w:szCs w:val="20"/>
              </w:rPr>
              <w:t>3.36</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F6187E" w:rsidP="005C7B83">
            <w:pPr>
              <w:jc w:val="right"/>
              <w:rPr>
                <w:color w:val="000000"/>
                <w:sz w:val="20"/>
                <w:szCs w:val="20"/>
              </w:rPr>
            </w:pPr>
            <w:r w:rsidRPr="002D6E85">
              <w:rPr>
                <w:color w:val="000000"/>
                <w:sz w:val="20"/>
                <w:szCs w:val="20"/>
              </w:rPr>
              <w:t>4.14</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HCFC-141b</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8.38</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23.97</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6.38</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9.64</w:t>
            </w:r>
          </w:p>
        </w:tc>
        <w:tc>
          <w:tcPr>
            <w:tcW w:w="498" w:type="pct"/>
            <w:tcBorders>
              <w:top w:val="nil"/>
              <w:left w:val="single" w:sz="4" w:space="0" w:color="auto"/>
              <w:bottom w:val="single" w:sz="4" w:space="0" w:color="auto"/>
              <w:right w:val="single" w:sz="4" w:space="0" w:color="auto"/>
            </w:tcBorders>
          </w:tcPr>
          <w:p w:rsidR="00922B62" w:rsidRPr="002D6E85" w:rsidRDefault="00F74EE8" w:rsidP="005C7B83">
            <w:pPr>
              <w:jc w:val="right"/>
              <w:rPr>
                <w:color w:val="000000"/>
                <w:sz w:val="20"/>
                <w:szCs w:val="20"/>
              </w:rPr>
            </w:pPr>
            <w:r w:rsidRPr="002D6E85">
              <w:rPr>
                <w:color w:val="000000"/>
                <w:sz w:val="20"/>
                <w:szCs w:val="20"/>
              </w:rPr>
              <w:t>14.81</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13.</w:t>
            </w:r>
            <w:r w:rsidR="00F6187E" w:rsidRPr="002D6E85">
              <w:rPr>
                <w:color w:val="000000"/>
                <w:sz w:val="20"/>
                <w:szCs w:val="20"/>
              </w:rPr>
              <w:t>58</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HCFC-142b</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6.36</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4.45</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3.02</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2.65</w:t>
            </w:r>
          </w:p>
        </w:tc>
        <w:tc>
          <w:tcPr>
            <w:tcW w:w="498" w:type="pct"/>
            <w:tcBorders>
              <w:top w:val="nil"/>
              <w:left w:val="single" w:sz="4" w:space="0" w:color="auto"/>
              <w:bottom w:val="single" w:sz="4" w:space="0" w:color="auto"/>
              <w:right w:val="single" w:sz="4" w:space="0" w:color="auto"/>
            </w:tcBorders>
          </w:tcPr>
          <w:p w:rsidR="00922B62" w:rsidRPr="002D6E85" w:rsidRDefault="00F74EE8" w:rsidP="005C7B83">
            <w:pPr>
              <w:jc w:val="right"/>
              <w:rPr>
                <w:color w:val="000000"/>
                <w:sz w:val="20"/>
                <w:szCs w:val="20"/>
              </w:rPr>
            </w:pPr>
            <w:r w:rsidRPr="002D6E85">
              <w:rPr>
                <w:color w:val="000000"/>
                <w:sz w:val="20"/>
                <w:szCs w:val="20"/>
              </w:rPr>
              <w:t>0.98</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F6187E" w:rsidP="005C7B83">
            <w:pPr>
              <w:jc w:val="right"/>
              <w:rPr>
                <w:color w:val="000000"/>
                <w:sz w:val="20"/>
                <w:szCs w:val="20"/>
              </w:rPr>
            </w:pPr>
            <w:r w:rsidRPr="002D6E85">
              <w:rPr>
                <w:color w:val="000000"/>
                <w:sz w:val="20"/>
                <w:szCs w:val="20"/>
              </w:rPr>
              <w:t>9.68</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922B62" w:rsidRPr="002D6E85" w:rsidRDefault="00915FBE" w:rsidP="005C7B83">
            <w:pPr>
              <w:jc w:val="left"/>
              <w:rPr>
                <w:rFonts w:eastAsiaTheme="minorHAnsi"/>
                <w:b/>
                <w:color w:val="000000"/>
                <w:sz w:val="20"/>
                <w:szCs w:val="20"/>
                <w:lang w:val="en-CA"/>
              </w:rPr>
            </w:pPr>
            <w:r w:rsidRPr="002D6E85">
              <w:rPr>
                <w:b/>
                <w:color w:val="000000"/>
                <w:sz w:val="20"/>
                <w:szCs w:val="20"/>
                <w:lang w:val="en-CA"/>
              </w:rPr>
              <w:t>Total (mt)</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313.60</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490.08</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279.17</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318.31</w:t>
            </w:r>
          </w:p>
        </w:tc>
        <w:tc>
          <w:tcPr>
            <w:tcW w:w="498" w:type="pct"/>
            <w:tcBorders>
              <w:top w:val="nil"/>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274.98</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412.</w:t>
            </w:r>
            <w:r w:rsidR="00F6187E" w:rsidRPr="002D6E85">
              <w:rPr>
                <w:color w:val="000000"/>
                <w:sz w:val="20"/>
                <w:szCs w:val="20"/>
              </w:rPr>
              <w:t>61</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922B62" w:rsidRPr="002D6E85" w:rsidRDefault="00922B62" w:rsidP="005C7B83">
            <w:pPr>
              <w:jc w:val="left"/>
              <w:rPr>
                <w:b/>
                <w:bCs/>
                <w:color w:val="000000"/>
                <w:sz w:val="20"/>
                <w:szCs w:val="20"/>
                <w:lang w:val="en-CA"/>
              </w:rPr>
            </w:pPr>
            <w:r w:rsidRPr="002D6E85">
              <w:rPr>
                <w:color w:val="000000"/>
                <w:sz w:val="20"/>
                <w:szCs w:val="20"/>
                <w:lang w:val="en-CA"/>
              </w:rPr>
              <w:t>HCFC-141b in imported pre-blended polyols*</w:t>
            </w:r>
          </w:p>
        </w:tc>
        <w:tc>
          <w:tcPr>
            <w:tcW w:w="432" w:type="pct"/>
            <w:tcBorders>
              <w:top w:val="nil"/>
              <w:left w:val="nil"/>
              <w:bottom w:val="single" w:sz="4" w:space="0" w:color="auto"/>
              <w:right w:val="single" w:sz="4" w:space="0" w:color="auto"/>
            </w:tcBorders>
            <w:shd w:val="clear" w:color="auto" w:fill="auto"/>
            <w:noWrap/>
            <w:vAlign w:val="center"/>
          </w:tcPr>
          <w:p w:rsidR="00922B62" w:rsidRPr="002D6E85" w:rsidRDefault="00922B62" w:rsidP="005C7B83">
            <w:pPr>
              <w:jc w:val="right"/>
              <w:rPr>
                <w:color w:val="000000"/>
                <w:sz w:val="20"/>
                <w:szCs w:val="20"/>
              </w:rPr>
            </w:pPr>
            <w:r w:rsidRPr="002D6E85">
              <w:rPr>
                <w:color w:val="000000"/>
                <w:sz w:val="20"/>
                <w:szCs w:val="20"/>
              </w:rPr>
              <w:t>41.9</w:t>
            </w:r>
            <w:r w:rsidR="00A058AA" w:rsidRPr="002D6E85">
              <w:rPr>
                <w:color w:val="000000"/>
                <w:sz w:val="20"/>
                <w:szCs w:val="20"/>
              </w:rPr>
              <w:t>5</w:t>
            </w:r>
          </w:p>
        </w:tc>
        <w:tc>
          <w:tcPr>
            <w:tcW w:w="435" w:type="pct"/>
            <w:tcBorders>
              <w:top w:val="nil"/>
              <w:left w:val="nil"/>
              <w:bottom w:val="single" w:sz="4" w:space="0" w:color="auto"/>
              <w:right w:val="single" w:sz="4" w:space="0" w:color="auto"/>
            </w:tcBorders>
            <w:shd w:val="clear" w:color="auto" w:fill="auto"/>
            <w:noWrap/>
            <w:vAlign w:val="center"/>
          </w:tcPr>
          <w:p w:rsidR="00922B62" w:rsidRPr="002D6E85" w:rsidRDefault="0002330A" w:rsidP="005C7B83">
            <w:pPr>
              <w:jc w:val="right"/>
              <w:rPr>
                <w:color w:val="000000"/>
                <w:sz w:val="20"/>
                <w:szCs w:val="20"/>
              </w:rPr>
            </w:pPr>
            <w:r w:rsidRPr="002D6E85">
              <w:rPr>
                <w:color w:val="000000"/>
                <w:sz w:val="20"/>
                <w:szCs w:val="20"/>
              </w:rPr>
              <w:t>61.91</w:t>
            </w:r>
          </w:p>
        </w:tc>
        <w:tc>
          <w:tcPr>
            <w:tcW w:w="482" w:type="pct"/>
            <w:tcBorders>
              <w:top w:val="single" w:sz="4" w:space="0" w:color="auto"/>
              <w:left w:val="nil"/>
              <w:bottom w:val="single" w:sz="4" w:space="0" w:color="auto"/>
              <w:right w:val="single" w:sz="4" w:space="0" w:color="auto"/>
            </w:tcBorders>
            <w:vAlign w:val="center"/>
          </w:tcPr>
          <w:p w:rsidR="00922B62" w:rsidRPr="002D6E85" w:rsidRDefault="00922B62" w:rsidP="005C7B83">
            <w:pPr>
              <w:jc w:val="right"/>
              <w:rPr>
                <w:color w:val="000000"/>
                <w:sz w:val="20"/>
                <w:szCs w:val="20"/>
              </w:rPr>
            </w:pPr>
            <w:r w:rsidRPr="002D6E85">
              <w:rPr>
                <w:color w:val="000000"/>
                <w:sz w:val="20"/>
                <w:szCs w:val="20"/>
              </w:rPr>
              <w:t>60.</w:t>
            </w:r>
            <w:r w:rsidR="00A058AA" w:rsidRPr="002D6E85">
              <w:rPr>
                <w:color w:val="000000"/>
                <w:sz w:val="20"/>
                <w:szCs w:val="20"/>
              </w:rPr>
              <w:t>88</w:t>
            </w:r>
          </w:p>
        </w:tc>
        <w:tc>
          <w:tcPr>
            <w:tcW w:w="511" w:type="pct"/>
            <w:tcBorders>
              <w:top w:val="nil"/>
              <w:left w:val="single" w:sz="4" w:space="0" w:color="auto"/>
              <w:bottom w:val="single" w:sz="4" w:space="0" w:color="auto"/>
              <w:right w:val="single" w:sz="4" w:space="0" w:color="auto"/>
            </w:tcBorders>
            <w:vAlign w:val="center"/>
          </w:tcPr>
          <w:p w:rsidR="00922B62" w:rsidRPr="002D6E85" w:rsidRDefault="00922B62" w:rsidP="005C7B83">
            <w:pPr>
              <w:jc w:val="right"/>
              <w:rPr>
                <w:color w:val="000000"/>
                <w:sz w:val="20"/>
                <w:szCs w:val="20"/>
              </w:rPr>
            </w:pPr>
            <w:r w:rsidRPr="002D6E85">
              <w:rPr>
                <w:color w:val="000000"/>
                <w:sz w:val="20"/>
                <w:szCs w:val="20"/>
              </w:rPr>
              <w:t>51.6</w:t>
            </w:r>
            <w:r w:rsidR="00A058AA" w:rsidRPr="002D6E85">
              <w:rPr>
                <w:color w:val="000000"/>
                <w:sz w:val="20"/>
                <w:szCs w:val="20"/>
              </w:rPr>
              <w:t>2</w:t>
            </w:r>
          </w:p>
        </w:tc>
        <w:tc>
          <w:tcPr>
            <w:tcW w:w="498" w:type="pct"/>
            <w:tcBorders>
              <w:top w:val="nil"/>
              <w:left w:val="single" w:sz="4" w:space="0" w:color="auto"/>
              <w:bottom w:val="single" w:sz="4" w:space="0" w:color="auto"/>
              <w:right w:val="single" w:sz="4" w:space="0" w:color="auto"/>
            </w:tcBorders>
          </w:tcPr>
          <w:p w:rsidR="00922B62" w:rsidRPr="002D6E85" w:rsidRDefault="00A058AA" w:rsidP="005C7B83">
            <w:pPr>
              <w:jc w:val="right"/>
              <w:rPr>
                <w:color w:val="000000"/>
                <w:sz w:val="20"/>
                <w:szCs w:val="20"/>
                <w:lang w:val="en-CA"/>
              </w:rPr>
            </w:pPr>
            <w:r w:rsidRPr="002D6E85">
              <w:rPr>
                <w:color w:val="000000"/>
                <w:sz w:val="20"/>
                <w:szCs w:val="20"/>
                <w:lang w:val="en-CA"/>
              </w:rPr>
              <w:t>35.69</w:t>
            </w:r>
          </w:p>
        </w:tc>
        <w:tc>
          <w:tcPr>
            <w:tcW w:w="497" w:type="pct"/>
            <w:tcBorders>
              <w:top w:val="nil"/>
              <w:left w:val="single" w:sz="4" w:space="0" w:color="auto"/>
              <w:bottom w:val="single" w:sz="4" w:space="0" w:color="auto"/>
              <w:right w:val="single" w:sz="4" w:space="0" w:color="auto"/>
            </w:tcBorders>
            <w:shd w:val="clear" w:color="auto" w:fill="auto"/>
            <w:noWrap/>
            <w:vAlign w:val="center"/>
          </w:tcPr>
          <w:p w:rsidR="00922B62" w:rsidRPr="002D6E85" w:rsidRDefault="00922B62" w:rsidP="005C7B83">
            <w:pPr>
              <w:jc w:val="right"/>
              <w:rPr>
                <w:color w:val="000000"/>
                <w:sz w:val="20"/>
                <w:szCs w:val="20"/>
              </w:rPr>
            </w:pPr>
            <w:r w:rsidRPr="002D6E85">
              <w:rPr>
                <w:color w:val="000000"/>
                <w:sz w:val="20"/>
                <w:szCs w:val="20"/>
                <w:lang w:val="en-CA"/>
              </w:rPr>
              <w:t>48.</w:t>
            </w:r>
            <w:r w:rsidR="00F6187E" w:rsidRPr="002D6E85">
              <w:rPr>
                <w:color w:val="000000"/>
                <w:sz w:val="20"/>
                <w:szCs w:val="20"/>
                <w:lang w:val="en-CA"/>
              </w:rPr>
              <w:t>4</w:t>
            </w:r>
            <w:r w:rsidRPr="002D6E85">
              <w:rPr>
                <w:color w:val="000000"/>
                <w:sz w:val="20"/>
                <w:szCs w:val="20"/>
                <w:lang w:val="en-CA"/>
              </w:rPr>
              <w:t>**</w:t>
            </w:r>
          </w:p>
        </w:tc>
      </w:tr>
      <w:tr w:rsidR="00840B46" w:rsidRPr="002D6E85" w:rsidTr="00840B46">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40B46" w:rsidRPr="002D6E85" w:rsidRDefault="00840B46" w:rsidP="005C7B83">
            <w:pPr>
              <w:widowControl w:val="0"/>
              <w:jc w:val="left"/>
              <w:rPr>
                <w:color w:val="000000"/>
                <w:sz w:val="20"/>
                <w:szCs w:val="20"/>
                <w:lang w:val="en-CA"/>
              </w:rPr>
            </w:pPr>
            <w:r w:rsidRPr="002D6E85">
              <w:rPr>
                <w:b/>
                <w:bCs/>
                <w:color w:val="000000"/>
                <w:sz w:val="20"/>
                <w:szCs w:val="20"/>
                <w:lang w:val="en-CA"/>
              </w:rPr>
              <w:t>ODP tonnes</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HCFC-22</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16.18</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24.95</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14.40</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16.40</w:t>
            </w:r>
          </w:p>
        </w:tc>
        <w:tc>
          <w:tcPr>
            <w:tcW w:w="498" w:type="pct"/>
            <w:tcBorders>
              <w:top w:val="nil"/>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13.98</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21.</w:t>
            </w:r>
            <w:r w:rsidR="0077347A" w:rsidRPr="002D6E85">
              <w:rPr>
                <w:color w:val="000000"/>
                <w:sz w:val="20"/>
                <w:szCs w:val="20"/>
              </w:rPr>
              <w:t>08</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HCFC-123</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0.01</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0.04</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0.01</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0.03</w:t>
            </w:r>
          </w:p>
        </w:tc>
        <w:tc>
          <w:tcPr>
            <w:tcW w:w="498" w:type="pct"/>
            <w:tcBorders>
              <w:top w:val="nil"/>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0.03</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0.0</w:t>
            </w:r>
            <w:r w:rsidR="0077347A" w:rsidRPr="002D6E85">
              <w:rPr>
                <w:color w:val="000000"/>
                <w:sz w:val="20"/>
                <w:szCs w:val="20"/>
              </w:rPr>
              <w:t>4</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HCFC-124</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0.09</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0.13</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0.16</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0.14</w:t>
            </w:r>
          </w:p>
        </w:tc>
        <w:tc>
          <w:tcPr>
            <w:tcW w:w="498" w:type="pct"/>
            <w:tcBorders>
              <w:top w:val="nil"/>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0.07</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w:t>
            </w:r>
            <w:r w:rsidR="0077347A" w:rsidRPr="002D6E85">
              <w:rPr>
                <w:color w:val="000000"/>
                <w:sz w:val="20"/>
                <w:szCs w:val="20"/>
              </w:rPr>
              <w:t>09</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HCFC-141b</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0.92</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2.6</w:t>
            </w:r>
            <w:r w:rsidR="00811AC8" w:rsidRPr="002D6E85">
              <w:rPr>
                <w:color w:val="000000"/>
                <w:sz w:val="20"/>
                <w:szCs w:val="20"/>
              </w:rPr>
              <w:t>4</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0.70</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1.06</w:t>
            </w:r>
          </w:p>
        </w:tc>
        <w:tc>
          <w:tcPr>
            <w:tcW w:w="498" w:type="pct"/>
            <w:tcBorders>
              <w:top w:val="nil"/>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1.63</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1.</w:t>
            </w:r>
            <w:r w:rsidR="0077347A" w:rsidRPr="002D6E85">
              <w:rPr>
                <w:color w:val="000000"/>
                <w:sz w:val="20"/>
                <w:szCs w:val="20"/>
              </w:rPr>
              <w:t>49</w:t>
            </w:r>
          </w:p>
        </w:tc>
      </w:tr>
      <w:tr w:rsidR="00922B62" w:rsidRPr="002D6E85" w:rsidTr="00922B62">
        <w:tc>
          <w:tcPr>
            <w:tcW w:w="21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22B62" w:rsidRPr="002D6E85" w:rsidRDefault="00922B62" w:rsidP="005C7B83">
            <w:pPr>
              <w:widowControl w:val="0"/>
              <w:jc w:val="left"/>
              <w:rPr>
                <w:color w:val="000000"/>
                <w:sz w:val="20"/>
                <w:szCs w:val="20"/>
                <w:lang w:val="en-CA"/>
              </w:rPr>
            </w:pPr>
            <w:r w:rsidRPr="002D6E85">
              <w:rPr>
                <w:color w:val="000000"/>
                <w:sz w:val="20"/>
                <w:szCs w:val="20"/>
                <w:lang w:val="en-CA"/>
              </w:rPr>
              <w:t>HCFC-142b</w:t>
            </w:r>
          </w:p>
        </w:tc>
        <w:tc>
          <w:tcPr>
            <w:tcW w:w="432"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0.41</w:t>
            </w:r>
          </w:p>
        </w:tc>
        <w:tc>
          <w:tcPr>
            <w:tcW w:w="435" w:type="pct"/>
            <w:tcBorders>
              <w:top w:val="nil"/>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0.29</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0.20</w:t>
            </w:r>
          </w:p>
        </w:tc>
        <w:tc>
          <w:tcPr>
            <w:tcW w:w="511" w:type="pct"/>
            <w:tcBorders>
              <w:top w:val="nil"/>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0.17</w:t>
            </w:r>
          </w:p>
        </w:tc>
        <w:tc>
          <w:tcPr>
            <w:tcW w:w="498" w:type="pct"/>
            <w:tcBorders>
              <w:top w:val="nil"/>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0.06</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0.6</w:t>
            </w:r>
            <w:r w:rsidR="0077347A" w:rsidRPr="002D6E85">
              <w:rPr>
                <w:color w:val="000000"/>
                <w:sz w:val="20"/>
                <w:szCs w:val="20"/>
              </w:rPr>
              <w:t>3</w:t>
            </w:r>
          </w:p>
        </w:tc>
      </w:tr>
      <w:tr w:rsidR="00922B62" w:rsidRPr="002D6E85" w:rsidTr="00922B62">
        <w:tc>
          <w:tcPr>
            <w:tcW w:w="21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922B62" w:rsidRPr="002D6E85" w:rsidRDefault="00915FBE" w:rsidP="005C7B83">
            <w:pPr>
              <w:jc w:val="left"/>
              <w:rPr>
                <w:rFonts w:eastAsiaTheme="minorHAnsi"/>
                <w:b/>
                <w:sz w:val="20"/>
                <w:szCs w:val="20"/>
                <w:lang w:val="en-CA"/>
              </w:rPr>
            </w:pPr>
            <w:r w:rsidRPr="002D6E85">
              <w:rPr>
                <w:b/>
                <w:sz w:val="20"/>
                <w:szCs w:val="20"/>
                <w:lang w:val="en-CA"/>
              </w:rPr>
              <w:t>Total (ODP tonnes)</w:t>
            </w:r>
          </w:p>
        </w:tc>
        <w:tc>
          <w:tcPr>
            <w:tcW w:w="432" w:type="pct"/>
            <w:tcBorders>
              <w:top w:val="single" w:sz="4" w:space="0" w:color="auto"/>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17.62</w:t>
            </w:r>
          </w:p>
        </w:tc>
        <w:tc>
          <w:tcPr>
            <w:tcW w:w="435" w:type="pct"/>
            <w:tcBorders>
              <w:top w:val="single" w:sz="4" w:space="0" w:color="auto"/>
              <w:left w:val="nil"/>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28.05</w:t>
            </w:r>
          </w:p>
        </w:tc>
        <w:tc>
          <w:tcPr>
            <w:tcW w:w="482" w:type="pct"/>
            <w:tcBorders>
              <w:top w:val="single" w:sz="4" w:space="0" w:color="auto"/>
              <w:left w:val="nil"/>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15.47</w:t>
            </w:r>
          </w:p>
        </w:tc>
        <w:tc>
          <w:tcPr>
            <w:tcW w:w="511" w:type="pct"/>
            <w:tcBorders>
              <w:top w:val="single" w:sz="4" w:space="0" w:color="auto"/>
              <w:left w:val="single" w:sz="4" w:space="0" w:color="auto"/>
              <w:bottom w:val="single" w:sz="4" w:space="0" w:color="auto"/>
              <w:right w:val="single" w:sz="4" w:space="0" w:color="auto"/>
            </w:tcBorders>
            <w:vAlign w:val="bottom"/>
          </w:tcPr>
          <w:p w:rsidR="00922B62" w:rsidRPr="002D6E85" w:rsidRDefault="00922B62" w:rsidP="005C7B83">
            <w:pPr>
              <w:jc w:val="right"/>
              <w:rPr>
                <w:color w:val="000000"/>
                <w:sz w:val="20"/>
                <w:szCs w:val="20"/>
              </w:rPr>
            </w:pPr>
            <w:r w:rsidRPr="002D6E85">
              <w:rPr>
                <w:color w:val="000000"/>
                <w:sz w:val="20"/>
                <w:szCs w:val="20"/>
              </w:rPr>
              <w:t>17.80</w:t>
            </w:r>
          </w:p>
        </w:tc>
        <w:tc>
          <w:tcPr>
            <w:tcW w:w="498" w:type="pct"/>
            <w:tcBorders>
              <w:top w:val="single" w:sz="4" w:space="0" w:color="auto"/>
              <w:left w:val="single" w:sz="4" w:space="0" w:color="auto"/>
              <w:bottom w:val="single" w:sz="4" w:space="0" w:color="auto"/>
              <w:right w:val="single" w:sz="4" w:space="0" w:color="auto"/>
            </w:tcBorders>
          </w:tcPr>
          <w:p w:rsidR="00922B62" w:rsidRPr="002D6E85" w:rsidRDefault="006A6375" w:rsidP="005C7B83">
            <w:pPr>
              <w:jc w:val="right"/>
              <w:rPr>
                <w:color w:val="000000"/>
                <w:sz w:val="20"/>
                <w:szCs w:val="20"/>
              </w:rPr>
            </w:pPr>
            <w:r w:rsidRPr="002D6E85">
              <w:rPr>
                <w:color w:val="000000"/>
                <w:sz w:val="20"/>
                <w:szCs w:val="20"/>
              </w:rPr>
              <w:t>15.78</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2B62" w:rsidRPr="002D6E85" w:rsidRDefault="00922B62" w:rsidP="005C7B83">
            <w:pPr>
              <w:jc w:val="right"/>
              <w:rPr>
                <w:color w:val="000000"/>
                <w:sz w:val="20"/>
                <w:szCs w:val="20"/>
              </w:rPr>
            </w:pPr>
            <w:r w:rsidRPr="002D6E85">
              <w:rPr>
                <w:color w:val="000000"/>
                <w:sz w:val="20"/>
                <w:szCs w:val="20"/>
              </w:rPr>
              <w:t>23.</w:t>
            </w:r>
            <w:r w:rsidR="0077347A" w:rsidRPr="002D6E85">
              <w:rPr>
                <w:color w:val="000000"/>
                <w:sz w:val="20"/>
                <w:szCs w:val="20"/>
              </w:rPr>
              <w:t>33</w:t>
            </w:r>
          </w:p>
        </w:tc>
      </w:tr>
      <w:tr w:rsidR="00922B62" w:rsidRPr="002D6E85" w:rsidTr="00922B62">
        <w:tc>
          <w:tcPr>
            <w:tcW w:w="21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922B62" w:rsidRPr="002D6E85" w:rsidRDefault="00922B62" w:rsidP="005C7B83">
            <w:pPr>
              <w:jc w:val="left"/>
              <w:rPr>
                <w:color w:val="000000"/>
                <w:sz w:val="20"/>
                <w:szCs w:val="20"/>
                <w:lang w:val="en-CA"/>
              </w:rPr>
            </w:pPr>
            <w:r w:rsidRPr="002D6E85">
              <w:rPr>
                <w:color w:val="000000"/>
                <w:sz w:val="20"/>
                <w:szCs w:val="20"/>
                <w:lang w:val="en-CA"/>
              </w:rPr>
              <w:t xml:space="preserve">HCFC-141b in imported pre-blended polyols* </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922B62" w:rsidRPr="002D6E85" w:rsidRDefault="00922B62" w:rsidP="005C7B83">
            <w:pPr>
              <w:jc w:val="right"/>
              <w:rPr>
                <w:color w:val="000000"/>
                <w:sz w:val="20"/>
                <w:szCs w:val="20"/>
              </w:rPr>
            </w:pPr>
            <w:r w:rsidRPr="002D6E85">
              <w:rPr>
                <w:color w:val="000000"/>
                <w:sz w:val="20"/>
                <w:szCs w:val="20"/>
                <w:lang w:val="en-CA"/>
              </w:rPr>
              <w:t>4.61</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22B62" w:rsidRPr="002D6E85" w:rsidRDefault="00922B62" w:rsidP="005C7B83">
            <w:pPr>
              <w:jc w:val="right"/>
              <w:rPr>
                <w:color w:val="000000"/>
                <w:sz w:val="20"/>
                <w:szCs w:val="20"/>
              </w:rPr>
            </w:pPr>
            <w:r w:rsidRPr="002D6E85">
              <w:rPr>
                <w:color w:val="000000"/>
                <w:sz w:val="20"/>
                <w:szCs w:val="20"/>
                <w:lang w:val="en-CA"/>
              </w:rPr>
              <w:t>0</w:t>
            </w:r>
          </w:p>
        </w:tc>
        <w:tc>
          <w:tcPr>
            <w:tcW w:w="482" w:type="pct"/>
            <w:tcBorders>
              <w:top w:val="single" w:sz="4" w:space="0" w:color="auto"/>
              <w:left w:val="nil"/>
              <w:bottom w:val="single" w:sz="4" w:space="0" w:color="auto"/>
              <w:right w:val="single" w:sz="4" w:space="0" w:color="auto"/>
            </w:tcBorders>
            <w:vAlign w:val="center"/>
          </w:tcPr>
          <w:p w:rsidR="00922B62" w:rsidRPr="002D6E85" w:rsidRDefault="00922B62" w:rsidP="005C7B83">
            <w:pPr>
              <w:jc w:val="right"/>
              <w:rPr>
                <w:color w:val="000000"/>
                <w:sz w:val="20"/>
                <w:szCs w:val="20"/>
              </w:rPr>
            </w:pPr>
            <w:r w:rsidRPr="002D6E85">
              <w:rPr>
                <w:color w:val="000000"/>
                <w:sz w:val="20"/>
                <w:szCs w:val="20"/>
                <w:lang w:val="en-CA"/>
              </w:rPr>
              <w:t>6.70</w:t>
            </w:r>
          </w:p>
        </w:tc>
        <w:tc>
          <w:tcPr>
            <w:tcW w:w="511" w:type="pct"/>
            <w:tcBorders>
              <w:top w:val="single" w:sz="4" w:space="0" w:color="auto"/>
              <w:left w:val="single" w:sz="4" w:space="0" w:color="auto"/>
              <w:bottom w:val="single" w:sz="4" w:space="0" w:color="auto"/>
              <w:right w:val="single" w:sz="4" w:space="0" w:color="auto"/>
            </w:tcBorders>
            <w:vAlign w:val="center"/>
          </w:tcPr>
          <w:p w:rsidR="00922B62" w:rsidRPr="002D6E85" w:rsidRDefault="00922B62" w:rsidP="005C7B83">
            <w:pPr>
              <w:jc w:val="right"/>
              <w:rPr>
                <w:color w:val="000000"/>
                <w:sz w:val="20"/>
                <w:szCs w:val="20"/>
              </w:rPr>
            </w:pPr>
            <w:r w:rsidRPr="002D6E85">
              <w:rPr>
                <w:color w:val="000000"/>
                <w:sz w:val="20"/>
                <w:szCs w:val="20"/>
                <w:lang w:val="en-CA"/>
              </w:rPr>
              <w:t>5.68</w:t>
            </w:r>
          </w:p>
        </w:tc>
        <w:tc>
          <w:tcPr>
            <w:tcW w:w="498" w:type="pct"/>
            <w:tcBorders>
              <w:top w:val="single" w:sz="4" w:space="0" w:color="auto"/>
              <w:left w:val="single" w:sz="4" w:space="0" w:color="auto"/>
              <w:bottom w:val="single" w:sz="4" w:space="0" w:color="auto"/>
              <w:right w:val="single" w:sz="4" w:space="0" w:color="auto"/>
            </w:tcBorders>
          </w:tcPr>
          <w:p w:rsidR="00922B62" w:rsidRPr="002D6E85" w:rsidRDefault="00A058AA" w:rsidP="005C7B83">
            <w:pPr>
              <w:jc w:val="right"/>
              <w:rPr>
                <w:rFonts w:eastAsiaTheme="minorHAnsi"/>
                <w:color w:val="000000"/>
                <w:sz w:val="20"/>
                <w:szCs w:val="20"/>
                <w:lang w:val="en-CA"/>
              </w:rPr>
            </w:pPr>
            <w:r w:rsidRPr="002D6E85">
              <w:rPr>
                <w:rFonts w:eastAsiaTheme="minorHAnsi"/>
                <w:color w:val="000000"/>
                <w:sz w:val="20"/>
                <w:szCs w:val="20"/>
                <w:lang w:val="en-CA"/>
              </w:rPr>
              <w:t>3.93</w:t>
            </w:r>
          </w:p>
        </w:tc>
        <w:tc>
          <w:tcPr>
            <w:tcW w:w="497" w:type="pct"/>
            <w:tcBorders>
              <w:top w:val="single" w:sz="4" w:space="0" w:color="auto"/>
              <w:left w:val="single" w:sz="4" w:space="0" w:color="auto"/>
              <w:bottom w:val="single" w:sz="4" w:space="0" w:color="auto"/>
              <w:right w:val="single" w:sz="4" w:space="0" w:color="auto"/>
            </w:tcBorders>
            <w:shd w:val="clear" w:color="auto" w:fill="auto"/>
            <w:noWrap/>
          </w:tcPr>
          <w:p w:rsidR="00922B62" w:rsidRPr="002D6E85" w:rsidRDefault="00922B62" w:rsidP="005C7B83">
            <w:pPr>
              <w:jc w:val="right"/>
              <w:rPr>
                <w:rFonts w:eastAsiaTheme="minorHAnsi"/>
                <w:color w:val="000000"/>
                <w:sz w:val="20"/>
                <w:szCs w:val="20"/>
                <w:lang w:val="en-CA"/>
              </w:rPr>
            </w:pPr>
            <w:r w:rsidRPr="002D6E85">
              <w:rPr>
                <w:rFonts w:eastAsiaTheme="minorHAnsi"/>
                <w:color w:val="000000"/>
                <w:sz w:val="20"/>
                <w:szCs w:val="20"/>
                <w:lang w:val="en-CA"/>
              </w:rPr>
              <w:t>5.3</w:t>
            </w:r>
            <w:r w:rsidR="00F6187E" w:rsidRPr="002D6E85">
              <w:rPr>
                <w:rFonts w:eastAsiaTheme="minorHAnsi"/>
                <w:color w:val="000000"/>
                <w:sz w:val="20"/>
                <w:szCs w:val="20"/>
                <w:lang w:val="en-CA"/>
              </w:rPr>
              <w:t>3</w:t>
            </w:r>
            <w:r w:rsidRPr="002D6E85">
              <w:rPr>
                <w:rFonts w:eastAsiaTheme="minorHAnsi"/>
                <w:color w:val="000000"/>
                <w:sz w:val="20"/>
                <w:szCs w:val="20"/>
                <w:lang w:val="en-CA"/>
              </w:rPr>
              <w:t>**</w:t>
            </w:r>
          </w:p>
        </w:tc>
      </w:tr>
    </w:tbl>
    <w:p w:rsidR="00BB44BB" w:rsidRPr="005C7B83" w:rsidRDefault="00BB44BB" w:rsidP="005C7B83">
      <w:pPr>
        <w:rPr>
          <w:sz w:val="16"/>
          <w:szCs w:val="16"/>
          <w:lang w:val="en-CA"/>
        </w:rPr>
      </w:pPr>
      <w:r w:rsidRPr="005C7B83">
        <w:rPr>
          <w:sz w:val="16"/>
          <w:szCs w:val="16"/>
          <w:lang w:val="en-CA"/>
        </w:rPr>
        <w:t>*</w:t>
      </w:r>
      <w:r w:rsidR="00A058AA" w:rsidRPr="005C7B83">
        <w:rPr>
          <w:sz w:val="16"/>
          <w:szCs w:val="16"/>
          <w:lang w:val="en-CA"/>
        </w:rPr>
        <w:t>County programme data</w:t>
      </w:r>
    </w:p>
    <w:p w:rsidR="00BB44BB" w:rsidRPr="005C7B83" w:rsidRDefault="00BB44BB" w:rsidP="005C7B83">
      <w:pPr>
        <w:rPr>
          <w:sz w:val="28"/>
          <w:szCs w:val="28"/>
          <w:lang w:val="en-CA"/>
        </w:rPr>
      </w:pPr>
      <w:r w:rsidRPr="005C7B83">
        <w:rPr>
          <w:sz w:val="16"/>
          <w:szCs w:val="16"/>
          <w:lang w:val="en-CA"/>
        </w:rPr>
        <w:t>**Average consumption between 2007 and 2009</w:t>
      </w:r>
    </w:p>
    <w:p w:rsidR="00BB44BB" w:rsidRPr="002D6E85" w:rsidRDefault="00BB44BB" w:rsidP="002748EF">
      <w:pPr>
        <w:rPr>
          <w:highlight w:val="magenta"/>
          <w:lang w:val="en-CA"/>
        </w:rPr>
      </w:pPr>
    </w:p>
    <w:p w:rsidR="005C7B83" w:rsidRPr="002748EF" w:rsidRDefault="00915FBE" w:rsidP="002748EF">
      <w:pPr>
        <w:pStyle w:val="Style1"/>
        <w:numPr>
          <w:ilvl w:val="0"/>
          <w:numId w:val="7"/>
        </w:numPr>
        <w:spacing w:line="240" w:lineRule="auto"/>
        <w:ind w:left="0" w:firstLine="0"/>
      </w:pPr>
      <w:r w:rsidRPr="002748EF">
        <w:t xml:space="preserve">The reductions </w:t>
      </w:r>
      <w:r w:rsidR="00607D1B" w:rsidRPr="002748EF">
        <w:t xml:space="preserve">in HCFC </w:t>
      </w:r>
      <w:r w:rsidR="005F68F6" w:rsidRPr="002748EF">
        <w:t xml:space="preserve">consumption </w:t>
      </w:r>
      <w:r w:rsidRPr="002748EF">
        <w:t xml:space="preserve">are </w:t>
      </w:r>
      <w:r w:rsidR="00DF6718" w:rsidRPr="002D6E85">
        <w:t>attributed</w:t>
      </w:r>
      <w:r w:rsidR="005B4875" w:rsidRPr="002D6E85">
        <w:t xml:space="preserve"> to the activities </w:t>
      </w:r>
      <w:r w:rsidRPr="002D6E85">
        <w:t xml:space="preserve">in the refrigeration servicing sector </w:t>
      </w:r>
      <w:r w:rsidR="005B4875" w:rsidRPr="002D6E85">
        <w:t xml:space="preserve">conducted during </w:t>
      </w:r>
      <w:r w:rsidR="00744BC1" w:rsidRPr="002D6E85">
        <w:t>s</w:t>
      </w:r>
      <w:r w:rsidR="005B4875" w:rsidRPr="002D6E85">
        <w:t xml:space="preserve">tage I and the introduction of RAC systems based on </w:t>
      </w:r>
      <w:r w:rsidR="00607D1B" w:rsidRPr="002D6E85">
        <w:t>R</w:t>
      </w:r>
      <w:r w:rsidR="003B1FDF" w:rsidRPr="002D6E85">
        <w:t>-404A</w:t>
      </w:r>
      <w:r w:rsidR="007358E4" w:rsidRPr="002D6E85">
        <w:t>,</w:t>
      </w:r>
      <w:r w:rsidR="005C7B83" w:rsidRPr="002D6E85">
        <w:t xml:space="preserve"> </w:t>
      </w:r>
      <w:r w:rsidR="00607D1B" w:rsidRPr="002D6E85">
        <w:t>R</w:t>
      </w:r>
      <w:r w:rsidRPr="002D6E85">
        <w:t>-410A</w:t>
      </w:r>
      <w:r w:rsidR="007358E4" w:rsidRPr="002D6E85">
        <w:t>,</w:t>
      </w:r>
      <w:r w:rsidR="005C7B83" w:rsidRPr="002D6E85">
        <w:t xml:space="preserve"> </w:t>
      </w:r>
      <w:r w:rsidR="00607D1B" w:rsidRPr="002D6E85">
        <w:t>R</w:t>
      </w:r>
      <w:r w:rsidR="003B1FDF" w:rsidRPr="002D6E85">
        <w:t>-50</w:t>
      </w:r>
      <w:r w:rsidR="007358E4" w:rsidRPr="002D6E85">
        <w:t xml:space="preserve">7 </w:t>
      </w:r>
      <w:r w:rsidR="00583F46" w:rsidRPr="002D6E85">
        <w:t>refrigerants</w:t>
      </w:r>
      <w:r w:rsidR="005B4875" w:rsidRPr="002D6E85">
        <w:t xml:space="preserve">. The </w:t>
      </w:r>
      <w:r w:rsidR="0052393B" w:rsidRPr="002D6E85">
        <w:t xml:space="preserve">increase in </w:t>
      </w:r>
      <w:r w:rsidR="005B4875" w:rsidRPr="002D6E85">
        <w:t>consumption of</w:t>
      </w:r>
      <w:r w:rsidR="00A32832">
        <w:t xml:space="preserve"> </w:t>
      </w:r>
      <w:r w:rsidR="005B4875" w:rsidRPr="002D6E85">
        <w:t>H</w:t>
      </w:r>
      <w:r w:rsidR="0052393B" w:rsidRPr="002D6E85">
        <w:t xml:space="preserve">CFC-141b </w:t>
      </w:r>
      <w:r w:rsidR="007728DB" w:rsidRPr="002D6E85">
        <w:t xml:space="preserve">was </w:t>
      </w:r>
      <w:r w:rsidR="003C5623" w:rsidRPr="002D6E85">
        <w:t>due to</w:t>
      </w:r>
      <w:r w:rsidR="005C7B83" w:rsidRPr="002D6E85">
        <w:t xml:space="preserve"> </w:t>
      </w:r>
      <w:r w:rsidR="005B4875" w:rsidRPr="002D6E85">
        <w:t xml:space="preserve">stockpiling </w:t>
      </w:r>
      <w:r w:rsidR="0052393B" w:rsidRPr="002D6E85">
        <w:t>and increased inventories</w:t>
      </w:r>
      <w:r w:rsidR="00B87021" w:rsidRPr="002748EF">
        <w:t xml:space="preserve"> to reduce freight costs, and </w:t>
      </w:r>
      <w:r w:rsidR="005B4875" w:rsidRPr="002D6E85">
        <w:t xml:space="preserve">in anticipation of </w:t>
      </w:r>
      <w:r w:rsidR="00B87021" w:rsidRPr="002748EF">
        <w:t>the ban on the imports of HCFC-141b, intended to be in place by 1 January 2018.</w:t>
      </w:r>
    </w:p>
    <w:p w:rsidR="0052393B" w:rsidRPr="002D6E85" w:rsidRDefault="0052393B" w:rsidP="002748EF">
      <w:pPr>
        <w:pStyle w:val="ListParagraph"/>
        <w:widowControl w:val="0"/>
        <w:autoSpaceDE w:val="0"/>
        <w:autoSpaceDN w:val="0"/>
        <w:adjustRightInd w:val="0"/>
        <w:ind w:left="0"/>
        <w:rPr>
          <w:lang w:eastAsia="ja-JP"/>
        </w:rPr>
      </w:pPr>
    </w:p>
    <w:p w:rsidR="00065F79" w:rsidRPr="002D6E85" w:rsidRDefault="0052393B" w:rsidP="002748EF">
      <w:pPr>
        <w:pStyle w:val="Heading1"/>
        <w:rPr>
          <w:i/>
          <w:lang w:val="en-CA"/>
        </w:rPr>
      </w:pPr>
      <w:r w:rsidRPr="002D6E85">
        <w:rPr>
          <w:i/>
        </w:rPr>
        <w:t xml:space="preserve">Polyurethane (PU) foam </w:t>
      </w:r>
      <w:r w:rsidR="00065F79" w:rsidRPr="002D6E85">
        <w:rPr>
          <w:i/>
          <w:lang w:val="en-CA"/>
        </w:rPr>
        <w:t>manufacturing sector</w:t>
      </w:r>
    </w:p>
    <w:p w:rsidR="0052393B" w:rsidRDefault="0052393B" w:rsidP="002748EF">
      <w:pPr>
        <w:pStyle w:val="Style1"/>
        <w:numPr>
          <w:ilvl w:val="0"/>
          <w:numId w:val="7"/>
        </w:numPr>
        <w:spacing w:line="240" w:lineRule="auto"/>
        <w:ind w:left="0" w:firstLine="0"/>
      </w:pPr>
      <w:r w:rsidRPr="002D6E85">
        <w:t>There is no systems house in Uruguay</w:t>
      </w:r>
      <w:r w:rsidR="00583F46" w:rsidRPr="002D6E85">
        <w:t>,</w:t>
      </w:r>
      <w:r w:rsidRPr="002D6E85">
        <w:t xml:space="preserve"> therefore all </w:t>
      </w:r>
      <w:r w:rsidR="00C7624E" w:rsidRPr="002D6E85">
        <w:t xml:space="preserve">HCFC-141b </w:t>
      </w:r>
      <w:r w:rsidRPr="002D6E85">
        <w:t>is</w:t>
      </w:r>
      <w:r w:rsidR="00AB6464" w:rsidRPr="002D6E85">
        <w:t xml:space="preserve"> imported </w:t>
      </w:r>
      <w:r w:rsidRPr="002D6E85">
        <w:t xml:space="preserve">in </w:t>
      </w:r>
      <w:r w:rsidR="00AB6464" w:rsidRPr="002D6E85">
        <w:t xml:space="preserve">pre-blended </w:t>
      </w:r>
      <w:r w:rsidR="003C5623" w:rsidRPr="002D6E85">
        <w:t>polyols largely</w:t>
      </w:r>
      <w:r w:rsidR="00A32832">
        <w:t xml:space="preserve"> </w:t>
      </w:r>
      <w:r w:rsidR="00C7624E" w:rsidRPr="002D6E85">
        <w:t xml:space="preserve">used to produce </w:t>
      </w:r>
      <w:r w:rsidR="003B1FDF" w:rsidRPr="002D6E85">
        <w:t xml:space="preserve">spray foam for </w:t>
      </w:r>
      <w:r w:rsidR="00630D15" w:rsidRPr="002D6E85">
        <w:t>rigid insulati</w:t>
      </w:r>
      <w:r w:rsidR="00964032" w:rsidRPr="002D6E85">
        <w:t>on</w:t>
      </w:r>
      <w:r w:rsidR="00630D15" w:rsidRPr="002D6E85">
        <w:t xml:space="preserve"> and</w:t>
      </w:r>
      <w:r w:rsidR="00C7624E" w:rsidRPr="002D6E85">
        <w:t xml:space="preserve"> water </w:t>
      </w:r>
      <w:r w:rsidR="003C5623" w:rsidRPr="002D6E85">
        <w:t>heaters, with</w:t>
      </w:r>
      <w:r w:rsidR="00964032" w:rsidRPr="002D6E85">
        <w:t xml:space="preserve"> small amount</w:t>
      </w:r>
      <w:r w:rsidR="00AB6464" w:rsidRPr="002D6E85">
        <w:t>s</w:t>
      </w:r>
      <w:r w:rsidR="00964032" w:rsidRPr="002D6E85">
        <w:t xml:space="preserve"> used in</w:t>
      </w:r>
      <w:r w:rsidR="00065F79" w:rsidRPr="002D6E85">
        <w:t xml:space="preserve"> the manufacture of </w:t>
      </w:r>
      <w:r w:rsidR="00630D15" w:rsidRPr="002D6E85">
        <w:t xml:space="preserve">discontinuous </w:t>
      </w:r>
      <w:r w:rsidR="000D3570" w:rsidRPr="002D6E85">
        <w:t xml:space="preserve">panels, </w:t>
      </w:r>
      <w:r w:rsidR="00065F79" w:rsidRPr="002D6E85">
        <w:t>integral skin f</w:t>
      </w:r>
      <w:r w:rsidR="00071463" w:rsidRPr="002D6E85">
        <w:t xml:space="preserve">oam for the furniture industry, </w:t>
      </w:r>
      <w:r w:rsidR="00065F79" w:rsidRPr="002D6E85">
        <w:t>thermoware and fl</w:t>
      </w:r>
      <w:r w:rsidR="00AB6464" w:rsidRPr="002D6E85">
        <w:t>otation</w:t>
      </w:r>
      <w:r w:rsidRPr="002D6E85">
        <w:t xml:space="preserve"> devices</w:t>
      </w:r>
      <w:r w:rsidR="00583F46" w:rsidRPr="002D6E85">
        <w:t xml:space="preserve">, by </w:t>
      </w:r>
      <w:r w:rsidRPr="002D6E85">
        <w:t>24 small and medium</w:t>
      </w:r>
      <w:r w:rsidR="00583F46" w:rsidRPr="002D6E85">
        <w:t xml:space="preserve">-sized </w:t>
      </w:r>
      <w:r w:rsidRPr="002D6E85">
        <w:t>enterprises</w:t>
      </w:r>
      <w:r w:rsidR="00231C99" w:rsidRPr="002D6E85">
        <w:t xml:space="preserve"> (SMEs)</w:t>
      </w:r>
      <w:r w:rsidR="005C7B83" w:rsidRPr="002D6E85">
        <w:t xml:space="preserve"> </w:t>
      </w:r>
      <w:r w:rsidR="00583F46" w:rsidRPr="002D6E85">
        <w:t>(Table 2)</w:t>
      </w:r>
      <w:r w:rsidRPr="002D6E85">
        <w:t>.</w:t>
      </w:r>
    </w:p>
    <w:p w:rsidR="002748EF" w:rsidRPr="002D6E85" w:rsidRDefault="002748EF" w:rsidP="002748EF">
      <w:pPr>
        <w:pStyle w:val="Style1"/>
        <w:numPr>
          <w:ilvl w:val="0"/>
          <w:numId w:val="0"/>
        </w:numPr>
        <w:spacing w:line="240" w:lineRule="auto"/>
      </w:pPr>
    </w:p>
    <w:p w:rsidR="003D5DD3" w:rsidRPr="005C7B83" w:rsidRDefault="003D5DD3" w:rsidP="002748EF">
      <w:pPr>
        <w:pStyle w:val="Heading1"/>
        <w:keepNext/>
        <w:spacing w:after="0"/>
        <w:rPr>
          <w:b/>
        </w:rPr>
      </w:pPr>
      <w:r w:rsidRPr="005C7B83">
        <w:rPr>
          <w:b/>
        </w:rPr>
        <w:lastRenderedPageBreak/>
        <w:t xml:space="preserve">Table </w:t>
      </w:r>
      <w:r w:rsidR="00416F96" w:rsidRPr="005C7B83">
        <w:rPr>
          <w:b/>
        </w:rPr>
        <w:t>2</w:t>
      </w:r>
      <w:r w:rsidR="00F25238" w:rsidRPr="005C7B83">
        <w:rPr>
          <w:b/>
        </w:rPr>
        <w:t>.</w:t>
      </w:r>
      <w:r w:rsidR="00EA61B6">
        <w:rPr>
          <w:b/>
        </w:rPr>
        <w:t xml:space="preserve"> </w:t>
      </w:r>
      <w:r w:rsidR="00F25238" w:rsidRPr="005C7B83">
        <w:rPr>
          <w:b/>
        </w:rPr>
        <w:t>Estimated 2013-2015 average consumption of HCFC</w:t>
      </w:r>
      <w:r w:rsidR="00A32832">
        <w:rPr>
          <w:b/>
        </w:rPr>
        <w:t>-</w:t>
      </w:r>
      <w:r w:rsidR="00F25238" w:rsidRPr="005C7B83">
        <w:rPr>
          <w:b/>
        </w:rPr>
        <w:t>141b</w:t>
      </w:r>
      <w:r w:rsidR="00A32832">
        <w:rPr>
          <w:b/>
        </w:rPr>
        <w:t xml:space="preserve"> </w:t>
      </w:r>
      <w:r w:rsidR="00583F46" w:rsidRPr="005C7B83">
        <w:rPr>
          <w:b/>
        </w:rPr>
        <w:t xml:space="preserve">contained </w:t>
      </w:r>
      <w:r w:rsidR="00071463" w:rsidRPr="005C7B83">
        <w:rPr>
          <w:b/>
        </w:rPr>
        <w:t>in imported pre</w:t>
      </w:r>
      <w:r w:rsidR="00A32832">
        <w:rPr>
          <w:b/>
        </w:rPr>
        <w:noBreakHyphen/>
      </w:r>
      <w:r w:rsidR="00071463" w:rsidRPr="005C7B83">
        <w:rPr>
          <w:b/>
        </w:rPr>
        <w:t>blended polyols</w:t>
      </w:r>
    </w:p>
    <w:tbl>
      <w:tblPr>
        <w:tblStyle w:val="TableGrid"/>
        <w:tblW w:w="5000" w:type="pct"/>
        <w:tblLook w:val="04A0" w:firstRow="1" w:lastRow="0" w:firstColumn="1" w:lastColumn="0" w:noHBand="0" w:noVBand="1"/>
      </w:tblPr>
      <w:tblGrid>
        <w:gridCol w:w="3193"/>
        <w:gridCol w:w="1955"/>
        <w:gridCol w:w="1710"/>
        <w:gridCol w:w="2718"/>
      </w:tblGrid>
      <w:tr w:rsidR="00607D1B" w:rsidRPr="005C7B83" w:rsidTr="002D6E85">
        <w:tc>
          <w:tcPr>
            <w:tcW w:w="1667" w:type="pct"/>
            <w:vMerge w:val="restart"/>
            <w:vAlign w:val="center"/>
          </w:tcPr>
          <w:p w:rsidR="00607D1B" w:rsidRPr="005C7B83" w:rsidRDefault="00607D1B" w:rsidP="002748EF">
            <w:pPr>
              <w:keepNext/>
              <w:jc w:val="center"/>
              <w:rPr>
                <w:sz w:val="20"/>
                <w:szCs w:val="20"/>
              </w:rPr>
            </w:pPr>
            <w:r w:rsidRPr="005C7B83">
              <w:rPr>
                <w:b/>
                <w:bCs/>
                <w:color w:val="000000"/>
                <w:sz w:val="20"/>
                <w:szCs w:val="20"/>
                <w:lang w:val="en-US"/>
              </w:rPr>
              <w:t>Subsector</w:t>
            </w:r>
          </w:p>
        </w:tc>
        <w:tc>
          <w:tcPr>
            <w:tcW w:w="1914" w:type="pct"/>
            <w:gridSpan w:val="2"/>
          </w:tcPr>
          <w:p w:rsidR="00607D1B" w:rsidRPr="005C7B83" w:rsidRDefault="00607D1B" w:rsidP="002748EF">
            <w:pPr>
              <w:keepNext/>
              <w:jc w:val="center"/>
              <w:rPr>
                <w:sz w:val="20"/>
                <w:szCs w:val="20"/>
              </w:rPr>
            </w:pPr>
            <w:r w:rsidRPr="005C7B83">
              <w:rPr>
                <w:b/>
                <w:bCs/>
                <w:color w:val="000000"/>
                <w:sz w:val="20"/>
                <w:szCs w:val="20"/>
              </w:rPr>
              <w:t>Consumption</w:t>
            </w:r>
          </w:p>
        </w:tc>
        <w:tc>
          <w:tcPr>
            <w:tcW w:w="1419" w:type="pct"/>
            <w:vMerge w:val="restart"/>
            <w:vAlign w:val="center"/>
          </w:tcPr>
          <w:p w:rsidR="00607D1B" w:rsidRPr="005C7B83" w:rsidRDefault="00607D1B" w:rsidP="002748EF">
            <w:pPr>
              <w:keepNext/>
              <w:jc w:val="center"/>
              <w:rPr>
                <w:sz w:val="20"/>
                <w:szCs w:val="20"/>
              </w:rPr>
            </w:pPr>
            <w:r w:rsidRPr="005C7B83">
              <w:rPr>
                <w:b/>
                <w:bCs/>
                <w:color w:val="000000"/>
                <w:sz w:val="20"/>
                <w:szCs w:val="20"/>
              </w:rPr>
              <w:t>Percentage (%)</w:t>
            </w:r>
          </w:p>
        </w:tc>
      </w:tr>
      <w:tr w:rsidR="00607D1B" w:rsidRPr="005C7B83" w:rsidTr="002D6E85">
        <w:tc>
          <w:tcPr>
            <w:tcW w:w="1667" w:type="pct"/>
            <w:vMerge/>
          </w:tcPr>
          <w:p w:rsidR="00607D1B" w:rsidRPr="005C7B83" w:rsidRDefault="00607D1B" w:rsidP="002748EF">
            <w:pPr>
              <w:keepNext/>
              <w:rPr>
                <w:sz w:val="20"/>
                <w:szCs w:val="20"/>
              </w:rPr>
            </w:pPr>
          </w:p>
        </w:tc>
        <w:tc>
          <w:tcPr>
            <w:tcW w:w="1021" w:type="pct"/>
          </w:tcPr>
          <w:p w:rsidR="00607D1B" w:rsidRPr="005C7B83" w:rsidRDefault="00607D1B" w:rsidP="002748EF">
            <w:pPr>
              <w:keepNext/>
              <w:jc w:val="center"/>
              <w:rPr>
                <w:sz w:val="20"/>
                <w:szCs w:val="20"/>
              </w:rPr>
            </w:pPr>
            <w:r w:rsidRPr="005C7B83">
              <w:rPr>
                <w:b/>
                <w:bCs/>
                <w:color w:val="000000"/>
                <w:sz w:val="20"/>
                <w:szCs w:val="20"/>
              </w:rPr>
              <w:t>mt</w:t>
            </w:r>
          </w:p>
        </w:tc>
        <w:tc>
          <w:tcPr>
            <w:tcW w:w="893" w:type="pct"/>
          </w:tcPr>
          <w:p w:rsidR="00607D1B" w:rsidRPr="005C7B83" w:rsidRDefault="00607D1B" w:rsidP="002748EF">
            <w:pPr>
              <w:keepNext/>
              <w:jc w:val="center"/>
              <w:rPr>
                <w:sz w:val="20"/>
                <w:szCs w:val="20"/>
              </w:rPr>
            </w:pPr>
            <w:r w:rsidRPr="005C7B83">
              <w:rPr>
                <w:b/>
                <w:bCs/>
                <w:color w:val="000000"/>
                <w:sz w:val="20"/>
                <w:szCs w:val="20"/>
              </w:rPr>
              <w:t>ODP tonnes</w:t>
            </w:r>
          </w:p>
        </w:tc>
        <w:tc>
          <w:tcPr>
            <w:tcW w:w="1419" w:type="pct"/>
            <w:vMerge/>
          </w:tcPr>
          <w:p w:rsidR="00607D1B" w:rsidRPr="005C7B83" w:rsidRDefault="00607D1B" w:rsidP="002748EF">
            <w:pPr>
              <w:keepNext/>
              <w:rPr>
                <w:sz w:val="20"/>
                <w:szCs w:val="20"/>
              </w:rPr>
            </w:pPr>
          </w:p>
        </w:tc>
      </w:tr>
      <w:tr w:rsidR="00436A60" w:rsidRPr="005C7B83" w:rsidTr="002D6E85">
        <w:tc>
          <w:tcPr>
            <w:tcW w:w="1667" w:type="pct"/>
            <w:vAlign w:val="center"/>
          </w:tcPr>
          <w:p w:rsidR="00436A60" w:rsidRPr="005C7B83" w:rsidRDefault="00436A60" w:rsidP="002748EF">
            <w:pPr>
              <w:keepNext/>
              <w:rPr>
                <w:sz w:val="20"/>
                <w:szCs w:val="20"/>
              </w:rPr>
            </w:pPr>
            <w:r w:rsidRPr="005C7B83">
              <w:rPr>
                <w:bCs/>
                <w:color w:val="000000"/>
                <w:sz w:val="20"/>
                <w:szCs w:val="20"/>
                <w:lang w:val="en-US"/>
              </w:rPr>
              <w:t>Water heaters</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13.07</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1.44</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26</w:t>
            </w:r>
          </w:p>
        </w:tc>
      </w:tr>
      <w:tr w:rsidR="00436A60" w:rsidRPr="005C7B83" w:rsidTr="002D6E85">
        <w:tc>
          <w:tcPr>
            <w:tcW w:w="1667" w:type="pct"/>
            <w:vAlign w:val="center"/>
          </w:tcPr>
          <w:p w:rsidR="00436A60" w:rsidRPr="005C7B83" w:rsidRDefault="00436A60" w:rsidP="002748EF">
            <w:pPr>
              <w:keepNext/>
              <w:rPr>
                <w:sz w:val="20"/>
                <w:szCs w:val="20"/>
              </w:rPr>
            </w:pPr>
            <w:r w:rsidRPr="005C7B83">
              <w:rPr>
                <w:bCs/>
                <w:color w:val="000000"/>
                <w:sz w:val="20"/>
                <w:szCs w:val="20"/>
                <w:lang w:val="en-US"/>
              </w:rPr>
              <w:t>Discontinuous panels</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1.04</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0.11</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2</w:t>
            </w:r>
          </w:p>
        </w:tc>
      </w:tr>
      <w:tr w:rsidR="00436A60" w:rsidRPr="005C7B83" w:rsidTr="002D6E85">
        <w:tc>
          <w:tcPr>
            <w:tcW w:w="1667" w:type="pct"/>
            <w:vAlign w:val="center"/>
          </w:tcPr>
          <w:p w:rsidR="00436A60" w:rsidRPr="005C7B83" w:rsidRDefault="00436A60" w:rsidP="002748EF">
            <w:pPr>
              <w:keepNext/>
              <w:rPr>
                <w:sz w:val="20"/>
                <w:szCs w:val="20"/>
              </w:rPr>
            </w:pPr>
            <w:r w:rsidRPr="005C7B83">
              <w:rPr>
                <w:bCs/>
                <w:color w:val="000000"/>
                <w:sz w:val="20"/>
                <w:szCs w:val="20"/>
                <w:lang w:val="en-US"/>
              </w:rPr>
              <w:t>Thermoware</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0.12</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0.01</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0</w:t>
            </w:r>
          </w:p>
        </w:tc>
      </w:tr>
      <w:tr w:rsidR="00436A60" w:rsidRPr="005C7B83" w:rsidTr="002D6E85">
        <w:tc>
          <w:tcPr>
            <w:tcW w:w="1667" w:type="pct"/>
            <w:vAlign w:val="center"/>
          </w:tcPr>
          <w:p w:rsidR="00436A60" w:rsidRPr="005C7B83" w:rsidRDefault="00436A60" w:rsidP="002748EF">
            <w:pPr>
              <w:keepNext/>
              <w:rPr>
                <w:sz w:val="20"/>
                <w:szCs w:val="20"/>
              </w:rPr>
            </w:pPr>
            <w:r w:rsidRPr="005C7B83">
              <w:rPr>
                <w:bCs/>
                <w:color w:val="000000"/>
                <w:sz w:val="20"/>
                <w:szCs w:val="20"/>
                <w:lang w:val="en-US"/>
              </w:rPr>
              <w:t>Integral skin</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0.28</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0.03</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1</w:t>
            </w:r>
          </w:p>
        </w:tc>
      </w:tr>
      <w:tr w:rsidR="00436A60" w:rsidRPr="005C7B83" w:rsidTr="002D6E85">
        <w:tc>
          <w:tcPr>
            <w:tcW w:w="1667" w:type="pct"/>
            <w:vAlign w:val="center"/>
          </w:tcPr>
          <w:p w:rsidR="00436A60" w:rsidRPr="005C7B83" w:rsidRDefault="00436A60" w:rsidP="002748EF">
            <w:pPr>
              <w:keepNext/>
              <w:rPr>
                <w:sz w:val="20"/>
                <w:szCs w:val="20"/>
              </w:rPr>
            </w:pPr>
            <w:r w:rsidRPr="005C7B83">
              <w:rPr>
                <w:bCs/>
                <w:color w:val="000000"/>
                <w:sz w:val="20"/>
                <w:szCs w:val="20"/>
                <w:lang w:val="en-US"/>
              </w:rPr>
              <w:t>Spray</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35.62</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3.92</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71</w:t>
            </w:r>
          </w:p>
        </w:tc>
      </w:tr>
      <w:tr w:rsidR="00436A60" w:rsidRPr="005C7B83" w:rsidTr="002D6E85">
        <w:tc>
          <w:tcPr>
            <w:tcW w:w="1667" w:type="pct"/>
            <w:vAlign w:val="center"/>
          </w:tcPr>
          <w:p w:rsidR="00436A60" w:rsidRPr="005C7B83" w:rsidRDefault="00436A60" w:rsidP="002748EF">
            <w:pPr>
              <w:keepNext/>
              <w:rPr>
                <w:sz w:val="20"/>
                <w:szCs w:val="20"/>
              </w:rPr>
            </w:pPr>
            <w:r w:rsidRPr="005C7B83">
              <w:rPr>
                <w:bCs/>
                <w:color w:val="000000"/>
                <w:sz w:val="20"/>
                <w:szCs w:val="20"/>
                <w:lang w:val="en-US"/>
              </w:rPr>
              <w:t>Flotation</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0.10</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0.01</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0</w:t>
            </w:r>
          </w:p>
        </w:tc>
      </w:tr>
      <w:tr w:rsidR="00436A60" w:rsidRPr="005C7B83" w:rsidTr="002D6E85">
        <w:tc>
          <w:tcPr>
            <w:tcW w:w="1667" w:type="pct"/>
            <w:vAlign w:val="center"/>
          </w:tcPr>
          <w:p w:rsidR="00436A60" w:rsidRPr="005C7B83" w:rsidRDefault="00436A60" w:rsidP="002748EF">
            <w:pPr>
              <w:keepNext/>
              <w:rPr>
                <w:sz w:val="20"/>
                <w:szCs w:val="20"/>
              </w:rPr>
            </w:pPr>
            <w:r w:rsidRPr="005C7B83">
              <w:rPr>
                <w:b/>
                <w:bCs/>
                <w:color w:val="000000"/>
                <w:sz w:val="20"/>
                <w:szCs w:val="20"/>
                <w:lang w:val="en-US"/>
              </w:rPr>
              <w:t>Total</w:t>
            </w:r>
          </w:p>
        </w:tc>
        <w:tc>
          <w:tcPr>
            <w:tcW w:w="1021"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50.23</w:t>
            </w:r>
          </w:p>
        </w:tc>
        <w:tc>
          <w:tcPr>
            <w:tcW w:w="893" w:type="pct"/>
            <w:vAlign w:val="bottom"/>
          </w:tcPr>
          <w:p w:rsidR="00436A60" w:rsidRPr="005C7B83" w:rsidRDefault="00436A60" w:rsidP="002748EF">
            <w:pPr>
              <w:keepNext/>
              <w:jc w:val="right"/>
              <w:rPr>
                <w:b/>
                <w:bCs/>
                <w:color w:val="000000"/>
                <w:sz w:val="20"/>
                <w:szCs w:val="20"/>
              </w:rPr>
            </w:pPr>
            <w:r w:rsidRPr="005C7B83">
              <w:rPr>
                <w:color w:val="000000"/>
                <w:sz w:val="20"/>
                <w:szCs w:val="20"/>
                <w:lang w:val="en-US"/>
              </w:rPr>
              <w:t>5.53</w:t>
            </w:r>
          </w:p>
        </w:tc>
        <w:tc>
          <w:tcPr>
            <w:tcW w:w="1419" w:type="pct"/>
            <w:vAlign w:val="bottom"/>
          </w:tcPr>
          <w:p w:rsidR="00436A60" w:rsidRPr="005C7B83" w:rsidRDefault="00436A60" w:rsidP="002748EF">
            <w:pPr>
              <w:keepNext/>
              <w:jc w:val="right"/>
              <w:rPr>
                <w:sz w:val="20"/>
                <w:szCs w:val="20"/>
              </w:rPr>
            </w:pPr>
            <w:r w:rsidRPr="005C7B83">
              <w:rPr>
                <w:color w:val="000000"/>
                <w:sz w:val="20"/>
                <w:szCs w:val="20"/>
                <w:lang w:val="en-US"/>
              </w:rPr>
              <w:t>100</w:t>
            </w:r>
          </w:p>
        </w:tc>
      </w:tr>
    </w:tbl>
    <w:p w:rsidR="00607D1B" w:rsidRPr="002D6E85" w:rsidRDefault="00607D1B" w:rsidP="002748EF"/>
    <w:p w:rsidR="00104831" w:rsidRPr="002D6E85" w:rsidRDefault="00104831" w:rsidP="002748EF">
      <w:pPr>
        <w:pStyle w:val="Heading1"/>
        <w:keepNext/>
        <w:widowControl w:val="0"/>
        <w:suppressLineNumbers/>
        <w:suppressAutoHyphens/>
        <w:rPr>
          <w:color w:val="000000"/>
        </w:rPr>
      </w:pPr>
      <w:r w:rsidRPr="002D6E85">
        <w:rPr>
          <w:i/>
        </w:rPr>
        <w:t xml:space="preserve">HCFC consumption in the refrigeration </w:t>
      </w:r>
      <w:r w:rsidR="003C5623" w:rsidRPr="002D6E85">
        <w:rPr>
          <w:i/>
        </w:rPr>
        <w:t>servicing sector</w:t>
      </w:r>
    </w:p>
    <w:p w:rsidR="0052393B" w:rsidRDefault="00637F32" w:rsidP="002748EF">
      <w:pPr>
        <w:pStyle w:val="Style1"/>
        <w:numPr>
          <w:ilvl w:val="0"/>
          <w:numId w:val="7"/>
        </w:numPr>
        <w:spacing w:line="240" w:lineRule="auto"/>
        <w:ind w:left="0" w:firstLine="0"/>
      </w:pPr>
      <w:r w:rsidRPr="002748EF">
        <w:t xml:space="preserve">HCFC-22 </w:t>
      </w:r>
      <w:r w:rsidR="003B2F07" w:rsidRPr="002748EF">
        <w:t xml:space="preserve">is mainly used for </w:t>
      </w:r>
      <w:r w:rsidRPr="002748EF">
        <w:t xml:space="preserve">servicing </w:t>
      </w:r>
      <w:r w:rsidR="00C91599" w:rsidRPr="002748EF">
        <w:t xml:space="preserve">equipment </w:t>
      </w:r>
      <w:r w:rsidRPr="002748EF">
        <w:t>in the commercial refrigeration subsector</w:t>
      </w:r>
      <w:r w:rsidR="00A855A2" w:rsidRPr="002748EF">
        <w:t xml:space="preserve"> (62</w:t>
      </w:r>
      <w:r w:rsidR="00597DDF">
        <w:t> </w:t>
      </w:r>
      <w:r w:rsidR="00A855A2" w:rsidRPr="002748EF">
        <w:t>per cent)</w:t>
      </w:r>
      <w:r w:rsidRPr="002748EF">
        <w:t xml:space="preserve">, </w:t>
      </w:r>
      <w:r w:rsidR="003B2F07" w:rsidRPr="002748EF">
        <w:t xml:space="preserve">residential and commercial air-conditioning (17 per cent), </w:t>
      </w:r>
      <w:r w:rsidRPr="002748EF">
        <w:t>industrial refrigeration</w:t>
      </w:r>
      <w:r w:rsidR="00A855A2" w:rsidRPr="002748EF">
        <w:t xml:space="preserve"> (11</w:t>
      </w:r>
      <w:r w:rsidR="00597DDF">
        <w:t> </w:t>
      </w:r>
      <w:r w:rsidR="00A855A2" w:rsidRPr="002748EF">
        <w:t>per</w:t>
      </w:r>
      <w:r w:rsidR="00597DDF">
        <w:t> </w:t>
      </w:r>
      <w:r w:rsidR="00A855A2" w:rsidRPr="002748EF">
        <w:t>cent), some chillers (6 per cent</w:t>
      </w:r>
      <w:r w:rsidR="00160D11" w:rsidRPr="002748EF">
        <w:t>)</w:t>
      </w:r>
      <w:r w:rsidR="005C7B83" w:rsidRPr="002748EF">
        <w:t xml:space="preserve"> </w:t>
      </w:r>
      <w:r w:rsidR="00436A60" w:rsidRPr="002D6E85">
        <w:t>and</w:t>
      </w:r>
      <w:r w:rsidR="00436A60" w:rsidRPr="002748EF">
        <w:t xml:space="preserve"> transport</w:t>
      </w:r>
      <w:r w:rsidR="003B2F07" w:rsidRPr="002748EF">
        <w:t xml:space="preserve"> refrigeration (4 per cent).</w:t>
      </w:r>
      <w:r w:rsidR="005C7B83" w:rsidRPr="002748EF">
        <w:t xml:space="preserve"> </w:t>
      </w:r>
      <w:r w:rsidR="003B2F07" w:rsidRPr="002748EF">
        <w:t>In addition</w:t>
      </w:r>
      <w:r w:rsidR="00436A60" w:rsidRPr="002748EF">
        <w:t>, HCFC</w:t>
      </w:r>
      <w:r w:rsidRPr="002748EF">
        <w:t>-22</w:t>
      </w:r>
      <w:r w:rsidR="00071463" w:rsidRPr="002748EF">
        <w:t xml:space="preserve"> (</w:t>
      </w:r>
      <w:r w:rsidR="003B2F07" w:rsidRPr="002748EF">
        <w:t>1.1</w:t>
      </w:r>
      <w:r w:rsidR="00444268">
        <w:t> </w:t>
      </w:r>
      <w:r w:rsidR="003B2F07" w:rsidRPr="002748EF">
        <w:t>ODP tonnes</w:t>
      </w:r>
      <w:r w:rsidR="00071463" w:rsidRPr="002748EF">
        <w:t>)</w:t>
      </w:r>
      <w:r w:rsidRPr="002748EF">
        <w:t xml:space="preserve"> is used for the assembly of cold rooms </w:t>
      </w:r>
      <w:r w:rsidR="003B2F07" w:rsidRPr="002748EF">
        <w:t>(</w:t>
      </w:r>
      <w:r w:rsidRPr="002748EF">
        <w:t xml:space="preserve">considered </w:t>
      </w:r>
      <w:r w:rsidR="00A855A2" w:rsidRPr="002748EF">
        <w:t>part of the servicing sector</w:t>
      </w:r>
      <w:r w:rsidR="00436A60" w:rsidRPr="002748EF">
        <w:t>) and</w:t>
      </w:r>
      <w:r w:rsidR="00A2296C" w:rsidRPr="002748EF">
        <w:t> </w:t>
      </w:r>
      <w:r w:rsidR="00A855A2" w:rsidRPr="002748EF">
        <w:t>HCFC</w:t>
      </w:r>
      <w:r w:rsidR="00411FBD">
        <w:noBreakHyphen/>
      </w:r>
      <w:r w:rsidR="00A855A2" w:rsidRPr="002748EF">
        <w:t xml:space="preserve">141b </w:t>
      </w:r>
      <w:r w:rsidR="00A32832" w:rsidRPr="002748EF">
        <w:t xml:space="preserve">(1.63 ODP tonnes) </w:t>
      </w:r>
      <w:r w:rsidR="00A855A2" w:rsidRPr="002748EF">
        <w:t>for flushing</w:t>
      </w:r>
      <w:r w:rsidR="003B2F07" w:rsidRPr="002748EF">
        <w:t xml:space="preserve"> refrigeration circuits</w:t>
      </w:r>
      <w:r w:rsidR="00A855A2" w:rsidRPr="002748EF">
        <w:t>.</w:t>
      </w:r>
    </w:p>
    <w:p w:rsidR="002748EF" w:rsidRPr="002D6E85" w:rsidRDefault="002748EF" w:rsidP="002748EF">
      <w:pPr>
        <w:pStyle w:val="Style1"/>
        <w:numPr>
          <w:ilvl w:val="0"/>
          <w:numId w:val="0"/>
        </w:numPr>
        <w:spacing w:line="240" w:lineRule="auto"/>
      </w:pPr>
    </w:p>
    <w:p w:rsidR="00FF2F5A" w:rsidRPr="002D6E85" w:rsidRDefault="00FF2F5A" w:rsidP="002748EF">
      <w:pPr>
        <w:pStyle w:val="ListParagraph"/>
        <w:keepNext/>
        <w:spacing w:after="240"/>
        <w:ind w:left="0"/>
        <w:outlineLvl w:val="0"/>
        <w:rPr>
          <w:b/>
        </w:rPr>
      </w:pPr>
      <w:r w:rsidRPr="002D6E85">
        <w:rPr>
          <w:b/>
        </w:rPr>
        <w:t>Stage II of the HPMP</w:t>
      </w:r>
    </w:p>
    <w:p w:rsidR="008F042B" w:rsidRDefault="00D67F40" w:rsidP="002748EF">
      <w:pPr>
        <w:pStyle w:val="Style1"/>
        <w:numPr>
          <w:ilvl w:val="0"/>
          <w:numId w:val="7"/>
        </w:numPr>
        <w:spacing w:line="240" w:lineRule="auto"/>
        <w:ind w:left="0" w:firstLine="0"/>
      </w:pPr>
      <w:r w:rsidRPr="002748EF">
        <w:t>The activities to be imp</w:t>
      </w:r>
      <w:r w:rsidR="008F042B" w:rsidRPr="002748EF">
        <w:t xml:space="preserve">lemented </w:t>
      </w:r>
      <w:r w:rsidR="007728DB" w:rsidRPr="002748EF">
        <w:t xml:space="preserve">during stage II </w:t>
      </w:r>
      <w:r w:rsidR="008F042B" w:rsidRPr="002748EF">
        <w:t xml:space="preserve">include regulatory </w:t>
      </w:r>
      <w:r w:rsidR="006D7286" w:rsidRPr="002748EF">
        <w:t>and control</w:t>
      </w:r>
      <w:r w:rsidR="005C7B83" w:rsidRPr="002748EF">
        <w:t xml:space="preserve"> </w:t>
      </w:r>
      <w:r w:rsidR="006D7286" w:rsidRPr="002748EF">
        <w:t>measures</w:t>
      </w:r>
      <w:r w:rsidR="008F042B" w:rsidRPr="002748EF">
        <w:t>;</w:t>
      </w:r>
      <w:r w:rsidR="005C7B83" w:rsidRPr="002748EF">
        <w:t xml:space="preserve"> </w:t>
      </w:r>
      <w:r w:rsidR="009C757F" w:rsidRPr="002748EF">
        <w:t>phase</w:t>
      </w:r>
      <w:r w:rsidR="00597DDF">
        <w:noBreakHyphen/>
      </w:r>
      <w:r w:rsidR="009C757F" w:rsidRPr="002748EF">
        <w:t xml:space="preserve">out of HCFC-141b </w:t>
      </w:r>
      <w:r w:rsidR="003B2F07" w:rsidRPr="002748EF">
        <w:t xml:space="preserve">contained </w:t>
      </w:r>
      <w:r w:rsidR="00145A9D" w:rsidRPr="002748EF">
        <w:t>in imported pre-blended polyols</w:t>
      </w:r>
      <w:r w:rsidR="009C757F" w:rsidRPr="002748EF">
        <w:t xml:space="preserve">; </w:t>
      </w:r>
      <w:r w:rsidR="006D7286" w:rsidRPr="002748EF">
        <w:t>assistance</w:t>
      </w:r>
      <w:r w:rsidR="008F042B" w:rsidRPr="002748EF">
        <w:t xml:space="preserve"> to</w:t>
      </w:r>
      <w:r w:rsidR="006D7286" w:rsidRPr="002748EF">
        <w:t xml:space="preserve"> the</w:t>
      </w:r>
      <w:r w:rsidR="005C7B83" w:rsidRPr="002748EF">
        <w:t xml:space="preserve"> </w:t>
      </w:r>
      <w:r w:rsidR="00DD7152" w:rsidRPr="002748EF">
        <w:t>RAC</w:t>
      </w:r>
      <w:r w:rsidR="006D7286" w:rsidRPr="002748EF">
        <w:t xml:space="preserve"> servicing</w:t>
      </w:r>
      <w:r w:rsidR="005C7B83" w:rsidRPr="002748EF">
        <w:t xml:space="preserve"> </w:t>
      </w:r>
      <w:r w:rsidR="003C5623" w:rsidRPr="002748EF">
        <w:t>sector; awareness</w:t>
      </w:r>
      <w:r w:rsidR="007E0BE7" w:rsidRPr="002748EF">
        <w:t xml:space="preserve"> campaign to promote HCFC phase-out</w:t>
      </w:r>
      <w:r w:rsidR="008F042B" w:rsidRPr="002748EF">
        <w:t xml:space="preserve">; </w:t>
      </w:r>
      <w:r w:rsidR="003C5623" w:rsidRPr="002748EF">
        <w:t>and implementation</w:t>
      </w:r>
      <w:r w:rsidR="008F042B" w:rsidRPr="002748EF">
        <w:t xml:space="preserve"> and monitoring.</w:t>
      </w:r>
    </w:p>
    <w:p w:rsidR="00EA61B6" w:rsidRPr="002748EF" w:rsidRDefault="00EA61B6" w:rsidP="00EA61B6">
      <w:pPr>
        <w:pStyle w:val="Style1"/>
        <w:numPr>
          <w:ilvl w:val="0"/>
          <w:numId w:val="0"/>
        </w:numPr>
        <w:spacing w:line="240" w:lineRule="auto"/>
      </w:pPr>
    </w:p>
    <w:p w:rsidR="008F042B" w:rsidRPr="002D6E85" w:rsidRDefault="006D7286" w:rsidP="002748EF">
      <w:pPr>
        <w:pStyle w:val="ListParagraph"/>
        <w:widowControl w:val="0"/>
        <w:autoSpaceDN w:val="0"/>
        <w:adjustRightInd w:val="0"/>
        <w:spacing w:after="240"/>
        <w:ind w:left="0"/>
        <w:rPr>
          <w:u w:val="single"/>
          <w:lang w:val="en-CA"/>
        </w:rPr>
      </w:pPr>
      <w:r w:rsidRPr="002D6E85">
        <w:rPr>
          <w:u w:val="single"/>
          <w:lang w:val="en-CA"/>
        </w:rPr>
        <w:t>Regulatory and control measures</w:t>
      </w:r>
    </w:p>
    <w:p w:rsidR="00433625" w:rsidRDefault="00F6123F" w:rsidP="002748EF">
      <w:pPr>
        <w:pStyle w:val="Style1"/>
        <w:numPr>
          <w:ilvl w:val="0"/>
          <w:numId w:val="7"/>
        </w:numPr>
        <w:spacing w:line="240" w:lineRule="auto"/>
        <w:ind w:left="0" w:firstLine="0"/>
      </w:pPr>
      <w:r w:rsidRPr="002748EF">
        <w:t xml:space="preserve">The following </w:t>
      </w:r>
      <w:r w:rsidR="003C5623" w:rsidRPr="002748EF">
        <w:t>activities will</w:t>
      </w:r>
      <w:r w:rsidR="00433625" w:rsidRPr="002748EF">
        <w:t xml:space="preserve"> be implemented</w:t>
      </w:r>
      <w:r w:rsidRPr="002748EF">
        <w:t>:</w:t>
      </w:r>
    </w:p>
    <w:p w:rsidR="00597DDF" w:rsidRPr="002748EF" w:rsidRDefault="00597DDF" w:rsidP="00597DDF">
      <w:pPr>
        <w:pStyle w:val="Style1"/>
        <w:numPr>
          <w:ilvl w:val="0"/>
          <w:numId w:val="0"/>
        </w:numPr>
        <w:spacing w:line="240" w:lineRule="auto"/>
      </w:pPr>
    </w:p>
    <w:p w:rsidR="00F6123F" w:rsidRPr="002D6E85" w:rsidRDefault="007170F7" w:rsidP="00F07CA5">
      <w:pPr>
        <w:pStyle w:val="ListParagraph"/>
        <w:numPr>
          <w:ilvl w:val="1"/>
          <w:numId w:val="9"/>
        </w:numPr>
        <w:rPr>
          <w:lang w:val="en-CA"/>
        </w:rPr>
      </w:pPr>
      <w:r w:rsidRPr="002D6E85">
        <w:rPr>
          <w:lang w:val="en-CA"/>
        </w:rPr>
        <w:t>Review and strengthen the legal framework to control HCFC consumption through</w:t>
      </w:r>
      <w:r w:rsidR="005C7B83" w:rsidRPr="002D6E85">
        <w:rPr>
          <w:lang w:val="en-CA"/>
        </w:rPr>
        <w:t xml:space="preserve"> </w:t>
      </w:r>
      <w:r w:rsidR="00FA7457" w:rsidRPr="002D6E85">
        <w:rPr>
          <w:lang w:val="en-CA"/>
        </w:rPr>
        <w:t>a</w:t>
      </w:r>
      <w:r w:rsidR="00ED70AD" w:rsidRPr="002D6E85">
        <w:rPr>
          <w:lang w:val="en-CA"/>
        </w:rPr>
        <w:t xml:space="preserve">n assessment of </w:t>
      </w:r>
      <w:r w:rsidR="007358E4" w:rsidRPr="002D6E85">
        <w:rPr>
          <w:lang w:val="en-CA"/>
        </w:rPr>
        <w:t xml:space="preserve">the </w:t>
      </w:r>
      <w:r w:rsidR="00ED70AD" w:rsidRPr="002D6E85">
        <w:rPr>
          <w:lang w:val="en-CA"/>
        </w:rPr>
        <w:t>licensing and quota system for HCFC to improve control</w:t>
      </w:r>
      <w:r w:rsidR="007358E4" w:rsidRPr="002D6E85">
        <w:rPr>
          <w:lang w:val="en-CA"/>
        </w:rPr>
        <w:t>,</w:t>
      </w:r>
      <w:r w:rsidR="00ED70AD" w:rsidRPr="002D6E85">
        <w:rPr>
          <w:lang w:val="en-CA"/>
        </w:rPr>
        <w:t xml:space="preserve"> monitoring and reporting;</w:t>
      </w:r>
      <w:r w:rsidR="005C7B83" w:rsidRPr="002D6E85">
        <w:rPr>
          <w:lang w:val="en-CA"/>
        </w:rPr>
        <w:t xml:space="preserve"> </w:t>
      </w:r>
      <w:r w:rsidR="00513803" w:rsidRPr="002D6E85">
        <w:t>develop s</w:t>
      </w:r>
      <w:r w:rsidRPr="002D6E85">
        <w:t xml:space="preserve">tandards on the safe use of flammable </w:t>
      </w:r>
      <w:r w:rsidR="003B2F07" w:rsidRPr="002D6E85">
        <w:t>refrigerants</w:t>
      </w:r>
      <w:r w:rsidRPr="002D6E85">
        <w:t>;</w:t>
      </w:r>
      <w:r w:rsidR="005C7B83" w:rsidRPr="002D6E85">
        <w:t xml:space="preserve"> </w:t>
      </w:r>
      <w:r w:rsidR="00D35DEA" w:rsidRPr="002D6E85">
        <w:rPr>
          <w:lang w:val="en-CA"/>
        </w:rPr>
        <w:t xml:space="preserve">and </w:t>
      </w:r>
      <w:r w:rsidR="00513803" w:rsidRPr="002D6E85">
        <w:rPr>
          <w:lang w:val="en-CA"/>
        </w:rPr>
        <w:t>develop</w:t>
      </w:r>
      <w:r w:rsidR="00D35DEA" w:rsidRPr="002D6E85">
        <w:rPr>
          <w:lang w:val="en-CA"/>
        </w:rPr>
        <w:t xml:space="preserve"> guidelines for the adoption of low-</w:t>
      </w:r>
      <w:r w:rsidR="007728DB" w:rsidRPr="002D6E85">
        <w:rPr>
          <w:lang w:val="en-CA"/>
        </w:rPr>
        <w:t>global warming potential (</w:t>
      </w:r>
      <w:r w:rsidR="00D35DEA" w:rsidRPr="002D6E85">
        <w:rPr>
          <w:lang w:val="en-CA"/>
        </w:rPr>
        <w:t>GWP</w:t>
      </w:r>
      <w:r w:rsidR="007728DB" w:rsidRPr="002D6E85">
        <w:rPr>
          <w:lang w:val="en-CA"/>
        </w:rPr>
        <w:t>)</w:t>
      </w:r>
      <w:r w:rsidR="00D35DEA" w:rsidRPr="002D6E85">
        <w:rPr>
          <w:lang w:val="en-CA"/>
        </w:rPr>
        <w:t xml:space="preserve"> alternatives in the country</w:t>
      </w:r>
      <w:r w:rsidR="005C7B83" w:rsidRPr="002D6E85">
        <w:rPr>
          <w:lang w:val="en-CA"/>
        </w:rPr>
        <w:t xml:space="preserve"> </w:t>
      </w:r>
      <w:r w:rsidR="00F6123F" w:rsidRPr="002D6E85">
        <w:rPr>
          <w:color w:val="000000" w:themeColor="text1"/>
        </w:rPr>
        <w:t>(US $</w:t>
      </w:r>
      <w:r w:rsidR="009B6960" w:rsidRPr="002D6E85">
        <w:rPr>
          <w:color w:val="000000" w:themeColor="text1"/>
        </w:rPr>
        <w:t>35,200</w:t>
      </w:r>
      <w:r w:rsidR="002C4454" w:rsidRPr="002D6E85">
        <w:rPr>
          <w:color w:val="000000" w:themeColor="text1"/>
        </w:rPr>
        <w:t>);</w:t>
      </w:r>
      <w:r w:rsidR="009B6960" w:rsidRPr="002D6E85">
        <w:rPr>
          <w:color w:val="000000" w:themeColor="text1"/>
        </w:rPr>
        <w:t xml:space="preserve"> and</w:t>
      </w:r>
    </w:p>
    <w:p w:rsidR="004F3092" w:rsidRPr="002D6E85" w:rsidRDefault="004F3092" w:rsidP="002748EF">
      <w:pPr>
        <w:pStyle w:val="ListParagraph"/>
        <w:ind w:left="1440"/>
        <w:rPr>
          <w:lang w:val="en-CA"/>
        </w:rPr>
      </w:pPr>
    </w:p>
    <w:p w:rsidR="009B6960" w:rsidRPr="002D6E85" w:rsidRDefault="001B779A" w:rsidP="00F07CA5">
      <w:pPr>
        <w:pStyle w:val="Heading2"/>
        <w:numPr>
          <w:ilvl w:val="1"/>
          <w:numId w:val="9"/>
        </w:numPr>
        <w:rPr>
          <w:color w:val="000000" w:themeColor="text1"/>
        </w:rPr>
      </w:pPr>
      <w:r w:rsidRPr="002D6E85">
        <w:rPr>
          <w:lang w:val="en-CA"/>
        </w:rPr>
        <w:t>Technical assistance to the Customs Directorate through tr</w:t>
      </w:r>
      <w:r w:rsidR="0020388B" w:rsidRPr="002D6E85">
        <w:rPr>
          <w:lang w:val="en-CA"/>
        </w:rPr>
        <w:t xml:space="preserve">aining of 80 customs officers and 20 brokers; update </w:t>
      </w:r>
      <w:r w:rsidR="00513803" w:rsidRPr="002D6E85">
        <w:rPr>
          <w:lang w:val="en-CA"/>
        </w:rPr>
        <w:t>of</w:t>
      </w:r>
      <w:r w:rsidR="00A32832">
        <w:rPr>
          <w:lang w:val="en-CA"/>
        </w:rPr>
        <w:t xml:space="preserve"> </w:t>
      </w:r>
      <w:r w:rsidR="00160D11" w:rsidRPr="002D6E85">
        <w:t xml:space="preserve">customs </w:t>
      </w:r>
      <w:r w:rsidR="00ED70AD" w:rsidRPr="002D6E85">
        <w:t>training manual</w:t>
      </w:r>
      <w:r w:rsidR="0020388B" w:rsidRPr="002D6E85">
        <w:t xml:space="preserve"> on HCFC control; and development of online training </w:t>
      </w:r>
      <w:r w:rsidR="0003116E" w:rsidRPr="002D6E85">
        <w:t>module</w:t>
      </w:r>
      <w:r w:rsidR="00071463" w:rsidRPr="002D6E85">
        <w:t>s</w:t>
      </w:r>
      <w:r w:rsidR="00E44857" w:rsidRPr="002D6E85">
        <w:t xml:space="preserve"> </w:t>
      </w:r>
      <w:r w:rsidR="00F6123F" w:rsidRPr="002D6E85">
        <w:rPr>
          <w:color w:val="000000" w:themeColor="text1"/>
        </w:rPr>
        <w:t>(US $</w:t>
      </w:r>
      <w:r w:rsidR="009B6960" w:rsidRPr="002D6E85">
        <w:rPr>
          <w:color w:val="000000" w:themeColor="text1"/>
        </w:rPr>
        <w:t>33,000</w:t>
      </w:r>
      <w:r w:rsidR="007B1241" w:rsidRPr="002D6E85">
        <w:rPr>
          <w:color w:val="000000" w:themeColor="text1"/>
        </w:rPr>
        <w:t>).</w:t>
      </w:r>
    </w:p>
    <w:p w:rsidR="00AA69C4" w:rsidRPr="002D6E85" w:rsidRDefault="00AA69C4" w:rsidP="002748EF">
      <w:pPr>
        <w:rPr>
          <w:u w:val="single"/>
        </w:rPr>
      </w:pPr>
      <w:r w:rsidRPr="002D6E85">
        <w:rPr>
          <w:u w:val="single"/>
        </w:rPr>
        <w:t>Activities in the PU foam sector</w:t>
      </w:r>
    </w:p>
    <w:p w:rsidR="00AA69C4" w:rsidRPr="002D6E85" w:rsidRDefault="00AA69C4" w:rsidP="002748EF">
      <w:pPr>
        <w:rPr>
          <w:u w:val="single"/>
        </w:rPr>
      </w:pPr>
    </w:p>
    <w:p w:rsidR="005C7B83" w:rsidRDefault="001A0770" w:rsidP="00A87FC4">
      <w:pPr>
        <w:pStyle w:val="Style1"/>
        <w:numPr>
          <w:ilvl w:val="0"/>
          <w:numId w:val="7"/>
        </w:numPr>
        <w:spacing w:line="240" w:lineRule="auto"/>
        <w:ind w:left="0" w:firstLine="0"/>
      </w:pPr>
      <w:r w:rsidRPr="002748EF">
        <w:t xml:space="preserve">Stage II proposes to completely phase-out </w:t>
      </w:r>
      <w:r w:rsidR="00387915" w:rsidRPr="002748EF">
        <w:t xml:space="preserve">5.53 ODP tonnes </w:t>
      </w:r>
      <w:r w:rsidR="007D5816" w:rsidRPr="002748EF">
        <w:t>(i.e. 5.43 ODP tonnes of eligible and 0.10 ODP tonnes of non-eligible</w:t>
      </w:r>
      <w:r w:rsidR="00E44857" w:rsidRPr="002748EF">
        <w:t>) consumption of HCFC</w:t>
      </w:r>
      <w:r w:rsidR="007D5816" w:rsidRPr="002748EF">
        <w:t>-141b contained</w:t>
      </w:r>
      <w:r w:rsidR="00E44857" w:rsidRPr="002748EF">
        <w:t xml:space="preserve"> </w:t>
      </w:r>
      <w:r w:rsidRPr="002748EF">
        <w:t xml:space="preserve">in imported pre-blended polyols </w:t>
      </w:r>
      <w:r w:rsidR="003E22F3" w:rsidRPr="002748EF">
        <w:t xml:space="preserve">used as a foam-blowing agent </w:t>
      </w:r>
      <w:r w:rsidR="001B2674" w:rsidRPr="002748EF">
        <w:t>through t</w:t>
      </w:r>
      <w:r w:rsidR="003E22F3" w:rsidRPr="002748EF">
        <w:t xml:space="preserve">he conversion of </w:t>
      </w:r>
      <w:r w:rsidR="0019610D" w:rsidRPr="002748EF">
        <w:t>21</w:t>
      </w:r>
      <w:r w:rsidR="003E22F3" w:rsidRPr="002748EF">
        <w:t xml:space="preserve"> eligible </w:t>
      </w:r>
      <w:r w:rsidR="00387915" w:rsidRPr="002748EF">
        <w:t>out of the 24 identified</w:t>
      </w:r>
      <w:r w:rsidR="00E44857" w:rsidRPr="002748EF">
        <w:t xml:space="preserve"> </w:t>
      </w:r>
      <w:r w:rsidR="003E22F3" w:rsidRPr="002748EF">
        <w:t xml:space="preserve">enterprises to </w:t>
      </w:r>
      <w:r w:rsidR="00AD5874" w:rsidRPr="002748EF">
        <w:t>hydro-fluoro-olefins (</w:t>
      </w:r>
      <w:r w:rsidR="003E22F3" w:rsidRPr="002748EF">
        <w:t>HFO</w:t>
      </w:r>
      <w:r w:rsidR="00AD5874" w:rsidRPr="002748EF">
        <w:t>)</w:t>
      </w:r>
      <w:r w:rsidR="003E22F3" w:rsidRPr="002748EF">
        <w:t xml:space="preserve"> technology</w:t>
      </w:r>
      <w:r w:rsidR="00387915" w:rsidRPr="002748EF">
        <w:t xml:space="preserve">. Out of </w:t>
      </w:r>
      <w:r w:rsidR="007D5816" w:rsidRPr="002748EF">
        <w:t>the 21</w:t>
      </w:r>
      <w:r w:rsidR="00387915" w:rsidRPr="002748EF">
        <w:t xml:space="preserve">, funding </w:t>
      </w:r>
      <w:r w:rsidR="007358E4" w:rsidRPr="002748EF">
        <w:t xml:space="preserve">for incremental costs </w:t>
      </w:r>
      <w:r w:rsidR="00387915" w:rsidRPr="002748EF">
        <w:t>is requested for only 19,</w:t>
      </w:r>
      <w:r w:rsidR="00E44857" w:rsidRPr="002748EF">
        <w:t xml:space="preserve"> </w:t>
      </w:r>
      <w:r w:rsidR="007358E4" w:rsidRPr="002748EF">
        <w:t>as t</w:t>
      </w:r>
      <w:r w:rsidR="00387915" w:rsidRPr="002748EF">
        <w:t xml:space="preserve">wo </w:t>
      </w:r>
      <w:r w:rsidR="00805073" w:rsidRPr="002748EF">
        <w:t>have consumption</w:t>
      </w:r>
      <w:r w:rsidR="00387915" w:rsidRPr="002748EF">
        <w:t xml:space="preserve"> of less than 100 kg/year and will be assisted through technical assistance and</w:t>
      </w:r>
      <w:r w:rsidR="007358E4" w:rsidRPr="002748EF">
        <w:t xml:space="preserve"> the provision of</w:t>
      </w:r>
      <w:r w:rsidR="00E44857" w:rsidRPr="002748EF">
        <w:t xml:space="preserve"> </w:t>
      </w:r>
      <w:r w:rsidR="00325A14" w:rsidRPr="002D6E85">
        <w:t>incremental operating costs (</w:t>
      </w:r>
      <w:r w:rsidR="00387915" w:rsidRPr="002748EF">
        <w:t>IOC</w:t>
      </w:r>
      <w:r w:rsidR="00325A14" w:rsidRPr="002748EF">
        <w:t>)</w:t>
      </w:r>
      <w:r w:rsidR="00387915" w:rsidRPr="002748EF">
        <w:t xml:space="preserve">. </w:t>
      </w:r>
      <w:r w:rsidR="00805073" w:rsidRPr="002748EF">
        <w:t xml:space="preserve">The remaining consumption </w:t>
      </w:r>
      <w:r w:rsidR="00444268" w:rsidRPr="00444268">
        <w:t xml:space="preserve">eligible </w:t>
      </w:r>
      <w:r w:rsidR="001B354E" w:rsidRPr="002748EF">
        <w:t xml:space="preserve">for funding </w:t>
      </w:r>
      <w:r w:rsidR="00805073" w:rsidRPr="002748EF">
        <w:t>of HCFC</w:t>
      </w:r>
      <w:r w:rsidR="001B354E" w:rsidRPr="002748EF">
        <w:noBreakHyphen/>
      </w:r>
      <w:r w:rsidR="00805073" w:rsidRPr="002748EF">
        <w:t>141b contained in imported pre-blended polyols</w:t>
      </w:r>
      <w:r w:rsidR="00E44857" w:rsidRPr="002748EF">
        <w:t xml:space="preserve"> </w:t>
      </w:r>
      <w:r w:rsidR="007D5816" w:rsidRPr="002748EF">
        <w:t xml:space="preserve">for </w:t>
      </w:r>
      <w:r w:rsidR="007358E4" w:rsidRPr="002748EF">
        <w:t>Uruguay</w:t>
      </w:r>
      <w:r w:rsidR="00805073" w:rsidRPr="002748EF">
        <w:t xml:space="preserve"> is only 5.33 ODP tonnes.</w:t>
      </w:r>
    </w:p>
    <w:p w:rsidR="002748EF" w:rsidRPr="002748EF" w:rsidRDefault="002748EF" w:rsidP="00A87FC4">
      <w:pPr>
        <w:pStyle w:val="Style1"/>
        <w:numPr>
          <w:ilvl w:val="0"/>
          <w:numId w:val="0"/>
        </w:numPr>
        <w:spacing w:line="240" w:lineRule="auto"/>
      </w:pPr>
    </w:p>
    <w:p w:rsidR="003E22F3" w:rsidRDefault="00ED4C58" w:rsidP="002748EF">
      <w:pPr>
        <w:pStyle w:val="Style1"/>
        <w:numPr>
          <w:ilvl w:val="0"/>
          <w:numId w:val="7"/>
        </w:numPr>
        <w:spacing w:line="240" w:lineRule="auto"/>
        <w:ind w:left="0" w:firstLine="0"/>
        <w:rPr>
          <w:lang w:val="en-CA"/>
        </w:rPr>
      </w:pPr>
      <w:r w:rsidRPr="002748EF">
        <w:t>Incremental capital cost</w:t>
      </w:r>
      <w:r w:rsidR="007358E4" w:rsidRPr="002748EF">
        <w:t>s</w:t>
      </w:r>
      <w:r w:rsidRPr="002748EF">
        <w:t xml:space="preserve"> (ICC) included a cooling system for HFO</w:t>
      </w:r>
      <w:r w:rsidR="00AD5874" w:rsidRPr="002748EF">
        <w:t>-</w:t>
      </w:r>
      <w:r w:rsidRPr="002748EF">
        <w:t>based formulated polyols</w:t>
      </w:r>
      <w:r w:rsidR="00A2296C" w:rsidRPr="002748EF">
        <w:t xml:space="preserve"> </w:t>
      </w:r>
      <w:r w:rsidR="002466D8" w:rsidRPr="002748EF">
        <w:t>(US</w:t>
      </w:r>
      <w:r w:rsidR="001B354E" w:rsidRPr="002748EF">
        <w:t> </w:t>
      </w:r>
      <w:r w:rsidR="002466D8" w:rsidRPr="002748EF">
        <w:t>$65,000)</w:t>
      </w:r>
      <w:r w:rsidRPr="002748EF">
        <w:t>, technical assistance, trials and training</w:t>
      </w:r>
      <w:r w:rsidR="002466D8" w:rsidRPr="002748EF">
        <w:t xml:space="preserve"> (</w:t>
      </w:r>
      <w:r w:rsidR="001B2674" w:rsidRPr="002748EF">
        <w:t xml:space="preserve">calculated at </w:t>
      </w:r>
      <w:r w:rsidR="002466D8" w:rsidRPr="002748EF">
        <w:t>US $15,000</w:t>
      </w:r>
      <w:r w:rsidR="001B2674" w:rsidRPr="002748EF">
        <w:t xml:space="preserve"> for each foam </w:t>
      </w:r>
      <w:r w:rsidR="00160D11" w:rsidRPr="002748EF">
        <w:t xml:space="preserve">enterprise </w:t>
      </w:r>
      <w:r w:rsidR="00156C4F" w:rsidRPr="002748EF">
        <w:t>with consumption</w:t>
      </w:r>
      <w:r w:rsidR="002466D8" w:rsidRPr="002748EF">
        <w:t xml:space="preserve"> of HCFC</w:t>
      </w:r>
      <w:r w:rsidR="001B2674" w:rsidRPr="002748EF">
        <w:t>-</w:t>
      </w:r>
      <w:r w:rsidR="002466D8" w:rsidRPr="002748EF">
        <w:t xml:space="preserve">141b above 10 </w:t>
      </w:r>
      <w:r w:rsidR="003C5623" w:rsidRPr="002748EF">
        <w:t>mt; US</w:t>
      </w:r>
      <w:r w:rsidR="002466D8" w:rsidRPr="002748EF">
        <w:t xml:space="preserve"> $</w:t>
      </w:r>
      <w:r w:rsidR="00156C4F" w:rsidRPr="002748EF">
        <w:t>10</w:t>
      </w:r>
      <w:r w:rsidR="0019610D" w:rsidRPr="002748EF">
        <w:t>,000</w:t>
      </w:r>
      <w:r w:rsidR="001B354E" w:rsidRPr="002748EF">
        <w:t xml:space="preserve"> </w:t>
      </w:r>
      <w:r w:rsidR="001B2674" w:rsidRPr="002748EF">
        <w:t>for enterprises</w:t>
      </w:r>
      <w:r w:rsidR="002466D8" w:rsidRPr="002748EF">
        <w:t xml:space="preserve"> with consumption up to 10 </w:t>
      </w:r>
      <w:r w:rsidR="00160D11" w:rsidRPr="002748EF">
        <w:t>mt; US</w:t>
      </w:r>
      <w:r w:rsidR="001B354E" w:rsidRPr="002748EF">
        <w:t> </w:t>
      </w:r>
      <w:r w:rsidR="002466D8" w:rsidRPr="002748EF">
        <w:t>$3,000</w:t>
      </w:r>
      <w:r w:rsidR="001B2674" w:rsidRPr="002748EF">
        <w:t xml:space="preserve"> for enterprises</w:t>
      </w:r>
      <w:r w:rsidR="002466D8" w:rsidRPr="002748EF">
        <w:t xml:space="preserve"> with consumption </w:t>
      </w:r>
      <w:r w:rsidR="001B2674" w:rsidRPr="002748EF">
        <w:t xml:space="preserve">between 0.5 and 10 mt; </w:t>
      </w:r>
      <w:r w:rsidR="002466D8" w:rsidRPr="002748EF">
        <w:t>and US $1,300</w:t>
      </w:r>
      <w:r w:rsidR="001B2674" w:rsidRPr="002748EF">
        <w:t xml:space="preserve"> for enterprises</w:t>
      </w:r>
      <w:r w:rsidR="002466D8" w:rsidRPr="002748EF">
        <w:t xml:space="preserve"> with </w:t>
      </w:r>
      <w:r w:rsidR="002466D8" w:rsidRPr="002748EF">
        <w:lastRenderedPageBreak/>
        <w:t xml:space="preserve">consumption below </w:t>
      </w:r>
      <w:r w:rsidR="001B2674" w:rsidRPr="002748EF">
        <w:t>0.5 tonnes</w:t>
      </w:r>
      <w:r w:rsidR="007E7B26" w:rsidRPr="002748EF">
        <w:t>);</w:t>
      </w:r>
      <w:r w:rsidR="00D84A00" w:rsidRPr="002748EF">
        <w:t xml:space="preserve"> </w:t>
      </w:r>
      <w:r w:rsidRPr="002748EF">
        <w:t>project management through the NOU</w:t>
      </w:r>
      <w:r w:rsidR="000302C5" w:rsidRPr="002748EF">
        <w:t xml:space="preserve"> </w:t>
      </w:r>
      <w:r w:rsidR="007E7B26" w:rsidRPr="002748EF">
        <w:t>(US $1,500 each); and technical assistance (US $10,000)</w:t>
      </w:r>
      <w:r w:rsidR="002466D8" w:rsidRPr="002748EF">
        <w:t xml:space="preserve"> for a total</w:t>
      </w:r>
      <w:r w:rsidRPr="002748EF">
        <w:t xml:space="preserve"> cost of US$251,680. Incremental operating costs (IOC) were estimated</w:t>
      </w:r>
      <w:r w:rsidRPr="002D6E85">
        <w:rPr>
          <w:lang w:val="en-CA"/>
        </w:rPr>
        <w:t xml:space="preserve"> at US $482,519 (i.e., US$</w:t>
      </w:r>
      <w:r w:rsidR="0019610D" w:rsidRPr="002D6E85">
        <w:rPr>
          <w:lang w:val="en-CA"/>
        </w:rPr>
        <w:t>9.78</w:t>
      </w:r>
      <w:r w:rsidRPr="002D6E85">
        <w:rPr>
          <w:lang w:val="en-CA"/>
        </w:rPr>
        <w:t>/kg</w:t>
      </w:r>
      <w:r w:rsidR="001E0BB1" w:rsidRPr="002D6E85">
        <w:rPr>
          <w:lang w:val="en-CA"/>
        </w:rPr>
        <w:t xml:space="preserve"> </w:t>
      </w:r>
      <w:r w:rsidR="00B87021" w:rsidRPr="002D6E85">
        <w:rPr>
          <w:lang w:val="en-CA"/>
        </w:rPr>
        <w:t xml:space="preserve">based on the actual consumption of </w:t>
      </w:r>
      <w:r w:rsidR="001B354E">
        <w:rPr>
          <w:lang w:val="en-CA"/>
        </w:rPr>
        <w:t>49.32 mt</w:t>
      </w:r>
      <w:r w:rsidR="001B354E" w:rsidRPr="001B354E">
        <w:rPr>
          <w:lang w:val="en-CA"/>
        </w:rPr>
        <w:t xml:space="preserve"> </w:t>
      </w:r>
      <w:r w:rsidR="001B354E">
        <w:rPr>
          <w:lang w:val="en-CA"/>
        </w:rPr>
        <w:t>(</w:t>
      </w:r>
      <w:r w:rsidR="001B354E" w:rsidRPr="001B354E">
        <w:rPr>
          <w:lang w:val="en-CA"/>
        </w:rPr>
        <w:t>5.43 ODP tonnes)</w:t>
      </w:r>
      <w:r w:rsidR="001B354E" w:rsidRPr="002D6E85">
        <w:rPr>
          <w:lang w:val="en-CA"/>
        </w:rPr>
        <w:t xml:space="preserve"> </w:t>
      </w:r>
      <w:r w:rsidR="001B354E">
        <w:rPr>
          <w:lang w:val="en-CA"/>
        </w:rPr>
        <w:t xml:space="preserve">for </w:t>
      </w:r>
      <w:r w:rsidR="001B354E" w:rsidRPr="002D6E85">
        <w:rPr>
          <w:lang w:val="en-CA"/>
        </w:rPr>
        <w:t>the</w:t>
      </w:r>
      <w:r w:rsidR="00B87021" w:rsidRPr="002D6E85">
        <w:rPr>
          <w:lang w:val="en-CA"/>
        </w:rPr>
        <w:t xml:space="preserve"> 21 eligible enterprises</w:t>
      </w:r>
      <w:r w:rsidR="007D5816" w:rsidRPr="002D6E85">
        <w:rPr>
          <w:lang w:val="en-CA"/>
        </w:rPr>
        <w:t>.</w:t>
      </w:r>
    </w:p>
    <w:p w:rsidR="002748EF" w:rsidRPr="002D6E85" w:rsidRDefault="002748EF" w:rsidP="002748EF">
      <w:pPr>
        <w:pStyle w:val="Style1"/>
        <w:numPr>
          <w:ilvl w:val="0"/>
          <w:numId w:val="0"/>
        </w:numPr>
        <w:spacing w:line="240" w:lineRule="auto"/>
        <w:rPr>
          <w:lang w:val="en-CA"/>
        </w:rPr>
      </w:pPr>
    </w:p>
    <w:p w:rsidR="002466D8" w:rsidRDefault="002466D8" w:rsidP="00EA61B6">
      <w:pPr>
        <w:pStyle w:val="Style1"/>
        <w:numPr>
          <w:ilvl w:val="0"/>
          <w:numId w:val="7"/>
        </w:numPr>
        <w:spacing w:line="240" w:lineRule="auto"/>
        <w:ind w:left="0" w:firstLine="0"/>
      </w:pPr>
      <w:r w:rsidRPr="00EA61B6">
        <w:t xml:space="preserve">The </w:t>
      </w:r>
      <w:r w:rsidR="00C91599" w:rsidRPr="00EA61B6">
        <w:t xml:space="preserve">total </w:t>
      </w:r>
      <w:r w:rsidRPr="00EA61B6">
        <w:t>cost of the PU foam sector has been estimated at US $734,199, with funding requested at the amount of US $</w:t>
      </w:r>
      <w:r w:rsidR="001B143B" w:rsidRPr="00EA61B6">
        <w:t>540,703 based on a cost-effectiveness of US $10.96/kg in line with decision 74/50(c)</w:t>
      </w:r>
      <w:r w:rsidR="0024318F" w:rsidRPr="00EA61B6">
        <w:t xml:space="preserve">, summarized in </w:t>
      </w:r>
      <w:r w:rsidR="007E7B26" w:rsidRPr="00EA61B6">
        <w:t>T</w:t>
      </w:r>
      <w:r w:rsidR="0024318F" w:rsidRPr="00EA61B6">
        <w:t>able</w:t>
      </w:r>
      <w:r w:rsidR="007E7B26" w:rsidRPr="00EA61B6">
        <w:t xml:space="preserve"> 3</w:t>
      </w:r>
      <w:r w:rsidR="00156C4F" w:rsidRPr="00EA61B6">
        <w:t>.</w:t>
      </w:r>
    </w:p>
    <w:p w:rsidR="002748EF" w:rsidRPr="00EA61B6" w:rsidRDefault="002748EF" w:rsidP="00EA61B6">
      <w:pPr>
        <w:pStyle w:val="Style1"/>
        <w:numPr>
          <w:ilvl w:val="0"/>
          <w:numId w:val="0"/>
        </w:numPr>
        <w:spacing w:line="240" w:lineRule="auto"/>
      </w:pPr>
    </w:p>
    <w:p w:rsidR="00E2527A" w:rsidRPr="000302C5" w:rsidRDefault="00E2527A" w:rsidP="005C7B83">
      <w:pPr>
        <w:outlineLvl w:val="0"/>
        <w:rPr>
          <w:b/>
          <w:highlight w:val="green"/>
          <w:lang w:val="en-CA"/>
        </w:rPr>
      </w:pPr>
      <w:r w:rsidRPr="000302C5">
        <w:rPr>
          <w:b/>
          <w:lang w:val="en-CA"/>
        </w:rPr>
        <w:t xml:space="preserve">Table </w:t>
      </w:r>
      <w:r w:rsidR="00416F96" w:rsidRPr="000302C5">
        <w:rPr>
          <w:b/>
          <w:lang w:val="en-CA"/>
        </w:rPr>
        <w:t>3</w:t>
      </w:r>
      <w:r w:rsidRPr="000302C5">
        <w:rPr>
          <w:b/>
          <w:lang w:val="en-CA"/>
        </w:rPr>
        <w:t>.</w:t>
      </w:r>
      <w:r w:rsidR="00EA61B6">
        <w:rPr>
          <w:b/>
          <w:lang w:val="en-CA"/>
        </w:rPr>
        <w:t xml:space="preserve"> </w:t>
      </w:r>
      <w:r w:rsidR="001B143B" w:rsidRPr="000302C5">
        <w:rPr>
          <w:b/>
          <w:lang w:val="en-CA"/>
        </w:rPr>
        <w:t>Total cost for the conversion of the PU foam sector</w:t>
      </w:r>
      <w:r w:rsidR="00804919" w:rsidRPr="000302C5">
        <w:rPr>
          <w:b/>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2105"/>
        <w:gridCol w:w="1818"/>
        <w:gridCol w:w="1547"/>
        <w:gridCol w:w="1542"/>
      </w:tblGrid>
      <w:tr w:rsidR="002A30F1" w:rsidRPr="002748EF" w:rsidTr="002748EF">
        <w:trPr>
          <w:trHeight w:val="300"/>
        </w:trPr>
        <w:tc>
          <w:tcPr>
            <w:tcW w:w="1339" w:type="pct"/>
            <w:shd w:val="clear" w:color="auto" w:fill="auto"/>
            <w:noWrap/>
            <w:vAlign w:val="center"/>
          </w:tcPr>
          <w:p w:rsidR="002A30F1" w:rsidRPr="002748EF" w:rsidRDefault="002A30F1" w:rsidP="005C7B83">
            <w:pPr>
              <w:jc w:val="center"/>
              <w:rPr>
                <w:b/>
                <w:color w:val="000000"/>
                <w:sz w:val="20"/>
                <w:szCs w:val="20"/>
              </w:rPr>
            </w:pPr>
            <w:r w:rsidRPr="002748EF">
              <w:rPr>
                <w:b/>
                <w:color w:val="000000"/>
                <w:sz w:val="20"/>
                <w:szCs w:val="20"/>
              </w:rPr>
              <w:t>Item</w:t>
            </w:r>
          </w:p>
        </w:tc>
        <w:tc>
          <w:tcPr>
            <w:tcW w:w="1099" w:type="pct"/>
            <w:vAlign w:val="center"/>
          </w:tcPr>
          <w:p w:rsidR="002A30F1" w:rsidRPr="002748EF" w:rsidRDefault="002A30F1" w:rsidP="005C7B83">
            <w:pPr>
              <w:jc w:val="center"/>
              <w:rPr>
                <w:b/>
                <w:color w:val="000000"/>
                <w:sz w:val="20"/>
                <w:szCs w:val="20"/>
              </w:rPr>
            </w:pPr>
            <w:r w:rsidRPr="002748EF">
              <w:rPr>
                <w:b/>
                <w:color w:val="000000"/>
                <w:sz w:val="20"/>
                <w:szCs w:val="20"/>
              </w:rPr>
              <w:t>Enterprises consumption (mt)</w:t>
            </w:r>
          </w:p>
        </w:tc>
        <w:tc>
          <w:tcPr>
            <w:tcW w:w="949" w:type="pct"/>
            <w:shd w:val="clear" w:color="auto" w:fill="auto"/>
            <w:noWrap/>
          </w:tcPr>
          <w:p w:rsidR="002A30F1" w:rsidRPr="002748EF" w:rsidRDefault="002A30F1" w:rsidP="005C7B83">
            <w:pPr>
              <w:jc w:val="center"/>
              <w:rPr>
                <w:b/>
                <w:color w:val="000000"/>
                <w:sz w:val="20"/>
                <w:szCs w:val="20"/>
              </w:rPr>
            </w:pPr>
            <w:r w:rsidRPr="002748EF">
              <w:rPr>
                <w:b/>
                <w:sz w:val="20"/>
                <w:szCs w:val="20"/>
              </w:rPr>
              <w:t>Number of enterprises</w:t>
            </w:r>
          </w:p>
        </w:tc>
        <w:tc>
          <w:tcPr>
            <w:tcW w:w="808" w:type="pct"/>
          </w:tcPr>
          <w:p w:rsidR="002A30F1" w:rsidRPr="002748EF" w:rsidRDefault="002A30F1" w:rsidP="005C7B83">
            <w:pPr>
              <w:jc w:val="center"/>
              <w:rPr>
                <w:b/>
                <w:sz w:val="20"/>
                <w:szCs w:val="20"/>
              </w:rPr>
            </w:pPr>
            <w:r w:rsidRPr="002748EF">
              <w:rPr>
                <w:b/>
                <w:sz w:val="20"/>
                <w:szCs w:val="20"/>
              </w:rPr>
              <w:t>Unitary cost</w:t>
            </w:r>
          </w:p>
          <w:p w:rsidR="002A30F1" w:rsidRPr="002748EF" w:rsidDel="007E7B26" w:rsidRDefault="002A30F1" w:rsidP="005C7B83">
            <w:pPr>
              <w:jc w:val="center"/>
              <w:rPr>
                <w:b/>
                <w:color w:val="000000"/>
                <w:sz w:val="20"/>
                <w:szCs w:val="20"/>
              </w:rPr>
            </w:pPr>
            <w:r w:rsidRPr="002748EF">
              <w:rPr>
                <w:b/>
                <w:sz w:val="20"/>
                <w:szCs w:val="20"/>
              </w:rPr>
              <w:t>US $/unit</w:t>
            </w:r>
          </w:p>
        </w:tc>
        <w:tc>
          <w:tcPr>
            <w:tcW w:w="805" w:type="pct"/>
            <w:shd w:val="clear" w:color="auto" w:fill="auto"/>
            <w:noWrap/>
            <w:vAlign w:val="center"/>
          </w:tcPr>
          <w:p w:rsidR="002A30F1" w:rsidRPr="002748EF" w:rsidRDefault="002A30F1" w:rsidP="005C7B83">
            <w:pPr>
              <w:jc w:val="center"/>
              <w:rPr>
                <w:b/>
                <w:color w:val="000000"/>
                <w:sz w:val="20"/>
                <w:szCs w:val="20"/>
              </w:rPr>
            </w:pPr>
            <w:r w:rsidRPr="002748EF">
              <w:rPr>
                <w:b/>
                <w:color w:val="000000"/>
                <w:sz w:val="20"/>
                <w:szCs w:val="20"/>
              </w:rPr>
              <w:t>Cost</w:t>
            </w:r>
          </w:p>
          <w:p w:rsidR="002A30F1" w:rsidRPr="002748EF" w:rsidRDefault="002A30F1" w:rsidP="005C7B83">
            <w:pPr>
              <w:jc w:val="center"/>
              <w:rPr>
                <w:b/>
                <w:color w:val="000000"/>
                <w:sz w:val="20"/>
                <w:szCs w:val="20"/>
              </w:rPr>
            </w:pPr>
            <w:r w:rsidRPr="002748EF">
              <w:rPr>
                <w:b/>
                <w:color w:val="000000"/>
                <w:sz w:val="20"/>
                <w:szCs w:val="20"/>
              </w:rPr>
              <w:t>(US $)</w:t>
            </w:r>
          </w:p>
        </w:tc>
      </w:tr>
      <w:tr w:rsidR="002A30F1" w:rsidRPr="002748EF" w:rsidTr="002748EF">
        <w:trPr>
          <w:trHeight w:val="179"/>
        </w:trPr>
        <w:tc>
          <w:tcPr>
            <w:tcW w:w="1339" w:type="pct"/>
            <w:shd w:val="clear" w:color="auto" w:fill="auto"/>
            <w:noWrap/>
          </w:tcPr>
          <w:p w:rsidR="002A30F1" w:rsidRPr="002748EF" w:rsidRDefault="002A30F1" w:rsidP="005C7B83">
            <w:pPr>
              <w:jc w:val="left"/>
              <w:rPr>
                <w:color w:val="000000"/>
                <w:sz w:val="20"/>
                <w:szCs w:val="20"/>
              </w:rPr>
            </w:pPr>
            <w:r w:rsidRPr="002748EF">
              <w:rPr>
                <w:sz w:val="20"/>
                <w:szCs w:val="20"/>
              </w:rPr>
              <w:t xml:space="preserve">Cooling system </w:t>
            </w:r>
          </w:p>
        </w:tc>
        <w:tc>
          <w:tcPr>
            <w:tcW w:w="1099" w:type="pct"/>
          </w:tcPr>
          <w:p w:rsidR="002A30F1" w:rsidRPr="002748EF" w:rsidRDefault="002A30F1" w:rsidP="005C7B83">
            <w:pPr>
              <w:jc w:val="left"/>
              <w:rPr>
                <w:color w:val="000000"/>
                <w:sz w:val="20"/>
                <w:szCs w:val="20"/>
              </w:rPr>
            </w:pPr>
            <w:r w:rsidRPr="002748EF">
              <w:rPr>
                <w:sz w:val="20"/>
                <w:szCs w:val="20"/>
              </w:rPr>
              <w:t xml:space="preserve">Above  0.5 </w:t>
            </w:r>
          </w:p>
        </w:tc>
        <w:tc>
          <w:tcPr>
            <w:tcW w:w="949" w:type="pct"/>
            <w:shd w:val="clear" w:color="auto" w:fill="auto"/>
            <w:noWrap/>
          </w:tcPr>
          <w:p w:rsidR="002A30F1" w:rsidRPr="002748EF" w:rsidRDefault="002A30F1" w:rsidP="005C7B83">
            <w:pPr>
              <w:jc w:val="right"/>
              <w:rPr>
                <w:color w:val="000000"/>
                <w:sz w:val="20"/>
                <w:szCs w:val="20"/>
              </w:rPr>
            </w:pPr>
            <w:r w:rsidRPr="002748EF">
              <w:rPr>
                <w:sz w:val="20"/>
                <w:szCs w:val="20"/>
              </w:rPr>
              <w:t>13</w:t>
            </w:r>
          </w:p>
        </w:tc>
        <w:tc>
          <w:tcPr>
            <w:tcW w:w="808" w:type="pct"/>
          </w:tcPr>
          <w:p w:rsidR="002A30F1" w:rsidRPr="002748EF" w:rsidRDefault="002A30F1" w:rsidP="005C7B83">
            <w:pPr>
              <w:jc w:val="right"/>
              <w:rPr>
                <w:sz w:val="20"/>
                <w:szCs w:val="20"/>
              </w:rPr>
            </w:pPr>
            <w:r w:rsidRPr="002748EF">
              <w:rPr>
                <w:sz w:val="20"/>
                <w:szCs w:val="20"/>
              </w:rPr>
              <w:t>5,000</w:t>
            </w:r>
          </w:p>
        </w:tc>
        <w:tc>
          <w:tcPr>
            <w:tcW w:w="805" w:type="pct"/>
            <w:shd w:val="clear" w:color="auto" w:fill="auto"/>
            <w:noWrap/>
          </w:tcPr>
          <w:p w:rsidR="002A30F1" w:rsidRPr="002748EF" w:rsidRDefault="002A30F1" w:rsidP="005C7B83">
            <w:pPr>
              <w:jc w:val="right"/>
              <w:rPr>
                <w:color w:val="000000"/>
                <w:sz w:val="20"/>
                <w:szCs w:val="20"/>
              </w:rPr>
            </w:pPr>
            <w:r w:rsidRPr="002748EF">
              <w:rPr>
                <w:sz w:val="20"/>
                <w:szCs w:val="20"/>
              </w:rPr>
              <w:t>65,000</w:t>
            </w:r>
          </w:p>
        </w:tc>
      </w:tr>
      <w:tr w:rsidR="002A30F1" w:rsidRPr="002748EF" w:rsidTr="002748EF">
        <w:trPr>
          <w:trHeight w:val="179"/>
        </w:trPr>
        <w:tc>
          <w:tcPr>
            <w:tcW w:w="1339" w:type="pct"/>
            <w:vMerge w:val="restart"/>
            <w:shd w:val="clear" w:color="auto" w:fill="auto"/>
            <w:noWrap/>
            <w:vAlign w:val="center"/>
          </w:tcPr>
          <w:p w:rsidR="002A30F1" w:rsidRPr="002748EF" w:rsidRDefault="002A30F1" w:rsidP="005C7B83">
            <w:pPr>
              <w:jc w:val="left"/>
              <w:rPr>
                <w:sz w:val="20"/>
                <w:szCs w:val="20"/>
              </w:rPr>
            </w:pPr>
            <w:r w:rsidRPr="002748EF">
              <w:rPr>
                <w:sz w:val="20"/>
                <w:szCs w:val="20"/>
              </w:rPr>
              <w:t>Tests, trials and training</w:t>
            </w:r>
          </w:p>
        </w:tc>
        <w:tc>
          <w:tcPr>
            <w:tcW w:w="1099" w:type="pct"/>
          </w:tcPr>
          <w:p w:rsidR="002A30F1" w:rsidRPr="002748EF" w:rsidRDefault="002A30F1" w:rsidP="005C7B83">
            <w:pPr>
              <w:jc w:val="left"/>
              <w:rPr>
                <w:sz w:val="20"/>
                <w:szCs w:val="20"/>
              </w:rPr>
            </w:pPr>
            <w:r w:rsidRPr="002748EF">
              <w:rPr>
                <w:sz w:val="20"/>
                <w:szCs w:val="20"/>
              </w:rPr>
              <w:t>Between 10 and 20</w:t>
            </w:r>
          </w:p>
        </w:tc>
        <w:tc>
          <w:tcPr>
            <w:tcW w:w="949" w:type="pct"/>
            <w:shd w:val="clear" w:color="auto" w:fill="auto"/>
            <w:noWrap/>
          </w:tcPr>
          <w:p w:rsidR="002A30F1" w:rsidRPr="002748EF" w:rsidRDefault="002A30F1" w:rsidP="005C7B83">
            <w:pPr>
              <w:jc w:val="right"/>
              <w:rPr>
                <w:sz w:val="20"/>
                <w:szCs w:val="20"/>
              </w:rPr>
            </w:pPr>
            <w:r w:rsidRPr="002748EF">
              <w:rPr>
                <w:sz w:val="20"/>
                <w:szCs w:val="20"/>
              </w:rPr>
              <w:t>1</w:t>
            </w:r>
          </w:p>
        </w:tc>
        <w:tc>
          <w:tcPr>
            <w:tcW w:w="808" w:type="pct"/>
          </w:tcPr>
          <w:p w:rsidR="002A30F1" w:rsidRPr="002748EF" w:rsidRDefault="002A30F1" w:rsidP="005C7B83">
            <w:pPr>
              <w:jc w:val="right"/>
              <w:outlineLvl w:val="0"/>
              <w:rPr>
                <w:sz w:val="20"/>
                <w:szCs w:val="20"/>
              </w:rPr>
            </w:pPr>
            <w:r w:rsidRPr="002748EF">
              <w:rPr>
                <w:sz w:val="20"/>
                <w:szCs w:val="20"/>
              </w:rPr>
              <w:t>15,000</w:t>
            </w:r>
          </w:p>
        </w:tc>
        <w:tc>
          <w:tcPr>
            <w:tcW w:w="805" w:type="pct"/>
            <w:shd w:val="clear" w:color="auto" w:fill="auto"/>
            <w:noWrap/>
          </w:tcPr>
          <w:p w:rsidR="002A30F1" w:rsidRPr="002748EF" w:rsidRDefault="002A30F1" w:rsidP="005C7B83">
            <w:pPr>
              <w:jc w:val="right"/>
              <w:outlineLvl w:val="0"/>
              <w:rPr>
                <w:sz w:val="20"/>
                <w:szCs w:val="20"/>
              </w:rPr>
            </w:pPr>
            <w:r w:rsidRPr="002748EF">
              <w:rPr>
                <w:sz w:val="20"/>
                <w:szCs w:val="20"/>
              </w:rPr>
              <w:t>15,000</w:t>
            </w:r>
          </w:p>
        </w:tc>
      </w:tr>
      <w:tr w:rsidR="002A30F1" w:rsidRPr="002748EF" w:rsidTr="002748EF">
        <w:trPr>
          <w:trHeight w:val="179"/>
        </w:trPr>
        <w:tc>
          <w:tcPr>
            <w:tcW w:w="1339" w:type="pct"/>
            <w:vMerge/>
            <w:shd w:val="clear" w:color="auto" w:fill="auto"/>
            <w:noWrap/>
          </w:tcPr>
          <w:p w:rsidR="002A30F1" w:rsidRPr="002748EF" w:rsidRDefault="002A30F1" w:rsidP="005C7B83">
            <w:pPr>
              <w:jc w:val="left"/>
              <w:rPr>
                <w:sz w:val="20"/>
                <w:szCs w:val="20"/>
              </w:rPr>
            </w:pPr>
          </w:p>
        </w:tc>
        <w:tc>
          <w:tcPr>
            <w:tcW w:w="1099" w:type="pct"/>
          </w:tcPr>
          <w:p w:rsidR="002A30F1" w:rsidRPr="002748EF" w:rsidRDefault="002A30F1" w:rsidP="005C7B83">
            <w:pPr>
              <w:jc w:val="left"/>
              <w:rPr>
                <w:sz w:val="20"/>
                <w:szCs w:val="20"/>
              </w:rPr>
            </w:pPr>
            <w:r w:rsidRPr="002748EF">
              <w:rPr>
                <w:sz w:val="20"/>
                <w:szCs w:val="20"/>
              </w:rPr>
              <w:t>Between 1 and 10</w:t>
            </w:r>
          </w:p>
        </w:tc>
        <w:tc>
          <w:tcPr>
            <w:tcW w:w="949" w:type="pct"/>
            <w:shd w:val="clear" w:color="auto" w:fill="auto"/>
            <w:noWrap/>
          </w:tcPr>
          <w:p w:rsidR="002A30F1" w:rsidRPr="002748EF" w:rsidRDefault="002A30F1" w:rsidP="005C7B83">
            <w:pPr>
              <w:jc w:val="right"/>
              <w:rPr>
                <w:sz w:val="20"/>
                <w:szCs w:val="20"/>
              </w:rPr>
            </w:pPr>
            <w:r w:rsidRPr="002748EF">
              <w:rPr>
                <w:sz w:val="20"/>
                <w:szCs w:val="20"/>
              </w:rPr>
              <w:t>10</w:t>
            </w:r>
          </w:p>
        </w:tc>
        <w:tc>
          <w:tcPr>
            <w:tcW w:w="808" w:type="pct"/>
          </w:tcPr>
          <w:p w:rsidR="002A30F1" w:rsidRPr="002748EF" w:rsidRDefault="002A30F1" w:rsidP="005C7B83">
            <w:pPr>
              <w:jc w:val="right"/>
              <w:rPr>
                <w:sz w:val="20"/>
                <w:szCs w:val="20"/>
              </w:rPr>
            </w:pPr>
            <w:r w:rsidRPr="002748EF">
              <w:rPr>
                <w:sz w:val="20"/>
                <w:szCs w:val="20"/>
              </w:rPr>
              <w:t>10,000</w:t>
            </w:r>
          </w:p>
        </w:tc>
        <w:tc>
          <w:tcPr>
            <w:tcW w:w="805" w:type="pct"/>
            <w:shd w:val="clear" w:color="auto" w:fill="auto"/>
            <w:noWrap/>
          </w:tcPr>
          <w:p w:rsidR="002A30F1" w:rsidRPr="002748EF" w:rsidRDefault="002A30F1" w:rsidP="005C7B83">
            <w:pPr>
              <w:jc w:val="right"/>
              <w:rPr>
                <w:sz w:val="20"/>
                <w:szCs w:val="20"/>
              </w:rPr>
            </w:pPr>
            <w:r w:rsidRPr="002748EF">
              <w:rPr>
                <w:sz w:val="20"/>
                <w:szCs w:val="20"/>
              </w:rPr>
              <w:t>100,000</w:t>
            </w:r>
          </w:p>
        </w:tc>
      </w:tr>
      <w:tr w:rsidR="002A30F1" w:rsidRPr="002748EF" w:rsidTr="002748EF">
        <w:trPr>
          <w:trHeight w:val="179"/>
        </w:trPr>
        <w:tc>
          <w:tcPr>
            <w:tcW w:w="1339" w:type="pct"/>
            <w:vMerge/>
            <w:shd w:val="clear" w:color="auto" w:fill="auto"/>
            <w:noWrap/>
          </w:tcPr>
          <w:p w:rsidR="002A30F1" w:rsidRPr="002748EF" w:rsidRDefault="002A30F1" w:rsidP="005C7B83">
            <w:pPr>
              <w:jc w:val="left"/>
              <w:rPr>
                <w:sz w:val="20"/>
                <w:szCs w:val="20"/>
              </w:rPr>
            </w:pPr>
          </w:p>
        </w:tc>
        <w:tc>
          <w:tcPr>
            <w:tcW w:w="1099" w:type="pct"/>
          </w:tcPr>
          <w:p w:rsidR="002A30F1" w:rsidRPr="002748EF" w:rsidRDefault="002A30F1" w:rsidP="005C7B83">
            <w:pPr>
              <w:jc w:val="left"/>
              <w:rPr>
                <w:sz w:val="20"/>
                <w:szCs w:val="20"/>
              </w:rPr>
            </w:pPr>
            <w:r w:rsidRPr="002748EF">
              <w:rPr>
                <w:sz w:val="20"/>
                <w:szCs w:val="20"/>
              </w:rPr>
              <w:t>Between 0.5 and 1</w:t>
            </w:r>
          </w:p>
        </w:tc>
        <w:tc>
          <w:tcPr>
            <w:tcW w:w="949" w:type="pct"/>
            <w:shd w:val="clear" w:color="auto" w:fill="auto"/>
            <w:noWrap/>
          </w:tcPr>
          <w:p w:rsidR="002A30F1" w:rsidRPr="002748EF" w:rsidRDefault="002A30F1" w:rsidP="005C7B83">
            <w:pPr>
              <w:jc w:val="right"/>
              <w:rPr>
                <w:sz w:val="20"/>
                <w:szCs w:val="20"/>
              </w:rPr>
            </w:pPr>
            <w:r w:rsidRPr="002748EF">
              <w:rPr>
                <w:sz w:val="20"/>
                <w:szCs w:val="20"/>
              </w:rPr>
              <w:t>2</w:t>
            </w:r>
          </w:p>
        </w:tc>
        <w:tc>
          <w:tcPr>
            <w:tcW w:w="808" w:type="pct"/>
          </w:tcPr>
          <w:p w:rsidR="002A30F1" w:rsidRPr="002748EF" w:rsidRDefault="002A30F1" w:rsidP="005C7B83">
            <w:pPr>
              <w:jc w:val="right"/>
              <w:rPr>
                <w:sz w:val="20"/>
                <w:szCs w:val="20"/>
              </w:rPr>
            </w:pPr>
            <w:r w:rsidRPr="002748EF">
              <w:rPr>
                <w:sz w:val="20"/>
                <w:szCs w:val="20"/>
              </w:rPr>
              <w:t>3,000</w:t>
            </w:r>
          </w:p>
        </w:tc>
        <w:tc>
          <w:tcPr>
            <w:tcW w:w="805" w:type="pct"/>
            <w:shd w:val="clear" w:color="auto" w:fill="auto"/>
            <w:noWrap/>
          </w:tcPr>
          <w:p w:rsidR="002A30F1" w:rsidRPr="002748EF" w:rsidRDefault="002A30F1" w:rsidP="005C7B83">
            <w:pPr>
              <w:jc w:val="right"/>
              <w:rPr>
                <w:sz w:val="20"/>
                <w:szCs w:val="20"/>
              </w:rPr>
            </w:pPr>
            <w:r w:rsidRPr="002748EF">
              <w:rPr>
                <w:sz w:val="20"/>
                <w:szCs w:val="20"/>
              </w:rPr>
              <w:t>6,000</w:t>
            </w:r>
          </w:p>
        </w:tc>
      </w:tr>
      <w:tr w:rsidR="002A30F1" w:rsidRPr="002748EF" w:rsidTr="002748EF">
        <w:trPr>
          <w:trHeight w:val="179"/>
        </w:trPr>
        <w:tc>
          <w:tcPr>
            <w:tcW w:w="1339" w:type="pct"/>
            <w:vMerge/>
            <w:shd w:val="clear" w:color="auto" w:fill="auto"/>
            <w:noWrap/>
          </w:tcPr>
          <w:p w:rsidR="002A30F1" w:rsidRPr="002748EF" w:rsidRDefault="002A30F1" w:rsidP="005C7B83">
            <w:pPr>
              <w:jc w:val="left"/>
              <w:rPr>
                <w:sz w:val="20"/>
                <w:szCs w:val="20"/>
              </w:rPr>
            </w:pPr>
          </w:p>
        </w:tc>
        <w:tc>
          <w:tcPr>
            <w:tcW w:w="1099" w:type="pct"/>
          </w:tcPr>
          <w:p w:rsidR="002A30F1" w:rsidRPr="002748EF" w:rsidRDefault="002A30F1" w:rsidP="005C7B83">
            <w:pPr>
              <w:jc w:val="left"/>
              <w:rPr>
                <w:sz w:val="20"/>
                <w:szCs w:val="20"/>
              </w:rPr>
            </w:pPr>
            <w:r w:rsidRPr="002748EF">
              <w:rPr>
                <w:sz w:val="20"/>
                <w:szCs w:val="20"/>
              </w:rPr>
              <w:t>Between 0.1 and 0.5</w:t>
            </w:r>
          </w:p>
        </w:tc>
        <w:tc>
          <w:tcPr>
            <w:tcW w:w="949" w:type="pct"/>
            <w:shd w:val="clear" w:color="auto" w:fill="auto"/>
            <w:noWrap/>
          </w:tcPr>
          <w:p w:rsidR="002A30F1" w:rsidRPr="002748EF" w:rsidRDefault="002A30F1" w:rsidP="005C7B83">
            <w:pPr>
              <w:jc w:val="right"/>
              <w:rPr>
                <w:sz w:val="20"/>
                <w:szCs w:val="20"/>
              </w:rPr>
            </w:pPr>
            <w:r w:rsidRPr="002748EF">
              <w:rPr>
                <w:sz w:val="20"/>
                <w:szCs w:val="20"/>
              </w:rPr>
              <w:t>6</w:t>
            </w:r>
          </w:p>
        </w:tc>
        <w:tc>
          <w:tcPr>
            <w:tcW w:w="808" w:type="pct"/>
          </w:tcPr>
          <w:p w:rsidR="002A30F1" w:rsidRPr="002748EF" w:rsidRDefault="002A30F1" w:rsidP="005C7B83">
            <w:pPr>
              <w:jc w:val="right"/>
              <w:rPr>
                <w:sz w:val="20"/>
                <w:szCs w:val="20"/>
              </w:rPr>
            </w:pPr>
            <w:r w:rsidRPr="002748EF">
              <w:rPr>
                <w:sz w:val="20"/>
                <w:szCs w:val="20"/>
              </w:rPr>
              <w:t>1,300</w:t>
            </w:r>
          </w:p>
        </w:tc>
        <w:tc>
          <w:tcPr>
            <w:tcW w:w="805" w:type="pct"/>
            <w:shd w:val="clear" w:color="auto" w:fill="auto"/>
            <w:noWrap/>
          </w:tcPr>
          <w:p w:rsidR="002A30F1" w:rsidRPr="002748EF" w:rsidRDefault="002A30F1" w:rsidP="005C7B83">
            <w:pPr>
              <w:jc w:val="right"/>
              <w:rPr>
                <w:sz w:val="20"/>
                <w:szCs w:val="20"/>
              </w:rPr>
            </w:pPr>
            <w:r w:rsidRPr="002748EF">
              <w:rPr>
                <w:sz w:val="20"/>
                <w:szCs w:val="20"/>
              </w:rPr>
              <w:t>7,800</w:t>
            </w:r>
          </w:p>
        </w:tc>
      </w:tr>
      <w:tr w:rsidR="002A30F1" w:rsidRPr="002748EF" w:rsidTr="002748EF">
        <w:trPr>
          <w:trHeight w:val="179"/>
        </w:trPr>
        <w:tc>
          <w:tcPr>
            <w:tcW w:w="4195" w:type="pct"/>
            <w:gridSpan w:val="4"/>
            <w:shd w:val="clear" w:color="auto" w:fill="auto"/>
            <w:noWrap/>
          </w:tcPr>
          <w:p w:rsidR="002A30F1" w:rsidRPr="002748EF" w:rsidRDefault="002A30F1" w:rsidP="001B354E">
            <w:pPr>
              <w:jc w:val="left"/>
              <w:rPr>
                <w:sz w:val="20"/>
                <w:szCs w:val="20"/>
              </w:rPr>
            </w:pPr>
            <w:r w:rsidRPr="002748EF">
              <w:rPr>
                <w:color w:val="000000"/>
                <w:sz w:val="20"/>
                <w:szCs w:val="20"/>
              </w:rPr>
              <w:t>Contingency (10 %) (applicable to cooling system and trials and testing)</w:t>
            </w:r>
          </w:p>
        </w:tc>
        <w:tc>
          <w:tcPr>
            <w:tcW w:w="805" w:type="pct"/>
            <w:shd w:val="clear" w:color="auto" w:fill="auto"/>
            <w:noWrap/>
          </w:tcPr>
          <w:p w:rsidR="002A30F1" w:rsidRPr="002748EF" w:rsidRDefault="002A30F1" w:rsidP="005C7B83">
            <w:pPr>
              <w:jc w:val="right"/>
              <w:rPr>
                <w:sz w:val="20"/>
                <w:szCs w:val="20"/>
              </w:rPr>
            </w:pPr>
            <w:r w:rsidRPr="002748EF">
              <w:rPr>
                <w:sz w:val="20"/>
                <w:szCs w:val="20"/>
              </w:rPr>
              <w:t>19,380</w:t>
            </w:r>
          </w:p>
        </w:tc>
      </w:tr>
      <w:tr w:rsidR="002A30F1" w:rsidRPr="002748EF" w:rsidTr="002748EF">
        <w:trPr>
          <w:trHeight w:val="179"/>
        </w:trPr>
        <w:tc>
          <w:tcPr>
            <w:tcW w:w="4195" w:type="pct"/>
            <w:gridSpan w:val="4"/>
            <w:shd w:val="clear" w:color="auto" w:fill="auto"/>
            <w:noWrap/>
          </w:tcPr>
          <w:p w:rsidR="002A30F1" w:rsidRPr="002748EF" w:rsidRDefault="002A30F1" w:rsidP="0056790C">
            <w:pPr>
              <w:jc w:val="left"/>
              <w:rPr>
                <w:b/>
                <w:sz w:val="20"/>
                <w:szCs w:val="20"/>
              </w:rPr>
            </w:pPr>
            <w:r w:rsidRPr="002748EF">
              <w:rPr>
                <w:b/>
                <w:sz w:val="20"/>
                <w:szCs w:val="20"/>
              </w:rPr>
              <w:t>Subtotal</w:t>
            </w:r>
          </w:p>
        </w:tc>
        <w:tc>
          <w:tcPr>
            <w:tcW w:w="805" w:type="pct"/>
            <w:shd w:val="clear" w:color="auto" w:fill="auto"/>
            <w:noWrap/>
          </w:tcPr>
          <w:p w:rsidR="002A30F1" w:rsidRPr="002748EF" w:rsidRDefault="002A30F1" w:rsidP="005C7B83">
            <w:pPr>
              <w:jc w:val="right"/>
              <w:rPr>
                <w:sz w:val="20"/>
                <w:szCs w:val="20"/>
              </w:rPr>
            </w:pPr>
            <w:r w:rsidRPr="002748EF">
              <w:rPr>
                <w:sz w:val="20"/>
                <w:szCs w:val="20"/>
              </w:rPr>
              <w:t>213,180</w:t>
            </w:r>
          </w:p>
        </w:tc>
      </w:tr>
      <w:tr w:rsidR="00A87FC4" w:rsidRPr="002748EF" w:rsidTr="00A87FC4">
        <w:trPr>
          <w:trHeight w:val="179"/>
        </w:trPr>
        <w:tc>
          <w:tcPr>
            <w:tcW w:w="2438" w:type="pct"/>
            <w:gridSpan w:val="2"/>
            <w:shd w:val="clear" w:color="auto" w:fill="auto"/>
            <w:noWrap/>
          </w:tcPr>
          <w:p w:rsidR="00A87FC4" w:rsidRPr="002748EF" w:rsidRDefault="00A87FC4" w:rsidP="005C7B83">
            <w:pPr>
              <w:jc w:val="left"/>
              <w:rPr>
                <w:color w:val="000000"/>
                <w:sz w:val="20"/>
                <w:szCs w:val="20"/>
              </w:rPr>
            </w:pPr>
            <w:r w:rsidRPr="002748EF">
              <w:rPr>
                <w:sz w:val="20"/>
                <w:szCs w:val="20"/>
              </w:rPr>
              <w:t>Technical assistance</w:t>
            </w:r>
            <w:r>
              <w:rPr>
                <w:sz w:val="20"/>
                <w:szCs w:val="20"/>
              </w:rPr>
              <w:t xml:space="preserve"> (including two enterprises with consumption less than 100 kg</w:t>
            </w:r>
          </w:p>
        </w:tc>
        <w:tc>
          <w:tcPr>
            <w:tcW w:w="949" w:type="pct"/>
            <w:shd w:val="clear" w:color="auto" w:fill="auto"/>
            <w:noWrap/>
          </w:tcPr>
          <w:p w:rsidR="00A87FC4" w:rsidRPr="002748EF" w:rsidRDefault="00A87FC4" w:rsidP="005C7B83">
            <w:pPr>
              <w:jc w:val="right"/>
              <w:rPr>
                <w:color w:val="000000"/>
                <w:sz w:val="20"/>
                <w:szCs w:val="20"/>
              </w:rPr>
            </w:pPr>
            <w:r>
              <w:rPr>
                <w:sz w:val="20"/>
                <w:szCs w:val="20"/>
              </w:rPr>
              <w:t>n/a</w:t>
            </w:r>
          </w:p>
        </w:tc>
        <w:tc>
          <w:tcPr>
            <w:tcW w:w="808" w:type="pct"/>
          </w:tcPr>
          <w:p w:rsidR="00A87FC4" w:rsidRPr="002748EF" w:rsidRDefault="00A87FC4" w:rsidP="005C7B83">
            <w:pPr>
              <w:jc w:val="right"/>
              <w:rPr>
                <w:sz w:val="20"/>
                <w:szCs w:val="20"/>
              </w:rPr>
            </w:pPr>
            <w:r w:rsidRPr="002748EF">
              <w:rPr>
                <w:sz w:val="20"/>
                <w:szCs w:val="20"/>
              </w:rPr>
              <w:t>10,000</w:t>
            </w:r>
          </w:p>
        </w:tc>
        <w:tc>
          <w:tcPr>
            <w:tcW w:w="805" w:type="pct"/>
            <w:shd w:val="clear" w:color="auto" w:fill="auto"/>
            <w:noWrap/>
          </w:tcPr>
          <w:p w:rsidR="00A87FC4" w:rsidRPr="002748EF" w:rsidRDefault="00A87FC4" w:rsidP="005C7B83">
            <w:pPr>
              <w:jc w:val="right"/>
              <w:rPr>
                <w:color w:val="000000"/>
                <w:sz w:val="20"/>
                <w:szCs w:val="20"/>
              </w:rPr>
            </w:pPr>
            <w:r w:rsidRPr="002748EF">
              <w:rPr>
                <w:sz w:val="20"/>
                <w:szCs w:val="20"/>
              </w:rPr>
              <w:t>10,000</w:t>
            </w:r>
          </w:p>
        </w:tc>
      </w:tr>
      <w:tr w:rsidR="00A87FC4" w:rsidRPr="002748EF" w:rsidTr="00A87FC4">
        <w:trPr>
          <w:trHeight w:val="179"/>
        </w:trPr>
        <w:tc>
          <w:tcPr>
            <w:tcW w:w="2438" w:type="pct"/>
            <w:gridSpan w:val="2"/>
            <w:shd w:val="clear" w:color="auto" w:fill="auto"/>
            <w:noWrap/>
            <w:vAlign w:val="bottom"/>
            <w:hideMark/>
          </w:tcPr>
          <w:p w:rsidR="00A87FC4" w:rsidRPr="002748EF" w:rsidRDefault="00A87FC4" w:rsidP="005C7B83">
            <w:pPr>
              <w:jc w:val="left"/>
              <w:rPr>
                <w:color w:val="000000"/>
                <w:sz w:val="20"/>
                <w:szCs w:val="20"/>
              </w:rPr>
            </w:pPr>
            <w:r w:rsidRPr="002748EF">
              <w:rPr>
                <w:color w:val="000000"/>
                <w:sz w:val="20"/>
                <w:szCs w:val="20"/>
              </w:rPr>
              <w:t xml:space="preserve">Project management </w:t>
            </w:r>
          </w:p>
        </w:tc>
        <w:tc>
          <w:tcPr>
            <w:tcW w:w="949" w:type="pct"/>
            <w:shd w:val="clear" w:color="auto" w:fill="auto"/>
            <w:noWrap/>
          </w:tcPr>
          <w:p w:rsidR="00A87FC4" w:rsidRPr="002748EF" w:rsidRDefault="00A87FC4" w:rsidP="005C7B83">
            <w:pPr>
              <w:jc w:val="right"/>
              <w:rPr>
                <w:color w:val="000000"/>
                <w:sz w:val="20"/>
                <w:szCs w:val="20"/>
                <w:lang w:val="en-US"/>
              </w:rPr>
            </w:pPr>
            <w:r w:rsidRPr="002748EF">
              <w:rPr>
                <w:sz w:val="20"/>
                <w:szCs w:val="20"/>
              </w:rPr>
              <w:t>19*</w:t>
            </w:r>
          </w:p>
        </w:tc>
        <w:tc>
          <w:tcPr>
            <w:tcW w:w="808" w:type="pct"/>
          </w:tcPr>
          <w:p w:rsidR="00A87FC4" w:rsidRPr="002748EF" w:rsidRDefault="00A87FC4" w:rsidP="005C7B83">
            <w:pPr>
              <w:jc w:val="right"/>
              <w:rPr>
                <w:color w:val="000000"/>
                <w:sz w:val="20"/>
                <w:szCs w:val="20"/>
              </w:rPr>
            </w:pPr>
            <w:r w:rsidRPr="002748EF">
              <w:rPr>
                <w:sz w:val="20"/>
                <w:szCs w:val="20"/>
              </w:rPr>
              <w:t>1,500</w:t>
            </w:r>
          </w:p>
        </w:tc>
        <w:tc>
          <w:tcPr>
            <w:tcW w:w="805" w:type="pct"/>
            <w:shd w:val="clear" w:color="auto" w:fill="auto"/>
            <w:noWrap/>
          </w:tcPr>
          <w:p w:rsidR="00A87FC4" w:rsidRPr="002748EF" w:rsidRDefault="00A87FC4" w:rsidP="005C7B83">
            <w:pPr>
              <w:jc w:val="right"/>
              <w:rPr>
                <w:color w:val="000000"/>
                <w:sz w:val="20"/>
                <w:szCs w:val="20"/>
                <w:lang w:val="en-US"/>
              </w:rPr>
            </w:pPr>
            <w:r w:rsidRPr="002748EF">
              <w:rPr>
                <w:sz w:val="20"/>
                <w:szCs w:val="20"/>
              </w:rPr>
              <w:t>28,500</w:t>
            </w:r>
          </w:p>
        </w:tc>
      </w:tr>
      <w:tr w:rsidR="002A30F1" w:rsidRPr="002748EF" w:rsidTr="002748EF">
        <w:trPr>
          <w:trHeight w:val="107"/>
        </w:trPr>
        <w:tc>
          <w:tcPr>
            <w:tcW w:w="4195" w:type="pct"/>
            <w:gridSpan w:val="4"/>
          </w:tcPr>
          <w:p w:rsidR="002A30F1" w:rsidRPr="002748EF" w:rsidRDefault="002A30F1" w:rsidP="005C7B83">
            <w:pPr>
              <w:jc w:val="left"/>
              <w:rPr>
                <w:b/>
                <w:color w:val="000000"/>
                <w:sz w:val="20"/>
                <w:szCs w:val="20"/>
                <w:lang w:val="en-US"/>
              </w:rPr>
            </w:pPr>
            <w:r w:rsidRPr="002748EF">
              <w:rPr>
                <w:b/>
                <w:color w:val="000000"/>
                <w:sz w:val="20"/>
                <w:szCs w:val="20"/>
              </w:rPr>
              <w:t>Total (ICC)</w:t>
            </w:r>
          </w:p>
        </w:tc>
        <w:tc>
          <w:tcPr>
            <w:tcW w:w="805" w:type="pct"/>
          </w:tcPr>
          <w:p w:rsidR="002A30F1" w:rsidRPr="002748EF" w:rsidRDefault="002A30F1" w:rsidP="005C7B83">
            <w:pPr>
              <w:jc w:val="right"/>
              <w:rPr>
                <w:b/>
                <w:color w:val="000000"/>
                <w:sz w:val="20"/>
                <w:szCs w:val="20"/>
                <w:lang w:val="en-US"/>
              </w:rPr>
            </w:pPr>
            <w:r w:rsidRPr="002748EF">
              <w:rPr>
                <w:sz w:val="20"/>
                <w:szCs w:val="20"/>
              </w:rPr>
              <w:t>251,680</w:t>
            </w:r>
          </w:p>
        </w:tc>
      </w:tr>
      <w:tr w:rsidR="002A30F1" w:rsidRPr="002748EF" w:rsidTr="002748EF">
        <w:trPr>
          <w:trHeight w:val="107"/>
        </w:trPr>
        <w:tc>
          <w:tcPr>
            <w:tcW w:w="4195" w:type="pct"/>
            <w:gridSpan w:val="4"/>
          </w:tcPr>
          <w:p w:rsidR="002A30F1" w:rsidRPr="002748EF" w:rsidRDefault="002A30F1" w:rsidP="005C7B83">
            <w:pPr>
              <w:jc w:val="left"/>
              <w:rPr>
                <w:b/>
                <w:color w:val="000000"/>
                <w:sz w:val="20"/>
                <w:szCs w:val="20"/>
              </w:rPr>
            </w:pPr>
            <w:r w:rsidRPr="002748EF">
              <w:rPr>
                <w:b/>
                <w:color w:val="000000"/>
                <w:sz w:val="20"/>
                <w:szCs w:val="20"/>
              </w:rPr>
              <w:t xml:space="preserve">IOC </w:t>
            </w:r>
          </w:p>
        </w:tc>
        <w:tc>
          <w:tcPr>
            <w:tcW w:w="805" w:type="pct"/>
          </w:tcPr>
          <w:p w:rsidR="002A30F1" w:rsidRPr="002748EF" w:rsidRDefault="002A30F1" w:rsidP="005C7B83">
            <w:pPr>
              <w:jc w:val="right"/>
              <w:rPr>
                <w:b/>
                <w:color w:val="000000"/>
                <w:sz w:val="20"/>
                <w:szCs w:val="20"/>
              </w:rPr>
            </w:pPr>
            <w:r w:rsidRPr="002748EF">
              <w:rPr>
                <w:sz w:val="20"/>
                <w:szCs w:val="20"/>
              </w:rPr>
              <w:t>482,519</w:t>
            </w:r>
          </w:p>
        </w:tc>
      </w:tr>
      <w:tr w:rsidR="002A30F1" w:rsidRPr="002748EF" w:rsidTr="002748EF">
        <w:trPr>
          <w:trHeight w:val="107"/>
        </w:trPr>
        <w:tc>
          <w:tcPr>
            <w:tcW w:w="4195" w:type="pct"/>
            <w:gridSpan w:val="4"/>
          </w:tcPr>
          <w:p w:rsidR="002A30F1" w:rsidRPr="002748EF" w:rsidRDefault="002A30F1" w:rsidP="005C7B83">
            <w:pPr>
              <w:jc w:val="left"/>
              <w:rPr>
                <w:b/>
                <w:color w:val="000000"/>
                <w:sz w:val="20"/>
                <w:szCs w:val="20"/>
              </w:rPr>
            </w:pPr>
            <w:r w:rsidRPr="002748EF">
              <w:rPr>
                <w:b/>
                <w:color w:val="000000"/>
                <w:sz w:val="20"/>
                <w:szCs w:val="20"/>
              </w:rPr>
              <w:t xml:space="preserve">Total cost </w:t>
            </w:r>
          </w:p>
        </w:tc>
        <w:tc>
          <w:tcPr>
            <w:tcW w:w="805" w:type="pct"/>
          </w:tcPr>
          <w:p w:rsidR="002A30F1" w:rsidRPr="002748EF" w:rsidRDefault="002A30F1" w:rsidP="005C7B83">
            <w:pPr>
              <w:jc w:val="right"/>
              <w:rPr>
                <w:b/>
                <w:color w:val="000000"/>
                <w:sz w:val="20"/>
                <w:szCs w:val="20"/>
              </w:rPr>
            </w:pPr>
            <w:r w:rsidRPr="002748EF">
              <w:rPr>
                <w:sz w:val="20"/>
                <w:szCs w:val="20"/>
              </w:rPr>
              <w:t>734,199</w:t>
            </w:r>
          </w:p>
        </w:tc>
      </w:tr>
      <w:tr w:rsidR="002A30F1" w:rsidRPr="002748EF" w:rsidTr="002748EF">
        <w:trPr>
          <w:trHeight w:val="107"/>
        </w:trPr>
        <w:tc>
          <w:tcPr>
            <w:tcW w:w="4195" w:type="pct"/>
            <w:gridSpan w:val="4"/>
          </w:tcPr>
          <w:p w:rsidR="002A30F1" w:rsidRPr="002748EF" w:rsidRDefault="002A30F1" w:rsidP="0056790C">
            <w:pPr>
              <w:jc w:val="left"/>
              <w:rPr>
                <w:b/>
                <w:color w:val="000000"/>
                <w:sz w:val="20"/>
                <w:szCs w:val="20"/>
              </w:rPr>
            </w:pPr>
            <w:r w:rsidRPr="002748EF">
              <w:rPr>
                <w:b/>
                <w:color w:val="000000"/>
                <w:sz w:val="20"/>
                <w:szCs w:val="20"/>
              </w:rPr>
              <w:t>Funds requested (based on US$10.96/kg)</w:t>
            </w:r>
          </w:p>
        </w:tc>
        <w:tc>
          <w:tcPr>
            <w:tcW w:w="805" w:type="pct"/>
          </w:tcPr>
          <w:p w:rsidR="002A30F1" w:rsidRPr="002748EF" w:rsidRDefault="002A30F1" w:rsidP="005C7B83">
            <w:pPr>
              <w:jc w:val="right"/>
              <w:rPr>
                <w:b/>
                <w:color w:val="000000"/>
                <w:sz w:val="20"/>
                <w:szCs w:val="20"/>
              </w:rPr>
            </w:pPr>
            <w:r w:rsidRPr="002748EF">
              <w:rPr>
                <w:b/>
                <w:sz w:val="20"/>
                <w:szCs w:val="20"/>
              </w:rPr>
              <w:t>540,703</w:t>
            </w:r>
          </w:p>
        </w:tc>
      </w:tr>
    </w:tbl>
    <w:p w:rsidR="00804919" w:rsidRPr="005C7B83" w:rsidRDefault="00804919" w:rsidP="005C7B83">
      <w:pPr>
        <w:pStyle w:val="Heading2"/>
        <w:rPr>
          <w:sz w:val="28"/>
          <w:szCs w:val="28"/>
          <w:u w:val="single"/>
        </w:rPr>
      </w:pPr>
      <w:r w:rsidRPr="000302C5">
        <w:rPr>
          <w:sz w:val="16"/>
          <w:szCs w:val="28"/>
          <w:lang w:val="en-CA"/>
        </w:rPr>
        <w:t>*</w:t>
      </w:r>
      <w:r w:rsidR="007F72E3" w:rsidRPr="000302C5">
        <w:rPr>
          <w:sz w:val="16"/>
          <w:szCs w:val="28"/>
          <w:lang w:val="en-CA"/>
        </w:rPr>
        <w:t xml:space="preserve">Of the 21 eligible enterprises, </w:t>
      </w:r>
      <w:r w:rsidR="007D5816" w:rsidRPr="000302C5">
        <w:rPr>
          <w:sz w:val="16"/>
          <w:szCs w:val="28"/>
          <w:lang w:val="en-CA"/>
        </w:rPr>
        <w:t xml:space="preserve">only </w:t>
      </w:r>
      <w:r w:rsidR="007F72E3" w:rsidRPr="000302C5">
        <w:rPr>
          <w:sz w:val="16"/>
          <w:szCs w:val="28"/>
          <w:lang w:val="en-CA"/>
        </w:rPr>
        <w:t xml:space="preserve">19 </w:t>
      </w:r>
      <w:r w:rsidR="007D5816" w:rsidRPr="000302C5">
        <w:rPr>
          <w:sz w:val="16"/>
          <w:szCs w:val="28"/>
          <w:lang w:val="en-CA"/>
        </w:rPr>
        <w:t>are included for funding due to very small consumption (less than 100 kg/year) of two</w:t>
      </w:r>
      <w:r w:rsidR="007F72E3" w:rsidRPr="000302C5">
        <w:rPr>
          <w:sz w:val="16"/>
          <w:szCs w:val="28"/>
          <w:lang w:val="en-CA"/>
        </w:rPr>
        <w:t>.</w:t>
      </w:r>
    </w:p>
    <w:p w:rsidR="003630DA" w:rsidRPr="002D6E85" w:rsidRDefault="003630DA" w:rsidP="002748EF">
      <w:pPr>
        <w:pStyle w:val="Heading2"/>
        <w:rPr>
          <w:u w:val="single"/>
        </w:rPr>
      </w:pPr>
      <w:r w:rsidRPr="002D6E85">
        <w:rPr>
          <w:u w:val="single"/>
        </w:rPr>
        <w:t>Activities in the refrigeration servicing sector</w:t>
      </w:r>
    </w:p>
    <w:p w:rsidR="003630DA" w:rsidRPr="002D6E85" w:rsidRDefault="0011706F" w:rsidP="00EA61B6">
      <w:pPr>
        <w:pStyle w:val="Style1"/>
        <w:numPr>
          <w:ilvl w:val="0"/>
          <w:numId w:val="7"/>
        </w:numPr>
        <w:spacing w:line="240" w:lineRule="auto"/>
        <w:ind w:left="0" w:firstLine="0"/>
      </w:pPr>
      <w:r w:rsidRPr="002D6E85">
        <w:t xml:space="preserve">The following activities </w:t>
      </w:r>
      <w:r w:rsidR="007F72E3" w:rsidRPr="002D6E85">
        <w:t>will be implemented</w:t>
      </w:r>
      <w:r w:rsidRPr="002D6E85">
        <w:t>:</w:t>
      </w:r>
    </w:p>
    <w:p w:rsidR="00127DB4" w:rsidRPr="002D6E85" w:rsidRDefault="00127DB4" w:rsidP="002748EF">
      <w:pPr>
        <w:pStyle w:val="ListParagraph"/>
        <w:ind w:left="0"/>
      </w:pPr>
    </w:p>
    <w:p w:rsidR="00B80A52" w:rsidRPr="002D6E85" w:rsidRDefault="005C2CCE" w:rsidP="00F07CA5">
      <w:pPr>
        <w:pStyle w:val="Heading2"/>
        <w:numPr>
          <w:ilvl w:val="1"/>
          <w:numId w:val="25"/>
        </w:numPr>
        <w:rPr>
          <w:color w:val="000000" w:themeColor="text1"/>
        </w:rPr>
      </w:pPr>
      <w:r w:rsidRPr="002D6E85">
        <w:rPr>
          <w:lang w:val="en-US"/>
        </w:rPr>
        <w:t xml:space="preserve">Training of 40 trainers and </w:t>
      </w:r>
      <w:r w:rsidR="00334AC4" w:rsidRPr="002D6E85">
        <w:rPr>
          <w:lang w:val="en-US"/>
        </w:rPr>
        <w:t>8</w:t>
      </w:r>
      <w:r w:rsidRPr="002D6E85">
        <w:rPr>
          <w:lang w:val="en-US"/>
        </w:rPr>
        <w:t xml:space="preserve">00 </w:t>
      </w:r>
      <w:r w:rsidR="00334AC4" w:rsidRPr="002D6E85">
        <w:rPr>
          <w:lang w:val="en-US"/>
        </w:rPr>
        <w:t>technicians</w:t>
      </w:r>
      <w:r w:rsidR="00175092" w:rsidRPr="002D6E85">
        <w:rPr>
          <w:lang w:val="en-US"/>
        </w:rPr>
        <w:t xml:space="preserve"> on good refrigeration servicing practices;</w:t>
      </w:r>
      <w:r w:rsidR="00334AC4" w:rsidRPr="002D6E85">
        <w:rPr>
          <w:color w:val="000000" w:themeColor="text1"/>
        </w:rPr>
        <w:t xml:space="preserve"> update </w:t>
      </w:r>
      <w:r w:rsidR="00175092" w:rsidRPr="002D6E85">
        <w:rPr>
          <w:color w:val="000000" w:themeColor="text1"/>
        </w:rPr>
        <w:t>training manual</w:t>
      </w:r>
      <w:r w:rsidR="00334AC4" w:rsidRPr="002D6E85">
        <w:rPr>
          <w:color w:val="000000" w:themeColor="text1"/>
        </w:rPr>
        <w:t xml:space="preserve"> to include emerging technologies (</w:t>
      </w:r>
      <w:r w:rsidR="005666B8" w:rsidRPr="002D6E85">
        <w:rPr>
          <w:color w:val="000000" w:themeColor="text1"/>
        </w:rPr>
        <w:t>i.e.,</w:t>
      </w:r>
      <w:r w:rsidR="00334AC4" w:rsidRPr="002D6E85">
        <w:rPr>
          <w:color w:val="000000" w:themeColor="text1"/>
        </w:rPr>
        <w:t xml:space="preserve"> HFO and CO</w:t>
      </w:r>
      <w:r w:rsidR="00334AC4" w:rsidRPr="002D6E85">
        <w:rPr>
          <w:color w:val="000000" w:themeColor="text1"/>
          <w:vertAlign w:val="subscript"/>
        </w:rPr>
        <w:t>2</w:t>
      </w:r>
      <w:r w:rsidR="00334AC4" w:rsidRPr="002D6E85">
        <w:rPr>
          <w:color w:val="000000" w:themeColor="text1"/>
        </w:rPr>
        <w:t>)</w:t>
      </w:r>
      <w:r w:rsidR="00175092" w:rsidRPr="002D6E85">
        <w:rPr>
          <w:color w:val="000000" w:themeColor="text1"/>
        </w:rPr>
        <w:t xml:space="preserve"> and safe use and handling of flammable </w:t>
      </w:r>
      <w:r w:rsidR="003C5623" w:rsidRPr="002D6E85">
        <w:rPr>
          <w:color w:val="000000" w:themeColor="text1"/>
        </w:rPr>
        <w:t>refrigerants; and</w:t>
      </w:r>
      <w:r w:rsidR="00175092" w:rsidRPr="002D6E85">
        <w:rPr>
          <w:color w:val="000000" w:themeColor="text1"/>
        </w:rPr>
        <w:t xml:space="preserve"> promotion of alternatives to HCFC-141b in flushing</w:t>
      </w:r>
      <w:r w:rsidR="0056790C">
        <w:rPr>
          <w:color w:val="000000" w:themeColor="text1"/>
        </w:rPr>
        <w:t xml:space="preserve"> </w:t>
      </w:r>
      <w:r w:rsidR="00666F72" w:rsidRPr="002D6E85">
        <w:rPr>
          <w:color w:val="000000" w:themeColor="text1"/>
        </w:rPr>
        <w:t xml:space="preserve">(e.g. Acemire, </w:t>
      </w:r>
      <w:r w:rsidR="0056790C">
        <w:rPr>
          <w:color w:val="000000" w:themeColor="text1"/>
        </w:rPr>
        <w:t>s</w:t>
      </w:r>
      <w:r w:rsidR="0056790C" w:rsidRPr="002D6E85">
        <w:rPr>
          <w:color w:val="000000" w:themeColor="text1"/>
        </w:rPr>
        <w:t>tag</w:t>
      </w:r>
      <w:r w:rsidR="00666F72" w:rsidRPr="002D6E85">
        <w:rPr>
          <w:color w:val="000000" w:themeColor="text1"/>
        </w:rPr>
        <w:t xml:space="preserve">-flush and closed-cycle machines) </w:t>
      </w:r>
      <w:r w:rsidR="006E3049" w:rsidRPr="002D6E85">
        <w:rPr>
          <w:lang w:val="en-US"/>
        </w:rPr>
        <w:t>(US $160,</w:t>
      </w:r>
      <w:r w:rsidR="00945BBB" w:rsidRPr="002D6E85">
        <w:rPr>
          <w:lang w:val="en-US"/>
        </w:rPr>
        <w:t>600</w:t>
      </w:r>
      <w:r w:rsidR="006E3049" w:rsidRPr="002D6E85">
        <w:rPr>
          <w:lang w:val="en-US"/>
        </w:rPr>
        <w:t>)</w:t>
      </w:r>
      <w:r w:rsidRPr="002D6E85">
        <w:rPr>
          <w:color w:val="000000" w:themeColor="text1"/>
        </w:rPr>
        <w:t>;</w:t>
      </w:r>
    </w:p>
    <w:p w:rsidR="00B80A52" w:rsidRPr="002D6E85" w:rsidRDefault="00945BBB" w:rsidP="00F07CA5">
      <w:pPr>
        <w:pStyle w:val="Heading2"/>
        <w:numPr>
          <w:ilvl w:val="1"/>
          <w:numId w:val="25"/>
        </w:numPr>
        <w:rPr>
          <w:color w:val="000000" w:themeColor="text1"/>
        </w:rPr>
      </w:pPr>
      <w:r w:rsidRPr="002D6E85">
        <w:rPr>
          <w:lang w:val="en-US"/>
        </w:rPr>
        <w:t>Implement</w:t>
      </w:r>
      <w:r w:rsidR="0056790C">
        <w:rPr>
          <w:lang w:val="en-US"/>
        </w:rPr>
        <w:t xml:space="preserve">ation of </w:t>
      </w:r>
      <w:r w:rsidRPr="002D6E85">
        <w:rPr>
          <w:lang w:val="en-US"/>
        </w:rPr>
        <w:t>a</w:t>
      </w:r>
      <w:r w:rsidR="000302C5" w:rsidRPr="002D6E85">
        <w:rPr>
          <w:lang w:val="en-US"/>
        </w:rPr>
        <w:t xml:space="preserve"> </w:t>
      </w:r>
      <w:r w:rsidR="00CF1DEE" w:rsidRPr="002D6E85">
        <w:rPr>
          <w:lang w:val="en-US"/>
        </w:rPr>
        <w:t>pilot project to assess</w:t>
      </w:r>
      <w:r w:rsidR="000302C5" w:rsidRPr="002D6E85">
        <w:rPr>
          <w:lang w:val="en-US"/>
        </w:rPr>
        <w:t xml:space="preserve"> </w:t>
      </w:r>
      <w:r w:rsidR="00CF1DEE" w:rsidRPr="002D6E85">
        <w:rPr>
          <w:color w:val="000000" w:themeColor="text1"/>
        </w:rPr>
        <w:t xml:space="preserve">the impact of </w:t>
      </w:r>
      <w:r w:rsidR="0056790C">
        <w:rPr>
          <w:color w:val="000000" w:themeColor="text1"/>
        </w:rPr>
        <w:t xml:space="preserve">applying </w:t>
      </w:r>
      <w:r w:rsidR="00CF1DEE" w:rsidRPr="002D6E85">
        <w:rPr>
          <w:color w:val="000000" w:themeColor="text1"/>
        </w:rPr>
        <w:t xml:space="preserve">good refrigeration practices in RAC maintenance </w:t>
      </w:r>
      <w:r w:rsidR="0056790C">
        <w:rPr>
          <w:color w:val="000000" w:themeColor="text1"/>
        </w:rPr>
        <w:t xml:space="preserve">through analysis of </w:t>
      </w:r>
      <w:r w:rsidR="004225AD">
        <w:rPr>
          <w:color w:val="000000" w:themeColor="text1"/>
        </w:rPr>
        <w:t xml:space="preserve">the experience gained in </w:t>
      </w:r>
      <w:r w:rsidR="00A87FC4">
        <w:rPr>
          <w:color w:val="000000" w:themeColor="text1"/>
        </w:rPr>
        <w:t xml:space="preserve">previously implemented </w:t>
      </w:r>
      <w:r w:rsidR="0056790C">
        <w:rPr>
          <w:color w:val="000000" w:themeColor="text1"/>
        </w:rPr>
        <w:t xml:space="preserve">training </w:t>
      </w:r>
      <w:r w:rsidR="00F07CA5">
        <w:rPr>
          <w:color w:val="000000" w:themeColor="text1"/>
        </w:rPr>
        <w:t xml:space="preserve">programmes </w:t>
      </w:r>
      <w:r w:rsidR="0056790C">
        <w:rPr>
          <w:color w:val="000000" w:themeColor="text1"/>
        </w:rPr>
        <w:t>in order to develop standard procedures for technicians</w:t>
      </w:r>
      <w:r w:rsidR="00EA61B6">
        <w:rPr>
          <w:color w:val="000000" w:themeColor="text1"/>
        </w:rPr>
        <w:t>,</w:t>
      </w:r>
      <w:r w:rsidR="0056790C">
        <w:rPr>
          <w:color w:val="000000" w:themeColor="text1"/>
        </w:rPr>
        <w:t xml:space="preserve"> </w:t>
      </w:r>
      <w:r w:rsidR="00CF1DEE" w:rsidRPr="002D6E85">
        <w:rPr>
          <w:color w:val="000000" w:themeColor="text1"/>
        </w:rPr>
        <w:t>with a focus on commercial refrigeration</w:t>
      </w:r>
      <w:r w:rsidR="0056790C">
        <w:rPr>
          <w:color w:val="000000" w:themeColor="text1"/>
        </w:rPr>
        <w:t>;</w:t>
      </w:r>
      <w:r w:rsidR="0056790C" w:rsidRPr="002D6E85">
        <w:rPr>
          <w:color w:val="000000" w:themeColor="text1"/>
        </w:rPr>
        <w:t xml:space="preserve"> </w:t>
      </w:r>
      <w:r w:rsidR="00CF1DEE" w:rsidRPr="002D6E85">
        <w:rPr>
          <w:color w:val="000000" w:themeColor="text1"/>
        </w:rPr>
        <w:t xml:space="preserve">preparation of </w:t>
      </w:r>
      <w:r w:rsidR="00E75EEB" w:rsidRPr="002D6E85">
        <w:rPr>
          <w:color w:val="000000" w:themeColor="text1"/>
        </w:rPr>
        <w:t xml:space="preserve">the </w:t>
      </w:r>
      <w:r w:rsidR="0056790C">
        <w:rPr>
          <w:color w:val="000000" w:themeColor="text1"/>
        </w:rPr>
        <w:t xml:space="preserve">assessment </w:t>
      </w:r>
      <w:r w:rsidR="00CF1DEE" w:rsidRPr="002D6E85">
        <w:rPr>
          <w:color w:val="000000" w:themeColor="text1"/>
        </w:rPr>
        <w:t>report</w:t>
      </w:r>
      <w:r w:rsidR="00C36F56">
        <w:rPr>
          <w:color w:val="000000" w:themeColor="text1"/>
        </w:rPr>
        <w:t xml:space="preserve">, and </w:t>
      </w:r>
      <w:r w:rsidR="00CF1DEE" w:rsidRPr="002D6E85">
        <w:rPr>
          <w:color w:val="000000" w:themeColor="text1"/>
        </w:rPr>
        <w:t>dissemination of results</w:t>
      </w:r>
      <w:r w:rsidR="005666B8" w:rsidRPr="002D6E85">
        <w:rPr>
          <w:color w:val="000000" w:themeColor="text1"/>
        </w:rPr>
        <w:t xml:space="preserve"> for end-</w:t>
      </w:r>
      <w:r w:rsidR="002E3705" w:rsidRPr="002D6E85">
        <w:rPr>
          <w:color w:val="000000" w:themeColor="text1"/>
        </w:rPr>
        <w:t>users</w:t>
      </w:r>
      <w:r w:rsidR="002E3705" w:rsidRPr="002D6E85">
        <w:rPr>
          <w:lang w:val="en-US"/>
        </w:rPr>
        <w:t xml:space="preserve"> (</w:t>
      </w:r>
      <w:r w:rsidR="005942C1" w:rsidRPr="002D6E85">
        <w:rPr>
          <w:lang w:val="en-US"/>
        </w:rPr>
        <w:t>US $</w:t>
      </w:r>
      <w:r w:rsidR="00E75EEB" w:rsidRPr="002D6E85">
        <w:rPr>
          <w:lang w:val="en-US"/>
        </w:rPr>
        <w:t>40,700</w:t>
      </w:r>
      <w:r w:rsidR="005942C1" w:rsidRPr="002D6E85">
        <w:rPr>
          <w:lang w:val="en-US"/>
        </w:rPr>
        <w:t>);</w:t>
      </w:r>
    </w:p>
    <w:p w:rsidR="00945BBB" w:rsidRPr="002D6E85" w:rsidRDefault="00945BBB" w:rsidP="00F07CA5">
      <w:pPr>
        <w:pStyle w:val="Heading2"/>
        <w:numPr>
          <w:ilvl w:val="1"/>
          <w:numId w:val="25"/>
        </w:numPr>
      </w:pPr>
      <w:r w:rsidRPr="002D6E85">
        <w:rPr>
          <w:lang w:val="en-US"/>
        </w:rPr>
        <w:t>Workshops on</w:t>
      </w:r>
      <w:r w:rsidR="008B57C1" w:rsidRPr="002D6E85">
        <w:rPr>
          <w:lang w:val="en-US"/>
        </w:rPr>
        <w:t xml:space="preserve"> low-GWP and energy</w:t>
      </w:r>
      <w:r w:rsidRPr="002D6E85">
        <w:rPr>
          <w:lang w:val="en-US"/>
        </w:rPr>
        <w:t>-</w:t>
      </w:r>
      <w:r w:rsidR="008B57C1" w:rsidRPr="002D6E85">
        <w:rPr>
          <w:lang w:val="en-US"/>
        </w:rPr>
        <w:t xml:space="preserve">efficient </w:t>
      </w:r>
      <w:r w:rsidRPr="002D6E85">
        <w:rPr>
          <w:lang w:val="en-US"/>
        </w:rPr>
        <w:t>RAC technologies</w:t>
      </w:r>
      <w:r w:rsidR="000302C5" w:rsidRPr="002D6E85">
        <w:rPr>
          <w:lang w:val="en-US"/>
        </w:rPr>
        <w:t xml:space="preserve"> </w:t>
      </w:r>
      <w:r w:rsidR="008B57C1" w:rsidRPr="002D6E85">
        <w:t>for</w:t>
      </w:r>
      <w:r w:rsidR="00812C82" w:rsidRPr="002D6E85">
        <w:t xml:space="preserve"> 80 trainers, installer</w:t>
      </w:r>
      <w:r w:rsidR="008B57C1" w:rsidRPr="002D6E85">
        <w:t xml:space="preserve"> engineers and decision-makers</w:t>
      </w:r>
      <w:r w:rsidR="00AD5874" w:rsidRPr="002D6E85">
        <w:t>;</w:t>
      </w:r>
      <w:r w:rsidR="00812C82" w:rsidRPr="002D6E85">
        <w:rPr>
          <w:lang w:val="en-US"/>
        </w:rPr>
        <w:t xml:space="preserve"> provision of </w:t>
      </w:r>
      <w:r w:rsidR="00DC37F8" w:rsidRPr="002D6E85">
        <w:rPr>
          <w:lang w:val="en-US"/>
        </w:rPr>
        <w:t xml:space="preserve">RAC </w:t>
      </w:r>
      <w:r w:rsidR="00812C82" w:rsidRPr="002D6E85">
        <w:rPr>
          <w:lang w:val="en-US"/>
        </w:rPr>
        <w:t xml:space="preserve">equipment </w:t>
      </w:r>
      <w:r w:rsidR="00C36F56">
        <w:rPr>
          <w:lang w:val="en-US"/>
        </w:rPr>
        <w:t>(</w:t>
      </w:r>
      <w:r w:rsidR="00EA61B6">
        <w:rPr>
          <w:lang w:val="en-US"/>
        </w:rPr>
        <w:t>practice equipment using alternative technologies</w:t>
      </w:r>
      <w:r w:rsidR="00C36F56">
        <w:rPr>
          <w:lang w:val="en-US"/>
        </w:rPr>
        <w:t>)</w:t>
      </w:r>
      <w:r w:rsidR="00C36F56" w:rsidRPr="00C36F56">
        <w:rPr>
          <w:lang w:val="en-US"/>
        </w:rPr>
        <w:t xml:space="preserve"> </w:t>
      </w:r>
      <w:r w:rsidR="00812C82" w:rsidRPr="002D6E85">
        <w:rPr>
          <w:lang w:val="en-US"/>
        </w:rPr>
        <w:t xml:space="preserve">to one </w:t>
      </w:r>
      <w:r w:rsidR="00812C82" w:rsidRPr="002D6E85">
        <w:t xml:space="preserve">training </w:t>
      </w:r>
      <w:r w:rsidR="00050E07" w:rsidRPr="002D6E85">
        <w:t>facility;</w:t>
      </w:r>
      <w:r w:rsidR="000302C5" w:rsidRPr="002D6E85">
        <w:t xml:space="preserve"> </w:t>
      </w:r>
      <w:r w:rsidR="00050E07" w:rsidRPr="002D6E85">
        <w:t>development</w:t>
      </w:r>
      <w:r w:rsidR="002E3705" w:rsidRPr="002D6E85">
        <w:t xml:space="preserve"> of a </w:t>
      </w:r>
      <w:r w:rsidR="00050E07" w:rsidRPr="002D6E85">
        <w:t>sustainable public procurement programme</w:t>
      </w:r>
      <w:r w:rsidR="000302C5" w:rsidRPr="002D6E85">
        <w:t xml:space="preserve"> </w:t>
      </w:r>
      <w:r w:rsidR="00050E07" w:rsidRPr="002D6E85">
        <w:t>(SPP), to adopt criteria specifying the use of equipment operating with low-GWP alternatives and require procurement processes to specify these when preparing technical specifications for goods to be procured</w:t>
      </w:r>
      <w:r w:rsidRPr="002D6E85">
        <w:t xml:space="preserve"> (US $</w:t>
      </w:r>
      <w:r w:rsidR="00726AEC" w:rsidRPr="002D6E85">
        <w:t>90,200</w:t>
      </w:r>
      <w:r w:rsidRPr="002D6E85">
        <w:t>)</w:t>
      </w:r>
      <w:r w:rsidR="00726AEC" w:rsidRPr="002D6E85">
        <w:t>;</w:t>
      </w:r>
    </w:p>
    <w:p w:rsidR="005666B8" w:rsidRPr="002D6E85" w:rsidRDefault="00726AEC" w:rsidP="00F07CA5">
      <w:pPr>
        <w:pStyle w:val="Heading2"/>
        <w:numPr>
          <w:ilvl w:val="1"/>
          <w:numId w:val="25"/>
        </w:numPr>
      </w:pPr>
      <w:r w:rsidRPr="002D6E85">
        <w:rPr>
          <w:lang w:val="en-US"/>
        </w:rPr>
        <w:t>Pilot</w:t>
      </w:r>
      <w:r w:rsidR="008B57C1" w:rsidRPr="002D6E85">
        <w:rPr>
          <w:lang w:val="en-US"/>
        </w:rPr>
        <w:t xml:space="preserve"> project t</w:t>
      </w:r>
      <w:r w:rsidR="008B57C1" w:rsidRPr="002D6E85">
        <w:t>o demonstrate the use of low-GWP, energy-efficient alternatives in cold rooms</w:t>
      </w:r>
      <w:r w:rsidRPr="002D6E85">
        <w:t xml:space="preserve"> </w:t>
      </w:r>
      <w:r w:rsidR="00C36F56">
        <w:t xml:space="preserve">through assessment of comparative performance and energy efficiency with HCFC-22-based systems, identification of safety and control requirements in installation and maintenance, </w:t>
      </w:r>
      <w:r w:rsidR="00A87FC4">
        <w:t xml:space="preserve">and </w:t>
      </w:r>
      <w:r w:rsidR="00C36F56">
        <w:t xml:space="preserve">cost analysis </w:t>
      </w:r>
      <w:r w:rsidRPr="002D6E85">
        <w:t>(US $58,300)</w:t>
      </w:r>
      <w:r w:rsidR="002E3705" w:rsidRPr="002D6E85">
        <w:t>;</w:t>
      </w:r>
      <w:r w:rsidR="00AD5874" w:rsidRPr="002D6E85">
        <w:rPr>
          <w:lang w:val="en-US"/>
        </w:rPr>
        <w:t xml:space="preserve"> and</w:t>
      </w:r>
    </w:p>
    <w:p w:rsidR="005666B8" w:rsidRPr="002D6E85" w:rsidRDefault="00472094" w:rsidP="00F07CA5">
      <w:pPr>
        <w:pStyle w:val="ListParagraph"/>
        <w:numPr>
          <w:ilvl w:val="1"/>
          <w:numId w:val="25"/>
        </w:numPr>
        <w:rPr>
          <w:lang w:val="en-CA"/>
        </w:rPr>
      </w:pPr>
      <w:r w:rsidRPr="002D6E85">
        <w:rPr>
          <w:lang w:val="en-CA"/>
        </w:rPr>
        <w:lastRenderedPageBreak/>
        <w:t>Awareness and promotion of good refrigeration practices amongst technicians and end</w:t>
      </w:r>
      <w:r w:rsidR="00F179D3">
        <w:rPr>
          <w:lang w:val="en-CA"/>
        </w:rPr>
        <w:noBreakHyphen/>
      </w:r>
      <w:r w:rsidRPr="002D6E85">
        <w:rPr>
          <w:lang w:val="en-CA"/>
        </w:rPr>
        <w:t xml:space="preserve">users through development and distribution </w:t>
      </w:r>
      <w:r w:rsidR="00726AEC" w:rsidRPr="002D6E85">
        <w:rPr>
          <w:lang w:val="en-CA"/>
        </w:rPr>
        <w:t xml:space="preserve">of technical information for refrigeration </w:t>
      </w:r>
      <w:r w:rsidR="00C72D06" w:rsidRPr="002D6E85">
        <w:rPr>
          <w:lang w:val="en-CA"/>
        </w:rPr>
        <w:t>technicians, update</w:t>
      </w:r>
      <w:r w:rsidRPr="002D6E85">
        <w:rPr>
          <w:lang w:val="en-CA"/>
        </w:rPr>
        <w:t xml:space="preserve"> of the good refrigeration practices manual</w:t>
      </w:r>
      <w:r w:rsidR="002E3705" w:rsidRPr="002D6E85">
        <w:rPr>
          <w:lang w:val="en-CA"/>
        </w:rPr>
        <w:t xml:space="preserve">, </w:t>
      </w:r>
      <w:r w:rsidRPr="002D6E85">
        <w:rPr>
          <w:lang w:val="en-CA"/>
        </w:rPr>
        <w:t>and g</w:t>
      </w:r>
      <w:r w:rsidR="005666B8" w:rsidRPr="002D6E85">
        <w:rPr>
          <w:lang w:val="en-CA"/>
        </w:rPr>
        <w:t xml:space="preserve">eneral awareness </w:t>
      </w:r>
      <w:r w:rsidR="00513803" w:rsidRPr="002D6E85">
        <w:rPr>
          <w:lang w:val="en-CA"/>
        </w:rPr>
        <w:t>activities (</w:t>
      </w:r>
      <w:r w:rsidR="005666B8" w:rsidRPr="002D6E85">
        <w:rPr>
          <w:lang w:val="en-CA"/>
        </w:rPr>
        <w:t>US $63,800</w:t>
      </w:r>
      <w:r w:rsidR="00726AEC" w:rsidRPr="002D6E85">
        <w:rPr>
          <w:lang w:val="en-CA"/>
        </w:rPr>
        <w:t>).</w:t>
      </w:r>
    </w:p>
    <w:p w:rsidR="00472094" w:rsidRPr="002D6E85" w:rsidRDefault="00472094" w:rsidP="002748EF">
      <w:pPr>
        <w:pStyle w:val="ListParagraph"/>
        <w:ind w:left="1440"/>
        <w:rPr>
          <w:lang w:val="en-CA"/>
        </w:rPr>
      </w:pPr>
    </w:p>
    <w:p w:rsidR="00127DB4" w:rsidRPr="002D6E85" w:rsidRDefault="00127DB4" w:rsidP="002748EF">
      <w:pPr>
        <w:pStyle w:val="Heading1"/>
        <w:keepNext/>
        <w:rPr>
          <w:u w:val="single"/>
          <w:lang w:val="en-CA"/>
        </w:rPr>
      </w:pPr>
      <w:r w:rsidRPr="002D6E85">
        <w:rPr>
          <w:u w:val="single"/>
          <w:lang w:val="en-CA"/>
        </w:rPr>
        <w:t>Implementation and monitoring activities</w:t>
      </w:r>
    </w:p>
    <w:p w:rsidR="007335D8" w:rsidRPr="00EA61B6" w:rsidRDefault="0025799A" w:rsidP="00EA61B6">
      <w:pPr>
        <w:pStyle w:val="Style1"/>
        <w:numPr>
          <w:ilvl w:val="0"/>
          <w:numId w:val="7"/>
        </w:numPr>
        <w:spacing w:line="240" w:lineRule="auto"/>
        <w:ind w:left="0" w:firstLine="0"/>
      </w:pPr>
      <w:r w:rsidRPr="00EA61B6">
        <w:t>The</w:t>
      </w:r>
      <w:r w:rsidR="00C72D06" w:rsidRPr="00EA61B6">
        <w:t xml:space="preserve"> </w:t>
      </w:r>
      <w:r w:rsidR="007335D8" w:rsidRPr="00EA61B6">
        <w:t>PMU</w:t>
      </w:r>
      <w:r w:rsidR="00C72D06" w:rsidRPr="00EA61B6">
        <w:t xml:space="preserve"> </w:t>
      </w:r>
      <w:r w:rsidR="005666B8" w:rsidRPr="00EA61B6">
        <w:t xml:space="preserve">established under the NOU </w:t>
      </w:r>
      <w:r w:rsidR="00BC3152" w:rsidRPr="00EA61B6">
        <w:t>will perform the following activities:</w:t>
      </w:r>
      <w:r w:rsidR="007335D8" w:rsidRPr="00EA61B6">
        <w:t xml:space="preserve"> identification and selection of beneficiaries, procurement of goods and services, technical assistance to project beneficiaries, data collection, monitoring of trends</w:t>
      </w:r>
      <w:r w:rsidR="00C72D06" w:rsidRPr="00EA61B6">
        <w:t xml:space="preserve"> </w:t>
      </w:r>
      <w:r w:rsidR="00231C99" w:rsidRPr="00EA61B6">
        <w:t>on the use of HCFCs and alternatives</w:t>
      </w:r>
      <w:r w:rsidR="007335D8" w:rsidRPr="00EA61B6">
        <w:t xml:space="preserve">, preparation of reports and implementation </w:t>
      </w:r>
      <w:r w:rsidR="00666F72" w:rsidRPr="00EA61B6">
        <w:t>plans (</w:t>
      </w:r>
      <w:r w:rsidR="009C59BA" w:rsidRPr="00EA61B6">
        <w:t>US $102,400</w:t>
      </w:r>
      <w:r w:rsidR="00666F72" w:rsidRPr="00EA61B6">
        <w:t>)</w:t>
      </w:r>
      <w:r w:rsidR="007335D8" w:rsidRPr="00EA61B6">
        <w:t>.</w:t>
      </w:r>
    </w:p>
    <w:p w:rsidR="0025746A" w:rsidRPr="00EA61B6" w:rsidRDefault="0025746A" w:rsidP="00EA61B6">
      <w:pPr>
        <w:pStyle w:val="Style1"/>
        <w:numPr>
          <w:ilvl w:val="0"/>
          <w:numId w:val="0"/>
        </w:numPr>
        <w:spacing w:line="240" w:lineRule="auto"/>
      </w:pPr>
    </w:p>
    <w:p w:rsidR="003630DA" w:rsidRPr="002D6E85" w:rsidRDefault="003630DA" w:rsidP="002748EF">
      <w:pPr>
        <w:pStyle w:val="Heading2"/>
        <w:rPr>
          <w:color w:val="000000" w:themeColor="text1"/>
        </w:rPr>
      </w:pPr>
      <w:r w:rsidRPr="002D6E85">
        <w:rPr>
          <w:color w:val="000000" w:themeColor="text1"/>
          <w:u w:val="single"/>
        </w:rPr>
        <w:t>Total cost of stage II of the HPMP</w:t>
      </w:r>
    </w:p>
    <w:p w:rsidR="003630DA" w:rsidRPr="002D6E85" w:rsidRDefault="003630DA" w:rsidP="00EA61B6">
      <w:pPr>
        <w:pStyle w:val="Style1"/>
        <w:numPr>
          <w:ilvl w:val="0"/>
          <w:numId w:val="7"/>
        </w:numPr>
        <w:spacing w:line="240" w:lineRule="auto"/>
        <w:ind w:left="0" w:firstLine="0"/>
      </w:pPr>
      <w:r w:rsidRPr="002D6E85">
        <w:t>The total cost of stage II of the HPMP</w:t>
      </w:r>
      <w:r w:rsidR="00127DB4" w:rsidRPr="002D6E85">
        <w:t xml:space="preserve"> </w:t>
      </w:r>
      <w:r w:rsidR="003C5623" w:rsidRPr="002D6E85">
        <w:t>has</w:t>
      </w:r>
      <w:r w:rsidRPr="002D6E85">
        <w:t xml:space="preserve"> been estimated at US $</w:t>
      </w:r>
      <w:r w:rsidR="00BC3152" w:rsidRPr="002D6E85">
        <w:t>1</w:t>
      </w:r>
      <w:r w:rsidR="000C46B4" w:rsidRPr="002D6E85">
        <w:t>,124,903</w:t>
      </w:r>
      <w:r w:rsidRPr="002D6E85">
        <w:t xml:space="preserve">, as originally submitted (excluding support costs). The proposed activities will result in the phase-out of </w:t>
      </w:r>
      <w:r w:rsidR="00B87021" w:rsidRPr="002D6E85">
        <w:t>11.</w:t>
      </w:r>
      <w:r w:rsidR="003A5C16" w:rsidRPr="002D6E85">
        <w:t>25 </w:t>
      </w:r>
      <w:r w:rsidR="00631291" w:rsidRPr="002D6E85">
        <w:t xml:space="preserve">ODP tonnes of HCFCs </w:t>
      </w:r>
      <w:r w:rsidR="002B5C86" w:rsidRPr="002D6E85">
        <w:t xml:space="preserve">(including 5.53 ODP tonnes of HCFC-141b </w:t>
      </w:r>
      <w:r w:rsidR="00203FA1" w:rsidRPr="002D6E85">
        <w:t xml:space="preserve">contained </w:t>
      </w:r>
      <w:r w:rsidR="002B5C86" w:rsidRPr="002D6E85">
        <w:t>in imported pre</w:t>
      </w:r>
      <w:r w:rsidR="00597DDF">
        <w:noBreakHyphen/>
      </w:r>
      <w:r w:rsidR="002B5C86" w:rsidRPr="002D6E85">
        <w:t xml:space="preserve">blended polyols) </w:t>
      </w:r>
      <w:r w:rsidR="00631291" w:rsidRPr="002D6E85">
        <w:t>a</w:t>
      </w:r>
      <w:r w:rsidR="00C91599" w:rsidRPr="002D6E85">
        <w:t>t a</w:t>
      </w:r>
      <w:r w:rsidR="00631291" w:rsidRPr="002D6E85">
        <w:t xml:space="preserve"> total cost-effectiveness of US $</w:t>
      </w:r>
      <w:r w:rsidR="002B5C86" w:rsidRPr="002D6E85">
        <w:t>7.8/kg.</w:t>
      </w:r>
      <w:r w:rsidR="00203FA1" w:rsidRPr="002D6E85">
        <w:t xml:space="preserve"> </w:t>
      </w:r>
      <w:r w:rsidRPr="002D6E85">
        <w:t xml:space="preserve">Detailed activities and cost, as originally submitted, are shown in </w:t>
      </w:r>
      <w:r w:rsidR="00127DB4" w:rsidRPr="002D6E85">
        <w:t>Table</w:t>
      </w:r>
      <w:r w:rsidR="00203FA1" w:rsidRPr="002D6E85">
        <w:t xml:space="preserve"> </w:t>
      </w:r>
      <w:r w:rsidR="00416F96" w:rsidRPr="002D6E85">
        <w:t>4</w:t>
      </w:r>
      <w:r w:rsidRPr="002D6E85">
        <w:t>.</w:t>
      </w:r>
    </w:p>
    <w:p w:rsidR="00513803" w:rsidRPr="002D6E85" w:rsidRDefault="00513803" w:rsidP="002748EF">
      <w:pPr>
        <w:pStyle w:val="Heading1"/>
        <w:spacing w:after="0"/>
        <w:rPr>
          <w:b/>
        </w:rPr>
      </w:pPr>
    </w:p>
    <w:p w:rsidR="003630DA" w:rsidRPr="00203FA1" w:rsidRDefault="003630DA" w:rsidP="005B0D6E">
      <w:pPr>
        <w:pStyle w:val="Heading1"/>
        <w:keepNext/>
        <w:spacing w:after="0"/>
        <w:rPr>
          <w:b/>
        </w:rPr>
      </w:pPr>
      <w:r w:rsidRPr="00203FA1">
        <w:rPr>
          <w:b/>
        </w:rPr>
        <w:t xml:space="preserve">Table </w:t>
      </w:r>
      <w:r w:rsidR="00416F96" w:rsidRPr="00203FA1">
        <w:rPr>
          <w:b/>
        </w:rPr>
        <w:t>4</w:t>
      </w:r>
      <w:r w:rsidR="00063AB9" w:rsidRPr="00203FA1">
        <w:rPr>
          <w:b/>
        </w:rPr>
        <w:t>.</w:t>
      </w:r>
      <w:r w:rsidRPr="00203FA1">
        <w:rPr>
          <w:b/>
        </w:rPr>
        <w:t xml:space="preserve"> Total cost of stage II of the HPMP for </w:t>
      </w:r>
      <w:r w:rsidR="00CB7C57" w:rsidRPr="00203FA1">
        <w:rPr>
          <w:b/>
        </w:rPr>
        <w:t>Uruguay</w:t>
      </w:r>
    </w:p>
    <w:tbl>
      <w:tblPr>
        <w:tblW w:w="5000" w:type="pct"/>
        <w:tblLook w:val="04A0" w:firstRow="1" w:lastRow="0" w:firstColumn="1" w:lastColumn="0" w:noHBand="0" w:noVBand="1"/>
      </w:tblPr>
      <w:tblGrid>
        <w:gridCol w:w="3628"/>
        <w:gridCol w:w="1254"/>
        <w:gridCol w:w="806"/>
        <w:gridCol w:w="1295"/>
        <w:gridCol w:w="1243"/>
        <w:gridCol w:w="1350"/>
      </w:tblGrid>
      <w:tr w:rsidR="00E745CE" w:rsidRPr="002748EF" w:rsidTr="00243358">
        <w:trPr>
          <w:trHeight w:val="210"/>
          <w:tblHeader/>
        </w:trPr>
        <w:tc>
          <w:tcPr>
            <w:tcW w:w="1894" w:type="pct"/>
            <w:vMerge w:val="restart"/>
            <w:tcBorders>
              <w:top w:val="single" w:sz="4" w:space="0" w:color="auto"/>
              <w:left w:val="single" w:sz="4" w:space="0" w:color="auto"/>
              <w:right w:val="single" w:sz="4" w:space="0" w:color="auto"/>
            </w:tcBorders>
            <w:shd w:val="clear" w:color="auto" w:fill="auto"/>
            <w:vAlign w:val="center"/>
            <w:hideMark/>
          </w:tcPr>
          <w:p w:rsidR="00E745CE" w:rsidRPr="002748EF" w:rsidRDefault="00E745CE" w:rsidP="00C36F56">
            <w:pPr>
              <w:keepNext/>
              <w:keepLines/>
              <w:jc w:val="center"/>
              <w:rPr>
                <w:b/>
                <w:bCs/>
                <w:sz w:val="20"/>
                <w:szCs w:val="20"/>
                <w:lang w:val="en-CA"/>
              </w:rPr>
            </w:pPr>
            <w:r w:rsidRPr="002748EF">
              <w:rPr>
                <w:b/>
                <w:bCs/>
                <w:sz w:val="20"/>
                <w:szCs w:val="20"/>
                <w:lang w:val="en-CA"/>
              </w:rPr>
              <w:t>Sector/component</w:t>
            </w:r>
          </w:p>
        </w:tc>
        <w:tc>
          <w:tcPr>
            <w:tcW w:w="655" w:type="pct"/>
            <w:vMerge w:val="restart"/>
            <w:tcBorders>
              <w:top w:val="single" w:sz="4" w:space="0" w:color="auto"/>
              <w:left w:val="single" w:sz="4" w:space="0" w:color="auto"/>
              <w:right w:val="single" w:sz="4" w:space="0" w:color="auto"/>
            </w:tcBorders>
            <w:shd w:val="clear" w:color="auto" w:fill="auto"/>
            <w:vAlign w:val="center"/>
            <w:hideMark/>
          </w:tcPr>
          <w:p w:rsidR="00E745CE" w:rsidRPr="002748EF" w:rsidRDefault="00E745CE" w:rsidP="005B0D6E">
            <w:pPr>
              <w:keepNext/>
              <w:keepLines/>
              <w:rPr>
                <w:b/>
                <w:bCs/>
                <w:sz w:val="20"/>
                <w:szCs w:val="20"/>
                <w:lang w:val="en-CA"/>
              </w:rPr>
            </w:pPr>
            <w:r w:rsidRPr="002748EF">
              <w:rPr>
                <w:b/>
                <w:bCs/>
                <w:sz w:val="20"/>
                <w:szCs w:val="20"/>
                <w:lang w:val="en-CA"/>
              </w:rPr>
              <w:t>Substance</w:t>
            </w:r>
          </w:p>
        </w:tc>
        <w:tc>
          <w:tcPr>
            <w:tcW w:w="1097" w:type="pct"/>
            <w:gridSpan w:val="2"/>
            <w:tcBorders>
              <w:top w:val="single" w:sz="4" w:space="0" w:color="auto"/>
              <w:left w:val="nil"/>
              <w:right w:val="single" w:sz="4" w:space="0" w:color="auto"/>
            </w:tcBorders>
            <w:shd w:val="clear" w:color="auto" w:fill="auto"/>
            <w:hideMark/>
          </w:tcPr>
          <w:p w:rsidR="00E745CE" w:rsidRPr="002748EF" w:rsidRDefault="00E745CE" w:rsidP="005B0D6E">
            <w:pPr>
              <w:keepNext/>
              <w:keepLines/>
              <w:jc w:val="center"/>
              <w:rPr>
                <w:b/>
                <w:bCs/>
                <w:sz w:val="20"/>
                <w:szCs w:val="20"/>
                <w:lang w:val="en-CA"/>
              </w:rPr>
            </w:pPr>
            <w:r w:rsidRPr="002748EF">
              <w:rPr>
                <w:b/>
                <w:bCs/>
                <w:sz w:val="20"/>
                <w:szCs w:val="20"/>
                <w:lang w:val="en-CA"/>
              </w:rPr>
              <w:t xml:space="preserve">Phase out </w:t>
            </w:r>
          </w:p>
        </w:tc>
        <w:tc>
          <w:tcPr>
            <w:tcW w:w="649" w:type="pct"/>
            <w:vMerge w:val="restart"/>
            <w:tcBorders>
              <w:top w:val="single" w:sz="4" w:space="0" w:color="auto"/>
              <w:left w:val="single" w:sz="4" w:space="0" w:color="auto"/>
              <w:right w:val="single" w:sz="4" w:space="0" w:color="auto"/>
            </w:tcBorders>
            <w:shd w:val="clear" w:color="auto" w:fill="auto"/>
            <w:vAlign w:val="center"/>
          </w:tcPr>
          <w:p w:rsidR="00E745CE" w:rsidRPr="002748EF" w:rsidRDefault="00E745CE" w:rsidP="005B0D6E">
            <w:pPr>
              <w:keepNext/>
              <w:keepLines/>
              <w:jc w:val="center"/>
              <w:rPr>
                <w:b/>
                <w:bCs/>
                <w:sz w:val="20"/>
                <w:szCs w:val="20"/>
                <w:lang w:val="en-CA"/>
              </w:rPr>
            </w:pPr>
            <w:r w:rsidRPr="002748EF">
              <w:rPr>
                <w:b/>
                <w:bCs/>
                <w:sz w:val="20"/>
                <w:szCs w:val="20"/>
                <w:lang w:val="en-CA"/>
              </w:rPr>
              <w:t>Cost (US $)</w:t>
            </w:r>
          </w:p>
        </w:tc>
        <w:tc>
          <w:tcPr>
            <w:tcW w:w="705" w:type="pct"/>
            <w:vMerge w:val="restart"/>
            <w:tcBorders>
              <w:top w:val="single" w:sz="4" w:space="0" w:color="auto"/>
              <w:left w:val="single" w:sz="4" w:space="0" w:color="auto"/>
              <w:right w:val="single" w:sz="4" w:space="0" w:color="auto"/>
            </w:tcBorders>
            <w:vAlign w:val="center"/>
          </w:tcPr>
          <w:p w:rsidR="00E745CE" w:rsidRPr="002748EF" w:rsidRDefault="00E745CE" w:rsidP="005B0D6E">
            <w:pPr>
              <w:keepNext/>
              <w:keepLines/>
              <w:jc w:val="center"/>
              <w:rPr>
                <w:b/>
                <w:bCs/>
                <w:sz w:val="20"/>
                <w:szCs w:val="20"/>
                <w:lang w:val="en-CA"/>
              </w:rPr>
            </w:pPr>
            <w:r w:rsidRPr="002748EF">
              <w:rPr>
                <w:b/>
                <w:bCs/>
                <w:sz w:val="20"/>
                <w:szCs w:val="20"/>
                <w:lang w:val="en-CA"/>
              </w:rPr>
              <w:t>CE (US$/kg)</w:t>
            </w:r>
          </w:p>
        </w:tc>
      </w:tr>
      <w:tr w:rsidR="00E745CE" w:rsidRPr="002748EF" w:rsidTr="00407E73">
        <w:trPr>
          <w:trHeight w:val="210"/>
          <w:tblHeader/>
        </w:trPr>
        <w:tc>
          <w:tcPr>
            <w:tcW w:w="1894" w:type="pct"/>
            <w:vMerge/>
            <w:tcBorders>
              <w:left w:val="single" w:sz="4" w:space="0" w:color="auto"/>
              <w:bottom w:val="single" w:sz="4" w:space="0" w:color="auto"/>
              <w:right w:val="single" w:sz="4" w:space="0" w:color="auto"/>
            </w:tcBorders>
            <w:shd w:val="clear" w:color="auto" w:fill="auto"/>
          </w:tcPr>
          <w:p w:rsidR="00E745CE" w:rsidRPr="002748EF" w:rsidRDefault="00E745CE" w:rsidP="005B0D6E">
            <w:pPr>
              <w:keepNext/>
              <w:keepLines/>
              <w:jc w:val="left"/>
              <w:rPr>
                <w:b/>
                <w:bCs/>
                <w:sz w:val="20"/>
                <w:szCs w:val="20"/>
                <w:lang w:val="en-CA"/>
              </w:rPr>
            </w:pPr>
          </w:p>
        </w:tc>
        <w:tc>
          <w:tcPr>
            <w:tcW w:w="655" w:type="pct"/>
            <w:vMerge/>
            <w:tcBorders>
              <w:left w:val="single" w:sz="4" w:space="0" w:color="auto"/>
              <w:bottom w:val="single" w:sz="4" w:space="0" w:color="auto"/>
              <w:right w:val="single" w:sz="4" w:space="0" w:color="auto"/>
            </w:tcBorders>
            <w:shd w:val="clear" w:color="auto" w:fill="auto"/>
            <w:vAlign w:val="center"/>
          </w:tcPr>
          <w:p w:rsidR="00E745CE" w:rsidRPr="002748EF" w:rsidRDefault="00E745CE" w:rsidP="005B0D6E">
            <w:pPr>
              <w:keepNext/>
              <w:keepLines/>
              <w:rPr>
                <w:b/>
                <w:bCs/>
                <w:sz w:val="20"/>
                <w:szCs w:val="20"/>
                <w:lang w:val="en-CA"/>
              </w:rPr>
            </w:pPr>
          </w:p>
        </w:tc>
        <w:tc>
          <w:tcPr>
            <w:tcW w:w="421" w:type="pct"/>
            <w:tcBorders>
              <w:top w:val="single" w:sz="4" w:space="0" w:color="auto"/>
              <w:left w:val="nil"/>
              <w:right w:val="single" w:sz="4" w:space="0" w:color="auto"/>
            </w:tcBorders>
            <w:shd w:val="clear" w:color="auto" w:fill="auto"/>
          </w:tcPr>
          <w:p w:rsidR="00E745CE" w:rsidRPr="002748EF" w:rsidRDefault="00E745CE" w:rsidP="005B0D6E">
            <w:pPr>
              <w:keepNext/>
              <w:keepLines/>
              <w:jc w:val="center"/>
              <w:rPr>
                <w:b/>
                <w:bCs/>
                <w:sz w:val="20"/>
                <w:szCs w:val="20"/>
                <w:lang w:val="en-CA"/>
              </w:rPr>
            </w:pPr>
            <w:r w:rsidRPr="002748EF">
              <w:rPr>
                <w:b/>
                <w:bCs/>
                <w:sz w:val="20"/>
                <w:szCs w:val="20"/>
                <w:lang w:val="en-CA"/>
              </w:rPr>
              <w:t>mt</w:t>
            </w:r>
          </w:p>
        </w:tc>
        <w:tc>
          <w:tcPr>
            <w:tcW w:w="676" w:type="pct"/>
            <w:tcBorders>
              <w:top w:val="single" w:sz="4" w:space="0" w:color="auto"/>
              <w:left w:val="nil"/>
              <w:bottom w:val="single" w:sz="4" w:space="0" w:color="auto"/>
              <w:right w:val="single" w:sz="4" w:space="0" w:color="auto"/>
            </w:tcBorders>
            <w:shd w:val="clear" w:color="auto" w:fill="auto"/>
          </w:tcPr>
          <w:p w:rsidR="00E745CE" w:rsidRPr="002748EF" w:rsidRDefault="00E745CE" w:rsidP="005B0D6E">
            <w:pPr>
              <w:keepNext/>
              <w:keepLines/>
              <w:jc w:val="center"/>
              <w:rPr>
                <w:b/>
                <w:bCs/>
                <w:sz w:val="20"/>
                <w:szCs w:val="20"/>
                <w:lang w:val="en-CA"/>
              </w:rPr>
            </w:pPr>
            <w:r w:rsidRPr="002748EF">
              <w:rPr>
                <w:b/>
                <w:bCs/>
                <w:sz w:val="20"/>
                <w:szCs w:val="20"/>
                <w:lang w:val="en-CA"/>
              </w:rPr>
              <w:t>ODP tonnes</w:t>
            </w:r>
          </w:p>
        </w:tc>
        <w:tc>
          <w:tcPr>
            <w:tcW w:w="649" w:type="pct"/>
            <w:vMerge/>
            <w:tcBorders>
              <w:left w:val="single" w:sz="4" w:space="0" w:color="auto"/>
              <w:bottom w:val="single" w:sz="4" w:space="0" w:color="auto"/>
              <w:right w:val="single" w:sz="4" w:space="0" w:color="auto"/>
            </w:tcBorders>
            <w:shd w:val="clear" w:color="auto" w:fill="auto"/>
          </w:tcPr>
          <w:p w:rsidR="00E745CE" w:rsidRPr="002748EF" w:rsidRDefault="00E745CE" w:rsidP="005B0D6E">
            <w:pPr>
              <w:keepNext/>
              <w:keepLines/>
              <w:jc w:val="center"/>
              <w:rPr>
                <w:b/>
                <w:bCs/>
                <w:sz w:val="20"/>
                <w:szCs w:val="20"/>
                <w:lang w:val="en-CA"/>
              </w:rPr>
            </w:pPr>
          </w:p>
        </w:tc>
        <w:tc>
          <w:tcPr>
            <w:tcW w:w="705" w:type="pct"/>
            <w:vMerge/>
            <w:tcBorders>
              <w:left w:val="single" w:sz="4" w:space="0" w:color="auto"/>
              <w:bottom w:val="single" w:sz="4" w:space="0" w:color="auto"/>
              <w:right w:val="single" w:sz="4" w:space="0" w:color="auto"/>
            </w:tcBorders>
          </w:tcPr>
          <w:p w:rsidR="00E745CE" w:rsidRPr="002748EF" w:rsidRDefault="00E745CE" w:rsidP="005B0D6E">
            <w:pPr>
              <w:keepNext/>
              <w:keepLines/>
              <w:jc w:val="center"/>
              <w:rPr>
                <w:b/>
                <w:bCs/>
                <w:sz w:val="20"/>
                <w:szCs w:val="20"/>
                <w:lang w:val="en-CA"/>
              </w:rPr>
            </w:pPr>
          </w:p>
        </w:tc>
      </w:tr>
      <w:tr w:rsidR="00203FA1" w:rsidRPr="002748EF" w:rsidTr="00243358">
        <w:trPr>
          <w:trHeight w:val="323"/>
        </w:trPr>
        <w:tc>
          <w:tcPr>
            <w:tcW w:w="1894" w:type="pct"/>
            <w:tcBorders>
              <w:top w:val="single" w:sz="4" w:space="0" w:color="auto"/>
              <w:left w:val="single" w:sz="4" w:space="0" w:color="auto"/>
              <w:bottom w:val="single" w:sz="4" w:space="0" w:color="auto"/>
              <w:right w:val="single" w:sz="4" w:space="0" w:color="auto"/>
            </w:tcBorders>
            <w:shd w:val="clear" w:color="auto" w:fill="auto"/>
          </w:tcPr>
          <w:p w:rsidR="00203FA1" w:rsidRPr="002748EF" w:rsidRDefault="00203FA1" w:rsidP="005B0D6E">
            <w:pPr>
              <w:keepNext/>
              <w:jc w:val="left"/>
              <w:rPr>
                <w:sz w:val="20"/>
                <w:szCs w:val="20"/>
                <w:lang w:val="en-CA"/>
              </w:rPr>
            </w:pPr>
            <w:r w:rsidRPr="002748EF">
              <w:rPr>
                <w:sz w:val="20"/>
                <w:szCs w:val="20"/>
                <w:lang w:val="en-CA"/>
              </w:rPr>
              <w:t>Foam sector plan</w:t>
            </w:r>
          </w:p>
        </w:tc>
        <w:tc>
          <w:tcPr>
            <w:tcW w:w="655" w:type="pct"/>
            <w:tcBorders>
              <w:top w:val="single" w:sz="4" w:space="0" w:color="auto"/>
              <w:left w:val="single" w:sz="4" w:space="0" w:color="auto"/>
              <w:bottom w:val="single" w:sz="4" w:space="0" w:color="auto"/>
              <w:right w:val="single" w:sz="4" w:space="0" w:color="auto"/>
            </w:tcBorders>
            <w:vAlign w:val="center"/>
          </w:tcPr>
          <w:p w:rsidR="00203FA1" w:rsidRPr="002748EF" w:rsidRDefault="00203FA1" w:rsidP="005B0D6E">
            <w:pPr>
              <w:keepNext/>
              <w:jc w:val="left"/>
              <w:rPr>
                <w:sz w:val="20"/>
                <w:szCs w:val="20"/>
                <w:lang w:val="en-CA"/>
              </w:rPr>
            </w:pPr>
            <w:r w:rsidRPr="002748EF">
              <w:rPr>
                <w:sz w:val="20"/>
                <w:szCs w:val="20"/>
                <w:lang w:val="en-CA"/>
              </w:rPr>
              <w:t>HCFC-141b (polyol)</w:t>
            </w:r>
          </w:p>
        </w:tc>
        <w:tc>
          <w:tcPr>
            <w:tcW w:w="421"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50.24*</w:t>
            </w:r>
          </w:p>
        </w:tc>
        <w:tc>
          <w:tcPr>
            <w:tcW w:w="676"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5.53*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540,703</w:t>
            </w:r>
          </w:p>
        </w:tc>
        <w:tc>
          <w:tcPr>
            <w:tcW w:w="705" w:type="pct"/>
            <w:tcBorders>
              <w:top w:val="single" w:sz="4" w:space="0" w:color="auto"/>
              <w:left w:val="single" w:sz="4" w:space="0" w:color="auto"/>
              <w:right w:val="single" w:sz="4" w:space="0" w:color="auto"/>
            </w:tcBorders>
            <w:vAlign w:val="center"/>
          </w:tcPr>
          <w:p w:rsidR="00203FA1" w:rsidRPr="002748EF" w:rsidRDefault="00203FA1" w:rsidP="005B0D6E">
            <w:pPr>
              <w:keepNext/>
              <w:jc w:val="right"/>
              <w:rPr>
                <w:sz w:val="20"/>
                <w:szCs w:val="20"/>
                <w:lang w:val="en-CA"/>
              </w:rPr>
            </w:pPr>
            <w:r w:rsidRPr="002748EF">
              <w:rPr>
                <w:sz w:val="20"/>
                <w:szCs w:val="20"/>
                <w:lang w:val="en-CA"/>
              </w:rPr>
              <w:t>10.76</w:t>
            </w:r>
          </w:p>
        </w:tc>
      </w:tr>
      <w:tr w:rsidR="00203FA1" w:rsidRPr="002748EF" w:rsidTr="00243358">
        <w:trPr>
          <w:trHeight w:val="323"/>
        </w:trPr>
        <w:tc>
          <w:tcPr>
            <w:tcW w:w="1894" w:type="pct"/>
            <w:tcBorders>
              <w:top w:val="single" w:sz="4" w:space="0" w:color="auto"/>
              <w:left w:val="single" w:sz="4" w:space="0" w:color="auto"/>
              <w:bottom w:val="single" w:sz="4" w:space="0" w:color="auto"/>
              <w:right w:val="single" w:sz="4" w:space="0" w:color="auto"/>
            </w:tcBorders>
            <w:shd w:val="clear" w:color="auto" w:fill="auto"/>
          </w:tcPr>
          <w:p w:rsidR="00203FA1" w:rsidRPr="002748EF" w:rsidRDefault="00203FA1" w:rsidP="005B0D6E">
            <w:pPr>
              <w:keepNext/>
              <w:jc w:val="left"/>
              <w:rPr>
                <w:sz w:val="20"/>
                <w:szCs w:val="20"/>
                <w:lang w:val="en-CA"/>
              </w:rPr>
            </w:pPr>
            <w:r w:rsidRPr="002748EF">
              <w:rPr>
                <w:sz w:val="20"/>
                <w:szCs w:val="20"/>
                <w:lang w:val="en-CA"/>
              </w:rPr>
              <w:t>Regulatory and control measures</w:t>
            </w:r>
          </w:p>
        </w:tc>
        <w:tc>
          <w:tcPr>
            <w:tcW w:w="655" w:type="pct"/>
            <w:tcBorders>
              <w:top w:val="single" w:sz="4" w:space="0" w:color="auto"/>
              <w:left w:val="single" w:sz="4" w:space="0" w:color="auto"/>
              <w:bottom w:val="single" w:sz="4" w:space="0" w:color="auto"/>
              <w:right w:val="single" w:sz="4" w:space="0" w:color="auto"/>
            </w:tcBorders>
            <w:vAlign w:val="center"/>
          </w:tcPr>
          <w:p w:rsidR="00203FA1" w:rsidRPr="002748EF" w:rsidRDefault="00203FA1" w:rsidP="005B0D6E">
            <w:pPr>
              <w:keepNext/>
              <w:jc w:val="left"/>
              <w:rPr>
                <w:sz w:val="20"/>
                <w:szCs w:val="20"/>
                <w:lang w:val="en-CA"/>
              </w:rPr>
            </w:pPr>
            <w:r w:rsidRPr="002748EF">
              <w:rPr>
                <w:sz w:val="20"/>
                <w:szCs w:val="20"/>
                <w:lang w:val="en-CA"/>
              </w:rPr>
              <w:t>HCFC-22</w:t>
            </w:r>
          </w:p>
        </w:tc>
        <w:tc>
          <w:tcPr>
            <w:tcW w:w="421"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14.20</w:t>
            </w:r>
          </w:p>
        </w:tc>
        <w:tc>
          <w:tcPr>
            <w:tcW w:w="676"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0.78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203FA1" w:rsidRPr="002748EF" w:rsidRDefault="00203FA1" w:rsidP="005B0D6E">
            <w:pPr>
              <w:keepNext/>
              <w:jc w:val="right"/>
              <w:rPr>
                <w:b/>
                <w:sz w:val="20"/>
                <w:szCs w:val="20"/>
                <w:lang w:val="en-CA"/>
              </w:rPr>
            </w:pPr>
            <w:r w:rsidRPr="002748EF">
              <w:rPr>
                <w:sz w:val="20"/>
                <w:szCs w:val="20"/>
                <w:lang w:val="en-CA"/>
              </w:rPr>
              <w:t>68,200</w:t>
            </w:r>
          </w:p>
        </w:tc>
        <w:tc>
          <w:tcPr>
            <w:tcW w:w="705" w:type="pct"/>
            <w:vMerge w:val="restart"/>
            <w:tcBorders>
              <w:top w:val="single" w:sz="4" w:space="0" w:color="auto"/>
              <w:left w:val="single" w:sz="4" w:space="0" w:color="auto"/>
              <w:right w:val="single" w:sz="4" w:space="0" w:color="auto"/>
            </w:tcBorders>
            <w:vAlign w:val="center"/>
          </w:tcPr>
          <w:p w:rsidR="00203FA1" w:rsidRPr="002748EF" w:rsidRDefault="00203FA1" w:rsidP="005B0D6E">
            <w:pPr>
              <w:keepNext/>
              <w:jc w:val="right"/>
              <w:rPr>
                <w:sz w:val="20"/>
                <w:szCs w:val="20"/>
                <w:lang w:val="en-CA"/>
              </w:rPr>
            </w:pPr>
            <w:r w:rsidRPr="002748EF">
              <w:rPr>
                <w:sz w:val="20"/>
                <w:szCs w:val="20"/>
                <w:lang w:val="en-CA"/>
              </w:rPr>
              <w:t>4.80</w:t>
            </w:r>
          </w:p>
          <w:p w:rsidR="00203FA1" w:rsidRPr="002748EF" w:rsidRDefault="00203FA1" w:rsidP="005B0D6E">
            <w:pPr>
              <w:keepNext/>
              <w:jc w:val="right"/>
              <w:rPr>
                <w:sz w:val="20"/>
                <w:szCs w:val="20"/>
                <w:lang w:val="en-CA"/>
              </w:rPr>
            </w:pPr>
          </w:p>
        </w:tc>
      </w:tr>
      <w:tr w:rsidR="00203FA1" w:rsidRPr="002748EF" w:rsidTr="00243358">
        <w:trPr>
          <w:trHeight w:val="323"/>
        </w:trPr>
        <w:tc>
          <w:tcPr>
            <w:tcW w:w="1894" w:type="pct"/>
            <w:vMerge w:val="restart"/>
            <w:tcBorders>
              <w:top w:val="single" w:sz="4" w:space="0" w:color="auto"/>
              <w:left w:val="single" w:sz="4" w:space="0" w:color="auto"/>
              <w:right w:val="single" w:sz="4" w:space="0" w:color="auto"/>
            </w:tcBorders>
            <w:shd w:val="clear" w:color="auto" w:fill="auto"/>
          </w:tcPr>
          <w:p w:rsidR="00203FA1" w:rsidRPr="002748EF" w:rsidRDefault="00203FA1" w:rsidP="005B0D6E">
            <w:pPr>
              <w:keepNext/>
              <w:jc w:val="left"/>
              <w:rPr>
                <w:sz w:val="20"/>
                <w:szCs w:val="20"/>
                <w:lang w:val="en-CA"/>
              </w:rPr>
            </w:pPr>
            <w:r w:rsidRPr="002748EF">
              <w:rPr>
                <w:sz w:val="20"/>
                <w:szCs w:val="20"/>
                <w:lang w:val="en-CA"/>
              </w:rPr>
              <w:t>Refrigeration servicing</w:t>
            </w:r>
          </w:p>
        </w:tc>
        <w:tc>
          <w:tcPr>
            <w:tcW w:w="655" w:type="pct"/>
            <w:tcBorders>
              <w:top w:val="single" w:sz="4" w:space="0" w:color="auto"/>
              <w:left w:val="single" w:sz="4" w:space="0" w:color="auto"/>
              <w:bottom w:val="single" w:sz="4" w:space="0" w:color="auto"/>
              <w:right w:val="single" w:sz="4" w:space="0" w:color="auto"/>
            </w:tcBorders>
            <w:vAlign w:val="center"/>
          </w:tcPr>
          <w:p w:rsidR="00203FA1" w:rsidRPr="002748EF" w:rsidRDefault="00203FA1" w:rsidP="005B0D6E">
            <w:pPr>
              <w:keepNext/>
              <w:jc w:val="left"/>
              <w:rPr>
                <w:sz w:val="20"/>
                <w:szCs w:val="20"/>
                <w:lang w:val="en-CA"/>
              </w:rPr>
            </w:pPr>
            <w:r w:rsidRPr="002748EF">
              <w:rPr>
                <w:sz w:val="20"/>
                <w:szCs w:val="20"/>
                <w:lang w:val="en-CA"/>
              </w:rPr>
              <w:t>HCFC-22</w:t>
            </w:r>
          </w:p>
        </w:tc>
        <w:tc>
          <w:tcPr>
            <w:tcW w:w="421"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82.43</w:t>
            </w:r>
          </w:p>
        </w:tc>
        <w:tc>
          <w:tcPr>
            <w:tcW w:w="676"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4.53</w:t>
            </w:r>
          </w:p>
        </w:tc>
        <w:tc>
          <w:tcPr>
            <w:tcW w:w="649" w:type="pct"/>
            <w:vMerge w:val="restart"/>
            <w:tcBorders>
              <w:top w:val="single" w:sz="4" w:space="0" w:color="auto"/>
              <w:left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413,600</w:t>
            </w:r>
          </w:p>
        </w:tc>
        <w:tc>
          <w:tcPr>
            <w:tcW w:w="705" w:type="pct"/>
            <w:vMerge/>
            <w:tcBorders>
              <w:left w:val="single" w:sz="4" w:space="0" w:color="auto"/>
              <w:right w:val="single" w:sz="4" w:space="0" w:color="auto"/>
            </w:tcBorders>
            <w:vAlign w:val="center"/>
          </w:tcPr>
          <w:p w:rsidR="00203FA1" w:rsidRPr="002748EF" w:rsidRDefault="00203FA1" w:rsidP="005B0D6E">
            <w:pPr>
              <w:keepNext/>
              <w:jc w:val="right"/>
              <w:rPr>
                <w:sz w:val="20"/>
                <w:szCs w:val="20"/>
                <w:lang w:val="en-CA"/>
              </w:rPr>
            </w:pPr>
          </w:p>
        </w:tc>
      </w:tr>
      <w:tr w:rsidR="00203FA1" w:rsidRPr="002748EF" w:rsidTr="00243358">
        <w:trPr>
          <w:trHeight w:val="323"/>
        </w:trPr>
        <w:tc>
          <w:tcPr>
            <w:tcW w:w="1894" w:type="pct"/>
            <w:vMerge/>
            <w:tcBorders>
              <w:left w:val="single" w:sz="4" w:space="0" w:color="auto"/>
              <w:bottom w:val="single" w:sz="4" w:space="0" w:color="auto"/>
              <w:right w:val="single" w:sz="4" w:space="0" w:color="auto"/>
            </w:tcBorders>
            <w:shd w:val="clear" w:color="auto" w:fill="auto"/>
          </w:tcPr>
          <w:p w:rsidR="00203FA1" w:rsidRPr="002748EF" w:rsidRDefault="00203FA1" w:rsidP="005B0D6E">
            <w:pPr>
              <w:keepNext/>
              <w:jc w:val="left"/>
              <w:rPr>
                <w:sz w:val="20"/>
                <w:szCs w:val="20"/>
                <w:lang w:val="en-CA"/>
              </w:rPr>
            </w:pPr>
          </w:p>
        </w:tc>
        <w:tc>
          <w:tcPr>
            <w:tcW w:w="655" w:type="pct"/>
            <w:tcBorders>
              <w:top w:val="single" w:sz="4" w:space="0" w:color="auto"/>
              <w:left w:val="single" w:sz="4" w:space="0" w:color="auto"/>
              <w:bottom w:val="single" w:sz="4" w:space="0" w:color="auto"/>
              <w:right w:val="single" w:sz="4" w:space="0" w:color="auto"/>
            </w:tcBorders>
            <w:vAlign w:val="center"/>
          </w:tcPr>
          <w:p w:rsidR="00203FA1" w:rsidRPr="002748EF" w:rsidRDefault="00203FA1" w:rsidP="005B0D6E">
            <w:pPr>
              <w:keepNext/>
              <w:jc w:val="left"/>
              <w:rPr>
                <w:sz w:val="20"/>
                <w:szCs w:val="20"/>
                <w:lang w:val="en-CA"/>
              </w:rPr>
            </w:pPr>
            <w:r w:rsidRPr="002748EF">
              <w:rPr>
                <w:sz w:val="20"/>
                <w:szCs w:val="20"/>
                <w:lang w:val="en-CA"/>
              </w:rPr>
              <w:t>HCFC-141b</w:t>
            </w:r>
          </w:p>
        </w:tc>
        <w:tc>
          <w:tcPr>
            <w:tcW w:w="421"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3.72</w:t>
            </w:r>
          </w:p>
        </w:tc>
        <w:tc>
          <w:tcPr>
            <w:tcW w:w="676" w:type="pct"/>
            <w:tcBorders>
              <w:top w:val="single" w:sz="4" w:space="0" w:color="auto"/>
              <w:left w:val="nil"/>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r w:rsidRPr="002748EF">
              <w:rPr>
                <w:sz w:val="20"/>
                <w:szCs w:val="20"/>
                <w:lang w:val="en-CA"/>
              </w:rPr>
              <w:t>0.41</w:t>
            </w:r>
          </w:p>
        </w:tc>
        <w:tc>
          <w:tcPr>
            <w:tcW w:w="649" w:type="pct"/>
            <w:vMerge/>
            <w:tcBorders>
              <w:left w:val="single" w:sz="4" w:space="0" w:color="auto"/>
              <w:bottom w:val="single" w:sz="4" w:space="0" w:color="auto"/>
              <w:right w:val="single" w:sz="4" w:space="0" w:color="auto"/>
            </w:tcBorders>
            <w:shd w:val="clear" w:color="auto" w:fill="auto"/>
            <w:vAlign w:val="center"/>
          </w:tcPr>
          <w:p w:rsidR="00203FA1" w:rsidRPr="002748EF" w:rsidRDefault="00203FA1" w:rsidP="005B0D6E">
            <w:pPr>
              <w:keepNext/>
              <w:jc w:val="right"/>
              <w:rPr>
                <w:sz w:val="20"/>
                <w:szCs w:val="20"/>
                <w:lang w:val="en-CA"/>
              </w:rPr>
            </w:pPr>
          </w:p>
        </w:tc>
        <w:tc>
          <w:tcPr>
            <w:tcW w:w="705" w:type="pct"/>
            <w:vMerge/>
            <w:tcBorders>
              <w:left w:val="single" w:sz="4" w:space="0" w:color="auto"/>
              <w:bottom w:val="single" w:sz="4" w:space="0" w:color="auto"/>
              <w:right w:val="single" w:sz="4" w:space="0" w:color="auto"/>
            </w:tcBorders>
            <w:vAlign w:val="center"/>
          </w:tcPr>
          <w:p w:rsidR="00203FA1" w:rsidRPr="002748EF" w:rsidRDefault="00203FA1" w:rsidP="005B0D6E">
            <w:pPr>
              <w:keepNext/>
              <w:jc w:val="right"/>
              <w:rPr>
                <w:sz w:val="20"/>
                <w:szCs w:val="20"/>
                <w:lang w:val="en-CA"/>
              </w:rPr>
            </w:pPr>
          </w:p>
        </w:tc>
      </w:tr>
      <w:tr w:rsidR="00E745CE" w:rsidRPr="002748EF" w:rsidTr="00243358">
        <w:trPr>
          <w:trHeight w:val="323"/>
        </w:trPr>
        <w:tc>
          <w:tcPr>
            <w:tcW w:w="1894" w:type="pct"/>
            <w:tcBorders>
              <w:top w:val="single" w:sz="4" w:space="0" w:color="auto"/>
              <w:left w:val="single" w:sz="4" w:space="0" w:color="auto"/>
              <w:bottom w:val="single" w:sz="4" w:space="0" w:color="auto"/>
              <w:right w:val="single" w:sz="4" w:space="0" w:color="auto"/>
            </w:tcBorders>
            <w:shd w:val="clear" w:color="auto" w:fill="auto"/>
          </w:tcPr>
          <w:p w:rsidR="00E745CE" w:rsidRPr="002748EF" w:rsidRDefault="00E745CE" w:rsidP="005B0D6E">
            <w:pPr>
              <w:keepNext/>
              <w:jc w:val="left"/>
              <w:rPr>
                <w:sz w:val="20"/>
                <w:szCs w:val="20"/>
                <w:lang w:val="en-CA"/>
              </w:rPr>
            </w:pPr>
            <w:r w:rsidRPr="002748EF">
              <w:rPr>
                <w:sz w:val="20"/>
                <w:szCs w:val="20"/>
                <w:lang w:val="en-CA"/>
              </w:rPr>
              <w:t xml:space="preserve">Implementation and monitoring </w:t>
            </w:r>
          </w:p>
        </w:tc>
        <w:tc>
          <w:tcPr>
            <w:tcW w:w="1752" w:type="pct"/>
            <w:gridSpan w:val="3"/>
            <w:tcBorders>
              <w:top w:val="single" w:sz="4" w:space="0" w:color="auto"/>
              <w:left w:val="single" w:sz="4" w:space="0" w:color="auto"/>
              <w:bottom w:val="single" w:sz="4" w:space="0" w:color="auto"/>
              <w:right w:val="single" w:sz="4" w:space="0" w:color="auto"/>
            </w:tcBorders>
            <w:vAlign w:val="center"/>
          </w:tcPr>
          <w:p w:rsidR="00E745CE" w:rsidRPr="002748EF" w:rsidRDefault="00E745CE" w:rsidP="005B0D6E">
            <w:pPr>
              <w:keepNext/>
              <w:jc w:val="right"/>
              <w:rPr>
                <w:b/>
                <w:sz w:val="20"/>
                <w:szCs w:val="20"/>
                <w:lang w:val="en-CA"/>
              </w:rPr>
            </w:pPr>
          </w:p>
        </w:tc>
        <w:tc>
          <w:tcPr>
            <w:tcW w:w="649" w:type="pct"/>
            <w:tcBorders>
              <w:top w:val="single" w:sz="4" w:space="0" w:color="auto"/>
              <w:left w:val="single" w:sz="4" w:space="0" w:color="auto"/>
              <w:bottom w:val="single" w:sz="4" w:space="0" w:color="auto"/>
              <w:right w:val="single" w:sz="4" w:space="0" w:color="auto"/>
            </w:tcBorders>
            <w:vAlign w:val="center"/>
          </w:tcPr>
          <w:p w:rsidR="00E745CE" w:rsidRPr="002748EF" w:rsidRDefault="00E745CE" w:rsidP="005B0D6E">
            <w:pPr>
              <w:keepNext/>
              <w:jc w:val="right"/>
              <w:rPr>
                <w:b/>
                <w:sz w:val="20"/>
                <w:szCs w:val="20"/>
                <w:lang w:val="en-CA"/>
              </w:rPr>
            </w:pPr>
            <w:r w:rsidRPr="002748EF">
              <w:rPr>
                <w:sz w:val="20"/>
                <w:szCs w:val="20"/>
                <w:lang w:val="en-CA"/>
              </w:rPr>
              <w:t>102,400</w:t>
            </w:r>
          </w:p>
        </w:tc>
        <w:tc>
          <w:tcPr>
            <w:tcW w:w="705" w:type="pct"/>
            <w:tcBorders>
              <w:top w:val="single" w:sz="4" w:space="0" w:color="auto"/>
              <w:left w:val="single" w:sz="4" w:space="0" w:color="auto"/>
              <w:bottom w:val="single" w:sz="4" w:space="0" w:color="auto"/>
              <w:right w:val="single" w:sz="4" w:space="0" w:color="auto"/>
            </w:tcBorders>
            <w:vAlign w:val="center"/>
          </w:tcPr>
          <w:p w:rsidR="00E745CE" w:rsidRPr="002748EF" w:rsidRDefault="00E745CE" w:rsidP="005B0D6E">
            <w:pPr>
              <w:keepNext/>
              <w:jc w:val="right"/>
              <w:rPr>
                <w:sz w:val="20"/>
                <w:szCs w:val="20"/>
                <w:lang w:val="en-CA"/>
              </w:rPr>
            </w:pPr>
          </w:p>
        </w:tc>
      </w:tr>
      <w:tr w:rsidR="00E745CE" w:rsidRPr="002748EF" w:rsidTr="00243358">
        <w:trPr>
          <w:trHeight w:val="242"/>
        </w:trPr>
        <w:tc>
          <w:tcPr>
            <w:tcW w:w="1894" w:type="pct"/>
            <w:tcBorders>
              <w:top w:val="single" w:sz="4" w:space="0" w:color="auto"/>
              <w:left w:val="single" w:sz="4" w:space="0" w:color="auto"/>
              <w:bottom w:val="single" w:sz="4" w:space="0" w:color="auto"/>
              <w:right w:val="single" w:sz="4" w:space="0" w:color="auto"/>
            </w:tcBorders>
            <w:shd w:val="clear" w:color="auto" w:fill="auto"/>
            <w:noWrap/>
            <w:hideMark/>
          </w:tcPr>
          <w:p w:rsidR="00E745CE" w:rsidRPr="002748EF" w:rsidRDefault="00E745CE" w:rsidP="005B0D6E">
            <w:pPr>
              <w:keepNext/>
              <w:jc w:val="left"/>
              <w:rPr>
                <w:b/>
                <w:bCs/>
                <w:sz w:val="20"/>
                <w:szCs w:val="20"/>
                <w:lang w:val="en-CA"/>
              </w:rPr>
            </w:pPr>
            <w:r w:rsidRPr="002748EF">
              <w:rPr>
                <w:b/>
                <w:bCs/>
                <w:sz w:val="20"/>
                <w:szCs w:val="20"/>
                <w:lang w:val="en-CA"/>
              </w:rPr>
              <w:t>Total stage II</w:t>
            </w:r>
          </w:p>
        </w:tc>
        <w:tc>
          <w:tcPr>
            <w:tcW w:w="655" w:type="pct"/>
            <w:tcBorders>
              <w:top w:val="nil"/>
              <w:left w:val="nil"/>
              <w:bottom w:val="single" w:sz="4" w:space="0" w:color="auto"/>
              <w:right w:val="single" w:sz="4" w:space="0" w:color="auto"/>
            </w:tcBorders>
            <w:shd w:val="clear" w:color="auto" w:fill="auto"/>
            <w:hideMark/>
          </w:tcPr>
          <w:p w:rsidR="00E745CE" w:rsidRPr="002748EF" w:rsidRDefault="00E745CE" w:rsidP="005B0D6E">
            <w:pPr>
              <w:keepNext/>
              <w:jc w:val="right"/>
              <w:rPr>
                <w:b/>
                <w:bCs/>
                <w:sz w:val="20"/>
                <w:szCs w:val="20"/>
                <w:lang w:val="en-CA"/>
              </w:rPr>
            </w:pPr>
          </w:p>
        </w:tc>
        <w:tc>
          <w:tcPr>
            <w:tcW w:w="421" w:type="pct"/>
            <w:tcBorders>
              <w:top w:val="nil"/>
              <w:left w:val="nil"/>
              <w:bottom w:val="single" w:sz="4" w:space="0" w:color="auto"/>
              <w:right w:val="single" w:sz="4" w:space="0" w:color="auto"/>
            </w:tcBorders>
            <w:shd w:val="clear" w:color="auto" w:fill="auto"/>
            <w:hideMark/>
          </w:tcPr>
          <w:p w:rsidR="00E745CE" w:rsidRPr="002748EF" w:rsidRDefault="00B87021" w:rsidP="005B0D6E">
            <w:pPr>
              <w:keepNext/>
              <w:jc w:val="right"/>
              <w:rPr>
                <w:b/>
                <w:bCs/>
                <w:sz w:val="20"/>
                <w:szCs w:val="20"/>
                <w:lang w:val="en-CA"/>
              </w:rPr>
            </w:pPr>
            <w:r w:rsidRPr="002748EF">
              <w:rPr>
                <w:b/>
                <w:sz w:val="20"/>
                <w:szCs w:val="20"/>
                <w:lang w:val="en-CA"/>
              </w:rPr>
              <w:t>150.</w:t>
            </w:r>
            <w:r w:rsidR="00203FA1" w:rsidRPr="002748EF">
              <w:rPr>
                <w:b/>
                <w:sz w:val="20"/>
                <w:szCs w:val="20"/>
                <w:lang w:val="en-CA"/>
              </w:rPr>
              <w:t>59</w:t>
            </w:r>
          </w:p>
        </w:tc>
        <w:tc>
          <w:tcPr>
            <w:tcW w:w="676" w:type="pct"/>
            <w:tcBorders>
              <w:top w:val="nil"/>
              <w:left w:val="nil"/>
              <w:bottom w:val="single" w:sz="4" w:space="0" w:color="auto"/>
              <w:right w:val="single" w:sz="4" w:space="0" w:color="auto"/>
            </w:tcBorders>
          </w:tcPr>
          <w:p w:rsidR="00E745CE" w:rsidRPr="002748EF" w:rsidRDefault="00B87021" w:rsidP="005B0D6E">
            <w:pPr>
              <w:keepNext/>
              <w:jc w:val="right"/>
              <w:rPr>
                <w:b/>
                <w:bCs/>
                <w:sz w:val="20"/>
                <w:szCs w:val="20"/>
                <w:lang w:val="en-CA"/>
              </w:rPr>
            </w:pPr>
            <w:r w:rsidRPr="002748EF">
              <w:rPr>
                <w:b/>
                <w:bCs/>
                <w:sz w:val="20"/>
                <w:szCs w:val="20"/>
                <w:lang w:val="en-CA"/>
              </w:rPr>
              <w:t>11.</w:t>
            </w:r>
            <w:r w:rsidR="00203FA1" w:rsidRPr="002748EF">
              <w:rPr>
                <w:b/>
                <w:bCs/>
                <w:sz w:val="20"/>
                <w:szCs w:val="20"/>
                <w:lang w:val="en-CA"/>
              </w:rPr>
              <w:t>25</w:t>
            </w:r>
          </w:p>
        </w:tc>
        <w:tc>
          <w:tcPr>
            <w:tcW w:w="649" w:type="pct"/>
            <w:tcBorders>
              <w:top w:val="nil"/>
              <w:left w:val="nil"/>
              <w:bottom w:val="single" w:sz="4" w:space="0" w:color="auto"/>
              <w:right w:val="single" w:sz="4" w:space="0" w:color="auto"/>
            </w:tcBorders>
          </w:tcPr>
          <w:p w:rsidR="00E745CE" w:rsidRPr="002748EF" w:rsidRDefault="00E745CE" w:rsidP="005B0D6E">
            <w:pPr>
              <w:keepNext/>
              <w:jc w:val="right"/>
              <w:rPr>
                <w:b/>
                <w:bCs/>
                <w:sz w:val="20"/>
                <w:szCs w:val="20"/>
                <w:lang w:val="en-CA"/>
              </w:rPr>
            </w:pPr>
            <w:r w:rsidRPr="002748EF">
              <w:rPr>
                <w:b/>
                <w:bCs/>
                <w:sz w:val="20"/>
                <w:szCs w:val="20"/>
                <w:lang w:val="en-CA"/>
              </w:rPr>
              <w:t>1,124,903</w:t>
            </w:r>
          </w:p>
        </w:tc>
        <w:tc>
          <w:tcPr>
            <w:tcW w:w="705" w:type="pct"/>
            <w:tcBorders>
              <w:top w:val="nil"/>
              <w:left w:val="nil"/>
              <w:bottom w:val="single" w:sz="4" w:space="0" w:color="auto"/>
              <w:right w:val="single" w:sz="4" w:space="0" w:color="auto"/>
            </w:tcBorders>
            <w:vAlign w:val="center"/>
          </w:tcPr>
          <w:p w:rsidR="00E745CE" w:rsidRPr="002748EF" w:rsidRDefault="002B5C86" w:rsidP="005B0D6E">
            <w:pPr>
              <w:keepNext/>
              <w:jc w:val="right"/>
              <w:rPr>
                <w:b/>
                <w:bCs/>
                <w:sz w:val="20"/>
                <w:szCs w:val="20"/>
                <w:lang w:val="en-CA"/>
              </w:rPr>
            </w:pPr>
            <w:r w:rsidRPr="002748EF">
              <w:rPr>
                <w:b/>
                <w:bCs/>
                <w:sz w:val="20"/>
                <w:szCs w:val="20"/>
                <w:lang w:val="en-CA"/>
              </w:rPr>
              <w:t>7.78</w:t>
            </w:r>
          </w:p>
        </w:tc>
      </w:tr>
    </w:tbl>
    <w:p w:rsidR="00E745CE" w:rsidRPr="00203FA1" w:rsidRDefault="004B3331" w:rsidP="005B0D6E">
      <w:pPr>
        <w:keepNext/>
        <w:rPr>
          <w:sz w:val="16"/>
          <w:szCs w:val="16"/>
        </w:rPr>
      </w:pPr>
      <w:r w:rsidRPr="00203FA1">
        <w:rPr>
          <w:sz w:val="16"/>
          <w:szCs w:val="16"/>
        </w:rPr>
        <w:t>*</w:t>
      </w:r>
      <w:r w:rsidR="00B87021" w:rsidRPr="00203FA1">
        <w:rPr>
          <w:sz w:val="16"/>
          <w:szCs w:val="16"/>
        </w:rPr>
        <w:t xml:space="preserve">remaining </w:t>
      </w:r>
      <w:r w:rsidR="002D6E85" w:rsidRPr="00203FA1">
        <w:rPr>
          <w:sz w:val="16"/>
          <w:szCs w:val="16"/>
        </w:rPr>
        <w:t>consumption eligible</w:t>
      </w:r>
      <w:r w:rsidRPr="00203FA1">
        <w:rPr>
          <w:sz w:val="16"/>
          <w:szCs w:val="16"/>
        </w:rPr>
        <w:t xml:space="preserve"> for funding is 5.33 ODP tonnes</w:t>
      </w:r>
    </w:p>
    <w:p w:rsidR="004B3331" w:rsidRPr="002D6E85" w:rsidRDefault="004B3331" w:rsidP="002748EF"/>
    <w:p w:rsidR="004B3331" w:rsidRPr="002D6E85" w:rsidRDefault="00B87021" w:rsidP="002748EF">
      <w:pPr>
        <w:rPr>
          <w:u w:val="single"/>
        </w:rPr>
      </w:pPr>
      <w:r w:rsidRPr="002D6E85">
        <w:rPr>
          <w:u w:val="single"/>
        </w:rPr>
        <w:t>Activities Planned for the first tranche</w:t>
      </w:r>
    </w:p>
    <w:p w:rsidR="00E6140C" w:rsidRPr="002D6E85" w:rsidRDefault="00E6140C" w:rsidP="002748EF">
      <w:pPr>
        <w:rPr>
          <w:highlight w:val="yellow"/>
          <w:u w:val="single"/>
          <w:lang w:val="en-CA"/>
        </w:rPr>
      </w:pPr>
    </w:p>
    <w:p w:rsidR="005B0D6E" w:rsidRDefault="00E6140C" w:rsidP="00EA61B6">
      <w:pPr>
        <w:pStyle w:val="Style1"/>
        <w:numPr>
          <w:ilvl w:val="0"/>
          <w:numId w:val="7"/>
        </w:numPr>
        <w:spacing w:line="240" w:lineRule="auto"/>
        <w:ind w:left="0" w:firstLine="0"/>
      </w:pPr>
      <w:r w:rsidRPr="002D6E85">
        <w:t xml:space="preserve">The first funding tranche of stage II </w:t>
      </w:r>
      <w:r w:rsidR="005B0D6E">
        <w:t>(</w:t>
      </w:r>
      <w:r w:rsidRPr="002D6E85">
        <w:t>US $314,000</w:t>
      </w:r>
      <w:r w:rsidR="005B0D6E">
        <w:t>)</w:t>
      </w:r>
      <w:r w:rsidRPr="002D6E85">
        <w:t xml:space="preserve"> will be implemented </w:t>
      </w:r>
      <w:r w:rsidR="005B0D6E">
        <w:t xml:space="preserve">up to </w:t>
      </w:r>
      <w:r w:rsidRPr="002D6E85">
        <w:t>December 2017</w:t>
      </w:r>
      <w:r w:rsidR="00A87FC4">
        <w:t xml:space="preserve"> and</w:t>
      </w:r>
      <w:r w:rsidRPr="002D6E85">
        <w:t xml:space="preserve"> will </w:t>
      </w:r>
      <w:r w:rsidR="005B0D6E">
        <w:t>include</w:t>
      </w:r>
      <w:r w:rsidRPr="002D6E85">
        <w:t>:</w:t>
      </w:r>
      <w:r w:rsidR="00203FA1" w:rsidRPr="002D6E85">
        <w:t xml:space="preserve"> </w:t>
      </w:r>
    </w:p>
    <w:p w:rsidR="00EA61B6" w:rsidRDefault="00EA61B6" w:rsidP="00597DDF">
      <w:pPr>
        <w:pStyle w:val="Style1"/>
        <w:numPr>
          <w:ilvl w:val="0"/>
          <w:numId w:val="0"/>
        </w:numPr>
        <w:spacing w:line="240" w:lineRule="auto"/>
      </w:pPr>
    </w:p>
    <w:p w:rsidR="005B0D6E" w:rsidRDefault="005B0D6E" w:rsidP="00F07CA5">
      <w:pPr>
        <w:pStyle w:val="Heading2"/>
        <w:numPr>
          <w:ilvl w:val="1"/>
          <w:numId w:val="20"/>
        </w:numPr>
        <w:rPr>
          <w:lang w:val="en-US"/>
        </w:rPr>
      </w:pPr>
      <w:r w:rsidRPr="005B0D6E">
        <w:rPr>
          <w:lang w:val="en-US"/>
        </w:rPr>
        <w:t>R</w:t>
      </w:r>
      <w:r w:rsidR="00E6140C" w:rsidRPr="005B0D6E">
        <w:rPr>
          <w:lang w:val="en-US"/>
        </w:rPr>
        <w:t xml:space="preserve">eview and strengthening of the legal framework to control HCFC consumption, conduct of meetings with stakeholders to discuss initiatives; </w:t>
      </w:r>
      <w:r w:rsidR="00AD5E3F">
        <w:rPr>
          <w:lang w:val="en-US"/>
        </w:rPr>
        <w:t xml:space="preserve">and </w:t>
      </w:r>
      <w:r w:rsidR="00E6140C" w:rsidRPr="005B0D6E">
        <w:rPr>
          <w:lang w:val="en-US"/>
        </w:rPr>
        <w:t>presentation of initial draft of new norms (US $11,000);</w:t>
      </w:r>
    </w:p>
    <w:p w:rsidR="005B0D6E" w:rsidRDefault="005B0D6E" w:rsidP="00F07CA5">
      <w:pPr>
        <w:pStyle w:val="Heading2"/>
        <w:numPr>
          <w:ilvl w:val="1"/>
          <w:numId w:val="20"/>
        </w:numPr>
        <w:rPr>
          <w:lang w:val="en-US"/>
        </w:rPr>
      </w:pPr>
      <w:r>
        <w:rPr>
          <w:lang w:val="en-US"/>
        </w:rPr>
        <w:t>T</w:t>
      </w:r>
      <w:r w:rsidR="00E6140C" w:rsidRPr="005B0D6E">
        <w:rPr>
          <w:lang w:val="en-US"/>
        </w:rPr>
        <w:t>rain 50</w:t>
      </w:r>
      <w:r w:rsidR="00E6140C" w:rsidRPr="00AD5E3F">
        <w:rPr>
          <w:lang w:val="en-US"/>
        </w:rPr>
        <w:t xml:space="preserve"> Customs officers and update training manual (US $13,750);</w:t>
      </w:r>
    </w:p>
    <w:p w:rsidR="005B0D6E" w:rsidRPr="00AD5E3F" w:rsidRDefault="005B0D6E" w:rsidP="00F07CA5">
      <w:pPr>
        <w:pStyle w:val="Heading2"/>
        <w:numPr>
          <w:ilvl w:val="1"/>
          <w:numId w:val="20"/>
        </w:numPr>
        <w:rPr>
          <w:lang w:val="en-US"/>
        </w:rPr>
      </w:pPr>
      <w:r w:rsidRPr="005B0D6E">
        <w:rPr>
          <w:lang w:val="en-US"/>
        </w:rPr>
        <w:t>Initiate activities for conversion of foam enterprises to HFO and conduct initial tests (US</w:t>
      </w:r>
      <w:r w:rsidR="008554A1">
        <w:rPr>
          <w:lang w:val="en-US"/>
        </w:rPr>
        <w:t> </w:t>
      </w:r>
      <w:r w:rsidRPr="005B0D6E">
        <w:rPr>
          <w:lang w:val="en-US"/>
        </w:rPr>
        <w:t>$</w:t>
      </w:r>
      <w:bookmarkStart w:id="0" w:name="_GoBack"/>
      <w:bookmarkEnd w:id="0"/>
      <w:r w:rsidRPr="005B0D6E">
        <w:rPr>
          <w:lang w:val="en-US"/>
        </w:rPr>
        <w:t>100,000);</w:t>
      </w:r>
    </w:p>
    <w:p w:rsidR="00AD5E3F" w:rsidRDefault="00AD5E3F" w:rsidP="00F07CA5">
      <w:pPr>
        <w:pStyle w:val="Heading2"/>
        <w:numPr>
          <w:ilvl w:val="1"/>
          <w:numId w:val="20"/>
        </w:numPr>
      </w:pPr>
      <w:r>
        <w:t>T</w:t>
      </w:r>
      <w:r w:rsidR="00E6140C" w:rsidRPr="005B0D6E">
        <w:t>rain</w:t>
      </w:r>
      <w:r w:rsidR="00E6140C" w:rsidRPr="005B0D6E">
        <w:noBreakHyphen/>
        <w:t>the</w:t>
      </w:r>
      <w:r w:rsidR="00E6140C" w:rsidRPr="005B0D6E">
        <w:noBreakHyphen/>
        <w:t>trainers workshop and training of technicians in good refrigeration practices (US</w:t>
      </w:r>
      <w:r w:rsidR="005B0D6E" w:rsidRPr="005B0D6E">
        <w:t xml:space="preserve"> </w:t>
      </w:r>
      <w:r w:rsidR="00E6140C" w:rsidRPr="005B0D6E">
        <w:t>$46,750);</w:t>
      </w:r>
    </w:p>
    <w:p w:rsidR="00AD5E3F" w:rsidRDefault="00AD5E3F" w:rsidP="00F07CA5">
      <w:pPr>
        <w:pStyle w:val="Heading2"/>
        <w:numPr>
          <w:ilvl w:val="1"/>
          <w:numId w:val="20"/>
        </w:numPr>
      </w:pPr>
      <w:r w:rsidRPr="005B0D6E">
        <w:t>Technical</w:t>
      </w:r>
      <w:r w:rsidR="00E6140C" w:rsidRPr="005B0D6E">
        <w:t xml:space="preserve"> assistance for the adoption of low-GWP, high energy efficiency refrigerants (US $24,750); preparation for draft pilot project for alternative refrigerants in cold rooms (US $17,600)</w:t>
      </w:r>
      <w:r>
        <w:t>, and</w:t>
      </w:r>
      <w:r w:rsidRPr="00AD5E3F">
        <w:t xml:space="preserve"> </w:t>
      </w:r>
      <w:r>
        <w:t>e</w:t>
      </w:r>
      <w:r w:rsidRPr="00AD5E3F">
        <w:t>nd-users incentive programme (US $14,300)</w:t>
      </w:r>
      <w:r w:rsidR="00E6140C" w:rsidRPr="005B0D6E">
        <w:t>;</w:t>
      </w:r>
    </w:p>
    <w:p w:rsidR="00AD5E3F" w:rsidRDefault="00AD5E3F" w:rsidP="00F07CA5">
      <w:pPr>
        <w:pStyle w:val="Heading2"/>
        <w:numPr>
          <w:ilvl w:val="1"/>
          <w:numId w:val="20"/>
        </w:numPr>
      </w:pPr>
      <w:r>
        <w:lastRenderedPageBreak/>
        <w:t>D</w:t>
      </w:r>
      <w:r w:rsidR="00E6140C" w:rsidRPr="005B0D6E">
        <w:t>evelop sustainable public procurement programme framework, prepare initial report on criteria and procedures (US $11,000);</w:t>
      </w:r>
    </w:p>
    <w:p w:rsidR="00AD5E3F" w:rsidRDefault="00AD5E3F" w:rsidP="00F07CA5">
      <w:pPr>
        <w:pStyle w:val="Heading2"/>
        <w:numPr>
          <w:ilvl w:val="1"/>
          <w:numId w:val="20"/>
        </w:numPr>
      </w:pPr>
      <w:r>
        <w:t>A</w:t>
      </w:r>
      <w:r w:rsidR="00E6140C" w:rsidRPr="005B0D6E">
        <w:t xml:space="preserve">wareness raising </w:t>
      </w:r>
      <w:r w:rsidR="008554A1" w:rsidRPr="005B0D6E">
        <w:t xml:space="preserve">for </w:t>
      </w:r>
      <w:r w:rsidR="008554A1">
        <w:t>the</w:t>
      </w:r>
      <w:r w:rsidR="00E6140C" w:rsidRPr="005B0D6E">
        <w:t xml:space="preserve"> RAC sector and </w:t>
      </w:r>
      <w:r>
        <w:t xml:space="preserve">the </w:t>
      </w:r>
      <w:r w:rsidR="00E6140C" w:rsidRPr="005B0D6E">
        <w:t xml:space="preserve">general </w:t>
      </w:r>
      <w:r>
        <w:t xml:space="preserve">public </w:t>
      </w:r>
      <w:r w:rsidR="00E6140C" w:rsidRPr="005B0D6E">
        <w:t xml:space="preserve">to promote phase-out of HCFC and protection of the environment (US $39,050); and </w:t>
      </w:r>
    </w:p>
    <w:p w:rsidR="00F07CA5" w:rsidRPr="00F07CA5" w:rsidRDefault="00E6140C" w:rsidP="00F07CA5">
      <w:pPr>
        <w:pStyle w:val="Heading2"/>
        <w:numPr>
          <w:ilvl w:val="1"/>
          <w:numId w:val="20"/>
        </w:numPr>
      </w:pPr>
      <w:r w:rsidRPr="005B0D6E">
        <w:t>PMU</w:t>
      </w:r>
      <w:r w:rsidR="00203FA1" w:rsidRPr="005B0D6E">
        <w:t xml:space="preserve"> </w:t>
      </w:r>
      <w:r w:rsidRPr="005B0D6E">
        <w:t>(US $35,800).</w:t>
      </w:r>
    </w:p>
    <w:p w:rsidR="00127DB4" w:rsidRPr="002D6E85" w:rsidRDefault="00127DB4" w:rsidP="002748EF">
      <w:pPr>
        <w:keepNext/>
        <w:keepLines/>
        <w:spacing w:after="240"/>
        <w:jc w:val="center"/>
        <w:rPr>
          <w:b/>
          <w:lang w:val="en-CA"/>
        </w:rPr>
      </w:pPr>
      <w:r w:rsidRPr="002D6E85">
        <w:rPr>
          <w:b/>
          <w:lang w:val="en-CA"/>
        </w:rPr>
        <w:t>SECRETARIAT’S COMMENTS AND RECOMMENDATION</w:t>
      </w:r>
    </w:p>
    <w:p w:rsidR="002B5C86" w:rsidRPr="002D6E85" w:rsidRDefault="00127DB4" w:rsidP="00EA61B6">
      <w:pPr>
        <w:pStyle w:val="Style1"/>
        <w:numPr>
          <w:ilvl w:val="0"/>
          <w:numId w:val="7"/>
        </w:numPr>
        <w:spacing w:line="240" w:lineRule="auto"/>
        <w:ind w:left="0" w:firstLine="0"/>
      </w:pPr>
      <w:r w:rsidRPr="002D6E85">
        <w:t xml:space="preserve">The Secretariat reviewed stage II of the HPMP for </w:t>
      </w:r>
      <w:r w:rsidR="00405DB9" w:rsidRPr="002D6E85">
        <w:t>Uruguay</w:t>
      </w:r>
      <w:r w:rsidRPr="002D6E85">
        <w:t xml:space="preserve"> in light of stage I, the policies and guidelines of the Multilateral Fund, including the criteria for funding HCFC phase-out in the consumption sector for stage II of HPMPs (decision 74/50), and the 2016-2018 business plan of the Multilateral Fund.</w:t>
      </w:r>
    </w:p>
    <w:p w:rsidR="001B3FA7" w:rsidRPr="002D6E85" w:rsidRDefault="001B3FA7" w:rsidP="00EA61B6">
      <w:pPr>
        <w:pStyle w:val="Style1"/>
        <w:numPr>
          <w:ilvl w:val="0"/>
          <w:numId w:val="0"/>
        </w:numPr>
        <w:spacing w:line="240" w:lineRule="auto"/>
      </w:pPr>
    </w:p>
    <w:p w:rsidR="002B5C86" w:rsidRDefault="002B5C86" w:rsidP="00EA61B6">
      <w:pPr>
        <w:pStyle w:val="Style1"/>
        <w:numPr>
          <w:ilvl w:val="0"/>
          <w:numId w:val="7"/>
        </w:numPr>
        <w:spacing w:line="240" w:lineRule="auto"/>
        <w:ind w:left="0" w:firstLine="0"/>
      </w:pPr>
      <w:r w:rsidRPr="002D6E85">
        <w:t xml:space="preserve">The Secretariat noted the comprehensive strategy proposed by the Government of Uruguay, to achieve the 35 per cent reduction from the HCFC baseline by 2020, with an actual </w:t>
      </w:r>
      <w:r w:rsidR="00175092" w:rsidRPr="002D6E85">
        <w:t>phase</w:t>
      </w:r>
      <w:r w:rsidR="00666F72" w:rsidRPr="002D6E85">
        <w:t>-</w:t>
      </w:r>
      <w:r w:rsidR="00175092" w:rsidRPr="002D6E85">
        <w:t>out reaching</w:t>
      </w:r>
      <w:r w:rsidR="00AD5E3F">
        <w:t xml:space="preserve"> </w:t>
      </w:r>
      <w:r w:rsidR="00175092" w:rsidRPr="002D6E85">
        <w:t>42</w:t>
      </w:r>
      <w:r w:rsidR="00A87FC4">
        <w:t> </w:t>
      </w:r>
      <w:r w:rsidR="00175092" w:rsidRPr="002D6E85">
        <w:t>per cent from the baseline</w:t>
      </w:r>
      <w:r w:rsidRPr="002D6E85">
        <w:t>.</w:t>
      </w:r>
    </w:p>
    <w:p w:rsidR="00EA61B6" w:rsidRDefault="00EA61B6" w:rsidP="00EA61B6">
      <w:pPr>
        <w:pStyle w:val="ListParagraph"/>
      </w:pPr>
    </w:p>
    <w:p w:rsidR="00127DB4" w:rsidRPr="002D6E85" w:rsidRDefault="00127DB4" w:rsidP="002748EF">
      <w:pPr>
        <w:pStyle w:val="ListParagraph"/>
        <w:ind w:left="0"/>
        <w:rPr>
          <w:u w:val="single"/>
          <w:lang w:val="en-CA"/>
        </w:rPr>
      </w:pPr>
      <w:r w:rsidRPr="002D6E85">
        <w:rPr>
          <w:u w:val="single"/>
          <w:lang w:val="en-CA"/>
        </w:rPr>
        <w:t>Verification</w:t>
      </w:r>
      <w:r w:rsidR="00FF7DB8" w:rsidRPr="002D6E85">
        <w:rPr>
          <w:u w:val="single"/>
          <w:lang w:val="en-CA"/>
        </w:rPr>
        <w:t xml:space="preserve"> report</w:t>
      </w:r>
    </w:p>
    <w:p w:rsidR="00D63438" w:rsidRPr="002D6E85" w:rsidRDefault="00D63438" w:rsidP="002748EF">
      <w:pPr>
        <w:pStyle w:val="ListParagraph"/>
        <w:ind w:left="0"/>
        <w:rPr>
          <w:color w:val="000000" w:themeColor="text1"/>
          <w:lang w:val="en-US"/>
        </w:rPr>
      </w:pPr>
    </w:p>
    <w:p w:rsidR="001E1790" w:rsidRPr="002D6E85" w:rsidRDefault="001E1790" w:rsidP="00EA61B6">
      <w:pPr>
        <w:pStyle w:val="Style1"/>
        <w:numPr>
          <w:ilvl w:val="0"/>
          <w:numId w:val="7"/>
        </w:numPr>
        <w:spacing w:line="240" w:lineRule="auto"/>
        <w:ind w:left="0" w:firstLine="0"/>
      </w:pPr>
      <w:r w:rsidRPr="002D6E85">
        <w:t xml:space="preserve">The verification </w:t>
      </w:r>
      <w:r w:rsidR="00FF7DB8" w:rsidRPr="002D6E85">
        <w:t xml:space="preserve">report </w:t>
      </w:r>
      <w:r w:rsidRPr="002D6E85">
        <w:t xml:space="preserve">confirmed that </w:t>
      </w:r>
      <w:r w:rsidR="00D63438" w:rsidRPr="002D6E85">
        <w:t>Uruguay</w:t>
      </w:r>
      <w:r w:rsidRPr="002D6E85">
        <w:t xml:space="preserve"> is implementing a licensing and quota system for imports and exports of HCFCs and that consumption of HCFCs in 2015</w:t>
      </w:r>
      <w:r w:rsidR="00336E4D" w:rsidRPr="002D6E85">
        <w:t xml:space="preserve"> (15.78 ODP tonnes)</w:t>
      </w:r>
      <w:r w:rsidRPr="002D6E85">
        <w:t xml:space="preserve"> was in compliance with the Montreal Protocol and the consumption targets established</w:t>
      </w:r>
      <w:r w:rsidR="00336E4D" w:rsidRPr="002D6E85">
        <w:t xml:space="preserve"> in the Agreement between the Government of the Uruguay and the Executive Committee.</w:t>
      </w:r>
    </w:p>
    <w:p w:rsidR="00616BE7" w:rsidRPr="002D6E85" w:rsidRDefault="00616BE7" w:rsidP="002748EF">
      <w:pPr>
        <w:pStyle w:val="Heading1"/>
        <w:tabs>
          <w:tab w:val="num" w:pos="630"/>
        </w:tabs>
        <w:spacing w:after="0"/>
        <w:rPr>
          <w:lang w:val="en-CA"/>
        </w:rPr>
      </w:pPr>
    </w:p>
    <w:p w:rsidR="005C7B83" w:rsidRPr="002D6E85" w:rsidRDefault="00B87021" w:rsidP="002748EF">
      <w:pPr>
        <w:jc w:val="left"/>
        <w:rPr>
          <w:u w:val="single"/>
          <w:lang w:val="en-CA"/>
        </w:rPr>
      </w:pPr>
      <w:r w:rsidRPr="002D6E85">
        <w:rPr>
          <w:u w:val="single"/>
          <w:lang w:val="en-CA"/>
        </w:rPr>
        <w:t>Issues related to the PU foam manufacturing sector</w:t>
      </w:r>
    </w:p>
    <w:p w:rsidR="005C7B83" w:rsidRPr="002D6E85" w:rsidRDefault="005C7B83" w:rsidP="002748EF">
      <w:pPr>
        <w:jc w:val="left"/>
        <w:rPr>
          <w:color w:val="000000" w:themeColor="text1"/>
          <w:u w:val="single"/>
          <w:lang w:val="en-CA"/>
        </w:rPr>
      </w:pPr>
    </w:p>
    <w:p w:rsidR="003968D3" w:rsidRPr="002D6E85" w:rsidRDefault="003968D3" w:rsidP="00EA61B6">
      <w:pPr>
        <w:pStyle w:val="Style1"/>
        <w:numPr>
          <w:ilvl w:val="0"/>
          <w:numId w:val="7"/>
        </w:numPr>
        <w:spacing w:line="240" w:lineRule="auto"/>
        <w:ind w:left="0" w:firstLine="0"/>
      </w:pPr>
      <w:r w:rsidRPr="002D6E85">
        <w:t>In line with decision 74/20</w:t>
      </w:r>
      <w:r w:rsidRPr="001362BC">
        <w:rPr>
          <w:vertAlign w:val="superscript"/>
        </w:rPr>
        <w:footnoteReference w:id="3"/>
      </w:r>
      <w:r w:rsidRPr="002D6E85">
        <w:t xml:space="preserve"> , UNDP provided a letter from an HFO supplier confirming the commercial availability of HFOs in Uruguay from 2017.</w:t>
      </w:r>
    </w:p>
    <w:p w:rsidR="001B3FA7" w:rsidRPr="002D6E85" w:rsidRDefault="001B3FA7" w:rsidP="002748EF">
      <w:pPr>
        <w:pStyle w:val="ListParagraph"/>
        <w:ind w:left="0"/>
      </w:pPr>
    </w:p>
    <w:p w:rsidR="004A5ACF" w:rsidRPr="002D6E85" w:rsidRDefault="003968D3" w:rsidP="00EA61B6">
      <w:pPr>
        <w:pStyle w:val="Style1"/>
        <w:numPr>
          <w:ilvl w:val="0"/>
          <w:numId w:val="7"/>
        </w:numPr>
        <w:spacing w:line="240" w:lineRule="auto"/>
        <w:ind w:left="0" w:firstLine="0"/>
      </w:pPr>
      <w:r w:rsidRPr="002D6E85">
        <w:t>The Secretariat and UNDP discussed in detail the cost items related to the cooling system</w:t>
      </w:r>
      <w:r w:rsidR="00F37D82" w:rsidRPr="002D6E85">
        <w:t xml:space="preserve"> </w:t>
      </w:r>
      <w:r w:rsidR="00FF7DB8" w:rsidRPr="002D6E85">
        <w:t>(US</w:t>
      </w:r>
      <w:r w:rsidR="00AD5E3F">
        <w:t> </w:t>
      </w:r>
      <w:r w:rsidR="00FF7DB8" w:rsidRPr="002D6E85">
        <w:t>$71,500)</w:t>
      </w:r>
      <w:r w:rsidRPr="002D6E85">
        <w:t>, trials and testing</w:t>
      </w:r>
      <w:r w:rsidR="004A5E4D" w:rsidRPr="002D6E85">
        <w:t xml:space="preserve"> (US $141,680)</w:t>
      </w:r>
      <w:r w:rsidRPr="002D6E85">
        <w:t>, and project management</w:t>
      </w:r>
      <w:r w:rsidR="004A5E4D" w:rsidRPr="002D6E85">
        <w:t xml:space="preserve"> (US $28,500)</w:t>
      </w:r>
      <w:r w:rsidRPr="002D6E85">
        <w:t xml:space="preserve"> and technical assistance</w:t>
      </w:r>
      <w:r w:rsidR="004A5E4D" w:rsidRPr="002D6E85">
        <w:t xml:space="preserve"> (US $10,000)</w:t>
      </w:r>
      <w:r w:rsidR="007C0427" w:rsidRPr="002D6E85">
        <w:t>,</w:t>
      </w:r>
      <w:r w:rsidRPr="002D6E85">
        <w:t xml:space="preserve"> for the conversion of the </w:t>
      </w:r>
      <w:r w:rsidR="004A5E4D" w:rsidRPr="002D6E85">
        <w:t xml:space="preserve">19 </w:t>
      </w:r>
      <w:r w:rsidR="00160D11" w:rsidRPr="002D6E85">
        <w:t>enterprises. Consultations</w:t>
      </w:r>
      <w:r w:rsidR="004A5E4D" w:rsidRPr="002D6E85">
        <w:t xml:space="preserve"> with foam technical experts confirmed that a cooling system is not required for HFO pre-blended polyols, and, </w:t>
      </w:r>
      <w:r w:rsidR="003C5623" w:rsidRPr="002D6E85">
        <w:t>therefore the</w:t>
      </w:r>
      <w:r w:rsidR="004A5E4D" w:rsidRPr="002D6E85">
        <w:t xml:space="preserve"> request for this system was not eligible.</w:t>
      </w:r>
      <w:r w:rsidR="007D383E" w:rsidRPr="002D6E85">
        <w:t xml:space="preserve"> As the 19 foam enterprises will continue importing pre-blended polyols from systems houses</w:t>
      </w:r>
      <w:r w:rsidR="00231C99" w:rsidRPr="002D6E85">
        <w:t>/</w:t>
      </w:r>
      <w:r w:rsidR="007D383E" w:rsidRPr="002D6E85">
        <w:t xml:space="preserve">systems suppliers outside the country, the request for project management costs were not eligible. In the absence of a local systems house, it was </w:t>
      </w:r>
      <w:r w:rsidR="000A3C8F" w:rsidRPr="002D6E85">
        <w:t xml:space="preserve">however </w:t>
      </w:r>
      <w:r w:rsidR="007D383E" w:rsidRPr="002D6E85">
        <w:t>considered relevant to provide further technical assistance and support to the foam enterprises (noting that they are categorized as SMEs).</w:t>
      </w:r>
    </w:p>
    <w:p w:rsidR="001B3FA7" w:rsidRPr="002D6E85" w:rsidRDefault="001B3FA7" w:rsidP="00EA61B6">
      <w:pPr>
        <w:pStyle w:val="Style1"/>
        <w:numPr>
          <w:ilvl w:val="0"/>
          <w:numId w:val="0"/>
        </w:numPr>
        <w:spacing w:line="240" w:lineRule="auto"/>
      </w:pPr>
    </w:p>
    <w:p w:rsidR="004A5ACF" w:rsidRPr="002D6E85" w:rsidRDefault="004A5ACF" w:rsidP="00EA61B6">
      <w:pPr>
        <w:pStyle w:val="Style1"/>
        <w:numPr>
          <w:ilvl w:val="0"/>
          <w:numId w:val="7"/>
        </w:numPr>
        <w:spacing w:line="240" w:lineRule="auto"/>
        <w:ind w:left="0" w:firstLine="0"/>
      </w:pPr>
      <w:r w:rsidRPr="002D6E85">
        <w:t xml:space="preserve">The IOC </w:t>
      </w:r>
      <w:r w:rsidR="000A3C8F" w:rsidRPr="002D6E85">
        <w:t xml:space="preserve">calculation </w:t>
      </w:r>
      <w:r w:rsidR="00160D11" w:rsidRPr="002D6E85">
        <w:t>was</w:t>
      </w:r>
      <w:r w:rsidRPr="002D6E85">
        <w:t xml:space="preserve"> based on a cost of US $15.00/kg for HFO</w:t>
      </w:r>
      <w:r w:rsidR="007D383E" w:rsidRPr="002D6E85">
        <w:t>-</w:t>
      </w:r>
      <w:r w:rsidRPr="002D6E85">
        <w:t xml:space="preserve">1233zd(E). In </w:t>
      </w:r>
      <w:r w:rsidR="007D383E" w:rsidRPr="002D6E85">
        <w:t xml:space="preserve">light of similar </w:t>
      </w:r>
      <w:r w:rsidR="00FC521F" w:rsidRPr="002D6E85">
        <w:t>foam projects</w:t>
      </w:r>
      <w:r w:rsidR="00F37D82" w:rsidRPr="002D6E85">
        <w:t xml:space="preserve"> </w:t>
      </w:r>
      <w:r w:rsidR="007D383E" w:rsidRPr="002D6E85">
        <w:t>approved in the region</w:t>
      </w:r>
      <w:r w:rsidRPr="002D6E85">
        <w:t xml:space="preserve">, </w:t>
      </w:r>
      <w:r w:rsidR="007D383E" w:rsidRPr="002D6E85">
        <w:t xml:space="preserve">a cost of </w:t>
      </w:r>
      <w:r w:rsidRPr="002D6E85">
        <w:t>US$ 8.60/</w:t>
      </w:r>
      <w:r w:rsidR="000A3C8F" w:rsidRPr="002D6E85">
        <w:t xml:space="preserve">kg was agreed </w:t>
      </w:r>
      <w:r w:rsidR="003C5623" w:rsidRPr="002D6E85">
        <w:t>resulting</w:t>
      </w:r>
      <w:r w:rsidR="00F37D82" w:rsidRPr="002D6E85">
        <w:t xml:space="preserve"> </w:t>
      </w:r>
      <w:r w:rsidRPr="002D6E85">
        <w:t>in a reduction of IOC by US $65,810</w:t>
      </w:r>
      <w:r w:rsidR="007A497D" w:rsidRPr="002D6E85">
        <w:t>,</w:t>
      </w:r>
      <w:r w:rsidR="00F37D82" w:rsidRPr="002D6E85">
        <w:t xml:space="preserve"> </w:t>
      </w:r>
      <w:r w:rsidRPr="002D6E85">
        <w:t xml:space="preserve">based on the remaining consumption </w:t>
      </w:r>
      <w:r w:rsidR="008C44D0" w:rsidRPr="002D6E85">
        <w:t xml:space="preserve">eligible </w:t>
      </w:r>
      <w:r w:rsidRPr="002D6E85">
        <w:t xml:space="preserve">for </w:t>
      </w:r>
      <w:r w:rsidR="008C44D0" w:rsidRPr="002D6E85">
        <w:t>funding of</w:t>
      </w:r>
      <w:r w:rsidRPr="002D6E85">
        <w:t xml:space="preserve"> 5.33 ODP tonnes</w:t>
      </w:r>
      <w:r w:rsidR="000A3C8F" w:rsidRPr="002D6E85">
        <w:t xml:space="preserve"> (48.45 mt)</w:t>
      </w:r>
      <w:r w:rsidRPr="002D6E85">
        <w:t>.</w:t>
      </w:r>
      <w:r w:rsidR="00F37D82" w:rsidRPr="002D6E85">
        <w:t xml:space="preserve"> </w:t>
      </w:r>
      <w:r w:rsidR="000A3C8F" w:rsidRPr="002D6E85">
        <w:t>IOC and technical assistance will be provided to the two remaining very small enterprises which have consumption less than 100 kg/year.</w:t>
      </w:r>
    </w:p>
    <w:p w:rsidR="001B3FA7" w:rsidRPr="002D6E85" w:rsidRDefault="001B3FA7" w:rsidP="00EA61B6">
      <w:pPr>
        <w:pStyle w:val="Style1"/>
        <w:numPr>
          <w:ilvl w:val="0"/>
          <w:numId w:val="0"/>
        </w:numPr>
        <w:spacing w:line="240" w:lineRule="auto"/>
      </w:pPr>
    </w:p>
    <w:p w:rsidR="004A5ACF" w:rsidRPr="002D6E85" w:rsidRDefault="008C44D0" w:rsidP="00EA61B6">
      <w:pPr>
        <w:pStyle w:val="Style1"/>
        <w:numPr>
          <w:ilvl w:val="0"/>
          <w:numId w:val="7"/>
        </w:numPr>
        <w:spacing w:line="240" w:lineRule="auto"/>
        <w:ind w:left="0" w:firstLine="0"/>
      </w:pPr>
      <w:r w:rsidRPr="002D6E85">
        <w:t xml:space="preserve">Table 5 summarizes </w:t>
      </w:r>
      <w:r w:rsidR="004A5ACF" w:rsidRPr="002D6E85">
        <w:t xml:space="preserve">the agreed costs for the PU foam sector plan </w:t>
      </w:r>
      <w:r w:rsidRPr="002D6E85">
        <w:t>in Uruguay</w:t>
      </w:r>
      <w:r w:rsidR="004A5ACF" w:rsidRPr="002D6E85">
        <w:t>.</w:t>
      </w:r>
    </w:p>
    <w:p w:rsidR="00231C99" w:rsidRPr="002D6E85" w:rsidRDefault="00231C99" w:rsidP="00EA61B6">
      <w:pPr>
        <w:pStyle w:val="Style1"/>
        <w:numPr>
          <w:ilvl w:val="0"/>
          <w:numId w:val="0"/>
        </w:numPr>
        <w:spacing w:line="240" w:lineRule="auto"/>
      </w:pPr>
    </w:p>
    <w:p w:rsidR="00B23C02" w:rsidRPr="00203FA1" w:rsidRDefault="004A5ACF" w:rsidP="00801E5B">
      <w:pPr>
        <w:keepNext/>
        <w:rPr>
          <w:b/>
          <w:lang w:val="en-CA"/>
        </w:rPr>
      </w:pPr>
      <w:r w:rsidRPr="00203FA1">
        <w:rPr>
          <w:b/>
          <w:lang w:val="en-CA"/>
        </w:rPr>
        <w:lastRenderedPageBreak/>
        <w:t xml:space="preserve">Table </w:t>
      </w:r>
      <w:r w:rsidR="00416F96" w:rsidRPr="00203FA1">
        <w:rPr>
          <w:b/>
          <w:lang w:val="en-CA"/>
        </w:rPr>
        <w:t>5</w:t>
      </w:r>
      <w:r w:rsidRPr="00203FA1">
        <w:rPr>
          <w:b/>
          <w:lang w:val="en-CA"/>
        </w:rPr>
        <w:t>. Total agreed cost for the conversion of the PU foam sector</w:t>
      </w:r>
      <w:r w:rsidR="00050E07" w:rsidRPr="00203FA1">
        <w:rPr>
          <w:b/>
          <w:lang w:val="en-CA"/>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2487"/>
        <w:gridCol w:w="1387"/>
        <w:gridCol w:w="1166"/>
        <w:gridCol w:w="918"/>
      </w:tblGrid>
      <w:tr w:rsidR="005412FE" w:rsidRPr="002748EF" w:rsidTr="005412FE">
        <w:trPr>
          <w:trHeight w:val="300"/>
        </w:trPr>
        <w:tc>
          <w:tcPr>
            <w:tcW w:w="3525" w:type="dxa"/>
            <w:shd w:val="clear" w:color="auto" w:fill="auto"/>
            <w:noWrap/>
          </w:tcPr>
          <w:p w:rsidR="00B23C02" w:rsidRPr="002748EF" w:rsidRDefault="00B23C02" w:rsidP="00801E5B">
            <w:pPr>
              <w:keepNext/>
              <w:jc w:val="center"/>
              <w:rPr>
                <w:b/>
                <w:color w:val="000000"/>
                <w:sz w:val="20"/>
                <w:szCs w:val="20"/>
              </w:rPr>
            </w:pPr>
            <w:r w:rsidRPr="002748EF">
              <w:rPr>
                <w:b/>
                <w:color w:val="000000"/>
                <w:sz w:val="20"/>
                <w:szCs w:val="20"/>
              </w:rPr>
              <w:t>Item</w:t>
            </w:r>
          </w:p>
        </w:tc>
        <w:tc>
          <w:tcPr>
            <w:tcW w:w="2487" w:type="dxa"/>
          </w:tcPr>
          <w:p w:rsidR="00B23C02" w:rsidRPr="002748EF" w:rsidRDefault="00B23C02" w:rsidP="00801E5B">
            <w:pPr>
              <w:keepNext/>
              <w:jc w:val="center"/>
              <w:rPr>
                <w:b/>
                <w:color w:val="000000"/>
                <w:sz w:val="20"/>
                <w:szCs w:val="20"/>
              </w:rPr>
            </w:pPr>
            <w:r w:rsidRPr="002748EF">
              <w:rPr>
                <w:b/>
                <w:color w:val="000000"/>
                <w:sz w:val="20"/>
                <w:szCs w:val="20"/>
              </w:rPr>
              <w:t>Enterprises consumption (mt)</w:t>
            </w:r>
          </w:p>
        </w:tc>
        <w:tc>
          <w:tcPr>
            <w:tcW w:w="1387" w:type="dxa"/>
            <w:shd w:val="clear" w:color="auto" w:fill="auto"/>
            <w:noWrap/>
          </w:tcPr>
          <w:p w:rsidR="00B23C02" w:rsidRPr="002748EF" w:rsidRDefault="00B23C02" w:rsidP="00801E5B">
            <w:pPr>
              <w:keepNext/>
              <w:jc w:val="center"/>
              <w:rPr>
                <w:b/>
                <w:color w:val="000000"/>
                <w:sz w:val="20"/>
                <w:szCs w:val="20"/>
              </w:rPr>
            </w:pPr>
            <w:r w:rsidRPr="002748EF">
              <w:rPr>
                <w:b/>
                <w:color w:val="000000"/>
                <w:sz w:val="20"/>
                <w:szCs w:val="20"/>
              </w:rPr>
              <w:t>Unitary cost US $/unit</w:t>
            </w:r>
          </w:p>
        </w:tc>
        <w:tc>
          <w:tcPr>
            <w:tcW w:w="1166" w:type="dxa"/>
            <w:shd w:val="clear" w:color="auto" w:fill="auto"/>
            <w:noWrap/>
          </w:tcPr>
          <w:p w:rsidR="00B23C02" w:rsidRPr="002748EF" w:rsidRDefault="00B23C02" w:rsidP="00801E5B">
            <w:pPr>
              <w:keepNext/>
              <w:jc w:val="center"/>
              <w:rPr>
                <w:b/>
                <w:color w:val="000000"/>
                <w:sz w:val="20"/>
                <w:szCs w:val="20"/>
              </w:rPr>
            </w:pPr>
            <w:r w:rsidRPr="002748EF">
              <w:rPr>
                <w:b/>
                <w:color w:val="000000"/>
                <w:sz w:val="20"/>
                <w:szCs w:val="20"/>
              </w:rPr>
              <w:t>Number of enterprises</w:t>
            </w:r>
          </w:p>
        </w:tc>
        <w:tc>
          <w:tcPr>
            <w:tcW w:w="918" w:type="dxa"/>
            <w:shd w:val="clear" w:color="auto" w:fill="auto"/>
            <w:noWrap/>
          </w:tcPr>
          <w:p w:rsidR="00B23C02" w:rsidRPr="002748EF" w:rsidRDefault="00B23C02" w:rsidP="00801E5B">
            <w:pPr>
              <w:keepNext/>
              <w:jc w:val="center"/>
              <w:rPr>
                <w:b/>
                <w:color w:val="000000"/>
                <w:sz w:val="20"/>
                <w:szCs w:val="20"/>
              </w:rPr>
            </w:pPr>
            <w:r w:rsidRPr="002748EF">
              <w:rPr>
                <w:b/>
                <w:color w:val="000000"/>
                <w:sz w:val="20"/>
                <w:szCs w:val="20"/>
              </w:rPr>
              <w:t>Cost (US $)</w:t>
            </w:r>
          </w:p>
        </w:tc>
      </w:tr>
      <w:tr w:rsidR="005412FE" w:rsidRPr="002748EF" w:rsidTr="00597DDF">
        <w:trPr>
          <w:trHeight w:val="233"/>
        </w:trPr>
        <w:tc>
          <w:tcPr>
            <w:tcW w:w="3525" w:type="dxa"/>
            <w:shd w:val="clear" w:color="auto" w:fill="auto"/>
            <w:noWrap/>
            <w:vAlign w:val="bottom"/>
            <w:hideMark/>
          </w:tcPr>
          <w:p w:rsidR="00B23C02" w:rsidRPr="002748EF" w:rsidRDefault="00B23C02" w:rsidP="00801E5B">
            <w:pPr>
              <w:keepNext/>
              <w:jc w:val="left"/>
              <w:rPr>
                <w:color w:val="000000"/>
                <w:sz w:val="20"/>
                <w:szCs w:val="20"/>
                <w:lang w:val="en-US"/>
              </w:rPr>
            </w:pPr>
            <w:r w:rsidRPr="002748EF">
              <w:rPr>
                <w:color w:val="000000"/>
                <w:sz w:val="20"/>
                <w:szCs w:val="20"/>
              </w:rPr>
              <w:t xml:space="preserve">Technical assistance </w:t>
            </w:r>
            <w:r w:rsidR="005412FE" w:rsidRPr="002748EF">
              <w:rPr>
                <w:color w:val="000000"/>
                <w:sz w:val="20"/>
                <w:szCs w:val="20"/>
              </w:rPr>
              <w:t>(including two enterprises with consumption less than 100 kg)</w:t>
            </w:r>
            <w:r w:rsidR="00AD5E3F" w:rsidRPr="002748EF">
              <w:rPr>
                <w:color w:val="000000"/>
                <w:sz w:val="20"/>
                <w:szCs w:val="20"/>
              </w:rPr>
              <w:t xml:space="preserve"> and project management</w:t>
            </w:r>
          </w:p>
        </w:tc>
        <w:tc>
          <w:tcPr>
            <w:tcW w:w="2487" w:type="dxa"/>
            <w:vAlign w:val="bottom"/>
          </w:tcPr>
          <w:p w:rsidR="00B23C02" w:rsidRPr="002748EF" w:rsidRDefault="00B23C02" w:rsidP="00597DDF">
            <w:pPr>
              <w:keepNext/>
              <w:jc w:val="left"/>
              <w:rPr>
                <w:color w:val="000000"/>
                <w:sz w:val="20"/>
                <w:szCs w:val="20"/>
              </w:rPr>
            </w:pPr>
            <w:r w:rsidRPr="002748EF">
              <w:rPr>
                <w:color w:val="000000"/>
                <w:sz w:val="20"/>
                <w:szCs w:val="20"/>
              </w:rPr>
              <w:t>n.a.</w:t>
            </w:r>
          </w:p>
        </w:tc>
        <w:tc>
          <w:tcPr>
            <w:tcW w:w="1387"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25,000</w:t>
            </w:r>
          </w:p>
        </w:tc>
        <w:tc>
          <w:tcPr>
            <w:tcW w:w="1166" w:type="dxa"/>
            <w:shd w:val="clear" w:color="auto" w:fill="auto"/>
            <w:noWrap/>
            <w:vAlign w:val="bottom"/>
            <w:hideMark/>
          </w:tcPr>
          <w:p w:rsidR="00B23C02" w:rsidRPr="002748EF" w:rsidRDefault="00AD5E3F" w:rsidP="00801E5B">
            <w:pPr>
              <w:keepNext/>
              <w:jc w:val="right"/>
              <w:rPr>
                <w:color w:val="000000"/>
                <w:sz w:val="20"/>
                <w:szCs w:val="20"/>
                <w:lang w:val="en-US"/>
              </w:rPr>
            </w:pPr>
            <w:r w:rsidRPr="002748EF">
              <w:rPr>
                <w:color w:val="000000"/>
                <w:sz w:val="20"/>
                <w:szCs w:val="20"/>
              </w:rPr>
              <w:t>n/a</w:t>
            </w:r>
          </w:p>
        </w:tc>
        <w:tc>
          <w:tcPr>
            <w:tcW w:w="918"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25,000</w:t>
            </w:r>
          </w:p>
        </w:tc>
      </w:tr>
      <w:tr w:rsidR="00B66ACC" w:rsidRPr="002748EF" w:rsidTr="005412FE">
        <w:trPr>
          <w:trHeight w:val="62"/>
        </w:trPr>
        <w:tc>
          <w:tcPr>
            <w:tcW w:w="8565" w:type="dxa"/>
            <w:gridSpan w:val="4"/>
            <w:shd w:val="clear" w:color="auto" w:fill="auto"/>
            <w:noWrap/>
            <w:vAlign w:val="bottom"/>
            <w:hideMark/>
          </w:tcPr>
          <w:p w:rsidR="00B66ACC" w:rsidRPr="002748EF" w:rsidRDefault="00B66ACC" w:rsidP="00801E5B">
            <w:pPr>
              <w:keepNext/>
              <w:jc w:val="left"/>
              <w:rPr>
                <w:b/>
                <w:color w:val="000000"/>
                <w:sz w:val="20"/>
                <w:szCs w:val="20"/>
                <w:lang w:val="en-US"/>
              </w:rPr>
            </w:pPr>
            <w:r w:rsidRPr="002748EF">
              <w:rPr>
                <w:b/>
                <w:color w:val="000000"/>
                <w:sz w:val="20"/>
                <w:szCs w:val="20"/>
              </w:rPr>
              <w:t>Subtotal</w:t>
            </w:r>
          </w:p>
        </w:tc>
        <w:tc>
          <w:tcPr>
            <w:tcW w:w="918" w:type="dxa"/>
            <w:shd w:val="clear" w:color="auto" w:fill="auto"/>
            <w:noWrap/>
            <w:vAlign w:val="bottom"/>
            <w:hideMark/>
          </w:tcPr>
          <w:p w:rsidR="00B66ACC" w:rsidRPr="002748EF" w:rsidRDefault="00B66ACC" w:rsidP="00801E5B">
            <w:pPr>
              <w:keepNext/>
              <w:jc w:val="right"/>
              <w:rPr>
                <w:b/>
                <w:color w:val="000000"/>
                <w:sz w:val="20"/>
                <w:szCs w:val="20"/>
                <w:lang w:val="en-US"/>
              </w:rPr>
            </w:pPr>
            <w:r w:rsidRPr="002748EF">
              <w:rPr>
                <w:b/>
                <w:color w:val="000000"/>
                <w:sz w:val="20"/>
                <w:szCs w:val="20"/>
              </w:rPr>
              <w:t>25,000</w:t>
            </w:r>
          </w:p>
        </w:tc>
      </w:tr>
      <w:tr w:rsidR="005412FE" w:rsidRPr="002748EF" w:rsidTr="005412FE">
        <w:trPr>
          <w:trHeight w:val="224"/>
        </w:trPr>
        <w:tc>
          <w:tcPr>
            <w:tcW w:w="3525" w:type="dxa"/>
            <w:vMerge w:val="restart"/>
            <w:shd w:val="clear" w:color="auto" w:fill="auto"/>
            <w:noWrap/>
            <w:vAlign w:val="center"/>
            <w:hideMark/>
          </w:tcPr>
          <w:p w:rsidR="00B23C02" w:rsidRPr="002748EF" w:rsidRDefault="00B23C02" w:rsidP="00801E5B">
            <w:pPr>
              <w:keepNext/>
              <w:jc w:val="left"/>
              <w:rPr>
                <w:color w:val="000000"/>
                <w:sz w:val="20"/>
                <w:szCs w:val="20"/>
                <w:lang w:val="en-US"/>
              </w:rPr>
            </w:pPr>
            <w:r w:rsidRPr="002748EF">
              <w:rPr>
                <w:color w:val="000000"/>
                <w:sz w:val="20"/>
                <w:szCs w:val="20"/>
              </w:rPr>
              <w:t xml:space="preserve">Tests, trials and training </w:t>
            </w:r>
          </w:p>
        </w:tc>
        <w:tc>
          <w:tcPr>
            <w:tcW w:w="2487" w:type="dxa"/>
          </w:tcPr>
          <w:p w:rsidR="00B23C02" w:rsidRPr="002748EF" w:rsidRDefault="00B23C02" w:rsidP="00801E5B">
            <w:pPr>
              <w:keepNext/>
              <w:jc w:val="left"/>
              <w:rPr>
                <w:color w:val="000000"/>
                <w:sz w:val="20"/>
                <w:szCs w:val="20"/>
              </w:rPr>
            </w:pPr>
            <w:r w:rsidRPr="002748EF">
              <w:rPr>
                <w:color w:val="000000"/>
                <w:sz w:val="20"/>
                <w:szCs w:val="20"/>
              </w:rPr>
              <w:t>Between 10 and 20</w:t>
            </w:r>
          </w:p>
        </w:tc>
        <w:tc>
          <w:tcPr>
            <w:tcW w:w="1387"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10,000</w:t>
            </w:r>
          </w:p>
        </w:tc>
        <w:tc>
          <w:tcPr>
            <w:tcW w:w="1166"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1</w:t>
            </w:r>
          </w:p>
        </w:tc>
        <w:tc>
          <w:tcPr>
            <w:tcW w:w="918"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10,000</w:t>
            </w:r>
          </w:p>
        </w:tc>
      </w:tr>
      <w:tr w:rsidR="005412FE" w:rsidRPr="002748EF" w:rsidTr="005412FE">
        <w:trPr>
          <w:trHeight w:val="224"/>
        </w:trPr>
        <w:tc>
          <w:tcPr>
            <w:tcW w:w="3525" w:type="dxa"/>
            <w:vMerge/>
            <w:shd w:val="clear" w:color="auto" w:fill="auto"/>
            <w:noWrap/>
            <w:vAlign w:val="bottom"/>
            <w:hideMark/>
          </w:tcPr>
          <w:p w:rsidR="00B23C02" w:rsidRPr="002748EF" w:rsidRDefault="00B23C02" w:rsidP="00801E5B">
            <w:pPr>
              <w:keepNext/>
              <w:jc w:val="left"/>
              <w:rPr>
                <w:color w:val="000000"/>
                <w:sz w:val="20"/>
                <w:szCs w:val="20"/>
                <w:lang w:val="en-US"/>
              </w:rPr>
            </w:pPr>
          </w:p>
        </w:tc>
        <w:tc>
          <w:tcPr>
            <w:tcW w:w="2487" w:type="dxa"/>
          </w:tcPr>
          <w:p w:rsidR="00B23C02" w:rsidRPr="002748EF" w:rsidRDefault="00B23C02" w:rsidP="00801E5B">
            <w:pPr>
              <w:keepNext/>
              <w:jc w:val="left"/>
              <w:rPr>
                <w:color w:val="000000"/>
                <w:sz w:val="20"/>
                <w:szCs w:val="20"/>
              </w:rPr>
            </w:pPr>
            <w:r w:rsidRPr="002748EF">
              <w:rPr>
                <w:color w:val="000000"/>
                <w:sz w:val="20"/>
                <w:szCs w:val="20"/>
              </w:rPr>
              <w:t>Between 1 and 10</w:t>
            </w:r>
          </w:p>
        </w:tc>
        <w:tc>
          <w:tcPr>
            <w:tcW w:w="1387"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5,000</w:t>
            </w:r>
          </w:p>
        </w:tc>
        <w:tc>
          <w:tcPr>
            <w:tcW w:w="1166"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10</w:t>
            </w:r>
          </w:p>
        </w:tc>
        <w:tc>
          <w:tcPr>
            <w:tcW w:w="918"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50,000</w:t>
            </w:r>
          </w:p>
        </w:tc>
      </w:tr>
      <w:tr w:rsidR="005412FE" w:rsidRPr="002748EF" w:rsidTr="005412FE">
        <w:trPr>
          <w:trHeight w:val="161"/>
        </w:trPr>
        <w:tc>
          <w:tcPr>
            <w:tcW w:w="3525" w:type="dxa"/>
            <w:vMerge/>
            <w:shd w:val="clear" w:color="auto" w:fill="auto"/>
            <w:noWrap/>
            <w:vAlign w:val="bottom"/>
            <w:hideMark/>
          </w:tcPr>
          <w:p w:rsidR="00B23C02" w:rsidRPr="002748EF" w:rsidRDefault="00B23C02" w:rsidP="00801E5B">
            <w:pPr>
              <w:keepNext/>
              <w:jc w:val="left"/>
              <w:rPr>
                <w:color w:val="000000"/>
                <w:sz w:val="20"/>
                <w:szCs w:val="20"/>
                <w:lang w:val="en-US"/>
              </w:rPr>
            </w:pPr>
          </w:p>
        </w:tc>
        <w:tc>
          <w:tcPr>
            <w:tcW w:w="2487" w:type="dxa"/>
          </w:tcPr>
          <w:p w:rsidR="00B23C02" w:rsidRPr="002748EF" w:rsidRDefault="00B23C02" w:rsidP="00801E5B">
            <w:pPr>
              <w:keepNext/>
              <w:jc w:val="left"/>
              <w:rPr>
                <w:color w:val="000000"/>
                <w:sz w:val="20"/>
                <w:szCs w:val="20"/>
              </w:rPr>
            </w:pPr>
            <w:r w:rsidRPr="002748EF">
              <w:rPr>
                <w:color w:val="000000"/>
                <w:sz w:val="20"/>
                <w:szCs w:val="20"/>
              </w:rPr>
              <w:t>Between 0.5 and 1</w:t>
            </w:r>
          </w:p>
        </w:tc>
        <w:tc>
          <w:tcPr>
            <w:tcW w:w="1387"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3,000</w:t>
            </w:r>
          </w:p>
        </w:tc>
        <w:tc>
          <w:tcPr>
            <w:tcW w:w="1166"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2</w:t>
            </w:r>
          </w:p>
        </w:tc>
        <w:tc>
          <w:tcPr>
            <w:tcW w:w="918"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6,000</w:t>
            </w:r>
          </w:p>
        </w:tc>
      </w:tr>
      <w:tr w:rsidR="005412FE" w:rsidRPr="002748EF" w:rsidTr="005412FE">
        <w:trPr>
          <w:trHeight w:val="134"/>
        </w:trPr>
        <w:tc>
          <w:tcPr>
            <w:tcW w:w="3525" w:type="dxa"/>
            <w:vMerge/>
            <w:shd w:val="clear" w:color="auto" w:fill="auto"/>
            <w:noWrap/>
            <w:vAlign w:val="bottom"/>
            <w:hideMark/>
          </w:tcPr>
          <w:p w:rsidR="00B23C02" w:rsidRPr="002748EF" w:rsidRDefault="00B23C02" w:rsidP="00801E5B">
            <w:pPr>
              <w:keepNext/>
              <w:jc w:val="left"/>
              <w:rPr>
                <w:color w:val="000000"/>
                <w:sz w:val="20"/>
                <w:szCs w:val="20"/>
                <w:lang w:val="en-US"/>
              </w:rPr>
            </w:pPr>
          </w:p>
        </w:tc>
        <w:tc>
          <w:tcPr>
            <w:tcW w:w="2487" w:type="dxa"/>
          </w:tcPr>
          <w:p w:rsidR="00B23C02" w:rsidRPr="002748EF" w:rsidRDefault="00B23C02" w:rsidP="00801E5B">
            <w:pPr>
              <w:keepNext/>
              <w:jc w:val="left"/>
              <w:rPr>
                <w:color w:val="000000"/>
                <w:sz w:val="20"/>
                <w:szCs w:val="20"/>
              </w:rPr>
            </w:pPr>
            <w:r w:rsidRPr="002748EF">
              <w:rPr>
                <w:color w:val="000000"/>
                <w:sz w:val="20"/>
                <w:szCs w:val="20"/>
              </w:rPr>
              <w:t>Between 0.1 and 0.5</w:t>
            </w:r>
          </w:p>
        </w:tc>
        <w:tc>
          <w:tcPr>
            <w:tcW w:w="1387"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1,300</w:t>
            </w:r>
          </w:p>
        </w:tc>
        <w:tc>
          <w:tcPr>
            <w:tcW w:w="1166"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6</w:t>
            </w:r>
          </w:p>
        </w:tc>
        <w:tc>
          <w:tcPr>
            <w:tcW w:w="918"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7,800</w:t>
            </w:r>
          </w:p>
        </w:tc>
      </w:tr>
      <w:tr w:rsidR="00B23C02" w:rsidRPr="002748EF" w:rsidTr="005412FE">
        <w:trPr>
          <w:trHeight w:val="179"/>
        </w:trPr>
        <w:tc>
          <w:tcPr>
            <w:tcW w:w="8565" w:type="dxa"/>
            <w:gridSpan w:val="4"/>
            <w:shd w:val="clear" w:color="auto" w:fill="auto"/>
            <w:noWrap/>
            <w:vAlign w:val="bottom"/>
            <w:hideMark/>
          </w:tcPr>
          <w:p w:rsidR="00B23C02" w:rsidRPr="002748EF" w:rsidRDefault="00B23C02" w:rsidP="00801E5B">
            <w:pPr>
              <w:keepNext/>
              <w:jc w:val="left"/>
              <w:rPr>
                <w:color w:val="000000"/>
                <w:sz w:val="20"/>
                <w:szCs w:val="20"/>
                <w:lang w:val="en-US"/>
              </w:rPr>
            </w:pPr>
            <w:r w:rsidRPr="002748EF">
              <w:rPr>
                <w:color w:val="000000"/>
                <w:sz w:val="20"/>
                <w:szCs w:val="20"/>
              </w:rPr>
              <w:t>Contingency (10 %)</w:t>
            </w:r>
          </w:p>
        </w:tc>
        <w:tc>
          <w:tcPr>
            <w:tcW w:w="918" w:type="dxa"/>
            <w:shd w:val="clear" w:color="auto" w:fill="auto"/>
            <w:noWrap/>
            <w:vAlign w:val="bottom"/>
            <w:hideMark/>
          </w:tcPr>
          <w:p w:rsidR="00B23C02" w:rsidRPr="002748EF" w:rsidRDefault="00B23C02" w:rsidP="00801E5B">
            <w:pPr>
              <w:keepNext/>
              <w:jc w:val="right"/>
              <w:rPr>
                <w:color w:val="000000"/>
                <w:sz w:val="20"/>
                <w:szCs w:val="20"/>
                <w:lang w:val="en-US"/>
              </w:rPr>
            </w:pPr>
            <w:r w:rsidRPr="002748EF">
              <w:rPr>
                <w:color w:val="000000"/>
                <w:sz w:val="20"/>
                <w:szCs w:val="20"/>
              </w:rPr>
              <w:t>7,380</w:t>
            </w:r>
          </w:p>
        </w:tc>
      </w:tr>
      <w:tr w:rsidR="00B23C02" w:rsidRPr="002748EF" w:rsidTr="005412FE">
        <w:trPr>
          <w:trHeight w:val="61"/>
        </w:trPr>
        <w:tc>
          <w:tcPr>
            <w:tcW w:w="8565" w:type="dxa"/>
            <w:gridSpan w:val="4"/>
            <w:shd w:val="clear" w:color="auto" w:fill="auto"/>
            <w:noWrap/>
            <w:vAlign w:val="bottom"/>
            <w:hideMark/>
          </w:tcPr>
          <w:p w:rsidR="00B23C02" w:rsidRPr="002748EF" w:rsidRDefault="00B23C02" w:rsidP="00801E5B">
            <w:pPr>
              <w:keepNext/>
              <w:jc w:val="left"/>
              <w:rPr>
                <w:b/>
                <w:color w:val="000000"/>
                <w:sz w:val="20"/>
                <w:szCs w:val="20"/>
                <w:lang w:val="en-US"/>
              </w:rPr>
            </w:pPr>
            <w:r w:rsidRPr="002748EF">
              <w:rPr>
                <w:b/>
                <w:color w:val="000000"/>
                <w:sz w:val="20"/>
                <w:szCs w:val="20"/>
              </w:rPr>
              <w:t>Subtotal</w:t>
            </w:r>
          </w:p>
        </w:tc>
        <w:tc>
          <w:tcPr>
            <w:tcW w:w="918" w:type="dxa"/>
            <w:shd w:val="clear" w:color="auto" w:fill="auto"/>
            <w:noWrap/>
            <w:vAlign w:val="bottom"/>
            <w:hideMark/>
          </w:tcPr>
          <w:p w:rsidR="00B23C02" w:rsidRPr="002748EF" w:rsidRDefault="00B23C02" w:rsidP="00801E5B">
            <w:pPr>
              <w:keepNext/>
              <w:jc w:val="right"/>
              <w:rPr>
                <w:b/>
                <w:color w:val="000000"/>
                <w:sz w:val="20"/>
                <w:szCs w:val="20"/>
                <w:lang w:val="en-US"/>
              </w:rPr>
            </w:pPr>
            <w:r w:rsidRPr="002748EF">
              <w:rPr>
                <w:b/>
                <w:color w:val="000000"/>
                <w:sz w:val="20"/>
                <w:szCs w:val="20"/>
              </w:rPr>
              <w:t>81,180</w:t>
            </w:r>
          </w:p>
        </w:tc>
      </w:tr>
      <w:tr w:rsidR="00B23C02" w:rsidRPr="002748EF" w:rsidTr="005412FE">
        <w:trPr>
          <w:trHeight w:val="107"/>
        </w:trPr>
        <w:tc>
          <w:tcPr>
            <w:tcW w:w="8565" w:type="dxa"/>
            <w:gridSpan w:val="4"/>
            <w:shd w:val="clear" w:color="auto" w:fill="auto"/>
            <w:noWrap/>
            <w:vAlign w:val="bottom"/>
            <w:hideMark/>
          </w:tcPr>
          <w:p w:rsidR="00B23C02" w:rsidRPr="002748EF" w:rsidRDefault="00B23C02" w:rsidP="00801E5B">
            <w:pPr>
              <w:keepNext/>
              <w:jc w:val="left"/>
              <w:rPr>
                <w:b/>
                <w:color w:val="000000"/>
                <w:sz w:val="20"/>
                <w:szCs w:val="20"/>
                <w:lang w:val="en-US"/>
              </w:rPr>
            </w:pPr>
            <w:r w:rsidRPr="002748EF">
              <w:rPr>
                <w:b/>
                <w:color w:val="000000"/>
                <w:sz w:val="20"/>
                <w:szCs w:val="20"/>
              </w:rPr>
              <w:t>Total (ICC)</w:t>
            </w:r>
          </w:p>
        </w:tc>
        <w:tc>
          <w:tcPr>
            <w:tcW w:w="918" w:type="dxa"/>
            <w:shd w:val="clear" w:color="auto" w:fill="auto"/>
            <w:noWrap/>
            <w:vAlign w:val="bottom"/>
            <w:hideMark/>
          </w:tcPr>
          <w:p w:rsidR="00B23C02" w:rsidRPr="002748EF" w:rsidRDefault="00B23C02" w:rsidP="00801E5B">
            <w:pPr>
              <w:keepNext/>
              <w:jc w:val="right"/>
              <w:rPr>
                <w:b/>
                <w:color w:val="000000"/>
                <w:sz w:val="20"/>
                <w:szCs w:val="20"/>
                <w:lang w:val="en-US"/>
              </w:rPr>
            </w:pPr>
            <w:r w:rsidRPr="002748EF">
              <w:rPr>
                <w:b/>
                <w:color w:val="000000"/>
                <w:sz w:val="20"/>
                <w:szCs w:val="20"/>
              </w:rPr>
              <w:t>106,180</w:t>
            </w:r>
          </w:p>
        </w:tc>
      </w:tr>
      <w:tr w:rsidR="00B23C02" w:rsidRPr="002748EF" w:rsidTr="005412FE">
        <w:trPr>
          <w:trHeight w:val="107"/>
        </w:trPr>
        <w:tc>
          <w:tcPr>
            <w:tcW w:w="8565" w:type="dxa"/>
            <w:gridSpan w:val="4"/>
            <w:shd w:val="clear" w:color="auto" w:fill="auto"/>
            <w:noWrap/>
            <w:vAlign w:val="bottom"/>
          </w:tcPr>
          <w:p w:rsidR="00B23C02" w:rsidRPr="002748EF" w:rsidRDefault="00B23C02" w:rsidP="00801E5B">
            <w:pPr>
              <w:keepNext/>
              <w:jc w:val="left"/>
              <w:rPr>
                <w:b/>
                <w:color w:val="000000"/>
                <w:sz w:val="20"/>
                <w:szCs w:val="20"/>
              </w:rPr>
            </w:pPr>
            <w:r w:rsidRPr="002748EF">
              <w:rPr>
                <w:b/>
                <w:color w:val="000000"/>
                <w:sz w:val="20"/>
                <w:szCs w:val="20"/>
              </w:rPr>
              <w:t xml:space="preserve">IOC </w:t>
            </w:r>
          </w:p>
        </w:tc>
        <w:tc>
          <w:tcPr>
            <w:tcW w:w="918" w:type="dxa"/>
            <w:shd w:val="clear" w:color="auto" w:fill="auto"/>
            <w:noWrap/>
            <w:vAlign w:val="bottom"/>
          </w:tcPr>
          <w:p w:rsidR="00B23C02" w:rsidRPr="002748EF" w:rsidRDefault="00B23C02" w:rsidP="00801E5B">
            <w:pPr>
              <w:keepNext/>
              <w:jc w:val="right"/>
              <w:rPr>
                <w:b/>
                <w:color w:val="000000"/>
                <w:sz w:val="20"/>
                <w:szCs w:val="20"/>
              </w:rPr>
            </w:pPr>
            <w:r w:rsidRPr="002748EF">
              <w:rPr>
                <w:b/>
                <w:color w:val="000000"/>
                <w:sz w:val="20"/>
                <w:szCs w:val="20"/>
              </w:rPr>
              <w:t>416,709</w:t>
            </w:r>
          </w:p>
        </w:tc>
      </w:tr>
      <w:tr w:rsidR="00B23C02" w:rsidRPr="002748EF" w:rsidTr="005412FE">
        <w:trPr>
          <w:trHeight w:val="107"/>
        </w:trPr>
        <w:tc>
          <w:tcPr>
            <w:tcW w:w="8565" w:type="dxa"/>
            <w:gridSpan w:val="4"/>
            <w:shd w:val="clear" w:color="auto" w:fill="auto"/>
            <w:noWrap/>
            <w:vAlign w:val="bottom"/>
          </w:tcPr>
          <w:p w:rsidR="00B23C02" w:rsidRPr="002748EF" w:rsidRDefault="00B23C02" w:rsidP="00801E5B">
            <w:pPr>
              <w:keepNext/>
              <w:jc w:val="left"/>
              <w:rPr>
                <w:b/>
                <w:color w:val="000000"/>
                <w:sz w:val="20"/>
                <w:szCs w:val="20"/>
              </w:rPr>
            </w:pPr>
            <w:r w:rsidRPr="002748EF">
              <w:rPr>
                <w:b/>
                <w:color w:val="000000"/>
                <w:sz w:val="20"/>
                <w:szCs w:val="20"/>
              </w:rPr>
              <w:t xml:space="preserve">Funds requested from the Multilateral Fund </w:t>
            </w:r>
            <w:r w:rsidR="005412FE" w:rsidRPr="002748EF">
              <w:rPr>
                <w:b/>
                <w:color w:val="000000"/>
                <w:sz w:val="20"/>
                <w:szCs w:val="20"/>
              </w:rPr>
              <w:t>(5.33 ODP tonnes)</w:t>
            </w:r>
          </w:p>
        </w:tc>
        <w:tc>
          <w:tcPr>
            <w:tcW w:w="918" w:type="dxa"/>
            <w:shd w:val="clear" w:color="auto" w:fill="auto"/>
            <w:noWrap/>
            <w:vAlign w:val="bottom"/>
          </w:tcPr>
          <w:p w:rsidR="00B23C02" w:rsidRPr="002748EF" w:rsidRDefault="00B23C02" w:rsidP="00801E5B">
            <w:pPr>
              <w:keepNext/>
              <w:jc w:val="right"/>
              <w:rPr>
                <w:b/>
                <w:color w:val="000000"/>
                <w:sz w:val="20"/>
                <w:szCs w:val="20"/>
              </w:rPr>
            </w:pPr>
            <w:r w:rsidRPr="002748EF">
              <w:rPr>
                <w:b/>
                <w:color w:val="000000"/>
                <w:sz w:val="20"/>
                <w:szCs w:val="20"/>
              </w:rPr>
              <w:t>522,889</w:t>
            </w:r>
          </w:p>
        </w:tc>
      </w:tr>
      <w:tr w:rsidR="00B23C02" w:rsidRPr="002748EF" w:rsidTr="005412FE">
        <w:trPr>
          <w:trHeight w:val="107"/>
        </w:trPr>
        <w:tc>
          <w:tcPr>
            <w:tcW w:w="8565" w:type="dxa"/>
            <w:gridSpan w:val="4"/>
            <w:shd w:val="clear" w:color="auto" w:fill="auto"/>
            <w:noWrap/>
            <w:vAlign w:val="bottom"/>
          </w:tcPr>
          <w:p w:rsidR="005C7B83" w:rsidRPr="002748EF" w:rsidRDefault="00B23C02" w:rsidP="00801E5B">
            <w:pPr>
              <w:keepNext/>
              <w:jc w:val="left"/>
              <w:rPr>
                <w:b/>
                <w:color w:val="000000"/>
                <w:sz w:val="20"/>
                <w:szCs w:val="20"/>
              </w:rPr>
            </w:pPr>
            <w:r w:rsidRPr="002748EF">
              <w:rPr>
                <w:b/>
                <w:color w:val="000000"/>
                <w:sz w:val="20"/>
                <w:szCs w:val="20"/>
              </w:rPr>
              <w:t>Cost effectiveness (US$/kg)</w:t>
            </w:r>
            <w:r w:rsidR="00F810BE" w:rsidRPr="002748EF">
              <w:rPr>
                <w:b/>
                <w:color w:val="000000"/>
                <w:sz w:val="20"/>
                <w:szCs w:val="20"/>
              </w:rPr>
              <w:t xml:space="preserve"> based on the remaining </w:t>
            </w:r>
            <w:r w:rsidR="00050E07" w:rsidRPr="002748EF">
              <w:rPr>
                <w:b/>
                <w:color w:val="000000"/>
                <w:sz w:val="20"/>
                <w:szCs w:val="20"/>
              </w:rPr>
              <w:t>48.45 mt</w:t>
            </w:r>
            <w:r w:rsidR="00F37D82" w:rsidRPr="002748EF">
              <w:rPr>
                <w:b/>
                <w:color w:val="000000"/>
                <w:sz w:val="20"/>
                <w:szCs w:val="20"/>
              </w:rPr>
              <w:t xml:space="preserve"> </w:t>
            </w:r>
            <w:r w:rsidR="00E6140C" w:rsidRPr="002748EF">
              <w:rPr>
                <w:b/>
                <w:color w:val="000000"/>
                <w:sz w:val="20"/>
                <w:szCs w:val="20"/>
              </w:rPr>
              <w:t xml:space="preserve">consumption </w:t>
            </w:r>
            <w:r w:rsidR="005412FE" w:rsidRPr="002748EF">
              <w:rPr>
                <w:b/>
                <w:color w:val="000000"/>
                <w:sz w:val="20"/>
                <w:szCs w:val="20"/>
              </w:rPr>
              <w:t xml:space="preserve">eligible </w:t>
            </w:r>
            <w:r w:rsidR="00050E07" w:rsidRPr="002748EF">
              <w:rPr>
                <w:b/>
                <w:color w:val="000000"/>
                <w:sz w:val="20"/>
                <w:szCs w:val="20"/>
              </w:rPr>
              <w:t xml:space="preserve">for funding </w:t>
            </w:r>
          </w:p>
        </w:tc>
        <w:tc>
          <w:tcPr>
            <w:tcW w:w="918" w:type="dxa"/>
            <w:shd w:val="clear" w:color="auto" w:fill="auto"/>
            <w:noWrap/>
            <w:vAlign w:val="bottom"/>
          </w:tcPr>
          <w:p w:rsidR="00B23C02" w:rsidRPr="002748EF" w:rsidRDefault="00F810BE" w:rsidP="00801E5B">
            <w:pPr>
              <w:keepNext/>
              <w:jc w:val="right"/>
              <w:rPr>
                <w:b/>
                <w:color w:val="000000"/>
                <w:sz w:val="20"/>
                <w:szCs w:val="20"/>
              </w:rPr>
            </w:pPr>
            <w:r w:rsidRPr="002748EF">
              <w:rPr>
                <w:b/>
                <w:color w:val="000000"/>
                <w:sz w:val="20"/>
                <w:szCs w:val="20"/>
              </w:rPr>
              <w:t>10.79</w:t>
            </w:r>
          </w:p>
        </w:tc>
      </w:tr>
      <w:tr w:rsidR="00F810BE" w:rsidRPr="002748EF" w:rsidTr="005412FE">
        <w:trPr>
          <w:trHeight w:val="107"/>
        </w:trPr>
        <w:tc>
          <w:tcPr>
            <w:tcW w:w="8565" w:type="dxa"/>
            <w:gridSpan w:val="4"/>
            <w:shd w:val="clear" w:color="auto" w:fill="auto"/>
            <w:noWrap/>
            <w:vAlign w:val="bottom"/>
          </w:tcPr>
          <w:p w:rsidR="00F810BE" w:rsidRPr="002748EF" w:rsidRDefault="00F810BE" w:rsidP="00801E5B">
            <w:pPr>
              <w:keepNext/>
              <w:jc w:val="left"/>
              <w:rPr>
                <w:b/>
                <w:color w:val="000000"/>
                <w:sz w:val="20"/>
                <w:szCs w:val="20"/>
              </w:rPr>
            </w:pPr>
            <w:r w:rsidRPr="002748EF">
              <w:rPr>
                <w:b/>
                <w:color w:val="000000"/>
                <w:sz w:val="20"/>
                <w:szCs w:val="20"/>
              </w:rPr>
              <w:t>Cost effectiveness (US$/kg) based on actual phase</w:t>
            </w:r>
            <w:r w:rsidR="00050E07" w:rsidRPr="002748EF">
              <w:rPr>
                <w:b/>
                <w:color w:val="000000"/>
                <w:sz w:val="20"/>
                <w:szCs w:val="20"/>
              </w:rPr>
              <w:t>-</w:t>
            </w:r>
            <w:r w:rsidRPr="002748EF">
              <w:rPr>
                <w:b/>
                <w:color w:val="000000"/>
                <w:sz w:val="20"/>
                <w:szCs w:val="20"/>
              </w:rPr>
              <w:t xml:space="preserve">out of </w:t>
            </w:r>
            <w:r w:rsidR="006270B4" w:rsidRPr="002748EF">
              <w:rPr>
                <w:b/>
                <w:color w:val="000000"/>
                <w:sz w:val="20"/>
                <w:szCs w:val="20"/>
              </w:rPr>
              <w:t>50.24</w:t>
            </w:r>
            <w:r w:rsidR="00801E5B" w:rsidRPr="002748EF">
              <w:rPr>
                <w:b/>
                <w:color w:val="000000"/>
                <w:sz w:val="20"/>
                <w:szCs w:val="20"/>
              </w:rPr>
              <w:t xml:space="preserve"> </w:t>
            </w:r>
            <w:r w:rsidRPr="002748EF">
              <w:rPr>
                <w:b/>
                <w:color w:val="000000"/>
                <w:sz w:val="20"/>
                <w:szCs w:val="20"/>
              </w:rPr>
              <w:t>mt</w:t>
            </w:r>
            <w:r w:rsidR="002A21E5" w:rsidRPr="002748EF">
              <w:rPr>
                <w:b/>
                <w:color w:val="000000"/>
                <w:sz w:val="20"/>
                <w:szCs w:val="20"/>
              </w:rPr>
              <w:t xml:space="preserve"> </w:t>
            </w:r>
            <w:r w:rsidR="00801E5B" w:rsidRPr="002748EF">
              <w:rPr>
                <w:b/>
                <w:color w:val="000000"/>
                <w:sz w:val="20"/>
                <w:szCs w:val="20"/>
              </w:rPr>
              <w:t>(</w:t>
            </w:r>
            <w:r w:rsidR="00E6140C" w:rsidRPr="002748EF">
              <w:rPr>
                <w:b/>
                <w:color w:val="000000"/>
                <w:sz w:val="20"/>
                <w:szCs w:val="20"/>
              </w:rPr>
              <w:t>including 1.01 mt non-eligible</w:t>
            </w:r>
            <w:r w:rsidR="00547811">
              <w:rPr>
                <w:b/>
                <w:color w:val="000000"/>
                <w:sz w:val="20"/>
                <w:szCs w:val="20"/>
              </w:rPr>
              <w:t xml:space="preserve"> </w:t>
            </w:r>
            <w:r w:rsidR="00801E5B" w:rsidRPr="002748EF">
              <w:rPr>
                <w:b/>
                <w:color w:val="000000"/>
                <w:sz w:val="20"/>
                <w:szCs w:val="20"/>
              </w:rPr>
              <w:t>for funding</w:t>
            </w:r>
            <w:r w:rsidR="00E6140C" w:rsidRPr="002748EF">
              <w:rPr>
                <w:b/>
                <w:color w:val="000000"/>
                <w:sz w:val="20"/>
                <w:szCs w:val="20"/>
              </w:rPr>
              <w:t xml:space="preserve">) </w:t>
            </w:r>
          </w:p>
        </w:tc>
        <w:tc>
          <w:tcPr>
            <w:tcW w:w="918" w:type="dxa"/>
            <w:shd w:val="clear" w:color="auto" w:fill="auto"/>
            <w:noWrap/>
            <w:vAlign w:val="bottom"/>
          </w:tcPr>
          <w:p w:rsidR="00F810BE" w:rsidRPr="002748EF" w:rsidRDefault="00F810BE" w:rsidP="00801E5B">
            <w:pPr>
              <w:keepNext/>
              <w:jc w:val="right"/>
              <w:rPr>
                <w:b/>
                <w:color w:val="000000"/>
                <w:sz w:val="20"/>
                <w:szCs w:val="20"/>
              </w:rPr>
            </w:pPr>
            <w:r w:rsidRPr="002748EF">
              <w:rPr>
                <w:b/>
                <w:color w:val="000000"/>
                <w:sz w:val="20"/>
                <w:szCs w:val="20"/>
              </w:rPr>
              <w:t>10.</w:t>
            </w:r>
            <w:r w:rsidR="006270B4" w:rsidRPr="002748EF">
              <w:rPr>
                <w:b/>
                <w:color w:val="000000"/>
                <w:sz w:val="20"/>
                <w:szCs w:val="20"/>
              </w:rPr>
              <w:t>4</w:t>
            </w:r>
            <w:r w:rsidRPr="002748EF">
              <w:rPr>
                <w:b/>
                <w:color w:val="000000"/>
                <w:sz w:val="20"/>
                <w:szCs w:val="20"/>
              </w:rPr>
              <w:t>0</w:t>
            </w:r>
          </w:p>
        </w:tc>
      </w:tr>
    </w:tbl>
    <w:p w:rsidR="004A5ACF" w:rsidRPr="00203FA1" w:rsidRDefault="00050E07" w:rsidP="00801E5B">
      <w:pPr>
        <w:keepNext/>
        <w:rPr>
          <w:sz w:val="16"/>
          <w:szCs w:val="16"/>
          <w:lang w:val="en-CA"/>
        </w:rPr>
      </w:pPr>
      <w:r w:rsidRPr="00203FA1">
        <w:rPr>
          <w:sz w:val="16"/>
          <w:szCs w:val="16"/>
          <w:lang w:val="en-CA"/>
        </w:rPr>
        <w:t xml:space="preserve">*Of the </w:t>
      </w:r>
      <w:r w:rsidR="00E6140C" w:rsidRPr="00203FA1">
        <w:rPr>
          <w:sz w:val="16"/>
          <w:szCs w:val="16"/>
          <w:lang w:val="en-CA"/>
        </w:rPr>
        <w:t>24 enterprises, 21 were</w:t>
      </w:r>
      <w:r w:rsidR="005C7B83" w:rsidRPr="00203FA1">
        <w:rPr>
          <w:sz w:val="16"/>
          <w:szCs w:val="16"/>
          <w:lang w:val="en-CA"/>
        </w:rPr>
        <w:t xml:space="preserve"> </w:t>
      </w:r>
      <w:r w:rsidRPr="00203FA1">
        <w:rPr>
          <w:sz w:val="16"/>
          <w:szCs w:val="16"/>
          <w:lang w:val="en-CA"/>
        </w:rPr>
        <w:t>eligible</w:t>
      </w:r>
      <w:r w:rsidR="00E6140C" w:rsidRPr="00203FA1">
        <w:rPr>
          <w:sz w:val="16"/>
          <w:szCs w:val="16"/>
          <w:lang w:val="en-CA"/>
        </w:rPr>
        <w:t xml:space="preserve">, and only </w:t>
      </w:r>
      <w:r w:rsidRPr="00203FA1">
        <w:rPr>
          <w:sz w:val="16"/>
          <w:szCs w:val="16"/>
          <w:lang w:val="en-CA"/>
        </w:rPr>
        <w:t xml:space="preserve">19 </w:t>
      </w:r>
      <w:r w:rsidR="00E6140C" w:rsidRPr="00203FA1">
        <w:rPr>
          <w:sz w:val="16"/>
          <w:szCs w:val="16"/>
          <w:lang w:val="en-CA"/>
        </w:rPr>
        <w:t>are provided funding due to very small consumption of two (less than 100 kg per year)</w:t>
      </w:r>
      <w:r w:rsidRPr="00203FA1">
        <w:rPr>
          <w:sz w:val="16"/>
          <w:szCs w:val="16"/>
          <w:lang w:val="en-CA"/>
        </w:rPr>
        <w:t>.</w:t>
      </w:r>
    </w:p>
    <w:p w:rsidR="00050E07" w:rsidRPr="002D6E85" w:rsidRDefault="00050E07" w:rsidP="002748EF">
      <w:pPr>
        <w:rPr>
          <w:lang w:val="en-CA"/>
        </w:rPr>
      </w:pPr>
    </w:p>
    <w:p w:rsidR="00801E5B" w:rsidRDefault="00801E5B" w:rsidP="00EA61B6">
      <w:pPr>
        <w:pStyle w:val="Style1"/>
        <w:numPr>
          <w:ilvl w:val="0"/>
          <w:numId w:val="7"/>
        </w:numPr>
        <w:spacing w:line="240" w:lineRule="auto"/>
        <w:ind w:left="0" w:firstLine="0"/>
      </w:pPr>
      <w:r w:rsidRPr="00801E5B">
        <w:t>The Government of Uruguay also commits to impose a ban on the import of HCFC-141b in bulk</w:t>
      </w:r>
      <w:r>
        <w:t>,</w:t>
      </w:r>
      <w:r w:rsidRPr="00801E5B">
        <w:t xml:space="preserve"> and contained in imported pre-blended polyols after completion of the foam enterprises conversions</w:t>
      </w:r>
      <w:r w:rsidR="00597DDF">
        <w:t>,</w:t>
      </w:r>
      <w:r w:rsidRPr="00801E5B">
        <w:t xml:space="preserve"> no later than 1 January 2021 in line with decision 61/47(c)(iv).</w:t>
      </w:r>
    </w:p>
    <w:p w:rsidR="00801E5B" w:rsidRPr="00801E5B" w:rsidRDefault="00801E5B" w:rsidP="002748EF">
      <w:pPr>
        <w:pStyle w:val="ListParagraph"/>
        <w:ind w:left="0"/>
      </w:pPr>
    </w:p>
    <w:p w:rsidR="001A68CE" w:rsidRPr="002D6E85" w:rsidRDefault="00B23C02" w:rsidP="002748EF">
      <w:pPr>
        <w:pStyle w:val="Heading1"/>
        <w:rPr>
          <w:u w:val="single"/>
          <w:lang w:val="en-CA"/>
        </w:rPr>
      </w:pPr>
      <w:r w:rsidRPr="002D6E85">
        <w:rPr>
          <w:u w:val="single"/>
          <w:lang w:val="en-CA"/>
        </w:rPr>
        <w:t>Issues related to the refrigeration servicing sector</w:t>
      </w:r>
    </w:p>
    <w:p w:rsidR="00EB6382" w:rsidRPr="002D6E85" w:rsidRDefault="00F810BE" w:rsidP="00EA61B6">
      <w:pPr>
        <w:pStyle w:val="Style1"/>
        <w:numPr>
          <w:ilvl w:val="0"/>
          <w:numId w:val="7"/>
        </w:numPr>
        <w:spacing w:line="240" w:lineRule="auto"/>
        <w:ind w:left="0" w:firstLine="0"/>
      </w:pPr>
      <w:r w:rsidRPr="002D6E85">
        <w:t xml:space="preserve">In response to whether toolkits for technicians will be provided as part of the technician training course, UNDP indicated that due to the large number of technicians and the limited budget, </w:t>
      </w:r>
      <w:r w:rsidR="00FB643E" w:rsidRPr="002D6E85">
        <w:t xml:space="preserve">this would not be done under stage II. Instead, the training centres will be provided with equipment for use </w:t>
      </w:r>
      <w:r w:rsidR="008D63A1" w:rsidRPr="002D6E85">
        <w:t xml:space="preserve">during </w:t>
      </w:r>
      <w:r w:rsidR="00FB643E" w:rsidRPr="002D6E85">
        <w:t>hands</w:t>
      </w:r>
      <w:r w:rsidR="00801E5B">
        <w:noBreakHyphen/>
      </w:r>
      <w:r w:rsidR="00FB643E" w:rsidRPr="002D6E85">
        <w:t>on training for the technicians, with the expectation that such basic tools are available at the service workshops.</w:t>
      </w:r>
    </w:p>
    <w:p w:rsidR="001B3FA7" w:rsidRPr="002D6E85" w:rsidRDefault="001B3FA7" w:rsidP="00EA61B6">
      <w:pPr>
        <w:pStyle w:val="Style1"/>
        <w:numPr>
          <w:ilvl w:val="0"/>
          <w:numId w:val="0"/>
        </w:numPr>
        <w:spacing w:line="240" w:lineRule="auto"/>
      </w:pPr>
    </w:p>
    <w:p w:rsidR="001B3FA7" w:rsidRPr="002D6E85" w:rsidRDefault="00EB6382" w:rsidP="00EA61B6">
      <w:pPr>
        <w:pStyle w:val="Style1"/>
        <w:numPr>
          <w:ilvl w:val="0"/>
          <w:numId w:val="7"/>
        </w:numPr>
        <w:spacing w:line="240" w:lineRule="auto"/>
        <w:ind w:left="0" w:firstLine="0"/>
      </w:pPr>
      <w:r w:rsidRPr="002D6E85">
        <w:t xml:space="preserve">With regard </w:t>
      </w:r>
      <w:r w:rsidR="00A31BC3" w:rsidRPr="002D6E85">
        <w:t>to the technicians’ certification, UNDP clarified that technicians receive a certification diploma after training</w:t>
      </w:r>
      <w:r w:rsidR="00FB643E" w:rsidRPr="002D6E85">
        <w:t>,</w:t>
      </w:r>
      <w:r w:rsidR="00AB03A4" w:rsidRPr="002D6E85">
        <w:t xml:space="preserve"> and </w:t>
      </w:r>
      <w:r w:rsidR="00FB643E" w:rsidRPr="002D6E85">
        <w:t>work is ongoing to ensure that this becomes a requirement when hi</w:t>
      </w:r>
      <w:r w:rsidR="00A31BC3" w:rsidRPr="002D6E85">
        <w:t xml:space="preserve">ring RAC technicians. </w:t>
      </w:r>
      <w:r w:rsidR="00FB643E" w:rsidRPr="002D6E85">
        <w:t xml:space="preserve">The </w:t>
      </w:r>
      <w:r w:rsidR="00A31BC3" w:rsidRPr="002D6E85">
        <w:t xml:space="preserve">NOU </w:t>
      </w:r>
      <w:r w:rsidR="00050E07" w:rsidRPr="002D6E85">
        <w:t>will continue working</w:t>
      </w:r>
      <w:r w:rsidR="00FB643E" w:rsidRPr="002D6E85">
        <w:t xml:space="preserve"> closely with the refrigeration association and technicians association to reinforce the </w:t>
      </w:r>
      <w:r w:rsidR="00A31BC3" w:rsidRPr="002D6E85">
        <w:t xml:space="preserve">requirement </w:t>
      </w:r>
      <w:r w:rsidR="00AB03A4" w:rsidRPr="002D6E85">
        <w:t>for</w:t>
      </w:r>
      <w:r w:rsidR="00A31BC3" w:rsidRPr="002D6E85">
        <w:t xml:space="preserve"> the certification diploma when working with RAC systems</w:t>
      </w:r>
      <w:r w:rsidR="00F37D82" w:rsidRPr="002D6E85">
        <w:t xml:space="preserve"> </w:t>
      </w:r>
      <w:r w:rsidR="005412FE" w:rsidRPr="002D6E85">
        <w:t>during stage II</w:t>
      </w:r>
      <w:r w:rsidR="00A31BC3" w:rsidRPr="002D6E85">
        <w:t>.</w:t>
      </w:r>
    </w:p>
    <w:p w:rsidR="0032251E" w:rsidRPr="002D6E85" w:rsidRDefault="0032251E" w:rsidP="00EA61B6">
      <w:pPr>
        <w:pStyle w:val="Style1"/>
        <w:numPr>
          <w:ilvl w:val="0"/>
          <w:numId w:val="0"/>
        </w:numPr>
        <w:spacing w:line="240" w:lineRule="auto"/>
      </w:pPr>
    </w:p>
    <w:p w:rsidR="00666F72" w:rsidRPr="002D6E85" w:rsidRDefault="0019610D" w:rsidP="00EA61B6">
      <w:pPr>
        <w:pStyle w:val="Style1"/>
        <w:numPr>
          <w:ilvl w:val="0"/>
          <w:numId w:val="7"/>
        </w:numPr>
        <w:spacing w:line="240" w:lineRule="auto"/>
        <w:ind w:left="0" w:firstLine="0"/>
      </w:pPr>
      <w:r w:rsidRPr="002D6E85">
        <w:t xml:space="preserve">UNDP confirmed that the sustainability of the technicians’ training programme is assured through agreements and close cooperation with educational institutions, such as the Technical University of Uruguay (UTU) and other private academic and training institutions </w:t>
      </w:r>
      <w:r w:rsidR="00801E5B">
        <w:t>which</w:t>
      </w:r>
      <w:r w:rsidR="00801E5B" w:rsidRPr="002D6E85">
        <w:t xml:space="preserve"> </w:t>
      </w:r>
      <w:r w:rsidRPr="002D6E85">
        <w:t>have committed to include concepts of good refrigeration practices in their academic curriculum.</w:t>
      </w:r>
      <w:r w:rsidR="00666F72" w:rsidRPr="002D6E85">
        <w:t xml:space="preserve"> This approach initiated in stage I, will continue to be followed during stage II.</w:t>
      </w:r>
    </w:p>
    <w:p w:rsidR="00E04566" w:rsidRPr="002D6E85" w:rsidRDefault="00E04566" w:rsidP="002748EF">
      <w:pPr>
        <w:pStyle w:val="ListParagraph"/>
        <w:ind w:left="0"/>
        <w:rPr>
          <w:lang w:val="en-CA"/>
        </w:rPr>
      </w:pPr>
    </w:p>
    <w:p w:rsidR="00127DB4" w:rsidRPr="002D6E85" w:rsidRDefault="00F810BE" w:rsidP="002748EF">
      <w:pPr>
        <w:rPr>
          <w:u w:val="single"/>
          <w:lang w:val="en-CA"/>
        </w:rPr>
      </w:pPr>
      <w:r w:rsidRPr="002D6E85">
        <w:rPr>
          <w:u w:val="single"/>
          <w:lang w:val="en-CA"/>
        </w:rPr>
        <w:t>Revised overall cost of the HPMP stage II</w:t>
      </w:r>
    </w:p>
    <w:p w:rsidR="00D36F2B" w:rsidRPr="002D6E85" w:rsidRDefault="00D36F2B" w:rsidP="002748EF">
      <w:pPr>
        <w:rPr>
          <w:u w:val="single"/>
          <w:lang w:val="en-CA"/>
        </w:rPr>
      </w:pPr>
    </w:p>
    <w:p w:rsidR="00D36F2B" w:rsidRPr="002D6E85" w:rsidRDefault="00D36F2B" w:rsidP="00EA61B6">
      <w:pPr>
        <w:pStyle w:val="Style1"/>
        <w:numPr>
          <w:ilvl w:val="0"/>
          <w:numId w:val="7"/>
        </w:numPr>
        <w:spacing w:line="240" w:lineRule="auto"/>
        <w:ind w:left="0" w:firstLine="0"/>
      </w:pPr>
      <w:r w:rsidRPr="002D6E85">
        <w:t xml:space="preserve">Further to </w:t>
      </w:r>
      <w:r w:rsidR="005412FE" w:rsidRPr="002D6E85">
        <w:t xml:space="preserve">discussions </w:t>
      </w:r>
      <w:r w:rsidRPr="002D6E85">
        <w:t>with UNDP, the total level of funding agreed for stage II of the HPMP is presented in Table 6.</w:t>
      </w:r>
    </w:p>
    <w:p w:rsidR="00F810BE" w:rsidRPr="002D6E85" w:rsidRDefault="00F810BE" w:rsidP="002748EF">
      <w:pPr>
        <w:rPr>
          <w:u w:val="single"/>
          <w:lang w:val="en-CA"/>
        </w:rPr>
      </w:pPr>
    </w:p>
    <w:p w:rsidR="00127DB4" w:rsidRPr="00F37D82" w:rsidRDefault="00B87021" w:rsidP="002748EF">
      <w:pPr>
        <w:keepNext/>
        <w:rPr>
          <w:b/>
          <w:lang w:val="en-CA"/>
        </w:rPr>
      </w:pPr>
      <w:r w:rsidRPr="00F37D82">
        <w:rPr>
          <w:b/>
          <w:lang w:val="en-CA"/>
        </w:rPr>
        <w:lastRenderedPageBreak/>
        <w:t>Table 6.</w:t>
      </w:r>
      <w:r w:rsidR="00EA61B6">
        <w:rPr>
          <w:b/>
          <w:lang w:val="en-CA"/>
        </w:rPr>
        <w:t xml:space="preserve"> </w:t>
      </w:r>
      <w:r w:rsidRPr="00F37D82">
        <w:rPr>
          <w:b/>
          <w:lang w:val="en-CA"/>
        </w:rPr>
        <w:t>Agreed cost for stage II of the HPMP</w:t>
      </w:r>
    </w:p>
    <w:tbl>
      <w:tblPr>
        <w:tblW w:w="5000" w:type="pct"/>
        <w:tblLook w:val="04A0" w:firstRow="1" w:lastRow="0" w:firstColumn="1" w:lastColumn="0" w:noHBand="0" w:noVBand="1"/>
      </w:tblPr>
      <w:tblGrid>
        <w:gridCol w:w="3628"/>
        <w:gridCol w:w="1254"/>
        <w:gridCol w:w="806"/>
        <w:gridCol w:w="1295"/>
        <w:gridCol w:w="1243"/>
        <w:gridCol w:w="1350"/>
      </w:tblGrid>
      <w:tr w:rsidR="003E5B4F" w:rsidRPr="002748EF" w:rsidTr="002D6E85">
        <w:trPr>
          <w:trHeight w:val="210"/>
          <w:tblHeader/>
        </w:trPr>
        <w:tc>
          <w:tcPr>
            <w:tcW w:w="1894" w:type="pct"/>
            <w:vMerge w:val="restart"/>
            <w:tcBorders>
              <w:top w:val="single" w:sz="4" w:space="0" w:color="auto"/>
              <w:left w:val="single" w:sz="4" w:space="0" w:color="auto"/>
              <w:right w:val="single" w:sz="4" w:space="0" w:color="auto"/>
            </w:tcBorders>
            <w:shd w:val="clear" w:color="auto" w:fill="auto"/>
            <w:vAlign w:val="center"/>
            <w:hideMark/>
          </w:tcPr>
          <w:p w:rsidR="003E5B4F" w:rsidRPr="002748EF" w:rsidRDefault="003E5B4F" w:rsidP="002748EF">
            <w:pPr>
              <w:keepNext/>
              <w:keepLines/>
              <w:jc w:val="center"/>
              <w:rPr>
                <w:b/>
                <w:bCs/>
                <w:sz w:val="20"/>
                <w:szCs w:val="20"/>
                <w:lang w:val="en-CA"/>
              </w:rPr>
            </w:pPr>
            <w:r w:rsidRPr="002748EF">
              <w:rPr>
                <w:b/>
                <w:bCs/>
                <w:sz w:val="20"/>
                <w:szCs w:val="20"/>
                <w:lang w:val="en-CA"/>
              </w:rPr>
              <w:t>Sector/component</w:t>
            </w:r>
          </w:p>
        </w:tc>
        <w:tc>
          <w:tcPr>
            <w:tcW w:w="655" w:type="pct"/>
            <w:vMerge w:val="restart"/>
            <w:tcBorders>
              <w:top w:val="single" w:sz="4" w:space="0" w:color="auto"/>
              <w:left w:val="single" w:sz="4" w:space="0" w:color="auto"/>
              <w:right w:val="single" w:sz="4" w:space="0" w:color="auto"/>
            </w:tcBorders>
            <w:shd w:val="clear" w:color="auto" w:fill="auto"/>
            <w:vAlign w:val="center"/>
            <w:hideMark/>
          </w:tcPr>
          <w:p w:rsidR="003E5B4F" w:rsidRPr="002748EF" w:rsidRDefault="003E5B4F" w:rsidP="002748EF">
            <w:pPr>
              <w:keepNext/>
              <w:keepLines/>
              <w:rPr>
                <w:b/>
                <w:bCs/>
                <w:sz w:val="20"/>
                <w:szCs w:val="20"/>
                <w:lang w:val="en-CA"/>
              </w:rPr>
            </w:pPr>
            <w:r w:rsidRPr="002748EF">
              <w:rPr>
                <w:b/>
                <w:bCs/>
                <w:sz w:val="20"/>
                <w:szCs w:val="20"/>
                <w:lang w:val="en-CA"/>
              </w:rPr>
              <w:t>Substance</w:t>
            </w:r>
          </w:p>
        </w:tc>
        <w:tc>
          <w:tcPr>
            <w:tcW w:w="1097" w:type="pct"/>
            <w:gridSpan w:val="2"/>
            <w:tcBorders>
              <w:top w:val="single" w:sz="4" w:space="0" w:color="auto"/>
              <w:left w:val="nil"/>
              <w:right w:val="single" w:sz="4" w:space="0" w:color="auto"/>
            </w:tcBorders>
            <w:shd w:val="clear" w:color="auto" w:fill="auto"/>
            <w:hideMark/>
          </w:tcPr>
          <w:p w:rsidR="003E5B4F" w:rsidRPr="002748EF" w:rsidRDefault="003E5B4F" w:rsidP="002748EF">
            <w:pPr>
              <w:keepNext/>
              <w:keepLines/>
              <w:jc w:val="center"/>
              <w:rPr>
                <w:b/>
                <w:bCs/>
                <w:sz w:val="20"/>
                <w:szCs w:val="20"/>
                <w:lang w:val="en-CA"/>
              </w:rPr>
            </w:pPr>
            <w:r w:rsidRPr="002748EF">
              <w:rPr>
                <w:b/>
                <w:bCs/>
                <w:sz w:val="20"/>
                <w:szCs w:val="20"/>
                <w:lang w:val="en-CA"/>
              </w:rPr>
              <w:t xml:space="preserve">Phase out </w:t>
            </w:r>
          </w:p>
        </w:tc>
        <w:tc>
          <w:tcPr>
            <w:tcW w:w="649" w:type="pct"/>
            <w:vMerge w:val="restart"/>
            <w:tcBorders>
              <w:top w:val="single" w:sz="4" w:space="0" w:color="auto"/>
              <w:left w:val="single" w:sz="4" w:space="0" w:color="auto"/>
              <w:right w:val="single" w:sz="4" w:space="0" w:color="auto"/>
            </w:tcBorders>
            <w:shd w:val="clear" w:color="auto" w:fill="auto"/>
            <w:vAlign w:val="center"/>
          </w:tcPr>
          <w:p w:rsidR="003E5B4F" w:rsidRPr="002748EF" w:rsidRDefault="003E5B4F" w:rsidP="002748EF">
            <w:pPr>
              <w:keepNext/>
              <w:keepLines/>
              <w:jc w:val="center"/>
              <w:rPr>
                <w:b/>
                <w:bCs/>
                <w:sz w:val="20"/>
                <w:szCs w:val="20"/>
                <w:lang w:val="en-CA"/>
              </w:rPr>
            </w:pPr>
            <w:r w:rsidRPr="002748EF">
              <w:rPr>
                <w:b/>
                <w:bCs/>
                <w:sz w:val="20"/>
                <w:szCs w:val="20"/>
                <w:lang w:val="en-CA"/>
              </w:rPr>
              <w:t>Cost (US $)</w:t>
            </w:r>
          </w:p>
        </w:tc>
        <w:tc>
          <w:tcPr>
            <w:tcW w:w="705" w:type="pct"/>
            <w:vMerge w:val="restart"/>
            <w:tcBorders>
              <w:top w:val="single" w:sz="4" w:space="0" w:color="auto"/>
              <w:left w:val="single" w:sz="4" w:space="0" w:color="auto"/>
              <w:right w:val="single" w:sz="4" w:space="0" w:color="auto"/>
            </w:tcBorders>
            <w:vAlign w:val="center"/>
          </w:tcPr>
          <w:p w:rsidR="003E5B4F" w:rsidRPr="002748EF" w:rsidRDefault="003E5B4F" w:rsidP="002748EF">
            <w:pPr>
              <w:keepNext/>
              <w:keepLines/>
              <w:jc w:val="center"/>
              <w:rPr>
                <w:b/>
                <w:bCs/>
                <w:sz w:val="20"/>
                <w:szCs w:val="20"/>
                <w:lang w:val="en-CA"/>
              </w:rPr>
            </w:pPr>
            <w:r w:rsidRPr="002748EF">
              <w:rPr>
                <w:b/>
                <w:bCs/>
                <w:sz w:val="20"/>
                <w:szCs w:val="20"/>
                <w:lang w:val="en-CA"/>
              </w:rPr>
              <w:t>CE (US$/kg)</w:t>
            </w:r>
          </w:p>
        </w:tc>
      </w:tr>
      <w:tr w:rsidR="003E5B4F" w:rsidRPr="002748EF" w:rsidTr="002D6E85">
        <w:trPr>
          <w:trHeight w:val="210"/>
          <w:tblHeader/>
        </w:trPr>
        <w:tc>
          <w:tcPr>
            <w:tcW w:w="1894" w:type="pct"/>
            <w:vMerge/>
            <w:tcBorders>
              <w:left w:val="single" w:sz="4" w:space="0" w:color="auto"/>
              <w:bottom w:val="single" w:sz="4" w:space="0" w:color="auto"/>
              <w:right w:val="single" w:sz="4" w:space="0" w:color="auto"/>
            </w:tcBorders>
            <w:shd w:val="clear" w:color="auto" w:fill="auto"/>
          </w:tcPr>
          <w:p w:rsidR="003E5B4F" w:rsidRPr="002748EF" w:rsidRDefault="003E5B4F" w:rsidP="002748EF">
            <w:pPr>
              <w:keepNext/>
              <w:keepLines/>
              <w:jc w:val="left"/>
              <w:rPr>
                <w:b/>
                <w:bCs/>
                <w:sz w:val="20"/>
                <w:szCs w:val="20"/>
                <w:lang w:val="en-CA"/>
              </w:rPr>
            </w:pPr>
          </w:p>
        </w:tc>
        <w:tc>
          <w:tcPr>
            <w:tcW w:w="655" w:type="pct"/>
            <w:vMerge/>
            <w:tcBorders>
              <w:left w:val="single" w:sz="4" w:space="0" w:color="auto"/>
              <w:bottom w:val="single" w:sz="4" w:space="0" w:color="auto"/>
              <w:right w:val="single" w:sz="4" w:space="0" w:color="auto"/>
            </w:tcBorders>
            <w:shd w:val="clear" w:color="auto" w:fill="auto"/>
            <w:vAlign w:val="center"/>
          </w:tcPr>
          <w:p w:rsidR="003E5B4F" w:rsidRPr="002748EF" w:rsidRDefault="003E5B4F" w:rsidP="002748EF">
            <w:pPr>
              <w:keepNext/>
              <w:keepLines/>
              <w:rPr>
                <w:b/>
                <w:bCs/>
                <w:sz w:val="20"/>
                <w:szCs w:val="20"/>
                <w:lang w:val="en-CA"/>
              </w:rPr>
            </w:pPr>
          </w:p>
        </w:tc>
        <w:tc>
          <w:tcPr>
            <w:tcW w:w="421" w:type="pct"/>
            <w:tcBorders>
              <w:top w:val="single" w:sz="4" w:space="0" w:color="auto"/>
              <w:left w:val="nil"/>
              <w:right w:val="single" w:sz="4" w:space="0" w:color="auto"/>
            </w:tcBorders>
            <w:shd w:val="clear" w:color="auto" w:fill="auto"/>
          </w:tcPr>
          <w:p w:rsidR="003E5B4F" w:rsidRPr="002748EF" w:rsidRDefault="003E5B4F" w:rsidP="002748EF">
            <w:pPr>
              <w:keepNext/>
              <w:keepLines/>
              <w:jc w:val="center"/>
              <w:rPr>
                <w:b/>
                <w:bCs/>
                <w:sz w:val="20"/>
                <w:szCs w:val="20"/>
                <w:lang w:val="en-CA"/>
              </w:rPr>
            </w:pPr>
            <w:r w:rsidRPr="002748EF">
              <w:rPr>
                <w:b/>
                <w:bCs/>
                <w:sz w:val="20"/>
                <w:szCs w:val="20"/>
                <w:lang w:val="en-CA"/>
              </w:rPr>
              <w:t>mt</w:t>
            </w:r>
          </w:p>
        </w:tc>
        <w:tc>
          <w:tcPr>
            <w:tcW w:w="676" w:type="pct"/>
            <w:tcBorders>
              <w:top w:val="single" w:sz="4" w:space="0" w:color="auto"/>
              <w:left w:val="nil"/>
              <w:bottom w:val="single" w:sz="4" w:space="0" w:color="auto"/>
              <w:right w:val="single" w:sz="4" w:space="0" w:color="auto"/>
            </w:tcBorders>
            <w:shd w:val="clear" w:color="auto" w:fill="auto"/>
          </w:tcPr>
          <w:p w:rsidR="003E5B4F" w:rsidRPr="002748EF" w:rsidRDefault="003E5B4F" w:rsidP="002748EF">
            <w:pPr>
              <w:keepNext/>
              <w:keepLines/>
              <w:jc w:val="center"/>
              <w:rPr>
                <w:b/>
                <w:bCs/>
                <w:sz w:val="20"/>
                <w:szCs w:val="20"/>
                <w:lang w:val="en-CA"/>
              </w:rPr>
            </w:pPr>
            <w:r w:rsidRPr="002748EF">
              <w:rPr>
                <w:b/>
                <w:bCs/>
                <w:sz w:val="20"/>
                <w:szCs w:val="20"/>
                <w:lang w:val="en-CA"/>
              </w:rPr>
              <w:t>ODP tonnes</w:t>
            </w:r>
          </w:p>
        </w:tc>
        <w:tc>
          <w:tcPr>
            <w:tcW w:w="649" w:type="pct"/>
            <w:vMerge/>
            <w:tcBorders>
              <w:left w:val="single" w:sz="4" w:space="0" w:color="auto"/>
              <w:bottom w:val="single" w:sz="4" w:space="0" w:color="auto"/>
              <w:right w:val="single" w:sz="4" w:space="0" w:color="auto"/>
            </w:tcBorders>
            <w:shd w:val="clear" w:color="auto" w:fill="auto"/>
          </w:tcPr>
          <w:p w:rsidR="003E5B4F" w:rsidRPr="002748EF" w:rsidRDefault="003E5B4F" w:rsidP="002748EF">
            <w:pPr>
              <w:keepNext/>
              <w:keepLines/>
              <w:jc w:val="center"/>
              <w:rPr>
                <w:b/>
                <w:bCs/>
                <w:sz w:val="20"/>
                <w:szCs w:val="20"/>
                <w:lang w:val="en-CA"/>
              </w:rPr>
            </w:pPr>
          </w:p>
        </w:tc>
        <w:tc>
          <w:tcPr>
            <w:tcW w:w="705" w:type="pct"/>
            <w:vMerge/>
            <w:tcBorders>
              <w:left w:val="single" w:sz="4" w:space="0" w:color="auto"/>
              <w:bottom w:val="single" w:sz="4" w:space="0" w:color="auto"/>
              <w:right w:val="single" w:sz="4" w:space="0" w:color="auto"/>
            </w:tcBorders>
          </w:tcPr>
          <w:p w:rsidR="003E5B4F" w:rsidRPr="002748EF" w:rsidRDefault="003E5B4F" w:rsidP="002748EF">
            <w:pPr>
              <w:keepNext/>
              <w:keepLines/>
              <w:jc w:val="center"/>
              <w:rPr>
                <w:b/>
                <w:bCs/>
                <w:sz w:val="20"/>
                <w:szCs w:val="20"/>
                <w:lang w:val="en-CA"/>
              </w:rPr>
            </w:pPr>
          </w:p>
        </w:tc>
      </w:tr>
      <w:tr w:rsidR="003E5B4F" w:rsidRPr="002748EF" w:rsidTr="002D6E85">
        <w:trPr>
          <w:trHeight w:val="323"/>
        </w:trPr>
        <w:tc>
          <w:tcPr>
            <w:tcW w:w="1894" w:type="pct"/>
            <w:tcBorders>
              <w:top w:val="single" w:sz="4" w:space="0" w:color="auto"/>
              <w:left w:val="single" w:sz="4" w:space="0" w:color="auto"/>
              <w:bottom w:val="single" w:sz="4" w:space="0" w:color="auto"/>
              <w:right w:val="single" w:sz="4" w:space="0" w:color="auto"/>
            </w:tcBorders>
            <w:shd w:val="clear" w:color="auto" w:fill="auto"/>
          </w:tcPr>
          <w:p w:rsidR="003E5B4F" w:rsidRPr="002748EF" w:rsidRDefault="003E5B4F" w:rsidP="002748EF">
            <w:pPr>
              <w:keepNext/>
              <w:jc w:val="left"/>
              <w:rPr>
                <w:sz w:val="20"/>
                <w:szCs w:val="20"/>
                <w:lang w:val="en-CA"/>
              </w:rPr>
            </w:pPr>
            <w:r w:rsidRPr="002748EF">
              <w:rPr>
                <w:sz w:val="20"/>
                <w:szCs w:val="20"/>
                <w:lang w:val="en-CA"/>
              </w:rPr>
              <w:t>Foam sector plan</w:t>
            </w:r>
          </w:p>
        </w:tc>
        <w:tc>
          <w:tcPr>
            <w:tcW w:w="655" w:type="pct"/>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left"/>
              <w:rPr>
                <w:sz w:val="20"/>
                <w:szCs w:val="20"/>
                <w:lang w:val="en-CA"/>
              </w:rPr>
            </w:pPr>
            <w:r w:rsidRPr="002748EF">
              <w:rPr>
                <w:sz w:val="20"/>
                <w:szCs w:val="20"/>
                <w:lang w:val="en-CA"/>
              </w:rPr>
              <w:t>HCFC-141b (polyol)</w:t>
            </w:r>
          </w:p>
        </w:tc>
        <w:tc>
          <w:tcPr>
            <w:tcW w:w="421"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50.24*</w:t>
            </w:r>
          </w:p>
        </w:tc>
        <w:tc>
          <w:tcPr>
            <w:tcW w:w="676"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5.53*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522,889</w:t>
            </w:r>
          </w:p>
        </w:tc>
        <w:tc>
          <w:tcPr>
            <w:tcW w:w="705" w:type="pct"/>
            <w:tcBorders>
              <w:top w:val="single" w:sz="4" w:space="0" w:color="auto"/>
              <w:left w:val="single" w:sz="4" w:space="0" w:color="auto"/>
              <w:right w:val="single" w:sz="4" w:space="0" w:color="auto"/>
            </w:tcBorders>
            <w:vAlign w:val="center"/>
          </w:tcPr>
          <w:p w:rsidR="003E5B4F" w:rsidRPr="002748EF" w:rsidRDefault="003E5B4F" w:rsidP="002748EF">
            <w:pPr>
              <w:keepNext/>
              <w:jc w:val="right"/>
              <w:rPr>
                <w:sz w:val="20"/>
                <w:szCs w:val="20"/>
                <w:lang w:val="en-CA"/>
              </w:rPr>
            </w:pPr>
            <w:r w:rsidRPr="002748EF">
              <w:rPr>
                <w:sz w:val="20"/>
                <w:szCs w:val="20"/>
                <w:lang w:val="en-CA"/>
              </w:rPr>
              <w:t>10.40</w:t>
            </w:r>
          </w:p>
        </w:tc>
      </w:tr>
      <w:tr w:rsidR="003E5B4F" w:rsidRPr="002748EF" w:rsidTr="002D6E85">
        <w:trPr>
          <w:trHeight w:val="323"/>
        </w:trPr>
        <w:tc>
          <w:tcPr>
            <w:tcW w:w="1894" w:type="pct"/>
            <w:tcBorders>
              <w:top w:val="single" w:sz="4" w:space="0" w:color="auto"/>
              <w:left w:val="single" w:sz="4" w:space="0" w:color="auto"/>
              <w:bottom w:val="single" w:sz="4" w:space="0" w:color="auto"/>
              <w:right w:val="single" w:sz="4" w:space="0" w:color="auto"/>
            </w:tcBorders>
            <w:shd w:val="clear" w:color="auto" w:fill="auto"/>
          </w:tcPr>
          <w:p w:rsidR="003E5B4F" w:rsidRPr="002748EF" w:rsidRDefault="003E5B4F" w:rsidP="002748EF">
            <w:pPr>
              <w:keepNext/>
              <w:jc w:val="left"/>
              <w:rPr>
                <w:sz w:val="20"/>
                <w:szCs w:val="20"/>
                <w:lang w:val="en-CA"/>
              </w:rPr>
            </w:pPr>
            <w:r w:rsidRPr="002748EF">
              <w:rPr>
                <w:sz w:val="20"/>
                <w:szCs w:val="20"/>
                <w:lang w:val="en-CA"/>
              </w:rPr>
              <w:t>Regulatory and control measures</w:t>
            </w:r>
          </w:p>
        </w:tc>
        <w:tc>
          <w:tcPr>
            <w:tcW w:w="655" w:type="pct"/>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left"/>
              <w:rPr>
                <w:sz w:val="20"/>
                <w:szCs w:val="20"/>
                <w:lang w:val="en-CA"/>
              </w:rPr>
            </w:pPr>
            <w:r w:rsidRPr="002748EF">
              <w:rPr>
                <w:sz w:val="20"/>
                <w:szCs w:val="20"/>
                <w:lang w:val="en-CA"/>
              </w:rPr>
              <w:t>HCFC-22</w:t>
            </w:r>
          </w:p>
        </w:tc>
        <w:tc>
          <w:tcPr>
            <w:tcW w:w="421"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14.20</w:t>
            </w:r>
          </w:p>
        </w:tc>
        <w:tc>
          <w:tcPr>
            <w:tcW w:w="676"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0.78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3E5B4F" w:rsidRPr="002748EF" w:rsidRDefault="003E5B4F" w:rsidP="002748EF">
            <w:pPr>
              <w:keepNext/>
              <w:jc w:val="right"/>
              <w:rPr>
                <w:b/>
                <w:sz w:val="20"/>
                <w:szCs w:val="20"/>
                <w:lang w:val="en-CA"/>
              </w:rPr>
            </w:pPr>
            <w:r w:rsidRPr="002748EF">
              <w:rPr>
                <w:sz w:val="20"/>
                <w:szCs w:val="20"/>
                <w:lang w:val="en-CA"/>
              </w:rPr>
              <w:t>68,200</w:t>
            </w:r>
          </w:p>
        </w:tc>
        <w:tc>
          <w:tcPr>
            <w:tcW w:w="705" w:type="pct"/>
            <w:vMerge w:val="restart"/>
            <w:tcBorders>
              <w:top w:val="single" w:sz="4" w:space="0" w:color="auto"/>
              <w:left w:val="single" w:sz="4" w:space="0" w:color="auto"/>
              <w:right w:val="single" w:sz="4" w:space="0" w:color="auto"/>
            </w:tcBorders>
            <w:vAlign w:val="center"/>
          </w:tcPr>
          <w:p w:rsidR="003E5B4F" w:rsidRPr="002748EF" w:rsidRDefault="003E5B4F" w:rsidP="002748EF">
            <w:pPr>
              <w:keepNext/>
              <w:jc w:val="right"/>
              <w:rPr>
                <w:sz w:val="20"/>
                <w:szCs w:val="20"/>
                <w:lang w:val="en-CA"/>
              </w:rPr>
            </w:pPr>
            <w:r w:rsidRPr="002748EF">
              <w:rPr>
                <w:sz w:val="20"/>
                <w:szCs w:val="20"/>
                <w:lang w:val="en-CA"/>
              </w:rPr>
              <w:t>4.80</w:t>
            </w:r>
          </w:p>
          <w:p w:rsidR="003E5B4F" w:rsidRPr="002748EF" w:rsidRDefault="003E5B4F" w:rsidP="002748EF">
            <w:pPr>
              <w:keepNext/>
              <w:jc w:val="right"/>
              <w:rPr>
                <w:sz w:val="20"/>
                <w:szCs w:val="20"/>
                <w:lang w:val="en-CA"/>
              </w:rPr>
            </w:pPr>
          </w:p>
        </w:tc>
      </w:tr>
      <w:tr w:rsidR="003E5B4F" w:rsidRPr="002748EF" w:rsidTr="002D6E85">
        <w:trPr>
          <w:trHeight w:val="323"/>
        </w:trPr>
        <w:tc>
          <w:tcPr>
            <w:tcW w:w="1894" w:type="pct"/>
            <w:vMerge w:val="restart"/>
            <w:tcBorders>
              <w:top w:val="single" w:sz="4" w:space="0" w:color="auto"/>
              <w:left w:val="single" w:sz="4" w:space="0" w:color="auto"/>
              <w:right w:val="single" w:sz="4" w:space="0" w:color="auto"/>
            </w:tcBorders>
            <w:shd w:val="clear" w:color="auto" w:fill="auto"/>
          </w:tcPr>
          <w:p w:rsidR="003E5B4F" w:rsidRPr="002748EF" w:rsidRDefault="003E5B4F" w:rsidP="002748EF">
            <w:pPr>
              <w:keepNext/>
              <w:jc w:val="left"/>
              <w:rPr>
                <w:sz w:val="20"/>
                <w:szCs w:val="20"/>
                <w:lang w:val="en-CA"/>
              </w:rPr>
            </w:pPr>
            <w:r w:rsidRPr="002748EF">
              <w:rPr>
                <w:sz w:val="20"/>
                <w:szCs w:val="20"/>
                <w:lang w:val="en-CA"/>
              </w:rPr>
              <w:t>Refrigeration servicing</w:t>
            </w:r>
          </w:p>
        </w:tc>
        <w:tc>
          <w:tcPr>
            <w:tcW w:w="655" w:type="pct"/>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left"/>
              <w:rPr>
                <w:sz w:val="20"/>
                <w:szCs w:val="20"/>
                <w:lang w:val="en-CA"/>
              </w:rPr>
            </w:pPr>
            <w:r w:rsidRPr="002748EF">
              <w:rPr>
                <w:sz w:val="20"/>
                <w:szCs w:val="20"/>
                <w:lang w:val="en-CA"/>
              </w:rPr>
              <w:t>HCFC-22</w:t>
            </w:r>
          </w:p>
        </w:tc>
        <w:tc>
          <w:tcPr>
            <w:tcW w:w="421"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8</w:t>
            </w:r>
            <w:r w:rsidR="00A2296C" w:rsidRPr="002748EF">
              <w:rPr>
                <w:sz w:val="20"/>
                <w:szCs w:val="20"/>
                <w:lang w:val="en-CA"/>
              </w:rPr>
              <w:t>2</w:t>
            </w:r>
            <w:r w:rsidRPr="002748EF">
              <w:rPr>
                <w:sz w:val="20"/>
                <w:szCs w:val="20"/>
                <w:lang w:val="en-CA"/>
              </w:rPr>
              <w:t>.43</w:t>
            </w:r>
          </w:p>
        </w:tc>
        <w:tc>
          <w:tcPr>
            <w:tcW w:w="676"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4.53</w:t>
            </w:r>
          </w:p>
        </w:tc>
        <w:tc>
          <w:tcPr>
            <w:tcW w:w="649" w:type="pct"/>
            <w:vMerge w:val="restart"/>
            <w:tcBorders>
              <w:top w:val="single" w:sz="4" w:space="0" w:color="auto"/>
              <w:left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413,600</w:t>
            </w:r>
          </w:p>
        </w:tc>
        <w:tc>
          <w:tcPr>
            <w:tcW w:w="705" w:type="pct"/>
            <w:vMerge/>
            <w:tcBorders>
              <w:left w:val="single" w:sz="4" w:space="0" w:color="auto"/>
              <w:right w:val="single" w:sz="4" w:space="0" w:color="auto"/>
            </w:tcBorders>
            <w:vAlign w:val="center"/>
          </w:tcPr>
          <w:p w:rsidR="003E5B4F" w:rsidRPr="002748EF" w:rsidRDefault="003E5B4F" w:rsidP="002748EF">
            <w:pPr>
              <w:keepNext/>
              <w:jc w:val="right"/>
              <w:rPr>
                <w:sz w:val="20"/>
                <w:szCs w:val="20"/>
                <w:lang w:val="en-CA"/>
              </w:rPr>
            </w:pPr>
          </w:p>
        </w:tc>
      </w:tr>
      <w:tr w:rsidR="003E5B4F" w:rsidRPr="002748EF" w:rsidTr="002D6E85">
        <w:trPr>
          <w:trHeight w:val="323"/>
        </w:trPr>
        <w:tc>
          <w:tcPr>
            <w:tcW w:w="1894" w:type="pct"/>
            <w:vMerge/>
            <w:tcBorders>
              <w:left w:val="single" w:sz="4" w:space="0" w:color="auto"/>
              <w:bottom w:val="single" w:sz="4" w:space="0" w:color="auto"/>
              <w:right w:val="single" w:sz="4" w:space="0" w:color="auto"/>
            </w:tcBorders>
            <w:shd w:val="clear" w:color="auto" w:fill="auto"/>
          </w:tcPr>
          <w:p w:rsidR="003E5B4F" w:rsidRPr="002748EF" w:rsidRDefault="003E5B4F" w:rsidP="002748EF">
            <w:pPr>
              <w:keepNext/>
              <w:jc w:val="left"/>
              <w:rPr>
                <w:sz w:val="20"/>
                <w:szCs w:val="20"/>
                <w:lang w:val="en-CA"/>
              </w:rPr>
            </w:pPr>
          </w:p>
        </w:tc>
        <w:tc>
          <w:tcPr>
            <w:tcW w:w="655" w:type="pct"/>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left"/>
              <w:rPr>
                <w:sz w:val="20"/>
                <w:szCs w:val="20"/>
                <w:lang w:val="en-CA"/>
              </w:rPr>
            </w:pPr>
            <w:r w:rsidRPr="002748EF">
              <w:rPr>
                <w:sz w:val="20"/>
                <w:szCs w:val="20"/>
                <w:lang w:val="en-CA"/>
              </w:rPr>
              <w:t>HCFC-141b</w:t>
            </w:r>
          </w:p>
        </w:tc>
        <w:tc>
          <w:tcPr>
            <w:tcW w:w="421"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3.72</w:t>
            </w:r>
          </w:p>
        </w:tc>
        <w:tc>
          <w:tcPr>
            <w:tcW w:w="676" w:type="pct"/>
            <w:tcBorders>
              <w:top w:val="single" w:sz="4" w:space="0" w:color="auto"/>
              <w:left w:val="nil"/>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r w:rsidRPr="002748EF">
              <w:rPr>
                <w:sz w:val="20"/>
                <w:szCs w:val="20"/>
                <w:lang w:val="en-CA"/>
              </w:rPr>
              <w:t>0.41</w:t>
            </w:r>
          </w:p>
        </w:tc>
        <w:tc>
          <w:tcPr>
            <w:tcW w:w="649" w:type="pct"/>
            <w:vMerge/>
            <w:tcBorders>
              <w:left w:val="single" w:sz="4" w:space="0" w:color="auto"/>
              <w:bottom w:val="single" w:sz="4" w:space="0" w:color="auto"/>
              <w:right w:val="single" w:sz="4" w:space="0" w:color="auto"/>
            </w:tcBorders>
            <w:shd w:val="clear" w:color="auto" w:fill="auto"/>
            <w:vAlign w:val="center"/>
          </w:tcPr>
          <w:p w:rsidR="003E5B4F" w:rsidRPr="002748EF" w:rsidRDefault="003E5B4F" w:rsidP="002748EF">
            <w:pPr>
              <w:keepNext/>
              <w:jc w:val="right"/>
              <w:rPr>
                <w:sz w:val="20"/>
                <w:szCs w:val="20"/>
                <w:lang w:val="en-CA"/>
              </w:rPr>
            </w:pPr>
          </w:p>
        </w:tc>
        <w:tc>
          <w:tcPr>
            <w:tcW w:w="705" w:type="pct"/>
            <w:vMerge/>
            <w:tcBorders>
              <w:left w:val="single" w:sz="4" w:space="0" w:color="auto"/>
              <w:bottom w:val="single" w:sz="4" w:space="0" w:color="auto"/>
              <w:right w:val="single" w:sz="4" w:space="0" w:color="auto"/>
            </w:tcBorders>
            <w:vAlign w:val="center"/>
          </w:tcPr>
          <w:p w:rsidR="003E5B4F" w:rsidRPr="002748EF" w:rsidRDefault="003E5B4F" w:rsidP="002748EF">
            <w:pPr>
              <w:keepNext/>
              <w:jc w:val="right"/>
              <w:rPr>
                <w:sz w:val="20"/>
                <w:szCs w:val="20"/>
                <w:lang w:val="en-CA"/>
              </w:rPr>
            </w:pPr>
          </w:p>
        </w:tc>
      </w:tr>
      <w:tr w:rsidR="003E5B4F" w:rsidRPr="002748EF" w:rsidTr="002D6E85">
        <w:trPr>
          <w:trHeight w:val="323"/>
        </w:trPr>
        <w:tc>
          <w:tcPr>
            <w:tcW w:w="1894" w:type="pct"/>
            <w:tcBorders>
              <w:top w:val="single" w:sz="4" w:space="0" w:color="auto"/>
              <w:left w:val="single" w:sz="4" w:space="0" w:color="auto"/>
              <w:bottom w:val="single" w:sz="4" w:space="0" w:color="auto"/>
              <w:right w:val="single" w:sz="4" w:space="0" w:color="auto"/>
            </w:tcBorders>
            <w:shd w:val="clear" w:color="auto" w:fill="auto"/>
          </w:tcPr>
          <w:p w:rsidR="003E5B4F" w:rsidRPr="002748EF" w:rsidRDefault="003E5B4F" w:rsidP="002748EF">
            <w:pPr>
              <w:keepNext/>
              <w:jc w:val="left"/>
              <w:rPr>
                <w:sz w:val="20"/>
                <w:szCs w:val="20"/>
                <w:lang w:val="en-CA"/>
              </w:rPr>
            </w:pPr>
            <w:r w:rsidRPr="002748EF">
              <w:rPr>
                <w:sz w:val="20"/>
                <w:szCs w:val="20"/>
                <w:lang w:val="en-CA"/>
              </w:rPr>
              <w:t>Implementation and monitoring  (PMU)</w:t>
            </w:r>
          </w:p>
        </w:tc>
        <w:tc>
          <w:tcPr>
            <w:tcW w:w="1752" w:type="pct"/>
            <w:gridSpan w:val="3"/>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right"/>
              <w:rPr>
                <w:b/>
                <w:sz w:val="20"/>
                <w:szCs w:val="20"/>
                <w:lang w:val="en-CA"/>
              </w:rPr>
            </w:pPr>
          </w:p>
        </w:tc>
        <w:tc>
          <w:tcPr>
            <w:tcW w:w="649" w:type="pct"/>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right"/>
              <w:rPr>
                <w:b/>
                <w:sz w:val="20"/>
                <w:szCs w:val="20"/>
                <w:lang w:val="en-CA"/>
              </w:rPr>
            </w:pPr>
            <w:r w:rsidRPr="002748EF">
              <w:rPr>
                <w:sz w:val="20"/>
                <w:szCs w:val="20"/>
                <w:lang w:val="en-CA"/>
              </w:rPr>
              <w:t>100,468</w:t>
            </w:r>
          </w:p>
        </w:tc>
        <w:tc>
          <w:tcPr>
            <w:tcW w:w="705" w:type="pct"/>
            <w:tcBorders>
              <w:top w:val="single" w:sz="4" w:space="0" w:color="auto"/>
              <w:left w:val="single" w:sz="4" w:space="0" w:color="auto"/>
              <w:bottom w:val="single" w:sz="4" w:space="0" w:color="auto"/>
              <w:right w:val="single" w:sz="4" w:space="0" w:color="auto"/>
            </w:tcBorders>
            <w:vAlign w:val="center"/>
          </w:tcPr>
          <w:p w:rsidR="003E5B4F" w:rsidRPr="002748EF" w:rsidRDefault="003E5B4F" w:rsidP="002748EF">
            <w:pPr>
              <w:keepNext/>
              <w:jc w:val="right"/>
              <w:rPr>
                <w:sz w:val="20"/>
                <w:szCs w:val="20"/>
                <w:lang w:val="en-CA"/>
              </w:rPr>
            </w:pPr>
          </w:p>
        </w:tc>
      </w:tr>
      <w:tr w:rsidR="003E5B4F" w:rsidRPr="002748EF" w:rsidTr="002D6E85">
        <w:trPr>
          <w:trHeight w:val="242"/>
        </w:trPr>
        <w:tc>
          <w:tcPr>
            <w:tcW w:w="1894" w:type="pct"/>
            <w:tcBorders>
              <w:top w:val="single" w:sz="4" w:space="0" w:color="auto"/>
              <w:left w:val="single" w:sz="4" w:space="0" w:color="auto"/>
              <w:bottom w:val="single" w:sz="4" w:space="0" w:color="auto"/>
              <w:right w:val="single" w:sz="4" w:space="0" w:color="auto"/>
            </w:tcBorders>
            <w:shd w:val="clear" w:color="auto" w:fill="auto"/>
            <w:noWrap/>
            <w:hideMark/>
          </w:tcPr>
          <w:p w:rsidR="003E5B4F" w:rsidRPr="002748EF" w:rsidRDefault="003E5B4F" w:rsidP="002748EF">
            <w:pPr>
              <w:keepNext/>
              <w:jc w:val="left"/>
              <w:rPr>
                <w:b/>
                <w:bCs/>
                <w:sz w:val="20"/>
                <w:szCs w:val="20"/>
                <w:lang w:val="en-CA"/>
              </w:rPr>
            </w:pPr>
            <w:r w:rsidRPr="002748EF">
              <w:rPr>
                <w:b/>
                <w:bCs/>
                <w:sz w:val="20"/>
                <w:szCs w:val="20"/>
                <w:lang w:val="en-CA"/>
              </w:rPr>
              <w:t>Total stage II</w:t>
            </w:r>
          </w:p>
        </w:tc>
        <w:tc>
          <w:tcPr>
            <w:tcW w:w="655" w:type="pct"/>
            <w:tcBorders>
              <w:top w:val="nil"/>
              <w:left w:val="nil"/>
              <w:bottom w:val="single" w:sz="4" w:space="0" w:color="auto"/>
              <w:right w:val="single" w:sz="4" w:space="0" w:color="auto"/>
            </w:tcBorders>
            <w:shd w:val="clear" w:color="auto" w:fill="auto"/>
            <w:hideMark/>
          </w:tcPr>
          <w:p w:rsidR="003E5B4F" w:rsidRPr="002748EF" w:rsidRDefault="003E5B4F" w:rsidP="002748EF">
            <w:pPr>
              <w:keepNext/>
              <w:jc w:val="right"/>
              <w:rPr>
                <w:b/>
                <w:bCs/>
                <w:sz w:val="20"/>
                <w:szCs w:val="20"/>
                <w:lang w:val="en-CA"/>
              </w:rPr>
            </w:pPr>
          </w:p>
        </w:tc>
        <w:tc>
          <w:tcPr>
            <w:tcW w:w="421" w:type="pct"/>
            <w:tcBorders>
              <w:top w:val="nil"/>
              <w:left w:val="nil"/>
              <w:bottom w:val="single" w:sz="4" w:space="0" w:color="auto"/>
              <w:right w:val="single" w:sz="4" w:space="0" w:color="auto"/>
            </w:tcBorders>
            <w:shd w:val="clear" w:color="auto" w:fill="auto"/>
            <w:hideMark/>
          </w:tcPr>
          <w:p w:rsidR="003E5B4F" w:rsidRPr="002748EF" w:rsidRDefault="003E5B4F" w:rsidP="002748EF">
            <w:pPr>
              <w:keepNext/>
              <w:jc w:val="right"/>
              <w:rPr>
                <w:b/>
                <w:bCs/>
                <w:sz w:val="20"/>
                <w:szCs w:val="20"/>
                <w:lang w:val="en-CA"/>
              </w:rPr>
            </w:pPr>
            <w:r w:rsidRPr="002748EF">
              <w:rPr>
                <w:b/>
                <w:sz w:val="20"/>
                <w:szCs w:val="20"/>
                <w:lang w:val="en-CA"/>
              </w:rPr>
              <w:t>150.</w:t>
            </w:r>
            <w:r w:rsidR="00A2296C" w:rsidRPr="002748EF">
              <w:rPr>
                <w:b/>
                <w:sz w:val="20"/>
                <w:szCs w:val="20"/>
                <w:lang w:val="en-CA"/>
              </w:rPr>
              <w:t>59</w:t>
            </w:r>
          </w:p>
        </w:tc>
        <w:tc>
          <w:tcPr>
            <w:tcW w:w="676" w:type="pct"/>
            <w:tcBorders>
              <w:top w:val="nil"/>
              <w:left w:val="nil"/>
              <w:bottom w:val="single" w:sz="4" w:space="0" w:color="auto"/>
              <w:right w:val="single" w:sz="4" w:space="0" w:color="auto"/>
            </w:tcBorders>
          </w:tcPr>
          <w:p w:rsidR="003E5B4F" w:rsidRPr="002748EF" w:rsidRDefault="003E5B4F" w:rsidP="002748EF">
            <w:pPr>
              <w:keepNext/>
              <w:jc w:val="right"/>
              <w:rPr>
                <w:b/>
                <w:bCs/>
                <w:sz w:val="20"/>
                <w:szCs w:val="20"/>
                <w:lang w:val="en-CA"/>
              </w:rPr>
            </w:pPr>
            <w:r w:rsidRPr="002748EF">
              <w:rPr>
                <w:b/>
                <w:bCs/>
                <w:sz w:val="20"/>
                <w:szCs w:val="20"/>
                <w:lang w:val="en-CA"/>
              </w:rPr>
              <w:t>11.25</w:t>
            </w:r>
          </w:p>
        </w:tc>
        <w:tc>
          <w:tcPr>
            <w:tcW w:w="649" w:type="pct"/>
            <w:tcBorders>
              <w:top w:val="nil"/>
              <w:left w:val="nil"/>
              <w:bottom w:val="single" w:sz="4" w:space="0" w:color="auto"/>
              <w:right w:val="single" w:sz="4" w:space="0" w:color="auto"/>
            </w:tcBorders>
          </w:tcPr>
          <w:p w:rsidR="003E5B4F" w:rsidRPr="002748EF" w:rsidRDefault="003E5B4F" w:rsidP="002748EF">
            <w:pPr>
              <w:keepNext/>
              <w:jc w:val="right"/>
              <w:rPr>
                <w:b/>
                <w:bCs/>
                <w:sz w:val="20"/>
                <w:szCs w:val="20"/>
                <w:lang w:val="en-CA"/>
              </w:rPr>
            </w:pPr>
            <w:r w:rsidRPr="002748EF">
              <w:rPr>
                <w:b/>
                <w:bCs/>
                <w:sz w:val="20"/>
                <w:szCs w:val="20"/>
                <w:lang w:val="en-CA"/>
              </w:rPr>
              <w:t>1,105,157</w:t>
            </w:r>
          </w:p>
        </w:tc>
        <w:tc>
          <w:tcPr>
            <w:tcW w:w="705" w:type="pct"/>
            <w:tcBorders>
              <w:top w:val="nil"/>
              <w:left w:val="nil"/>
              <w:bottom w:val="single" w:sz="4" w:space="0" w:color="auto"/>
              <w:right w:val="single" w:sz="4" w:space="0" w:color="auto"/>
            </w:tcBorders>
            <w:vAlign w:val="center"/>
          </w:tcPr>
          <w:p w:rsidR="003E5B4F" w:rsidRPr="002748EF" w:rsidRDefault="003E5B4F" w:rsidP="002748EF">
            <w:pPr>
              <w:keepNext/>
              <w:jc w:val="right"/>
              <w:rPr>
                <w:b/>
                <w:bCs/>
                <w:sz w:val="20"/>
                <w:szCs w:val="20"/>
                <w:lang w:val="en-CA"/>
              </w:rPr>
            </w:pPr>
            <w:r w:rsidRPr="002748EF">
              <w:rPr>
                <w:b/>
                <w:bCs/>
                <w:sz w:val="20"/>
                <w:szCs w:val="20"/>
                <w:lang w:val="en-CA"/>
              </w:rPr>
              <w:t>7.78</w:t>
            </w:r>
          </w:p>
        </w:tc>
      </w:tr>
    </w:tbl>
    <w:p w:rsidR="00FB643E" w:rsidRPr="005C7B83" w:rsidRDefault="006270B4" w:rsidP="002748EF">
      <w:pPr>
        <w:keepNext/>
        <w:rPr>
          <w:sz w:val="28"/>
          <w:szCs w:val="28"/>
          <w:lang w:val="en-CA"/>
        </w:rPr>
      </w:pPr>
      <w:r w:rsidRPr="003E5B4F">
        <w:rPr>
          <w:sz w:val="16"/>
          <w:szCs w:val="28"/>
          <w:lang w:val="en-CA"/>
        </w:rPr>
        <w:t>*</w:t>
      </w:r>
      <w:r w:rsidR="00D36F2B" w:rsidRPr="003E5B4F">
        <w:rPr>
          <w:sz w:val="16"/>
          <w:szCs w:val="28"/>
          <w:lang w:val="en-CA"/>
        </w:rPr>
        <w:t>A</w:t>
      </w:r>
      <w:r w:rsidRPr="003E5B4F">
        <w:rPr>
          <w:sz w:val="16"/>
          <w:szCs w:val="28"/>
          <w:lang w:val="en-CA"/>
        </w:rPr>
        <w:t>ctual phase out</w:t>
      </w:r>
      <w:r w:rsidR="00233B84" w:rsidRPr="003E5B4F">
        <w:rPr>
          <w:sz w:val="16"/>
          <w:szCs w:val="28"/>
          <w:lang w:val="en-CA"/>
        </w:rPr>
        <w:t>, remaining</w:t>
      </w:r>
      <w:r w:rsidRPr="003E5B4F">
        <w:rPr>
          <w:sz w:val="16"/>
          <w:szCs w:val="28"/>
          <w:lang w:val="en-CA"/>
        </w:rPr>
        <w:t xml:space="preserve"> eligible consumption of HCFC-141b in imported pre-blended polyols is 48.45 mt.</w:t>
      </w:r>
    </w:p>
    <w:p w:rsidR="00E2763B" w:rsidRPr="002748EF" w:rsidRDefault="00E2763B" w:rsidP="002748EF">
      <w:pPr>
        <w:pStyle w:val="ListParagraph"/>
        <w:ind w:left="0"/>
      </w:pPr>
    </w:p>
    <w:p w:rsidR="009B1380" w:rsidRPr="002748EF" w:rsidRDefault="00127DB4" w:rsidP="002748EF">
      <w:pPr>
        <w:spacing w:after="240"/>
        <w:rPr>
          <w:u w:val="single"/>
          <w:lang w:val="en-CA"/>
        </w:rPr>
      </w:pPr>
      <w:r w:rsidRPr="002748EF">
        <w:rPr>
          <w:u w:val="single"/>
          <w:lang w:val="en-CA"/>
        </w:rPr>
        <w:t>Impact on the climate</w:t>
      </w:r>
    </w:p>
    <w:p w:rsidR="009B1380" w:rsidRPr="002748EF" w:rsidRDefault="009B1380" w:rsidP="00EA61B6">
      <w:pPr>
        <w:pStyle w:val="Style1"/>
        <w:numPr>
          <w:ilvl w:val="0"/>
          <w:numId w:val="7"/>
        </w:numPr>
        <w:spacing w:line="240" w:lineRule="auto"/>
        <w:ind w:left="0" w:firstLine="0"/>
      </w:pPr>
      <w:r w:rsidRPr="002748EF">
        <w:t xml:space="preserve">The conversion of the PU foam manufacturing enterprises in Uruguay would avoid the emission into the atmosphere of some </w:t>
      </w:r>
      <w:r w:rsidR="006270B4" w:rsidRPr="002748EF">
        <w:t>35,985</w:t>
      </w:r>
      <w:r w:rsidRPr="002748EF">
        <w:t> tonnes of CO</w:t>
      </w:r>
      <w:r w:rsidRPr="001362BC">
        <w:rPr>
          <w:vertAlign w:val="subscript"/>
        </w:rPr>
        <w:t>2</w:t>
      </w:r>
      <w:r w:rsidRPr="002748EF">
        <w:t xml:space="preserve"> equivalent per year, as shown in Table </w:t>
      </w:r>
      <w:r w:rsidR="00910F40" w:rsidRPr="002748EF">
        <w:t>7</w:t>
      </w:r>
      <w:r w:rsidRPr="002748EF">
        <w:t>.</w:t>
      </w:r>
    </w:p>
    <w:p w:rsidR="001B3FA7" w:rsidRPr="002748EF" w:rsidRDefault="001B3FA7" w:rsidP="002748EF">
      <w:pPr>
        <w:pStyle w:val="ListParagraph"/>
        <w:ind w:left="0"/>
      </w:pPr>
    </w:p>
    <w:p w:rsidR="009B1380" w:rsidRPr="002748EF" w:rsidRDefault="009B1380" w:rsidP="002748EF">
      <w:pPr>
        <w:outlineLvl w:val="0"/>
        <w:rPr>
          <w:b/>
          <w:lang w:val="en-CA"/>
        </w:rPr>
      </w:pPr>
      <w:r w:rsidRPr="002748EF">
        <w:rPr>
          <w:b/>
          <w:lang w:val="en-CA"/>
        </w:rPr>
        <w:t>Table </w:t>
      </w:r>
      <w:r w:rsidR="00910F40" w:rsidRPr="002748EF">
        <w:rPr>
          <w:b/>
          <w:lang w:val="en-CA"/>
        </w:rPr>
        <w:t>7</w:t>
      </w:r>
      <w:r w:rsidRPr="002748EF">
        <w:rPr>
          <w:b/>
          <w:lang w:val="en-CA"/>
        </w:rPr>
        <w:t>. Impact on the climate of PU foam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158"/>
        <w:gridCol w:w="2122"/>
        <w:gridCol w:w="3369"/>
      </w:tblGrid>
      <w:tr w:rsidR="009B1380" w:rsidRPr="002748EF" w:rsidTr="00953BA5">
        <w:tc>
          <w:tcPr>
            <w:tcW w:w="1528" w:type="pct"/>
            <w:shd w:val="clear" w:color="auto" w:fill="auto"/>
            <w:noWrap/>
            <w:vAlign w:val="center"/>
            <w:hideMark/>
          </w:tcPr>
          <w:p w:rsidR="009B1380" w:rsidRPr="002748EF" w:rsidRDefault="009B1380" w:rsidP="002748EF">
            <w:pPr>
              <w:jc w:val="left"/>
              <w:rPr>
                <w:b/>
                <w:bCs/>
                <w:lang w:val="en-CA"/>
              </w:rPr>
            </w:pPr>
            <w:r w:rsidRPr="002748EF">
              <w:rPr>
                <w:b/>
                <w:bCs/>
                <w:lang w:val="en-CA"/>
              </w:rPr>
              <w:t>Substance</w:t>
            </w:r>
          </w:p>
        </w:tc>
        <w:tc>
          <w:tcPr>
            <w:tcW w:w="604" w:type="pct"/>
            <w:shd w:val="clear" w:color="auto" w:fill="auto"/>
            <w:vAlign w:val="center"/>
            <w:hideMark/>
          </w:tcPr>
          <w:p w:rsidR="009B1380" w:rsidRPr="002748EF" w:rsidRDefault="009B1380" w:rsidP="002748EF">
            <w:pPr>
              <w:jc w:val="center"/>
              <w:rPr>
                <w:b/>
                <w:bCs/>
                <w:lang w:val="en-CA"/>
              </w:rPr>
            </w:pPr>
            <w:r w:rsidRPr="002748EF">
              <w:rPr>
                <w:b/>
                <w:bCs/>
                <w:lang w:val="en-CA"/>
              </w:rPr>
              <w:t>GWP</w:t>
            </w:r>
          </w:p>
        </w:tc>
        <w:tc>
          <w:tcPr>
            <w:tcW w:w="1108" w:type="pct"/>
            <w:shd w:val="clear" w:color="auto" w:fill="auto"/>
            <w:noWrap/>
            <w:vAlign w:val="center"/>
            <w:hideMark/>
          </w:tcPr>
          <w:p w:rsidR="009B1380" w:rsidRPr="002748EF" w:rsidRDefault="009B1380" w:rsidP="002748EF">
            <w:pPr>
              <w:jc w:val="center"/>
              <w:rPr>
                <w:b/>
                <w:bCs/>
                <w:lang w:val="en-CA"/>
              </w:rPr>
            </w:pPr>
            <w:r w:rsidRPr="002748EF">
              <w:rPr>
                <w:b/>
                <w:bCs/>
                <w:lang w:val="en-CA"/>
              </w:rPr>
              <w:t>Tonnes/year</w:t>
            </w:r>
          </w:p>
        </w:tc>
        <w:tc>
          <w:tcPr>
            <w:tcW w:w="1759" w:type="pct"/>
            <w:shd w:val="clear" w:color="auto" w:fill="auto"/>
            <w:noWrap/>
            <w:vAlign w:val="center"/>
            <w:hideMark/>
          </w:tcPr>
          <w:p w:rsidR="009B1380" w:rsidRPr="002748EF" w:rsidRDefault="009B1380" w:rsidP="002748EF">
            <w:pPr>
              <w:jc w:val="center"/>
              <w:rPr>
                <w:b/>
                <w:lang w:val="en-CA"/>
              </w:rPr>
            </w:pPr>
            <w:r w:rsidRPr="002748EF">
              <w:rPr>
                <w:b/>
                <w:lang w:val="en-CA"/>
              </w:rPr>
              <w:t>CO</w:t>
            </w:r>
            <w:r w:rsidRPr="002748EF">
              <w:rPr>
                <w:b/>
                <w:vertAlign w:val="subscript"/>
                <w:lang w:val="en-CA"/>
              </w:rPr>
              <w:t>2</w:t>
            </w:r>
            <w:r w:rsidRPr="002748EF">
              <w:rPr>
                <w:b/>
                <w:bCs/>
                <w:lang w:val="en-CA"/>
              </w:rPr>
              <w:t>-eq (tonnes/year)</w:t>
            </w:r>
          </w:p>
        </w:tc>
      </w:tr>
      <w:tr w:rsidR="009B1380" w:rsidRPr="002748EF" w:rsidTr="00953BA5">
        <w:tc>
          <w:tcPr>
            <w:tcW w:w="1528" w:type="pct"/>
            <w:shd w:val="clear" w:color="auto" w:fill="auto"/>
            <w:noWrap/>
            <w:vAlign w:val="center"/>
            <w:hideMark/>
          </w:tcPr>
          <w:p w:rsidR="009B1380" w:rsidRPr="002748EF" w:rsidRDefault="009B1380" w:rsidP="002748EF">
            <w:pPr>
              <w:rPr>
                <w:b/>
                <w:bCs/>
                <w:color w:val="000000"/>
                <w:lang w:val="en-US"/>
              </w:rPr>
            </w:pPr>
            <w:r w:rsidRPr="002748EF">
              <w:rPr>
                <w:b/>
                <w:bCs/>
                <w:color w:val="000000"/>
                <w:lang w:val="en-US"/>
              </w:rPr>
              <w:t>Before conversion</w:t>
            </w:r>
          </w:p>
        </w:tc>
        <w:tc>
          <w:tcPr>
            <w:tcW w:w="604" w:type="pct"/>
            <w:shd w:val="clear" w:color="auto" w:fill="auto"/>
            <w:vAlign w:val="center"/>
            <w:hideMark/>
          </w:tcPr>
          <w:p w:rsidR="009B1380" w:rsidRPr="002748EF" w:rsidRDefault="009B1380" w:rsidP="002748EF">
            <w:pPr>
              <w:jc w:val="right"/>
              <w:rPr>
                <w:b/>
                <w:bCs/>
                <w:color w:val="000000"/>
                <w:lang w:val="en-US"/>
              </w:rPr>
            </w:pPr>
            <w:r w:rsidRPr="002748EF">
              <w:rPr>
                <w:b/>
                <w:bCs/>
                <w:color w:val="000000"/>
                <w:lang w:val="en-US"/>
              </w:rPr>
              <w:t> </w:t>
            </w:r>
          </w:p>
        </w:tc>
        <w:tc>
          <w:tcPr>
            <w:tcW w:w="1108" w:type="pct"/>
            <w:shd w:val="clear" w:color="auto" w:fill="auto"/>
            <w:noWrap/>
            <w:vAlign w:val="center"/>
            <w:hideMark/>
          </w:tcPr>
          <w:p w:rsidR="009B1380" w:rsidRPr="002748EF" w:rsidRDefault="009B1380" w:rsidP="002748EF">
            <w:pPr>
              <w:jc w:val="right"/>
              <w:rPr>
                <w:b/>
                <w:bCs/>
                <w:color w:val="000000"/>
                <w:lang w:val="en-US"/>
              </w:rPr>
            </w:pPr>
            <w:r w:rsidRPr="002748EF">
              <w:rPr>
                <w:b/>
                <w:bCs/>
                <w:color w:val="000000"/>
                <w:lang w:val="en-US"/>
              </w:rPr>
              <w:t> </w:t>
            </w:r>
          </w:p>
        </w:tc>
        <w:tc>
          <w:tcPr>
            <w:tcW w:w="1759" w:type="pct"/>
            <w:shd w:val="clear" w:color="auto" w:fill="auto"/>
            <w:vAlign w:val="center"/>
            <w:hideMark/>
          </w:tcPr>
          <w:p w:rsidR="009B1380" w:rsidRPr="002748EF" w:rsidRDefault="009B1380" w:rsidP="002748EF">
            <w:pPr>
              <w:jc w:val="right"/>
              <w:rPr>
                <w:b/>
                <w:bCs/>
                <w:color w:val="000000"/>
                <w:lang w:val="en-US"/>
              </w:rPr>
            </w:pPr>
            <w:r w:rsidRPr="002748EF">
              <w:rPr>
                <w:b/>
                <w:bCs/>
                <w:color w:val="000000"/>
                <w:lang w:val="en-US"/>
              </w:rPr>
              <w:t> </w:t>
            </w:r>
          </w:p>
        </w:tc>
      </w:tr>
      <w:tr w:rsidR="009B1380" w:rsidRPr="002748EF" w:rsidTr="00953BA5">
        <w:tc>
          <w:tcPr>
            <w:tcW w:w="1528" w:type="pct"/>
            <w:shd w:val="clear" w:color="auto" w:fill="auto"/>
            <w:noWrap/>
            <w:vAlign w:val="center"/>
            <w:hideMark/>
          </w:tcPr>
          <w:p w:rsidR="009B1380" w:rsidRPr="002748EF" w:rsidRDefault="009B1380" w:rsidP="002748EF">
            <w:pPr>
              <w:rPr>
                <w:color w:val="000000"/>
                <w:lang w:val="en-US"/>
              </w:rPr>
            </w:pPr>
            <w:r w:rsidRPr="002748EF">
              <w:rPr>
                <w:color w:val="000000"/>
                <w:lang w:val="en-US"/>
              </w:rPr>
              <w:t>HCFC-141b</w:t>
            </w:r>
          </w:p>
        </w:tc>
        <w:tc>
          <w:tcPr>
            <w:tcW w:w="604" w:type="pct"/>
            <w:shd w:val="clear" w:color="auto" w:fill="auto"/>
            <w:vAlign w:val="center"/>
            <w:hideMark/>
          </w:tcPr>
          <w:p w:rsidR="009B1380" w:rsidRPr="002748EF" w:rsidRDefault="009B1380" w:rsidP="002748EF">
            <w:pPr>
              <w:jc w:val="right"/>
              <w:rPr>
                <w:color w:val="000000"/>
                <w:lang w:val="en-US"/>
              </w:rPr>
            </w:pPr>
            <w:r w:rsidRPr="002748EF">
              <w:rPr>
                <w:color w:val="000000"/>
                <w:lang w:val="en-US"/>
              </w:rPr>
              <w:t>725</w:t>
            </w:r>
          </w:p>
        </w:tc>
        <w:tc>
          <w:tcPr>
            <w:tcW w:w="1108" w:type="pct"/>
            <w:shd w:val="clear" w:color="auto" w:fill="auto"/>
            <w:noWrap/>
            <w:vAlign w:val="center"/>
            <w:hideMark/>
          </w:tcPr>
          <w:p w:rsidR="009B1380" w:rsidRPr="002748EF" w:rsidRDefault="006270B4" w:rsidP="002748EF">
            <w:pPr>
              <w:jc w:val="right"/>
              <w:rPr>
                <w:color w:val="000000"/>
                <w:lang w:val="en-US"/>
              </w:rPr>
            </w:pPr>
            <w:r w:rsidRPr="002748EF">
              <w:rPr>
                <w:color w:val="000000"/>
                <w:lang w:val="en-US"/>
              </w:rPr>
              <w:t>50.24</w:t>
            </w:r>
          </w:p>
        </w:tc>
        <w:tc>
          <w:tcPr>
            <w:tcW w:w="1759" w:type="pct"/>
            <w:shd w:val="clear" w:color="auto" w:fill="auto"/>
            <w:vAlign w:val="center"/>
            <w:hideMark/>
          </w:tcPr>
          <w:p w:rsidR="009B1380" w:rsidRPr="002748EF" w:rsidRDefault="006270B4" w:rsidP="002748EF">
            <w:pPr>
              <w:jc w:val="right"/>
              <w:rPr>
                <w:color w:val="000000"/>
                <w:lang w:val="en-US"/>
              </w:rPr>
            </w:pPr>
            <w:r w:rsidRPr="002748EF">
              <w:rPr>
                <w:color w:val="000000"/>
                <w:lang w:val="en-US"/>
              </w:rPr>
              <w:t>36,424</w:t>
            </w:r>
          </w:p>
        </w:tc>
      </w:tr>
      <w:tr w:rsidR="009B1380" w:rsidRPr="002748EF" w:rsidTr="00953BA5">
        <w:tc>
          <w:tcPr>
            <w:tcW w:w="1528" w:type="pct"/>
            <w:shd w:val="clear" w:color="auto" w:fill="auto"/>
            <w:noWrap/>
            <w:vAlign w:val="center"/>
            <w:hideMark/>
          </w:tcPr>
          <w:p w:rsidR="009B1380" w:rsidRPr="002748EF" w:rsidRDefault="009B1380" w:rsidP="002748EF">
            <w:pPr>
              <w:rPr>
                <w:b/>
                <w:bCs/>
                <w:color w:val="000000"/>
                <w:lang w:val="en-US"/>
              </w:rPr>
            </w:pPr>
            <w:r w:rsidRPr="002748EF">
              <w:rPr>
                <w:b/>
                <w:bCs/>
                <w:color w:val="000000"/>
                <w:lang w:val="en-US"/>
              </w:rPr>
              <w:t>After conversion</w:t>
            </w:r>
          </w:p>
        </w:tc>
        <w:tc>
          <w:tcPr>
            <w:tcW w:w="604" w:type="pct"/>
            <w:shd w:val="clear" w:color="auto" w:fill="auto"/>
            <w:vAlign w:val="center"/>
            <w:hideMark/>
          </w:tcPr>
          <w:p w:rsidR="009B1380" w:rsidRPr="002748EF" w:rsidRDefault="009B1380" w:rsidP="002748EF">
            <w:pPr>
              <w:jc w:val="right"/>
              <w:rPr>
                <w:b/>
                <w:bCs/>
                <w:color w:val="000000"/>
                <w:lang w:val="en-US"/>
              </w:rPr>
            </w:pPr>
            <w:r w:rsidRPr="002748EF">
              <w:rPr>
                <w:b/>
                <w:bCs/>
                <w:color w:val="000000"/>
                <w:lang w:val="en-US"/>
              </w:rPr>
              <w:t> </w:t>
            </w:r>
          </w:p>
        </w:tc>
        <w:tc>
          <w:tcPr>
            <w:tcW w:w="1108" w:type="pct"/>
            <w:shd w:val="clear" w:color="auto" w:fill="auto"/>
            <w:noWrap/>
            <w:vAlign w:val="center"/>
            <w:hideMark/>
          </w:tcPr>
          <w:p w:rsidR="009B1380" w:rsidRPr="002748EF" w:rsidRDefault="009B1380" w:rsidP="002748EF">
            <w:pPr>
              <w:jc w:val="right"/>
              <w:rPr>
                <w:b/>
                <w:bCs/>
                <w:color w:val="000000"/>
                <w:lang w:val="en-US"/>
              </w:rPr>
            </w:pPr>
            <w:r w:rsidRPr="002748EF">
              <w:rPr>
                <w:b/>
                <w:bCs/>
                <w:color w:val="000000"/>
                <w:lang w:val="en-US"/>
              </w:rPr>
              <w:t> </w:t>
            </w:r>
          </w:p>
        </w:tc>
        <w:tc>
          <w:tcPr>
            <w:tcW w:w="1759" w:type="pct"/>
            <w:shd w:val="clear" w:color="auto" w:fill="auto"/>
            <w:vAlign w:val="center"/>
            <w:hideMark/>
          </w:tcPr>
          <w:p w:rsidR="009B1380" w:rsidRPr="002748EF" w:rsidRDefault="009B1380" w:rsidP="002748EF">
            <w:pPr>
              <w:jc w:val="right"/>
              <w:rPr>
                <w:b/>
                <w:bCs/>
                <w:color w:val="000000"/>
                <w:lang w:val="en-US"/>
              </w:rPr>
            </w:pPr>
            <w:r w:rsidRPr="002748EF">
              <w:rPr>
                <w:b/>
                <w:bCs/>
                <w:color w:val="000000"/>
                <w:lang w:val="en-US"/>
              </w:rPr>
              <w:t> </w:t>
            </w:r>
          </w:p>
        </w:tc>
      </w:tr>
      <w:tr w:rsidR="009B1380" w:rsidRPr="002748EF" w:rsidTr="00953BA5">
        <w:tc>
          <w:tcPr>
            <w:tcW w:w="1528" w:type="pct"/>
            <w:shd w:val="clear" w:color="auto" w:fill="auto"/>
            <w:noWrap/>
            <w:vAlign w:val="center"/>
          </w:tcPr>
          <w:p w:rsidR="009B1380" w:rsidRPr="002748EF" w:rsidRDefault="009B1380" w:rsidP="002748EF">
            <w:pPr>
              <w:rPr>
                <w:color w:val="000000"/>
                <w:lang w:val="en-US"/>
              </w:rPr>
            </w:pPr>
            <w:r w:rsidRPr="002748EF">
              <w:rPr>
                <w:color w:val="000000"/>
                <w:lang w:val="en-US"/>
              </w:rPr>
              <w:t>HFO</w:t>
            </w:r>
          </w:p>
        </w:tc>
        <w:tc>
          <w:tcPr>
            <w:tcW w:w="604" w:type="pct"/>
            <w:shd w:val="clear" w:color="auto" w:fill="auto"/>
            <w:vAlign w:val="bottom"/>
          </w:tcPr>
          <w:p w:rsidR="009B1380" w:rsidRPr="002748EF" w:rsidRDefault="00017EC2" w:rsidP="002748EF">
            <w:pPr>
              <w:jc w:val="right"/>
              <w:rPr>
                <w:color w:val="000000"/>
                <w:lang w:val="en-US"/>
              </w:rPr>
            </w:pPr>
            <w:r w:rsidRPr="002748EF">
              <w:rPr>
                <w:color w:val="000000"/>
                <w:lang w:val="en-US"/>
              </w:rPr>
              <w:t>~20</w:t>
            </w:r>
          </w:p>
        </w:tc>
        <w:tc>
          <w:tcPr>
            <w:tcW w:w="1108" w:type="pct"/>
            <w:shd w:val="clear" w:color="auto" w:fill="auto"/>
            <w:noWrap/>
            <w:vAlign w:val="bottom"/>
          </w:tcPr>
          <w:p w:rsidR="009B1380" w:rsidRPr="002748EF" w:rsidRDefault="006270B4" w:rsidP="002748EF">
            <w:pPr>
              <w:jc w:val="right"/>
              <w:rPr>
                <w:color w:val="000000"/>
                <w:lang w:val="en-US"/>
              </w:rPr>
            </w:pPr>
            <w:r w:rsidRPr="002748EF">
              <w:rPr>
                <w:color w:val="000000"/>
                <w:lang w:val="en-US"/>
              </w:rPr>
              <w:t>22</w:t>
            </w:r>
          </w:p>
        </w:tc>
        <w:tc>
          <w:tcPr>
            <w:tcW w:w="1759" w:type="pct"/>
            <w:shd w:val="clear" w:color="auto" w:fill="auto"/>
            <w:vAlign w:val="center"/>
          </w:tcPr>
          <w:p w:rsidR="009B1380" w:rsidRPr="002748EF" w:rsidRDefault="006270B4" w:rsidP="002748EF">
            <w:pPr>
              <w:jc w:val="right"/>
              <w:rPr>
                <w:color w:val="000000"/>
                <w:lang w:val="en-US"/>
              </w:rPr>
            </w:pPr>
            <w:r w:rsidRPr="002748EF">
              <w:rPr>
                <w:color w:val="000000"/>
                <w:lang w:val="en-US"/>
              </w:rPr>
              <w:t>440</w:t>
            </w:r>
          </w:p>
        </w:tc>
      </w:tr>
      <w:tr w:rsidR="009B1380" w:rsidRPr="002748EF" w:rsidTr="00953BA5">
        <w:trPr>
          <w:trHeight w:val="47"/>
        </w:trPr>
        <w:tc>
          <w:tcPr>
            <w:tcW w:w="1528" w:type="pct"/>
            <w:shd w:val="clear" w:color="auto" w:fill="auto"/>
            <w:noWrap/>
            <w:vAlign w:val="center"/>
            <w:hideMark/>
          </w:tcPr>
          <w:p w:rsidR="009B1380" w:rsidRPr="002748EF" w:rsidRDefault="009B1380" w:rsidP="002748EF">
            <w:pPr>
              <w:rPr>
                <w:b/>
                <w:bCs/>
                <w:color w:val="000000"/>
                <w:lang w:val="en-US"/>
              </w:rPr>
            </w:pPr>
            <w:r w:rsidRPr="002748EF">
              <w:rPr>
                <w:b/>
                <w:bCs/>
                <w:color w:val="000000"/>
                <w:lang w:val="en-US"/>
              </w:rPr>
              <w:t>Impact</w:t>
            </w:r>
          </w:p>
        </w:tc>
        <w:tc>
          <w:tcPr>
            <w:tcW w:w="604" w:type="pct"/>
            <w:shd w:val="clear" w:color="auto" w:fill="auto"/>
            <w:vAlign w:val="center"/>
            <w:hideMark/>
          </w:tcPr>
          <w:p w:rsidR="009B1380" w:rsidRPr="002748EF" w:rsidRDefault="009B1380" w:rsidP="002748EF">
            <w:pPr>
              <w:jc w:val="right"/>
              <w:rPr>
                <w:b/>
                <w:bCs/>
                <w:color w:val="000000"/>
                <w:lang w:val="en-US"/>
              </w:rPr>
            </w:pPr>
            <w:r w:rsidRPr="002748EF">
              <w:rPr>
                <w:b/>
                <w:bCs/>
                <w:color w:val="000000"/>
                <w:lang w:val="en-US"/>
              </w:rPr>
              <w:t> </w:t>
            </w:r>
          </w:p>
        </w:tc>
        <w:tc>
          <w:tcPr>
            <w:tcW w:w="1108" w:type="pct"/>
            <w:shd w:val="clear" w:color="auto" w:fill="auto"/>
            <w:noWrap/>
            <w:vAlign w:val="center"/>
            <w:hideMark/>
          </w:tcPr>
          <w:p w:rsidR="009B1380" w:rsidRPr="002748EF" w:rsidRDefault="009B1380" w:rsidP="002748EF">
            <w:pPr>
              <w:jc w:val="right"/>
              <w:rPr>
                <w:b/>
                <w:bCs/>
                <w:color w:val="000000"/>
                <w:lang w:val="en-US"/>
              </w:rPr>
            </w:pPr>
            <w:r w:rsidRPr="002748EF">
              <w:rPr>
                <w:b/>
                <w:bCs/>
                <w:color w:val="000000"/>
                <w:lang w:val="en-US"/>
              </w:rPr>
              <w:t> </w:t>
            </w:r>
          </w:p>
        </w:tc>
        <w:tc>
          <w:tcPr>
            <w:tcW w:w="1759" w:type="pct"/>
            <w:shd w:val="clear" w:color="auto" w:fill="auto"/>
            <w:vAlign w:val="center"/>
            <w:hideMark/>
          </w:tcPr>
          <w:p w:rsidR="009B1380" w:rsidRPr="002748EF" w:rsidRDefault="00910F40" w:rsidP="002748EF">
            <w:pPr>
              <w:jc w:val="right"/>
              <w:rPr>
                <w:b/>
                <w:bCs/>
                <w:color w:val="000000"/>
                <w:lang w:val="en-US"/>
              </w:rPr>
            </w:pPr>
            <w:r w:rsidRPr="002748EF">
              <w:rPr>
                <w:b/>
                <w:bCs/>
                <w:color w:val="000000"/>
                <w:lang w:val="en-US"/>
              </w:rPr>
              <w:t>(</w:t>
            </w:r>
            <w:r w:rsidR="006270B4" w:rsidRPr="002748EF">
              <w:rPr>
                <w:b/>
                <w:bCs/>
                <w:color w:val="000000"/>
                <w:lang w:val="en-US"/>
              </w:rPr>
              <w:t>35,985</w:t>
            </w:r>
            <w:r w:rsidRPr="002748EF">
              <w:rPr>
                <w:b/>
                <w:bCs/>
                <w:color w:val="000000"/>
                <w:lang w:val="en-US"/>
              </w:rPr>
              <w:t>)</w:t>
            </w:r>
          </w:p>
        </w:tc>
      </w:tr>
    </w:tbl>
    <w:p w:rsidR="009B1380" w:rsidRPr="002748EF" w:rsidRDefault="009B1380" w:rsidP="002748EF">
      <w:pPr>
        <w:outlineLvl w:val="0"/>
        <w:rPr>
          <w:b/>
          <w:lang w:val="en-CA"/>
        </w:rPr>
      </w:pPr>
    </w:p>
    <w:p w:rsidR="00017EC2" w:rsidRPr="002748EF" w:rsidRDefault="00017EC2" w:rsidP="00EA61B6">
      <w:pPr>
        <w:pStyle w:val="Style1"/>
        <w:numPr>
          <w:ilvl w:val="0"/>
          <w:numId w:val="7"/>
        </w:numPr>
        <w:spacing w:line="240" w:lineRule="auto"/>
        <w:ind w:left="0" w:firstLine="0"/>
      </w:pPr>
      <w:r w:rsidRPr="002748EF">
        <w:t xml:space="preserve">In addition, the proposed technical assistance activities and </w:t>
      </w:r>
      <w:r w:rsidR="0052209A" w:rsidRPr="002748EF">
        <w:t xml:space="preserve">actions </w:t>
      </w:r>
      <w:r w:rsidRPr="002748EF">
        <w:t xml:space="preserve">in the servicing sector, which include training </w:t>
      </w:r>
      <w:r w:rsidR="00910F40" w:rsidRPr="002748EF">
        <w:t xml:space="preserve">in good service practice </w:t>
      </w:r>
      <w:r w:rsidRPr="002748EF">
        <w:t>to reduce leakage rates and to facilitate the adoption of low GWP alternatives, would reduce the amount of HCFC-22 used for refrigeration servicing. Each kilogram of HCFC</w:t>
      </w:r>
      <w:r w:rsidR="00416F96" w:rsidRPr="002748EF">
        <w:t>-</w:t>
      </w:r>
      <w:r w:rsidRPr="002748EF">
        <w:t>22 not emitted due to better refrigeration practices results in the savings of approximately 1.8 CO</w:t>
      </w:r>
      <w:r w:rsidRPr="001362BC">
        <w:rPr>
          <w:vertAlign w:val="subscript"/>
        </w:rPr>
        <w:t>2</w:t>
      </w:r>
      <w:r w:rsidRPr="002748EF">
        <w:t xml:space="preserve"> equivalent tonnes.</w:t>
      </w:r>
    </w:p>
    <w:p w:rsidR="006270B4" w:rsidRPr="002748EF" w:rsidRDefault="006270B4" w:rsidP="002748EF">
      <w:pPr>
        <w:pStyle w:val="ListParagraph"/>
        <w:ind w:left="0"/>
        <w:rPr>
          <w:lang w:val="en-CA"/>
        </w:rPr>
      </w:pPr>
    </w:p>
    <w:p w:rsidR="00017EC2" w:rsidRPr="002748EF" w:rsidRDefault="00017EC2" w:rsidP="002748EF">
      <w:pPr>
        <w:keepNext/>
        <w:spacing w:after="240"/>
        <w:outlineLvl w:val="0"/>
        <w:rPr>
          <w:b/>
          <w:color w:val="000000"/>
          <w:shd w:val="clear" w:color="auto" w:fill="FFFF00"/>
        </w:rPr>
      </w:pPr>
      <w:r w:rsidRPr="002748EF">
        <w:rPr>
          <w:b/>
          <w:color w:val="000000"/>
        </w:rPr>
        <w:t>Co</w:t>
      </w:r>
      <w:r w:rsidRPr="002748EF">
        <w:rPr>
          <w:b/>
          <w:color w:val="000000"/>
        </w:rPr>
        <w:noBreakHyphen/>
        <w:t>financing</w:t>
      </w:r>
    </w:p>
    <w:p w:rsidR="00017EC2" w:rsidRPr="002748EF" w:rsidRDefault="00017EC2" w:rsidP="00EA61B6">
      <w:pPr>
        <w:pStyle w:val="Style1"/>
        <w:numPr>
          <w:ilvl w:val="0"/>
          <w:numId w:val="7"/>
        </w:numPr>
        <w:spacing w:line="240" w:lineRule="auto"/>
        <w:ind w:left="0" w:firstLine="0"/>
      </w:pPr>
      <w:r w:rsidRPr="002748EF">
        <w:t xml:space="preserve">Co-financing </w:t>
      </w:r>
      <w:r w:rsidR="00910F40" w:rsidRPr="002748EF">
        <w:t>would be provided</w:t>
      </w:r>
      <w:r w:rsidRPr="002748EF">
        <w:t xml:space="preserve"> through in-kind Government contribution</w:t>
      </w:r>
      <w:r w:rsidR="00910F40" w:rsidRPr="002748EF">
        <w:t xml:space="preserve"> for</w:t>
      </w:r>
      <w:r w:rsidRPr="002748EF">
        <w:t xml:space="preserve"> provision of personnel, office and storage space, testing facilities in the government laboratory </w:t>
      </w:r>
      <w:r w:rsidR="00910F40" w:rsidRPr="002748EF">
        <w:t xml:space="preserve">and </w:t>
      </w:r>
      <w:r w:rsidRPr="002748EF">
        <w:t>transportation</w:t>
      </w:r>
      <w:r w:rsidR="00910F40" w:rsidRPr="002748EF">
        <w:t>.</w:t>
      </w:r>
      <w:r w:rsidR="00F37D82" w:rsidRPr="002748EF">
        <w:t xml:space="preserve"> </w:t>
      </w:r>
      <w:r w:rsidR="00910F40" w:rsidRPr="002748EF">
        <w:t>Co</w:t>
      </w:r>
      <w:r w:rsidR="00F93EF8" w:rsidRPr="002748EF">
        <w:noBreakHyphen/>
        <w:t xml:space="preserve">financing </w:t>
      </w:r>
      <w:r w:rsidR="00910F40" w:rsidRPr="002748EF">
        <w:t xml:space="preserve">from recipients would be provided for non-eligible items (i.e., </w:t>
      </w:r>
      <w:r w:rsidRPr="002748EF">
        <w:t xml:space="preserve">counterpart funding was </w:t>
      </w:r>
      <w:r w:rsidR="00910F40" w:rsidRPr="002748EF">
        <w:t>estimated</w:t>
      </w:r>
      <w:r w:rsidR="00F37D82" w:rsidRPr="002748EF">
        <w:t xml:space="preserve"> </w:t>
      </w:r>
      <w:r w:rsidRPr="002748EF">
        <w:t>at US</w:t>
      </w:r>
      <w:r w:rsidR="003C5623" w:rsidRPr="002748EF">
        <w:t> </w:t>
      </w:r>
      <w:r w:rsidRPr="002748EF">
        <w:t>$193,496 to cover non-eligible components and activities above the</w:t>
      </w:r>
      <w:r w:rsidR="00F93EF8" w:rsidRPr="002748EF">
        <w:t xml:space="preserve"> </w:t>
      </w:r>
      <w:r w:rsidR="00160D11" w:rsidRPr="002748EF">
        <w:t>cost-</w:t>
      </w:r>
      <w:r w:rsidRPr="002748EF">
        <w:t>effectiveness threshold</w:t>
      </w:r>
      <w:r w:rsidR="00910F40" w:rsidRPr="002748EF">
        <w:t>)</w:t>
      </w:r>
      <w:r w:rsidRPr="002748EF">
        <w:t>.</w:t>
      </w:r>
    </w:p>
    <w:p w:rsidR="001B3FA7" w:rsidRPr="002748EF" w:rsidRDefault="001B3FA7" w:rsidP="002748EF">
      <w:pPr>
        <w:pStyle w:val="ListParagraph"/>
        <w:ind w:left="0"/>
      </w:pPr>
    </w:p>
    <w:p w:rsidR="00127DB4" w:rsidRPr="002748EF" w:rsidRDefault="00127DB4" w:rsidP="002748EF">
      <w:pPr>
        <w:keepNext/>
        <w:spacing w:after="240"/>
        <w:outlineLvl w:val="0"/>
        <w:rPr>
          <w:b/>
          <w:bCs/>
          <w:lang w:val="en-CA"/>
        </w:rPr>
      </w:pPr>
      <w:r w:rsidRPr="002748EF">
        <w:rPr>
          <w:b/>
          <w:bCs/>
          <w:lang w:val="en-CA"/>
        </w:rPr>
        <w:t>2016-2018 draft business plan of the Multilateral Fund</w:t>
      </w:r>
    </w:p>
    <w:p w:rsidR="00220970" w:rsidRPr="002748EF" w:rsidRDefault="00407E73" w:rsidP="00EA61B6">
      <w:pPr>
        <w:pStyle w:val="Style1"/>
        <w:numPr>
          <w:ilvl w:val="0"/>
          <w:numId w:val="7"/>
        </w:numPr>
        <w:spacing w:line="240" w:lineRule="auto"/>
        <w:ind w:left="0" w:firstLine="0"/>
      </w:pPr>
      <w:r w:rsidRPr="002748EF">
        <w:t xml:space="preserve">UNDP is </w:t>
      </w:r>
      <w:r w:rsidR="00F93EF8" w:rsidRPr="002748EF">
        <w:t>requesting US</w:t>
      </w:r>
      <w:r w:rsidRPr="002748EF">
        <w:t xml:space="preserve"> $1,105,157, plus agency support costs </w:t>
      </w:r>
      <w:r w:rsidR="00127DB4" w:rsidRPr="002748EF">
        <w:t>for the implementation of stage II of the HPMP</w:t>
      </w:r>
      <w:r w:rsidRPr="002748EF">
        <w:t>. The total value requested of US</w:t>
      </w:r>
      <w:r w:rsidR="00F93EF8" w:rsidRPr="002748EF">
        <w:t xml:space="preserve"> </w:t>
      </w:r>
      <w:r w:rsidRPr="002748EF">
        <w:t>$1,063,461</w:t>
      </w:r>
      <w:r w:rsidR="00F37D82" w:rsidRPr="002748EF">
        <w:t xml:space="preserve"> </w:t>
      </w:r>
      <w:r w:rsidRPr="002748EF">
        <w:t xml:space="preserve">including support costs, </w:t>
      </w:r>
      <w:r w:rsidR="00127DB4" w:rsidRPr="002748EF">
        <w:t xml:space="preserve">for the period 2016 to </w:t>
      </w:r>
      <w:r w:rsidRPr="002748EF">
        <w:t>2018</w:t>
      </w:r>
      <w:r w:rsidR="00127DB4" w:rsidRPr="002748EF">
        <w:t xml:space="preserve">, </w:t>
      </w:r>
      <w:r w:rsidRPr="002748EF">
        <w:t xml:space="preserve">is </w:t>
      </w:r>
      <w:r w:rsidR="00127DB4" w:rsidRPr="002748EF">
        <w:t>US </w:t>
      </w:r>
      <w:r w:rsidR="00197408" w:rsidRPr="002748EF">
        <w:t>$</w:t>
      </w:r>
      <w:r w:rsidRPr="002748EF">
        <w:t xml:space="preserve">430,306 </w:t>
      </w:r>
      <w:r w:rsidR="003F6D4B" w:rsidRPr="002748EF">
        <w:t>above</w:t>
      </w:r>
      <w:r w:rsidR="00127DB4" w:rsidRPr="002748EF">
        <w:t xml:space="preserve"> the amount in the business plan </w:t>
      </w:r>
      <w:r w:rsidRPr="002748EF">
        <w:t>for the same period</w:t>
      </w:r>
      <w:r w:rsidR="00127DB4" w:rsidRPr="002748EF">
        <w:t>.</w:t>
      </w:r>
    </w:p>
    <w:p w:rsidR="001B3FA7" w:rsidRPr="002748EF" w:rsidRDefault="001B3FA7" w:rsidP="002748EF">
      <w:pPr>
        <w:pStyle w:val="Style1"/>
        <w:numPr>
          <w:ilvl w:val="0"/>
          <w:numId w:val="0"/>
        </w:numPr>
        <w:spacing w:after="240" w:line="240" w:lineRule="auto"/>
        <w:rPr>
          <w:b/>
          <w:bCs/>
          <w:lang w:val="en-CA"/>
        </w:rPr>
      </w:pPr>
    </w:p>
    <w:p w:rsidR="00127DB4" w:rsidRDefault="00127DB4" w:rsidP="002748EF">
      <w:pPr>
        <w:pStyle w:val="Style1"/>
        <w:numPr>
          <w:ilvl w:val="0"/>
          <w:numId w:val="0"/>
        </w:numPr>
        <w:spacing w:after="240" w:line="240" w:lineRule="auto"/>
        <w:rPr>
          <w:b/>
          <w:bCs/>
          <w:lang w:val="en-CA"/>
        </w:rPr>
      </w:pPr>
      <w:r w:rsidRPr="002748EF">
        <w:rPr>
          <w:b/>
          <w:bCs/>
          <w:lang w:val="en-CA"/>
        </w:rPr>
        <w:t>Draft Agreement</w:t>
      </w:r>
    </w:p>
    <w:p w:rsidR="00EA61B6" w:rsidRPr="002748EF" w:rsidRDefault="00EA61B6" w:rsidP="002748EF">
      <w:pPr>
        <w:pStyle w:val="Style1"/>
        <w:numPr>
          <w:ilvl w:val="0"/>
          <w:numId w:val="0"/>
        </w:numPr>
        <w:spacing w:after="240" w:line="240" w:lineRule="auto"/>
        <w:rPr>
          <w:b/>
          <w:bCs/>
          <w:lang w:val="en-CA"/>
        </w:rPr>
      </w:pPr>
    </w:p>
    <w:p w:rsidR="00127DB4" w:rsidRPr="002748EF" w:rsidRDefault="00D74038" w:rsidP="00EA61B6">
      <w:pPr>
        <w:pStyle w:val="Style1"/>
        <w:numPr>
          <w:ilvl w:val="0"/>
          <w:numId w:val="7"/>
        </w:numPr>
        <w:spacing w:line="240" w:lineRule="auto"/>
        <w:ind w:left="0" w:firstLine="0"/>
      </w:pPr>
      <w:r w:rsidRPr="002748EF">
        <w:t xml:space="preserve">A draft Agreement between the Government of </w:t>
      </w:r>
      <w:r w:rsidR="006050AF" w:rsidRPr="002748EF">
        <w:t>Uruguay</w:t>
      </w:r>
      <w:r w:rsidRPr="002748EF">
        <w:t xml:space="preserve"> and the Executive Committee for the </w:t>
      </w:r>
      <w:r w:rsidR="00D02DBD" w:rsidRPr="002748EF">
        <w:t>phase-out</w:t>
      </w:r>
      <w:r w:rsidRPr="002748EF">
        <w:t xml:space="preserve"> of HCFCs in stage II of the HPMP is contained in Annex I to the present document</w:t>
      </w:r>
      <w:r w:rsidR="00D75C1A" w:rsidRPr="002748EF">
        <w:t>.</w:t>
      </w:r>
    </w:p>
    <w:p w:rsidR="001B3FA7" w:rsidRPr="00EA61B6" w:rsidRDefault="001B3FA7" w:rsidP="00EA61B6">
      <w:pPr>
        <w:pStyle w:val="Style1"/>
        <w:numPr>
          <w:ilvl w:val="0"/>
          <w:numId w:val="0"/>
        </w:numPr>
        <w:spacing w:line="240" w:lineRule="auto"/>
      </w:pPr>
    </w:p>
    <w:p w:rsidR="00127DB4" w:rsidRPr="002748EF" w:rsidRDefault="00127DB4" w:rsidP="00597DDF">
      <w:pPr>
        <w:keepNext/>
        <w:contextualSpacing/>
        <w:rPr>
          <w:b/>
          <w:bCs/>
          <w:lang w:val="en-CA"/>
        </w:rPr>
      </w:pPr>
      <w:r w:rsidRPr="002748EF">
        <w:rPr>
          <w:b/>
          <w:bCs/>
          <w:lang w:val="en-CA"/>
        </w:rPr>
        <w:lastRenderedPageBreak/>
        <w:t>RECOMMENDATION</w:t>
      </w:r>
    </w:p>
    <w:p w:rsidR="00127DB4" w:rsidRPr="002748EF" w:rsidRDefault="00127DB4" w:rsidP="00597DDF">
      <w:pPr>
        <w:keepNext/>
        <w:contextualSpacing/>
        <w:rPr>
          <w:u w:val="single"/>
          <w:lang w:val="en-CA"/>
        </w:rPr>
      </w:pPr>
    </w:p>
    <w:p w:rsidR="002E5A19" w:rsidRPr="002748EF" w:rsidRDefault="002E5A19" w:rsidP="00597DDF">
      <w:pPr>
        <w:pStyle w:val="Style1"/>
        <w:keepNext/>
        <w:numPr>
          <w:ilvl w:val="0"/>
          <w:numId w:val="7"/>
        </w:numPr>
        <w:spacing w:line="240" w:lineRule="auto"/>
        <w:ind w:left="0" w:firstLine="0"/>
      </w:pPr>
      <w:r w:rsidRPr="002748EF">
        <w:t>The Executive Committee may wish to consider:</w:t>
      </w:r>
    </w:p>
    <w:p w:rsidR="001B3FA7" w:rsidRPr="002748EF" w:rsidRDefault="001B3FA7" w:rsidP="002748EF">
      <w:pPr>
        <w:pStyle w:val="ListParagraph"/>
        <w:ind w:left="0"/>
      </w:pPr>
    </w:p>
    <w:p w:rsidR="000173BE" w:rsidRPr="002748EF" w:rsidRDefault="002E5A19" w:rsidP="00F07CA5">
      <w:pPr>
        <w:pStyle w:val="Heading2"/>
        <w:numPr>
          <w:ilvl w:val="1"/>
          <w:numId w:val="10"/>
        </w:numPr>
        <w:rPr>
          <w:lang w:val="en-US"/>
        </w:rPr>
      </w:pPr>
      <w:r w:rsidRPr="002748EF">
        <w:rPr>
          <w:lang w:val="en-US"/>
        </w:rPr>
        <w:t xml:space="preserve">Approving, in principle, stage II of the HCFC </w:t>
      </w:r>
      <w:r w:rsidR="00D02DBD" w:rsidRPr="002748EF">
        <w:rPr>
          <w:lang w:val="en-US"/>
        </w:rPr>
        <w:t>phase-out</w:t>
      </w:r>
      <w:r w:rsidRPr="002748EF">
        <w:rPr>
          <w:lang w:val="en-US"/>
        </w:rPr>
        <w:t xml:space="preserve"> management plan (HPMP) for </w:t>
      </w:r>
      <w:r w:rsidR="00160D11" w:rsidRPr="002748EF">
        <w:rPr>
          <w:lang w:val="en-US"/>
        </w:rPr>
        <w:t>Uruguay for</w:t>
      </w:r>
      <w:r w:rsidRPr="002748EF">
        <w:rPr>
          <w:lang w:val="en-US"/>
        </w:rPr>
        <w:t xml:space="preserve"> the period 20</w:t>
      </w:r>
      <w:r w:rsidR="000173BE" w:rsidRPr="002748EF">
        <w:rPr>
          <w:lang w:val="en-US"/>
        </w:rPr>
        <w:t>16</w:t>
      </w:r>
      <w:r w:rsidRPr="002748EF">
        <w:rPr>
          <w:lang w:val="en-US"/>
        </w:rPr>
        <w:t xml:space="preserve"> to 20</w:t>
      </w:r>
      <w:r w:rsidR="000173BE" w:rsidRPr="002748EF">
        <w:rPr>
          <w:lang w:val="en-US"/>
        </w:rPr>
        <w:t>20</w:t>
      </w:r>
      <w:r w:rsidRPr="002748EF">
        <w:rPr>
          <w:lang w:val="en-US"/>
        </w:rPr>
        <w:t xml:space="preserve"> to reduce HCFC consumption by </w:t>
      </w:r>
      <w:r w:rsidR="006050AF" w:rsidRPr="002748EF">
        <w:rPr>
          <w:lang w:val="en-US"/>
        </w:rPr>
        <w:t>35</w:t>
      </w:r>
      <w:r w:rsidRPr="002748EF">
        <w:rPr>
          <w:lang w:val="en-US"/>
        </w:rPr>
        <w:t xml:space="preserve"> per cent of </w:t>
      </w:r>
      <w:r w:rsidR="00D02DBD" w:rsidRPr="002748EF">
        <w:rPr>
          <w:lang w:val="en-US"/>
        </w:rPr>
        <w:t>its baseline</w:t>
      </w:r>
      <w:r w:rsidRPr="002748EF">
        <w:rPr>
          <w:lang w:val="en-US"/>
        </w:rPr>
        <w:t xml:space="preserve">, </w:t>
      </w:r>
      <w:r w:rsidR="006050AF" w:rsidRPr="002748EF">
        <w:rPr>
          <w:lang w:val="en-US"/>
        </w:rPr>
        <w:t>in the amount of US $</w:t>
      </w:r>
      <w:r w:rsidR="00627F6B" w:rsidRPr="002748EF">
        <w:rPr>
          <w:lang w:val="en-US"/>
        </w:rPr>
        <w:t>1,105,157</w:t>
      </w:r>
      <w:r w:rsidR="000173BE" w:rsidRPr="002748EF">
        <w:rPr>
          <w:lang w:val="en-US"/>
        </w:rPr>
        <w:t xml:space="preserve"> plus agency support costs of US $</w:t>
      </w:r>
      <w:r w:rsidR="00627F6B" w:rsidRPr="002748EF">
        <w:rPr>
          <w:lang w:val="en-US"/>
        </w:rPr>
        <w:t>77,361</w:t>
      </w:r>
      <w:r w:rsidR="000173BE" w:rsidRPr="002748EF">
        <w:rPr>
          <w:lang w:val="en-US"/>
        </w:rPr>
        <w:t>;</w:t>
      </w:r>
    </w:p>
    <w:p w:rsidR="005C7B83" w:rsidRDefault="00A87FC4" w:rsidP="00F07CA5">
      <w:pPr>
        <w:pStyle w:val="Heading2"/>
        <w:numPr>
          <w:ilvl w:val="1"/>
          <w:numId w:val="10"/>
        </w:numPr>
        <w:rPr>
          <w:lang w:val="en-US"/>
        </w:rPr>
      </w:pPr>
      <w:r>
        <w:rPr>
          <w:lang w:val="en-US"/>
        </w:rPr>
        <w:t>Noting</w:t>
      </w:r>
      <w:r w:rsidR="00B87021" w:rsidRPr="002748EF">
        <w:rPr>
          <w:lang w:val="en-US"/>
        </w:rPr>
        <w:t xml:space="preserve"> the commitment by the Government of </w:t>
      </w:r>
      <w:r w:rsidR="00A3294D" w:rsidRPr="002748EF">
        <w:rPr>
          <w:lang w:val="en-US"/>
        </w:rPr>
        <w:t>Uruguay</w:t>
      </w:r>
      <w:r w:rsidR="00B87021" w:rsidRPr="002748EF">
        <w:rPr>
          <w:lang w:val="en-US"/>
        </w:rPr>
        <w:t xml:space="preserve"> to ban imports of HCFC-141b, both pure and contained </w:t>
      </w:r>
      <w:r w:rsidRPr="002748EF">
        <w:rPr>
          <w:lang w:val="en-US"/>
        </w:rPr>
        <w:t>in</w:t>
      </w:r>
      <w:r>
        <w:rPr>
          <w:lang w:val="en-US"/>
        </w:rPr>
        <w:t xml:space="preserve"> imported </w:t>
      </w:r>
      <w:r w:rsidRPr="002748EF">
        <w:rPr>
          <w:lang w:val="en-US"/>
        </w:rPr>
        <w:t>pre</w:t>
      </w:r>
      <w:r w:rsidR="00B87021" w:rsidRPr="002748EF">
        <w:rPr>
          <w:lang w:val="en-US"/>
        </w:rPr>
        <w:t xml:space="preserve">-blended polyols, </w:t>
      </w:r>
      <w:r w:rsidR="00A3294D" w:rsidRPr="002748EF">
        <w:rPr>
          <w:lang w:val="en-US"/>
        </w:rPr>
        <w:t xml:space="preserve">after the conversion of enterprises are completed, and </w:t>
      </w:r>
      <w:r w:rsidR="00B87021" w:rsidRPr="002748EF">
        <w:rPr>
          <w:lang w:val="en-US"/>
        </w:rPr>
        <w:t>no later than 1 January 20</w:t>
      </w:r>
      <w:r w:rsidR="00A3294D" w:rsidRPr="002748EF">
        <w:rPr>
          <w:lang w:val="en-US"/>
        </w:rPr>
        <w:t>21</w:t>
      </w:r>
      <w:r w:rsidR="00B87021" w:rsidRPr="002748EF">
        <w:rPr>
          <w:lang w:val="en-US"/>
        </w:rPr>
        <w:t>;</w:t>
      </w:r>
    </w:p>
    <w:p w:rsidR="00A87FC4" w:rsidRPr="00A87FC4" w:rsidRDefault="00A87FC4" w:rsidP="00A87FC4">
      <w:pPr>
        <w:pStyle w:val="Heading2"/>
        <w:numPr>
          <w:ilvl w:val="1"/>
          <w:numId w:val="10"/>
        </w:numPr>
        <w:rPr>
          <w:lang w:val="en-US"/>
        </w:rPr>
      </w:pPr>
      <w:r w:rsidRPr="00A87FC4">
        <w:rPr>
          <w:lang w:val="en-US"/>
        </w:rPr>
        <w:t>Deducting 11.25 ODP tonnes of HCFCs from the remaining HCFC consumption eligible for funding and noting that no further funding is available for consumption of HCFC 141b contained in imported pre-blended polyols;</w:t>
      </w:r>
    </w:p>
    <w:p w:rsidR="005C7B83" w:rsidRPr="002748EF" w:rsidRDefault="00B87021" w:rsidP="00F07CA5">
      <w:pPr>
        <w:pStyle w:val="Heading2"/>
        <w:numPr>
          <w:ilvl w:val="1"/>
          <w:numId w:val="10"/>
        </w:numPr>
        <w:rPr>
          <w:lang w:val="en-US"/>
        </w:rPr>
      </w:pPr>
      <w:r w:rsidRPr="002748EF">
        <w:rPr>
          <w:lang w:val="en-US"/>
        </w:rPr>
        <w:t>Approving the draft Agreement between the Government of Uruguay and the Executive Committee for the reduction in consumption of HCFCs, in accordance with stage II of the HPMP, contained in Annex I to the present document; and</w:t>
      </w:r>
    </w:p>
    <w:p w:rsidR="000173BE" w:rsidRPr="002748EF" w:rsidRDefault="002E5A19" w:rsidP="00F07CA5">
      <w:pPr>
        <w:pStyle w:val="Heading2"/>
        <w:numPr>
          <w:ilvl w:val="1"/>
          <w:numId w:val="10"/>
        </w:numPr>
        <w:rPr>
          <w:lang w:val="en-US"/>
        </w:rPr>
      </w:pPr>
      <w:r w:rsidRPr="002748EF">
        <w:rPr>
          <w:lang w:val="en-US"/>
        </w:rPr>
        <w:t xml:space="preserve">Approving the first tranche of stage II of the HPMP for </w:t>
      </w:r>
      <w:r w:rsidR="006050AF" w:rsidRPr="002748EF">
        <w:rPr>
          <w:lang w:val="en-US"/>
        </w:rPr>
        <w:t>Uruguay</w:t>
      </w:r>
      <w:r w:rsidRPr="002748EF">
        <w:rPr>
          <w:lang w:val="en-US"/>
        </w:rPr>
        <w:t xml:space="preserve">, and the corresponding tranche implementation plans, in the amount of US </w:t>
      </w:r>
      <w:r w:rsidR="000173BE" w:rsidRPr="002748EF">
        <w:rPr>
          <w:lang w:val="en-US"/>
        </w:rPr>
        <w:t>$</w:t>
      </w:r>
      <w:r w:rsidR="00416F96" w:rsidRPr="002748EF">
        <w:rPr>
          <w:lang w:val="en-US"/>
        </w:rPr>
        <w:t>314,000</w:t>
      </w:r>
      <w:r w:rsidR="000173BE" w:rsidRPr="002748EF">
        <w:rPr>
          <w:lang w:val="en-US"/>
        </w:rPr>
        <w:t>, plus agency support costs of US $</w:t>
      </w:r>
      <w:r w:rsidR="00416F96" w:rsidRPr="002748EF">
        <w:rPr>
          <w:lang w:val="en-US"/>
        </w:rPr>
        <w:t>21,980</w:t>
      </w:r>
      <w:r w:rsidR="000173BE" w:rsidRPr="002748EF">
        <w:rPr>
          <w:lang w:val="en-US"/>
        </w:rPr>
        <w:t>.</w:t>
      </w:r>
    </w:p>
    <w:p w:rsidR="002D6E85" w:rsidRDefault="002D6E85" w:rsidP="00FA7457">
      <w:pPr>
        <w:widowControl w:val="0"/>
        <w:spacing w:after="240"/>
        <w:ind w:left="990"/>
        <w:outlineLvl w:val="1"/>
        <w:rPr>
          <w:lang w:val="en-CA"/>
        </w:rPr>
        <w:sectPr w:rsidR="002D6E85" w:rsidSect="008023F1">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docGrid w:linePitch="299"/>
        </w:sectPr>
      </w:pPr>
    </w:p>
    <w:p w:rsidR="000173BE" w:rsidRPr="00FA7457" w:rsidRDefault="000173BE" w:rsidP="00FA7457">
      <w:pPr>
        <w:widowControl w:val="0"/>
        <w:spacing w:after="240"/>
        <w:ind w:left="990"/>
        <w:outlineLvl w:val="1"/>
        <w:rPr>
          <w:lang w:val="en-CA"/>
        </w:rPr>
      </w:pPr>
    </w:p>
    <w:p w:rsidR="002E5A19" w:rsidRDefault="00200A7E" w:rsidP="002E5A19">
      <w:pPr>
        <w:jc w:val="center"/>
        <w:rPr>
          <w:b/>
          <w:lang w:val="en-CA"/>
        </w:rPr>
      </w:pPr>
      <w:r>
        <w:rPr>
          <w:b/>
          <w:lang w:val="en-CA"/>
        </w:rPr>
        <w:t>Annex</w:t>
      </w:r>
      <w:r w:rsidR="00964B01">
        <w:rPr>
          <w:b/>
          <w:lang w:val="en-CA"/>
        </w:rPr>
        <w:t xml:space="preserve"> I</w:t>
      </w:r>
    </w:p>
    <w:p w:rsidR="00964B01" w:rsidRDefault="00964B01" w:rsidP="002E5A19">
      <w:pPr>
        <w:jc w:val="center"/>
        <w:rPr>
          <w:b/>
          <w:lang w:val="en-CA"/>
        </w:rPr>
      </w:pPr>
    </w:p>
    <w:p w:rsidR="00964B01" w:rsidRDefault="00964B01" w:rsidP="002E5A19">
      <w:pPr>
        <w:jc w:val="center"/>
        <w:rPr>
          <w:b/>
          <w:lang w:val="en-CA"/>
        </w:rPr>
      </w:pPr>
    </w:p>
    <w:p w:rsidR="00964B01" w:rsidRPr="00B84C4B" w:rsidRDefault="00964B01" w:rsidP="00964B01">
      <w:pPr>
        <w:jc w:val="center"/>
        <w:rPr>
          <w:b/>
        </w:rPr>
      </w:pPr>
      <w:r w:rsidRPr="00B84C4B">
        <w:rPr>
          <w:b/>
        </w:rPr>
        <w:t>DRAFT AGREEMENT BETWEEN THE GOVERNMENT OF URUGUAY AND THE EXECUTIVE COMMITTEE OF THE MULTILATERAL FUND FOR THE REDUCTION IN CONSUMPTION OF HYDROCHLOROFLUOROCARBONS IN ACCORDANCE WITH STAGE II OF THE HCFC PHASE-OUT MANAGEMENT PLAN</w:t>
      </w:r>
    </w:p>
    <w:p w:rsidR="00964B01" w:rsidRPr="00B84C4B" w:rsidRDefault="00964B01" w:rsidP="00964B01">
      <w:pPr>
        <w:jc w:val="center"/>
        <w:rPr>
          <w:b/>
        </w:rPr>
      </w:pPr>
    </w:p>
    <w:p w:rsidR="00964B01" w:rsidRPr="00B84C4B" w:rsidRDefault="00964B01" w:rsidP="00964B01">
      <w:pPr>
        <w:rPr>
          <w:b/>
        </w:rPr>
      </w:pPr>
      <w:r w:rsidRPr="00B84C4B">
        <w:rPr>
          <w:b/>
        </w:rPr>
        <w:t>Purpose</w:t>
      </w:r>
    </w:p>
    <w:p w:rsidR="00964B01" w:rsidRPr="00B84C4B" w:rsidRDefault="00964B01" w:rsidP="00964B01">
      <w:pPr>
        <w:jc w:val="center"/>
      </w:pPr>
    </w:p>
    <w:p w:rsidR="00964B01" w:rsidRPr="00B84C4B" w:rsidRDefault="00964B01" w:rsidP="00F07CA5">
      <w:pPr>
        <w:pStyle w:val="Heading1"/>
        <w:numPr>
          <w:ilvl w:val="0"/>
          <w:numId w:val="11"/>
        </w:numPr>
      </w:pPr>
      <w:r w:rsidRPr="00B84C4B">
        <w:t xml:space="preserve">This Agreement represents the understanding of the Government of </w:t>
      </w:r>
      <w:r w:rsidR="00597DDF" w:rsidRPr="00B84C4B">
        <w:t>Uruguay (</w:t>
      </w:r>
      <w:r w:rsidRPr="00B84C4B">
        <w:t>the “Country”) and the Executive Committee with respect to the reduction of controlled use of the ozone</w:t>
      </w:r>
      <w:r w:rsidRPr="00B84C4B">
        <w:noBreakHyphen/>
        <w:t>depleting substances (ODS) set out in Appendix 1-A (“The Substances”) to a sustained level of 15.</w:t>
      </w:r>
      <w:r>
        <w:t>16</w:t>
      </w:r>
      <w:r w:rsidR="003A5C16">
        <w:t xml:space="preserve"> </w:t>
      </w:r>
      <w:r w:rsidRPr="00B84C4B">
        <w:t>ODP tonnes by 1 January 2020 in compliance with Montreal Protocol schedule.</w:t>
      </w:r>
    </w:p>
    <w:p w:rsidR="00964B01" w:rsidRPr="00B84C4B" w:rsidRDefault="00964B01" w:rsidP="00F07CA5">
      <w:pPr>
        <w:pStyle w:val="Heading1"/>
        <w:numPr>
          <w:ilvl w:val="0"/>
          <w:numId w:val="11"/>
        </w:numPr>
      </w:pPr>
      <w:r w:rsidRPr="00B84C4B">
        <w:t>The Country agrees to meet the annual consumption limits of the Substances as set out in row 1.2 of Appendix 2</w:t>
      </w:r>
      <w:r w:rsidRPr="00B84C4B">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w:t>
      </w:r>
      <w:r w:rsidRPr="00216AD0">
        <w:t xml:space="preserve"> 4.2.3,</w:t>
      </w:r>
      <w:r w:rsidR="00F93EF8">
        <w:t xml:space="preserve"> </w:t>
      </w:r>
      <w:r w:rsidRPr="00B84C4B">
        <w:t>4.3.3, 4.4.3, 4.5.3 and 4.6.3 (remaining consumption eligible for funding).</w:t>
      </w:r>
    </w:p>
    <w:p w:rsidR="00964B01" w:rsidRPr="00B84C4B" w:rsidRDefault="00964B01" w:rsidP="00F07CA5">
      <w:pPr>
        <w:pStyle w:val="Heading1"/>
        <w:numPr>
          <w:ilvl w:val="0"/>
          <w:numId w:val="11"/>
        </w:numPr>
      </w:pPr>
      <w:r w:rsidRPr="00B84C4B">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rsidR="00964B01" w:rsidRPr="00B84C4B" w:rsidRDefault="00964B01" w:rsidP="00F07CA5">
      <w:pPr>
        <w:pStyle w:val="Heading1"/>
        <w:numPr>
          <w:ilvl w:val="0"/>
          <w:numId w:val="11"/>
        </w:numPr>
      </w:pPr>
      <w:r w:rsidRPr="00B84C4B">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rsidR="00964B01" w:rsidRPr="00B84C4B" w:rsidRDefault="00964B01" w:rsidP="00964B01">
      <w:pPr>
        <w:rPr>
          <w:b/>
        </w:rPr>
      </w:pPr>
      <w:r w:rsidRPr="00B84C4B">
        <w:rPr>
          <w:b/>
        </w:rPr>
        <w:t>Conditions for funding release</w:t>
      </w:r>
    </w:p>
    <w:p w:rsidR="00964B01" w:rsidRPr="00B84C4B" w:rsidRDefault="00964B01" w:rsidP="00964B01"/>
    <w:p w:rsidR="00964B01" w:rsidRDefault="00964B01" w:rsidP="00F07CA5">
      <w:pPr>
        <w:pStyle w:val="Heading1"/>
        <w:numPr>
          <w:ilvl w:val="0"/>
          <w:numId w:val="11"/>
        </w:numPr>
      </w:pPr>
      <w:r w:rsidRPr="00B84C4B">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rsidR="00F93EF8" w:rsidRDefault="00F93EF8" w:rsidP="00F07CA5">
      <w:pPr>
        <w:pStyle w:val="Heading2"/>
        <w:keepNext/>
        <w:widowControl/>
        <w:numPr>
          <w:ilvl w:val="1"/>
          <w:numId w:val="19"/>
        </w:numPr>
      </w:pPr>
      <w:r w:rsidRPr="00F93EF8">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rsidR="00F93EF8" w:rsidRPr="00F93EF8" w:rsidRDefault="00F93EF8" w:rsidP="00F93EF8"/>
    <w:p w:rsidR="00964B01" w:rsidRPr="00B84C4B" w:rsidRDefault="00964B01" w:rsidP="00F07CA5">
      <w:pPr>
        <w:pStyle w:val="Heading2"/>
        <w:keepNext/>
        <w:widowControl/>
        <w:numPr>
          <w:ilvl w:val="1"/>
          <w:numId w:val="19"/>
        </w:numPr>
      </w:pPr>
      <w:r w:rsidRPr="00B84C4B">
        <w:lastRenderedPageBreak/>
        <w:t>That the meeting of these Targets has been independently verified for all relevant years, unless the Executive Committee decided that such verification would not be required;</w:t>
      </w:r>
    </w:p>
    <w:p w:rsidR="00964B01" w:rsidRPr="00B84C4B" w:rsidRDefault="00964B01" w:rsidP="00F07CA5">
      <w:pPr>
        <w:pStyle w:val="Heading2"/>
        <w:keepNext/>
        <w:keepLines/>
        <w:widowControl/>
        <w:numPr>
          <w:ilvl w:val="1"/>
          <w:numId w:val="19"/>
        </w:numPr>
      </w:pPr>
      <w:r w:rsidRPr="00B84C4B">
        <w:t>That the Country had submitted a Tranche Implementation Report in the form of Appendix 4-A (“Format of Tranche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rsidR="00964B01" w:rsidRPr="00B84C4B" w:rsidRDefault="00964B01" w:rsidP="00F07CA5">
      <w:pPr>
        <w:pStyle w:val="Heading2"/>
        <w:keepNext/>
        <w:widowControl/>
        <w:numPr>
          <w:ilvl w:val="1"/>
          <w:numId w:val="19"/>
        </w:numPr>
      </w:pPr>
      <w:r w:rsidRPr="00B84C4B">
        <w:t>That the Country has submitted a Tranche Implementation Plan in the form of Appendix 4-A covering each calendar year until and including the year for which the funding schedule foresees the submission of the next tranche or, in case of the final tranche, until completion of all activities foreseen.</w:t>
      </w:r>
    </w:p>
    <w:p w:rsidR="00964B01" w:rsidRPr="00B84C4B" w:rsidRDefault="00964B01" w:rsidP="00964B01">
      <w:pPr>
        <w:keepNext/>
        <w:rPr>
          <w:b/>
        </w:rPr>
      </w:pPr>
      <w:r w:rsidRPr="00B84C4B">
        <w:rPr>
          <w:b/>
        </w:rPr>
        <w:t>Monitoring</w:t>
      </w:r>
    </w:p>
    <w:p w:rsidR="00964B01" w:rsidRPr="00B84C4B" w:rsidRDefault="00964B01" w:rsidP="00964B01">
      <w:pPr>
        <w:keepNext/>
      </w:pPr>
    </w:p>
    <w:p w:rsidR="00964B01" w:rsidRPr="00B84C4B" w:rsidRDefault="00964B01" w:rsidP="00F07CA5">
      <w:pPr>
        <w:pStyle w:val="Heading1"/>
        <w:numPr>
          <w:ilvl w:val="0"/>
          <w:numId w:val="11"/>
        </w:numPr>
      </w:pPr>
      <w:r w:rsidRPr="00B84C4B">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rsidR="00964B01" w:rsidRPr="00B84C4B" w:rsidRDefault="00964B01" w:rsidP="00964B01">
      <w:pPr>
        <w:rPr>
          <w:b/>
        </w:rPr>
      </w:pPr>
      <w:r w:rsidRPr="00B84C4B">
        <w:rPr>
          <w:b/>
        </w:rPr>
        <w:t>Flexibility in the reallocation of funds</w:t>
      </w:r>
    </w:p>
    <w:p w:rsidR="00964B01" w:rsidRPr="00B84C4B" w:rsidRDefault="00964B01" w:rsidP="00964B01"/>
    <w:p w:rsidR="00964B01" w:rsidRPr="00B84C4B" w:rsidRDefault="00964B01" w:rsidP="00F07CA5">
      <w:pPr>
        <w:pStyle w:val="Heading1"/>
        <w:numPr>
          <w:ilvl w:val="0"/>
          <w:numId w:val="11"/>
        </w:numPr>
      </w:pPr>
      <w:r w:rsidRPr="00B84C4B">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rsidR="00964B01" w:rsidRPr="00B84C4B" w:rsidRDefault="00964B01" w:rsidP="00F07CA5">
      <w:pPr>
        <w:pStyle w:val="Heading2"/>
        <w:numPr>
          <w:ilvl w:val="1"/>
          <w:numId w:val="13"/>
        </w:numPr>
      </w:pPr>
      <w:r w:rsidRPr="00B84C4B">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rsidR="00964B01" w:rsidRPr="00B84C4B" w:rsidRDefault="00964B01" w:rsidP="00964B01">
      <w:pPr>
        <w:pStyle w:val="Heading3"/>
        <w:numPr>
          <w:ilvl w:val="2"/>
          <w:numId w:val="1"/>
        </w:numPr>
      </w:pPr>
      <w:r w:rsidRPr="00B84C4B">
        <w:t xml:space="preserve">Issues potentially concerning the rules and policies of the Multilateral Fund; </w:t>
      </w:r>
    </w:p>
    <w:p w:rsidR="00964B01" w:rsidRPr="00B84C4B" w:rsidRDefault="00964B01" w:rsidP="00964B01">
      <w:pPr>
        <w:pStyle w:val="Heading3"/>
        <w:numPr>
          <w:ilvl w:val="2"/>
          <w:numId w:val="1"/>
        </w:numPr>
      </w:pPr>
      <w:r w:rsidRPr="00B84C4B">
        <w:t xml:space="preserve">Changes which would modify any clause of this Agreement; </w:t>
      </w:r>
    </w:p>
    <w:p w:rsidR="00964B01" w:rsidRPr="00B84C4B" w:rsidRDefault="00964B01" w:rsidP="00964B01">
      <w:pPr>
        <w:pStyle w:val="Heading3"/>
        <w:numPr>
          <w:ilvl w:val="2"/>
          <w:numId w:val="1"/>
        </w:numPr>
      </w:pPr>
      <w:r w:rsidRPr="00B84C4B">
        <w:t>Changes in the annual levels of funding allocated to individual bilateral or implementing agencies for the different tranches;</w:t>
      </w:r>
    </w:p>
    <w:p w:rsidR="00964B01" w:rsidRPr="00B84C4B" w:rsidRDefault="00964B01" w:rsidP="00964B01">
      <w:pPr>
        <w:pStyle w:val="Heading3"/>
        <w:numPr>
          <w:ilvl w:val="2"/>
          <w:numId w:val="1"/>
        </w:numPr>
      </w:pPr>
      <w:r w:rsidRPr="00B84C4B">
        <w:t>Provision of funding for activities not included in the current endorsed Tranche Implementation Plan, or removal of an activity in the Tranche Implementation Plan, with a cost greater than 30 per cent of the total cost of the last approved tranche; and</w:t>
      </w:r>
    </w:p>
    <w:p w:rsidR="00964B01" w:rsidRPr="00B84C4B" w:rsidRDefault="00964B01" w:rsidP="00964B01">
      <w:pPr>
        <w:pStyle w:val="Heading3"/>
        <w:numPr>
          <w:ilvl w:val="2"/>
          <w:numId w:val="1"/>
        </w:numPr>
      </w:pPr>
      <w:r w:rsidRPr="00B84C4B">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rsidR="00964B01" w:rsidRPr="00B84C4B" w:rsidRDefault="00964B01" w:rsidP="00F07CA5">
      <w:pPr>
        <w:pStyle w:val="Heading2"/>
        <w:numPr>
          <w:ilvl w:val="1"/>
          <w:numId w:val="13"/>
        </w:numPr>
      </w:pPr>
      <w:r w:rsidRPr="00B84C4B">
        <w:t xml:space="preserve">Reallocations not categorized as major changes may be incorporated in the approved Tranche Implementation Plan, under implementation at the time, and reported to the </w:t>
      </w:r>
      <w:r w:rsidRPr="00B84C4B">
        <w:lastRenderedPageBreak/>
        <w:t>Executive Committee in the subsequent Tranche Implementation Report;</w:t>
      </w:r>
    </w:p>
    <w:p w:rsidR="00964B01" w:rsidRPr="00216AD0" w:rsidRDefault="00964B01" w:rsidP="00F07CA5">
      <w:pPr>
        <w:pStyle w:val="Heading2"/>
        <w:numPr>
          <w:ilvl w:val="1"/>
          <w:numId w:val="13"/>
        </w:numPr>
      </w:pPr>
      <w:r w:rsidRPr="00216AD0">
        <w:t>Any enterprise to be converted to non-HCFC technology included in the Plan and that would be found to be ineligible under the policies of the Multilateral Fund (i.e., due to foreign ownership or establishment post the 21 September 2007 cut-off date), would not receive financial assistance. This information would be reported as part of the Tranche Implementation Plan;</w:t>
      </w:r>
    </w:p>
    <w:p w:rsidR="00964B01" w:rsidRPr="00216AD0" w:rsidRDefault="00964B01" w:rsidP="00F07CA5">
      <w:pPr>
        <w:pStyle w:val="Heading2"/>
        <w:numPr>
          <w:ilvl w:val="1"/>
          <w:numId w:val="13"/>
        </w:numPr>
      </w:pPr>
      <w:r w:rsidRPr="00216AD0">
        <w:t>The Country agrees, in cases where HFC technologies have been chosen as an alternative to HCFCs, and taking into account national circumstances related to health and safety: to monitor the availability of substitutes and alternatives that further minimize impacts on the climate; to consider, in the review of regulations standards and incentives adequate provisions that encourage introduction of such alternatives; and to consider the potential for adoption of cost-effective alternatives that minimize the climate impact in the implementation of the HPMP, as appropriate, and inform the Executive Committee on the progress accordingly in tranche implementation reports; and</w:t>
      </w:r>
    </w:p>
    <w:p w:rsidR="00964B01" w:rsidRPr="00B84C4B" w:rsidRDefault="00964B01" w:rsidP="00F07CA5">
      <w:pPr>
        <w:pStyle w:val="Heading2"/>
        <w:numPr>
          <w:ilvl w:val="1"/>
          <w:numId w:val="13"/>
        </w:numPr>
      </w:pPr>
      <w:r w:rsidRPr="00B84C4B">
        <w:t>Any remaining funds held by the bilateral or implementing agencies or the Country under the Plan will be returned to the Multilateral Fund upon completion of the last tranche foreseen under this Agreement.</w:t>
      </w:r>
    </w:p>
    <w:p w:rsidR="00964B01" w:rsidRPr="00B84C4B" w:rsidRDefault="00964B01" w:rsidP="00964B01">
      <w:pPr>
        <w:rPr>
          <w:b/>
        </w:rPr>
      </w:pPr>
      <w:r w:rsidRPr="00B84C4B">
        <w:rPr>
          <w:b/>
        </w:rPr>
        <w:t>Considerations for the refrigeration servicing sector</w:t>
      </w:r>
    </w:p>
    <w:p w:rsidR="00964B01" w:rsidRPr="00B84C4B" w:rsidRDefault="00964B01" w:rsidP="00964B01"/>
    <w:p w:rsidR="00964B01" w:rsidRPr="00B84C4B" w:rsidRDefault="00964B01" w:rsidP="00F07CA5">
      <w:pPr>
        <w:pStyle w:val="Heading1"/>
        <w:numPr>
          <w:ilvl w:val="0"/>
          <w:numId w:val="11"/>
        </w:numPr>
      </w:pPr>
      <w:r w:rsidRPr="00B84C4B">
        <w:t>Specific attention will be paid to the execution of the activities in the refrigeration servicing sector included in the Plan, in particular:</w:t>
      </w:r>
    </w:p>
    <w:p w:rsidR="00964B01" w:rsidRPr="00B84C4B" w:rsidRDefault="00964B01" w:rsidP="00F07CA5">
      <w:pPr>
        <w:pStyle w:val="Heading2"/>
        <w:numPr>
          <w:ilvl w:val="1"/>
          <w:numId w:val="12"/>
        </w:numPr>
      </w:pPr>
      <w:r w:rsidRPr="00B84C4B">
        <w:t>The Country would use the flexibility available under this Agreement to address specific needs that might arise during project implementation; and</w:t>
      </w:r>
    </w:p>
    <w:p w:rsidR="00964B01" w:rsidRPr="00B84C4B" w:rsidRDefault="00964B01" w:rsidP="00F07CA5">
      <w:pPr>
        <w:pStyle w:val="Heading2"/>
        <w:numPr>
          <w:ilvl w:val="1"/>
          <w:numId w:val="12"/>
        </w:numPr>
      </w:pPr>
      <w:r w:rsidRPr="00B84C4B">
        <w:t>The Country and relevant bilateral and/or implementing agencies would take into consideration relevant decisions on the refrigeration servicing sector during the implementation of the Plan.</w:t>
      </w:r>
    </w:p>
    <w:p w:rsidR="00964B01" w:rsidRPr="00B84C4B" w:rsidRDefault="00964B01" w:rsidP="00964B01">
      <w:pPr>
        <w:rPr>
          <w:b/>
        </w:rPr>
      </w:pPr>
      <w:r w:rsidRPr="00B84C4B">
        <w:rPr>
          <w:b/>
        </w:rPr>
        <w:t>Bilateral and implementing agencies</w:t>
      </w:r>
    </w:p>
    <w:p w:rsidR="00964B01" w:rsidRPr="00B84C4B" w:rsidRDefault="00964B01" w:rsidP="00964B01"/>
    <w:p w:rsidR="00964B01" w:rsidRPr="00B84C4B" w:rsidRDefault="00964B01" w:rsidP="00F07CA5">
      <w:pPr>
        <w:pStyle w:val="Heading1"/>
        <w:numPr>
          <w:ilvl w:val="0"/>
          <w:numId w:val="11"/>
        </w:numPr>
      </w:pPr>
      <w:r w:rsidRPr="00B84C4B">
        <w:t xml:space="preserve">The Country agrees to assume overall responsibility for the management and implementation of this Agreement and of all activities undertaken by it or on its behalf to fulfil the obligations under this Agreement. The United Nations Development Programme </w:t>
      </w:r>
      <w:r w:rsidR="00200A7E">
        <w:t>(</w:t>
      </w:r>
      <w:r w:rsidRPr="00B84C4B">
        <w:t>UNDP</w:t>
      </w:r>
      <w:r w:rsidR="00200A7E">
        <w:t>)</w:t>
      </w:r>
      <w:r w:rsidRPr="00B84C4B">
        <w:t xml:space="preserve"> has agreed to be the lead implementing agency (the “Lead IA”) in respect of the Country’s activities under this Agreement. The Country agrees to evaluations, which might be carried out under the monitoring and evaluation work programmes of the Multilateral Fund or under the evaluation programme of the Lead IA taking part in this Agreement.</w:t>
      </w:r>
    </w:p>
    <w:p w:rsidR="00964B01" w:rsidRPr="00B84C4B" w:rsidRDefault="00964B01" w:rsidP="00F07CA5">
      <w:pPr>
        <w:pStyle w:val="Heading1"/>
        <w:numPr>
          <w:ilvl w:val="0"/>
          <w:numId w:val="11"/>
        </w:numPr>
      </w:pPr>
      <w:r w:rsidRPr="00B84C4B">
        <w:t xml:space="preserve">The Lead IA will be responsible for ensuring co-ordinated planning, implementation and reporting of all activities under this Agreement, including but not limited to independent verification as per sub-paragraph 5(b). The </w:t>
      </w:r>
      <w:r w:rsidR="00200A7E" w:rsidRPr="00B84C4B">
        <w:t>role</w:t>
      </w:r>
      <w:r w:rsidRPr="00216AD0">
        <w:t xml:space="preserve"> of the Lead IA</w:t>
      </w:r>
      <w:r w:rsidRPr="00B84C4B">
        <w:t xml:space="preserve"> is contained in Appendix 6-A. The Executive Committee agrees, in principle, to provide the Lead IA with the fees set out in row 2.2 of Appendix 2</w:t>
      </w:r>
      <w:r w:rsidRPr="00B84C4B">
        <w:noBreakHyphen/>
        <w:t>A.</w:t>
      </w:r>
    </w:p>
    <w:p w:rsidR="00964B01" w:rsidRPr="00B84C4B" w:rsidRDefault="00964B01" w:rsidP="00964B01">
      <w:pPr>
        <w:keepNext/>
        <w:rPr>
          <w:b/>
        </w:rPr>
      </w:pPr>
      <w:r w:rsidRPr="00B84C4B">
        <w:rPr>
          <w:b/>
        </w:rPr>
        <w:t>Non-compliance with the Agreement</w:t>
      </w:r>
    </w:p>
    <w:p w:rsidR="00964B01" w:rsidRPr="00B84C4B" w:rsidRDefault="00964B01" w:rsidP="00964B01">
      <w:pPr>
        <w:keepNext/>
      </w:pPr>
    </w:p>
    <w:p w:rsidR="00964B01" w:rsidRPr="00B84C4B" w:rsidRDefault="00964B01" w:rsidP="00F07CA5">
      <w:pPr>
        <w:pStyle w:val="Heading1"/>
        <w:numPr>
          <w:ilvl w:val="0"/>
          <w:numId w:val="11"/>
        </w:numPr>
      </w:pPr>
      <w:r w:rsidRPr="00B84C4B">
        <w:t xml:space="preserve">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w:t>
      </w:r>
      <w:r w:rsidRPr="00B84C4B">
        <w:lastRenderedPageBreak/>
        <w:t>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rsidR="00964B01" w:rsidRPr="00B84C4B" w:rsidRDefault="00964B01" w:rsidP="00F07CA5">
      <w:pPr>
        <w:pStyle w:val="Heading1"/>
        <w:numPr>
          <w:ilvl w:val="0"/>
          <w:numId w:val="11"/>
        </w:numPr>
      </w:pPr>
      <w:r w:rsidRPr="00B84C4B">
        <w:t>The Funding of this Agreement will not be modified on the basis of any future Executive Committee decisions that may affect the funding of any other consumption sector projects or any other related activities in the Country.</w:t>
      </w:r>
    </w:p>
    <w:p w:rsidR="00964B01" w:rsidRPr="00B84C4B" w:rsidRDefault="00964B01" w:rsidP="00F07CA5">
      <w:pPr>
        <w:pStyle w:val="Heading1"/>
        <w:numPr>
          <w:ilvl w:val="0"/>
          <w:numId w:val="11"/>
        </w:numPr>
      </w:pPr>
      <w:r w:rsidRPr="00B84C4B">
        <w:t>The Country will comply with any reasonable request of the Executive Committee</w:t>
      </w:r>
      <w:r w:rsidR="00037E83">
        <w:t xml:space="preserve"> and</w:t>
      </w:r>
      <w:r w:rsidRPr="00B84C4B">
        <w:t xml:space="preserve"> the Lead IA to facilitate implementation of this Agreement. In particular, it will provide the Lead IA with access to the information necessary to verify compliance with this Agreement.</w:t>
      </w:r>
    </w:p>
    <w:p w:rsidR="00964B01" w:rsidRPr="00B84C4B" w:rsidRDefault="00964B01" w:rsidP="00964B01">
      <w:pPr>
        <w:rPr>
          <w:b/>
        </w:rPr>
      </w:pPr>
      <w:r w:rsidRPr="00B84C4B">
        <w:rPr>
          <w:b/>
        </w:rPr>
        <w:t>Date of completion</w:t>
      </w:r>
    </w:p>
    <w:p w:rsidR="00964B01" w:rsidRPr="00B84C4B" w:rsidRDefault="00964B01" w:rsidP="00964B01"/>
    <w:p w:rsidR="00964B01" w:rsidRPr="00B84C4B" w:rsidRDefault="00964B01" w:rsidP="00F07CA5">
      <w:pPr>
        <w:pStyle w:val="Heading1"/>
        <w:numPr>
          <w:ilvl w:val="0"/>
          <w:numId w:val="11"/>
        </w:numPr>
      </w:pPr>
      <w:r w:rsidRPr="00B84C4B">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rsidR="00964B01" w:rsidRPr="00B84C4B" w:rsidRDefault="00964B01" w:rsidP="00964B01">
      <w:pPr>
        <w:keepNext/>
        <w:rPr>
          <w:b/>
        </w:rPr>
      </w:pPr>
      <w:r w:rsidRPr="00B84C4B">
        <w:rPr>
          <w:b/>
        </w:rPr>
        <w:t>Validity</w:t>
      </w:r>
    </w:p>
    <w:p w:rsidR="00964B01" w:rsidRPr="00B84C4B" w:rsidRDefault="00964B01" w:rsidP="00964B01">
      <w:pPr>
        <w:keepNext/>
      </w:pPr>
    </w:p>
    <w:p w:rsidR="00964B01" w:rsidRPr="00B84C4B" w:rsidRDefault="00964B01" w:rsidP="00F07CA5">
      <w:pPr>
        <w:pStyle w:val="Heading1"/>
        <w:numPr>
          <w:ilvl w:val="0"/>
          <w:numId w:val="11"/>
        </w:numPr>
      </w:pPr>
      <w:r w:rsidRPr="00B84C4B">
        <w:t>All of the conditions set out in this Agreement are undertaken solely within the context of the Montreal Protocol and as specified in this Agreement.  All terms used in this Agreement have the meaning ascribed to them in the Montreal Protocol unless otherwise defined herein.</w:t>
      </w:r>
    </w:p>
    <w:p w:rsidR="00964B01" w:rsidRPr="00B84C4B" w:rsidRDefault="00964B01" w:rsidP="00F07CA5">
      <w:pPr>
        <w:pStyle w:val="Heading1"/>
        <w:numPr>
          <w:ilvl w:val="0"/>
          <w:numId w:val="11"/>
        </w:numPr>
      </w:pPr>
      <w:r w:rsidRPr="00B84C4B">
        <w:t>This Agreement may be modified or terminated only by mutual written agreement of the Country and the Executive Committee of the Multilateral Fund.</w:t>
      </w:r>
    </w:p>
    <w:p w:rsidR="00964B01" w:rsidRPr="00B84C4B" w:rsidRDefault="00964B01" w:rsidP="00964B01">
      <w:pPr>
        <w:pStyle w:val="Heading1"/>
        <w:keepNext/>
        <w:rPr>
          <w:b/>
        </w:rPr>
      </w:pPr>
      <w:r w:rsidRPr="00B84C4B">
        <w:rPr>
          <w:b/>
        </w:rPr>
        <w:lastRenderedPageBreak/>
        <w:t xml:space="preserve">APPENDICES </w:t>
      </w:r>
    </w:p>
    <w:p w:rsidR="00964B01" w:rsidRPr="00B84C4B" w:rsidRDefault="00964B01" w:rsidP="00964B01">
      <w:pPr>
        <w:pStyle w:val="Heading1"/>
        <w:keepNext/>
        <w:rPr>
          <w:b/>
        </w:rPr>
      </w:pPr>
      <w:r w:rsidRPr="00B84C4B">
        <w:rPr>
          <w:b/>
        </w:rPr>
        <w:t>APPENDIX 1-A: THE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157"/>
        <w:gridCol w:w="1118"/>
        <w:gridCol w:w="2969"/>
      </w:tblGrid>
      <w:tr w:rsidR="00964B01" w:rsidRPr="00B84C4B" w:rsidTr="008C44D0">
        <w:trPr>
          <w:trHeight w:val="413"/>
        </w:trPr>
        <w:tc>
          <w:tcPr>
            <w:tcW w:w="2262" w:type="pct"/>
            <w:shd w:val="clear" w:color="auto" w:fill="auto"/>
          </w:tcPr>
          <w:p w:rsidR="00964B01" w:rsidRPr="00B84C4B" w:rsidRDefault="00964B01" w:rsidP="008C44D0">
            <w:pPr>
              <w:keepNext/>
              <w:jc w:val="center"/>
              <w:rPr>
                <w:sz w:val="20"/>
                <w:szCs w:val="20"/>
              </w:rPr>
            </w:pPr>
            <w:r w:rsidRPr="00B84C4B">
              <w:rPr>
                <w:sz w:val="20"/>
                <w:szCs w:val="20"/>
              </w:rPr>
              <w:t>Substance</w:t>
            </w:r>
          </w:p>
        </w:tc>
        <w:tc>
          <w:tcPr>
            <w:tcW w:w="604" w:type="pct"/>
            <w:shd w:val="clear" w:color="auto" w:fill="auto"/>
          </w:tcPr>
          <w:p w:rsidR="00964B01" w:rsidRPr="00B84C4B" w:rsidRDefault="00964B01" w:rsidP="008C44D0">
            <w:pPr>
              <w:keepNext/>
              <w:jc w:val="center"/>
              <w:rPr>
                <w:sz w:val="20"/>
                <w:szCs w:val="20"/>
              </w:rPr>
            </w:pPr>
            <w:r w:rsidRPr="00B84C4B">
              <w:rPr>
                <w:sz w:val="20"/>
                <w:szCs w:val="20"/>
              </w:rPr>
              <w:t>Annex</w:t>
            </w:r>
          </w:p>
        </w:tc>
        <w:tc>
          <w:tcPr>
            <w:tcW w:w="584" w:type="pct"/>
            <w:shd w:val="clear" w:color="auto" w:fill="auto"/>
          </w:tcPr>
          <w:p w:rsidR="00964B01" w:rsidRPr="00B84C4B" w:rsidRDefault="00964B01" w:rsidP="008C44D0">
            <w:pPr>
              <w:keepNext/>
              <w:jc w:val="center"/>
              <w:rPr>
                <w:sz w:val="20"/>
                <w:szCs w:val="20"/>
              </w:rPr>
            </w:pPr>
            <w:r w:rsidRPr="00B84C4B">
              <w:rPr>
                <w:sz w:val="20"/>
                <w:szCs w:val="20"/>
              </w:rPr>
              <w:t>Group</w:t>
            </w:r>
          </w:p>
        </w:tc>
        <w:tc>
          <w:tcPr>
            <w:tcW w:w="1550" w:type="pct"/>
            <w:shd w:val="clear" w:color="auto" w:fill="auto"/>
          </w:tcPr>
          <w:p w:rsidR="00964B01" w:rsidRPr="00B84C4B" w:rsidRDefault="00964B01" w:rsidP="008C44D0">
            <w:pPr>
              <w:keepNext/>
              <w:jc w:val="center"/>
              <w:rPr>
                <w:sz w:val="20"/>
                <w:szCs w:val="20"/>
              </w:rPr>
            </w:pPr>
            <w:r w:rsidRPr="00B84C4B">
              <w:rPr>
                <w:sz w:val="20"/>
                <w:szCs w:val="20"/>
              </w:rPr>
              <w:t>Starting point for aggregate reductions in consumption (ODP tonnes)</w:t>
            </w:r>
          </w:p>
        </w:tc>
      </w:tr>
      <w:tr w:rsidR="00964B01" w:rsidRPr="00B84C4B" w:rsidTr="008C44D0">
        <w:tc>
          <w:tcPr>
            <w:tcW w:w="2262" w:type="pct"/>
            <w:shd w:val="clear" w:color="auto" w:fill="auto"/>
          </w:tcPr>
          <w:p w:rsidR="00964B01" w:rsidRPr="00B84C4B" w:rsidRDefault="00964B01" w:rsidP="008C44D0">
            <w:pPr>
              <w:keepNext/>
              <w:rPr>
                <w:sz w:val="20"/>
                <w:szCs w:val="20"/>
              </w:rPr>
            </w:pPr>
            <w:r w:rsidRPr="00B84C4B">
              <w:rPr>
                <w:sz w:val="20"/>
                <w:szCs w:val="20"/>
              </w:rPr>
              <w:t>HCFC-22</w:t>
            </w:r>
          </w:p>
        </w:tc>
        <w:tc>
          <w:tcPr>
            <w:tcW w:w="604" w:type="pct"/>
            <w:shd w:val="clear" w:color="auto" w:fill="auto"/>
          </w:tcPr>
          <w:p w:rsidR="00964B01" w:rsidRPr="00B84C4B" w:rsidRDefault="00964B01" w:rsidP="008C44D0">
            <w:pPr>
              <w:keepNext/>
              <w:rPr>
                <w:sz w:val="20"/>
                <w:szCs w:val="20"/>
              </w:rPr>
            </w:pPr>
            <w:r w:rsidRPr="00B84C4B">
              <w:rPr>
                <w:sz w:val="20"/>
                <w:szCs w:val="20"/>
              </w:rPr>
              <w:t>C</w:t>
            </w:r>
          </w:p>
        </w:tc>
        <w:tc>
          <w:tcPr>
            <w:tcW w:w="584" w:type="pct"/>
            <w:shd w:val="clear" w:color="auto" w:fill="auto"/>
          </w:tcPr>
          <w:p w:rsidR="00964B01" w:rsidRPr="00B84C4B" w:rsidRDefault="00964B01" w:rsidP="008C44D0">
            <w:pPr>
              <w:keepNext/>
              <w:rPr>
                <w:sz w:val="20"/>
                <w:szCs w:val="20"/>
              </w:rPr>
            </w:pPr>
            <w:r w:rsidRPr="00B84C4B">
              <w:rPr>
                <w:sz w:val="20"/>
                <w:szCs w:val="20"/>
              </w:rPr>
              <w:t>I</w:t>
            </w:r>
          </w:p>
        </w:tc>
        <w:tc>
          <w:tcPr>
            <w:tcW w:w="1550" w:type="pct"/>
            <w:shd w:val="clear" w:color="auto" w:fill="auto"/>
          </w:tcPr>
          <w:p w:rsidR="00964B01" w:rsidRPr="00B84C4B" w:rsidRDefault="00964B01" w:rsidP="008C44D0">
            <w:pPr>
              <w:keepNext/>
              <w:jc w:val="right"/>
              <w:rPr>
                <w:sz w:val="20"/>
                <w:szCs w:val="20"/>
              </w:rPr>
            </w:pPr>
            <w:r w:rsidRPr="00B84C4B">
              <w:rPr>
                <w:sz w:val="20"/>
                <w:szCs w:val="20"/>
              </w:rPr>
              <w:t>21.08</w:t>
            </w:r>
          </w:p>
        </w:tc>
      </w:tr>
      <w:tr w:rsidR="00964B01" w:rsidRPr="00B84C4B" w:rsidTr="008C44D0">
        <w:tblPrEx>
          <w:tblLook w:val="0000" w:firstRow="0" w:lastRow="0" w:firstColumn="0" w:lastColumn="0" w:noHBand="0" w:noVBand="0"/>
        </w:tblPrEx>
        <w:tc>
          <w:tcPr>
            <w:tcW w:w="2262" w:type="pct"/>
            <w:shd w:val="clear" w:color="auto" w:fill="auto"/>
          </w:tcPr>
          <w:p w:rsidR="00964B01" w:rsidRPr="00B84C4B" w:rsidRDefault="00964B01" w:rsidP="008C44D0">
            <w:pPr>
              <w:keepNext/>
              <w:rPr>
                <w:sz w:val="20"/>
                <w:szCs w:val="20"/>
              </w:rPr>
            </w:pPr>
            <w:r w:rsidRPr="00B84C4B">
              <w:rPr>
                <w:sz w:val="20"/>
                <w:szCs w:val="20"/>
              </w:rPr>
              <w:t>HCFC-123</w:t>
            </w:r>
          </w:p>
        </w:tc>
        <w:tc>
          <w:tcPr>
            <w:tcW w:w="604" w:type="pct"/>
            <w:shd w:val="clear" w:color="auto" w:fill="auto"/>
          </w:tcPr>
          <w:p w:rsidR="00964B01" w:rsidRPr="00B84C4B" w:rsidRDefault="00964B01" w:rsidP="008C44D0">
            <w:pPr>
              <w:keepNext/>
              <w:rPr>
                <w:sz w:val="20"/>
                <w:szCs w:val="20"/>
              </w:rPr>
            </w:pPr>
            <w:r w:rsidRPr="00B84C4B">
              <w:rPr>
                <w:sz w:val="20"/>
                <w:szCs w:val="20"/>
              </w:rPr>
              <w:t>C</w:t>
            </w:r>
          </w:p>
        </w:tc>
        <w:tc>
          <w:tcPr>
            <w:tcW w:w="584" w:type="pct"/>
            <w:shd w:val="clear" w:color="auto" w:fill="auto"/>
          </w:tcPr>
          <w:p w:rsidR="00964B01" w:rsidRPr="00B84C4B" w:rsidRDefault="00964B01" w:rsidP="008C44D0">
            <w:pPr>
              <w:keepNext/>
              <w:rPr>
                <w:sz w:val="20"/>
                <w:szCs w:val="20"/>
              </w:rPr>
            </w:pPr>
            <w:r w:rsidRPr="00B84C4B">
              <w:rPr>
                <w:sz w:val="20"/>
                <w:szCs w:val="20"/>
              </w:rPr>
              <w:t>I</w:t>
            </w:r>
          </w:p>
        </w:tc>
        <w:tc>
          <w:tcPr>
            <w:tcW w:w="1550" w:type="pct"/>
            <w:shd w:val="clear" w:color="auto" w:fill="auto"/>
          </w:tcPr>
          <w:p w:rsidR="00964B01" w:rsidRPr="00B84C4B" w:rsidRDefault="00964B01" w:rsidP="008C44D0">
            <w:pPr>
              <w:keepNext/>
              <w:jc w:val="right"/>
              <w:rPr>
                <w:sz w:val="20"/>
                <w:szCs w:val="20"/>
              </w:rPr>
            </w:pPr>
            <w:r w:rsidRPr="00B84C4B">
              <w:rPr>
                <w:sz w:val="20"/>
                <w:szCs w:val="20"/>
              </w:rPr>
              <w:t>0.04</w:t>
            </w:r>
          </w:p>
        </w:tc>
      </w:tr>
      <w:tr w:rsidR="00964B01" w:rsidRPr="00B84C4B" w:rsidTr="008C44D0">
        <w:tblPrEx>
          <w:tblLook w:val="0000" w:firstRow="0" w:lastRow="0" w:firstColumn="0" w:lastColumn="0" w:noHBand="0" w:noVBand="0"/>
        </w:tblPrEx>
        <w:tc>
          <w:tcPr>
            <w:tcW w:w="2262" w:type="pct"/>
            <w:shd w:val="clear" w:color="auto" w:fill="auto"/>
          </w:tcPr>
          <w:p w:rsidR="00964B01" w:rsidRPr="00B84C4B" w:rsidRDefault="00964B01" w:rsidP="008C44D0">
            <w:pPr>
              <w:keepNext/>
              <w:rPr>
                <w:sz w:val="20"/>
                <w:szCs w:val="20"/>
              </w:rPr>
            </w:pPr>
            <w:r w:rsidRPr="00B84C4B">
              <w:rPr>
                <w:sz w:val="20"/>
                <w:szCs w:val="20"/>
              </w:rPr>
              <w:t>HCFC-124</w:t>
            </w:r>
          </w:p>
        </w:tc>
        <w:tc>
          <w:tcPr>
            <w:tcW w:w="604" w:type="pct"/>
            <w:shd w:val="clear" w:color="auto" w:fill="auto"/>
          </w:tcPr>
          <w:p w:rsidR="00964B01" w:rsidRPr="00B84C4B" w:rsidRDefault="00964B01" w:rsidP="008C44D0">
            <w:pPr>
              <w:keepNext/>
              <w:rPr>
                <w:sz w:val="20"/>
                <w:szCs w:val="20"/>
              </w:rPr>
            </w:pPr>
            <w:r w:rsidRPr="00B84C4B">
              <w:rPr>
                <w:sz w:val="20"/>
                <w:szCs w:val="20"/>
              </w:rPr>
              <w:t>C</w:t>
            </w:r>
          </w:p>
        </w:tc>
        <w:tc>
          <w:tcPr>
            <w:tcW w:w="584" w:type="pct"/>
            <w:shd w:val="clear" w:color="auto" w:fill="auto"/>
          </w:tcPr>
          <w:p w:rsidR="00964B01" w:rsidRPr="00B84C4B" w:rsidRDefault="00964B01" w:rsidP="008C44D0">
            <w:pPr>
              <w:keepNext/>
              <w:rPr>
                <w:sz w:val="20"/>
                <w:szCs w:val="20"/>
              </w:rPr>
            </w:pPr>
            <w:r w:rsidRPr="00B84C4B">
              <w:rPr>
                <w:sz w:val="20"/>
                <w:szCs w:val="20"/>
              </w:rPr>
              <w:t>I</w:t>
            </w:r>
          </w:p>
        </w:tc>
        <w:tc>
          <w:tcPr>
            <w:tcW w:w="1550" w:type="pct"/>
            <w:shd w:val="clear" w:color="auto" w:fill="auto"/>
          </w:tcPr>
          <w:p w:rsidR="00964B01" w:rsidRPr="00B84C4B" w:rsidRDefault="00964B01" w:rsidP="008C44D0">
            <w:pPr>
              <w:keepNext/>
              <w:jc w:val="right"/>
              <w:rPr>
                <w:sz w:val="20"/>
                <w:szCs w:val="20"/>
              </w:rPr>
            </w:pPr>
            <w:r w:rsidRPr="00B84C4B">
              <w:rPr>
                <w:sz w:val="20"/>
                <w:szCs w:val="20"/>
              </w:rPr>
              <w:t>0.09</w:t>
            </w:r>
          </w:p>
        </w:tc>
      </w:tr>
      <w:tr w:rsidR="00964B01" w:rsidRPr="00B84C4B" w:rsidTr="008C44D0">
        <w:tblPrEx>
          <w:tblLook w:val="0000" w:firstRow="0" w:lastRow="0" w:firstColumn="0" w:lastColumn="0" w:noHBand="0" w:noVBand="0"/>
        </w:tblPrEx>
        <w:tc>
          <w:tcPr>
            <w:tcW w:w="2262" w:type="pct"/>
            <w:shd w:val="clear" w:color="auto" w:fill="auto"/>
          </w:tcPr>
          <w:p w:rsidR="00964B01" w:rsidRPr="00B84C4B" w:rsidRDefault="00964B01" w:rsidP="008C44D0">
            <w:pPr>
              <w:keepNext/>
              <w:rPr>
                <w:sz w:val="20"/>
                <w:szCs w:val="20"/>
              </w:rPr>
            </w:pPr>
            <w:r w:rsidRPr="00B84C4B">
              <w:rPr>
                <w:sz w:val="20"/>
                <w:szCs w:val="20"/>
              </w:rPr>
              <w:t>HCFC-141b</w:t>
            </w:r>
          </w:p>
        </w:tc>
        <w:tc>
          <w:tcPr>
            <w:tcW w:w="604" w:type="pct"/>
            <w:shd w:val="clear" w:color="auto" w:fill="auto"/>
          </w:tcPr>
          <w:p w:rsidR="00964B01" w:rsidRPr="00B84C4B" w:rsidRDefault="00964B01" w:rsidP="008C44D0">
            <w:pPr>
              <w:keepNext/>
              <w:rPr>
                <w:sz w:val="20"/>
                <w:szCs w:val="20"/>
              </w:rPr>
            </w:pPr>
            <w:r w:rsidRPr="00B84C4B">
              <w:rPr>
                <w:sz w:val="20"/>
                <w:szCs w:val="20"/>
              </w:rPr>
              <w:t>C</w:t>
            </w:r>
          </w:p>
        </w:tc>
        <w:tc>
          <w:tcPr>
            <w:tcW w:w="584" w:type="pct"/>
            <w:shd w:val="clear" w:color="auto" w:fill="auto"/>
          </w:tcPr>
          <w:p w:rsidR="00964B01" w:rsidRPr="00B84C4B" w:rsidRDefault="00964B01" w:rsidP="008C44D0">
            <w:pPr>
              <w:keepNext/>
              <w:rPr>
                <w:sz w:val="20"/>
                <w:szCs w:val="20"/>
              </w:rPr>
            </w:pPr>
            <w:r w:rsidRPr="00B84C4B">
              <w:rPr>
                <w:sz w:val="20"/>
                <w:szCs w:val="20"/>
              </w:rPr>
              <w:t>I</w:t>
            </w:r>
          </w:p>
        </w:tc>
        <w:tc>
          <w:tcPr>
            <w:tcW w:w="1550" w:type="pct"/>
            <w:shd w:val="clear" w:color="auto" w:fill="auto"/>
          </w:tcPr>
          <w:p w:rsidR="00964B01" w:rsidRPr="00B84C4B" w:rsidRDefault="00964B01" w:rsidP="008C44D0">
            <w:pPr>
              <w:keepNext/>
              <w:jc w:val="right"/>
              <w:rPr>
                <w:sz w:val="20"/>
                <w:szCs w:val="20"/>
              </w:rPr>
            </w:pPr>
            <w:r w:rsidRPr="00B84C4B">
              <w:rPr>
                <w:sz w:val="20"/>
                <w:szCs w:val="20"/>
              </w:rPr>
              <w:t>1.49</w:t>
            </w:r>
          </w:p>
        </w:tc>
      </w:tr>
      <w:tr w:rsidR="00964B01" w:rsidRPr="00B84C4B" w:rsidTr="008C44D0">
        <w:tblPrEx>
          <w:tblLook w:val="0000" w:firstRow="0" w:lastRow="0" w:firstColumn="0" w:lastColumn="0" w:noHBand="0" w:noVBand="0"/>
        </w:tblPrEx>
        <w:tc>
          <w:tcPr>
            <w:tcW w:w="2262" w:type="pct"/>
            <w:shd w:val="clear" w:color="auto" w:fill="auto"/>
          </w:tcPr>
          <w:p w:rsidR="00964B01" w:rsidRPr="00B84C4B" w:rsidRDefault="00964B01" w:rsidP="008C44D0">
            <w:pPr>
              <w:keepNext/>
              <w:rPr>
                <w:sz w:val="20"/>
                <w:szCs w:val="20"/>
              </w:rPr>
            </w:pPr>
            <w:r w:rsidRPr="00B84C4B">
              <w:rPr>
                <w:sz w:val="20"/>
                <w:szCs w:val="20"/>
              </w:rPr>
              <w:t>HCFC-142b</w:t>
            </w:r>
          </w:p>
        </w:tc>
        <w:tc>
          <w:tcPr>
            <w:tcW w:w="604" w:type="pct"/>
            <w:shd w:val="clear" w:color="auto" w:fill="auto"/>
          </w:tcPr>
          <w:p w:rsidR="00964B01" w:rsidRPr="00B84C4B" w:rsidRDefault="00964B01" w:rsidP="008C44D0">
            <w:pPr>
              <w:keepNext/>
              <w:rPr>
                <w:sz w:val="20"/>
                <w:szCs w:val="20"/>
              </w:rPr>
            </w:pPr>
            <w:r w:rsidRPr="00B84C4B">
              <w:rPr>
                <w:sz w:val="20"/>
                <w:szCs w:val="20"/>
              </w:rPr>
              <w:t>C</w:t>
            </w:r>
          </w:p>
        </w:tc>
        <w:tc>
          <w:tcPr>
            <w:tcW w:w="584" w:type="pct"/>
            <w:shd w:val="clear" w:color="auto" w:fill="auto"/>
          </w:tcPr>
          <w:p w:rsidR="00964B01" w:rsidRPr="00B84C4B" w:rsidRDefault="00964B01" w:rsidP="008C44D0">
            <w:pPr>
              <w:keepNext/>
              <w:rPr>
                <w:sz w:val="20"/>
                <w:szCs w:val="20"/>
              </w:rPr>
            </w:pPr>
            <w:r w:rsidRPr="00B84C4B">
              <w:rPr>
                <w:sz w:val="20"/>
                <w:szCs w:val="20"/>
              </w:rPr>
              <w:t>I</w:t>
            </w:r>
          </w:p>
        </w:tc>
        <w:tc>
          <w:tcPr>
            <w:tcW w:w="1550" w:type="pct"/>
            <w:shd w:val="clear" w:color="auto" w:fill="auto"/>
          </w:tcPr>
          <w:p w:rsidR="00964B01" w:rsidRPr="00B84C4B" w:rsidRDefault="00964B01" w:rsidP="008C44D0">
            <w:pPr>
              <w:keepNext/>
              <w:jc w:val="right"/>
              <w:rPr>
                <w:sz w:val="20"/>
                <w:szCs w:val="20"/>
              </w:rPr>
            </w:pPr>
            <w:r w:rsidRPr="00B84C4B">
              <w:rPr>
                <w:sz w:val="20"/>
                <w:szCs w:val="20"/>
              </w:rPr>
              <w:t>0.63</w:t>
            </w:r>
          </w:p>
        </w:tc>
      </w:tr>
      <w:tr w:rsidR="00964B01" w:rsidRPr="00B84C4B" w:rsidTr="008C44D0">
        <w:tblPrEx>
          <w:tblLook w:val="0000" w:firstRow="0" w:lastRow="0" w:firstColumn="0" w:lastColumn="0" w:noHBand="0" w:noVBand="0"/>
        </w:tblPrEx>
        <w:tc>
          <w:tcPr>
            <w:tcW w:w="2262" w:type="pct"/>
            <w:shd w:val="clear" w:color="auto" w:fill="auto"/>
          </w:tcPr>
          <w:p w:rsidR="00964B01" w:rsidRPr="00B84C4B" w:rsidRDefault="00964B01" w:rsidP="008C44D0">
            <w:pPr>
              <w:keepNext/>
              <w:rPr>
                <w:sz w:val="20"/>
                <w:szCs w:val="20"/>
              </w:rPr>
            </w:pPr>
            <w:r w:rsidRPr="00B84C4B">
              <w:rPr>
                <w:sz w:val="20"/>
                <w:szCs w:val="20"/>
              </w:rPr>
              <w:t>Sub-total</w:t>
            </w:r>
          </w:p>
        </w:tc>
        <w:tc>
          <w:tcPr>
            <w:tcW w:w="604" w:type="pct"/>
            <w:shd w:val="clear" w:color="auto" w:fill="auto"/>
          </w:tcPr>
          <w:p w:rsidR="00964B01" w:rsidRPr="00B84C4B" w:rsidRDefault="00964B01" w:rsidP="008C44D0">
            <w:pPr>
              <w:keepNext/>
              <w:rPr>
                <w:sz w:val="20"/>
                <w:szCs w:val="20"/>
              </w:rPr>
            </w:pPr>
          </w:p>
        </w:tc>
        <w:tc>
          <w:tcPr>
            <w:tcW w:w="584" w:type="pct"/>
            <w:shd w:val="clear" w:color="auto" w:fill="auto"/>
          </w:tcPr>
          <w:p w:rsidR="00964B01" w:rsidRPr="00B84C4B" w:rsidRDefault="00964B01" w:rsidP="008C44D0">
            <w:pPr>
              <w:keepNext/>
              <w:rPr>
                <w:sz w:val="20"/>
                <w:szCs w:val="20"/>
              </w:rPr>
            </w:pPr>
          </w:p>
        </w:tc>
        <w:tc>
          <w:tcPr>
            <w:tcW w:w="1550" w:type="pct"/>
            <w:shd w:val="clear" w:color="auto" w:fill="auto"/>
          </w:tcPr>
          <w:p w:rsidR="00964B01" w:rsidRPr="00B84C4B" w:rsidRDefault="00964B01" w:rsidP="008C44D0">
            <w:pPr>
              <w:keepNext/>
              <w:jc w:val="right"/>
              <w:rPr>
                <w:sz w:val="20"/>
                <w:szCs w:val="20"/>
              </w:rPr>
            </w:pPr>
            <w:r w:rsidRPr="00B84C4B">
              <w:rPr>
                <w:sz w:val="20"/>
                <w:szCs w:val="20"/>
              </w:rPr>
              <w:t>23.33</w:t>
            </w:r>
          </w:p>
        </w:tc>
      </w:tr>
      <w:tr w:rsidR="00964B01" w:rsidRPr="00B84C4B" w:rsidTr="008C44D0">
        <w:tblPrEx>
          <w:tblLook w:val="0000" w:firstRow="0" w:lastRow="0" w:firstColumn="0" w:lastColumn="0" w:noHBand="0" w:noVBand="0"/>
        </w:tblPrEx>
        <w:tc>
          <w:tcPr>
            <w:tcW w:w="2262" w:type="pct"/>
            <w:shd w:val="clear" w:color="auto" w:fill="auto"/>
          </w:tcPr>
          <w:p w:rsidR="00964B01" w:rsidRPr="00216AD0" w:rsidRDefault="00964B01" w:rsidP="008C44D0">
            <w:pPr>
              <w:keepNext/>
              <w:rPr>
                <w:sz w:val="20"/>
              </w:rPr>
            </w:pPr>
            <w:r w:rsidRPr="00216AD0">
              <w:rPr>
                <w:sz w:val="20"/>
              </w:rPr>
              <w:t>HCFC-141b contained in imported pre-blended polyols</w:t>
            </w:r>
          </w:p>
        </w:tc>
        <w:tc>
          <w:tcPr>
            <w:tcW w:w="604" w:type="pct"/>
            <w:shd w:val="clear" w:color="auto" w:fill="auto"/>
          </w:tcPr>
          <w:p w:rsidR="00964B01" w:rsidRPr="00216AD0" w:rsidRDefault="00964B01" w:rsidP="008C44D0">
            <w:pPr>
              <w:keepNext/>
              <w:rPr>
                <w:sz w:val="20"/>
              </w:rPr>
            </w:pPr>
            <w:r w:rsidRPr="00216AD0">
              <w:rPr>
                <w:sz w:val="20"/>
              </w:rPr>
              <w:t>C</w:t>
            </w:r>
          </w:p>
        </w:tc>
        <w:tc>
          <w:tcPr>
            <w:tcW w:w="584" w:type="pct"/>
            <w:shd w:val="clear" w:color="auto" w:fill="auto"/>
          </w:tcPr>
          <w:p w:rsidR="00964B01" w:rsidRPr="00216AD0" w:rsidRDefault="00964B01" w:rsidP="008C44D0">
            <w:pPr>
              <w:keepNext/>
              <w:rPr>
                <w:sz w:val="20"/>
              </w:rPr>
            </w:pPr>
            <w:r w:rsidRPr="00216AD0">
              <w:rPr>
                <w:sz w:val="20"/>
              </w:rPr>
              <w:t>I</w:t>
            </w:r>
          </w:p>
        </w:tc>
        <w:tc>
          <w:tcPr>
            <w:tcW w:w="1550" w:type="pct"/>
            <w:shd w:val="clear" w:color="auto" w:fill="auto"/>
          </w:tcPr>
          <w:p w:rsidR="00964B01" w:rsidRPr="00B84C4B" w:rsidRDefault="00964B01" w:rsidP="008C44D0">
            <w:pPr>
              <w:keepNext/>
              <w:jc w:val="right"/>
              <w:rPr>
                <w:sz w:val="20"/>
                <w:szCs w:val="20"/>
              </w:rPr>
            </w:pPr>
            <w:r w:rsidRPr="00B84C4B">
              <w:rPr>
                <w:sz w:val="20"/>
                <w:szCs w:val="20"/>
              </w:rPr>
              <w:t>5.33</w:t>
            </w:r>
          </w:p>
        </w:tc>
      </w:tr>
      <w:tr w:rsidR="00964B01" w:rsidRPr="00B84C4B" w:rsidTr="008C44D0">
        <w:tc>
          <w:tcPr>
            <w:tcW w:w="2262" w:type="pct"/>
            <w:shd w:val="clear" w:color="auto" w:fill="auto"/>
          </w:tcPr>
          <w:p w:rsidR="00964B01" w:rsidRPr="00B84C4B" w:rsidRDefault="00964B01" w:rsidP="008C44D0">
            <w:pPr>
              <w:pStyle w:val="Default"/>
              <w:rPr>
                <w:sz w:val="20"/>
                <w:szCs w:val="20"/>
                <w:lang w:val="en-GB"/>
              </w:rPr>
            </w:pPr>
            <w:r w:rsidRPr="00B84C4B">
              <w:rPr>
                <w:sz w:val="20"/>
                <w:szCs w:val="20"/>
                <w:lang w:val="en-GB"/>
              </w:rPr>
              <w:t>Total</w:t>
            </w:r>
          </w:p>
        </w:tc>
        <w:tc>
          <w:tcPr>
            <w:tcW w:w="604" w:type="pct"/>
            <w:shd w:val="clear" w:color="auto" w:fill="auto"/>
          </w:tcPr>
          <w:p w:rsidR="00964B01" w:rsidRPr="00B84C4B" w:rsidRDefault="00964B01" w:rsidP="008C44D0">
            <w:pPr>
              <w:pStyle w:val="Default"/>
              <w:rPr>
                <w:sz w:val="20"/>
                <w:szCs w:val="20"/>
                <w:lang w:val="en-GB"/>
              </w:rPr>
            </w:pPr>
            <w:r w:rsidRPr="00B84C4B">
              <w:rPr>
                <w:sz w:val="20"/>
                <w:szCs w:val="20"/>
                <w:lang w:val="en-GB"/>
              </w:rPr>
              <w:t>C</w:t>
            </w:r>
          </w:p>
        </w:tc>
        <w:tc>
          <w:tcPr>
            <w:tcW w:w="584" w:type="pct"/>
            <w:shd w:val="clear" w:color="auto" w:fill="auto"/>
          </w:tcPr>
          <w:p w:rsidR="00964B01" w:rsidRPr="00B84C4B" w:rsidRDefault="00964B01" w:rsidP="008C44D0">
            <w:pPr>
              <w:pStyle w:val="Default"/>
              <w:rPr>
                <w:sz w:val="20"/>
                <w:szCs w:val="20"/>
                <w:lang w:val="en-GB"/>
              </w:rPr>
            </w:pPr>
            <w:r w:rsidRPr="00B84C4B">
              <w:rPr>
                <w:sz w:val="20"/>
                <w:szCs w:val="20"/>
                <w:lang w:val="en-GB"/>
              </w:rPr>
              <w:t>I</w:t>
            </w:r>
          </w:p>
        </w:tc>
        <w:tc>
          <w:tcPr>
            <w:tcW w:w="1550" w:type="pct"/>
            <w:shd w:val="clear" w:color="auto" w:fill="auto"/>
          </w:tcPr>
          <w:p w:rsidR="00964B01" w:rsidRPr="00B84C4B" w:rsidRDefault="00964B01" w:rsidP="008C44D0">
            <w:pPr>
              <w:pStyle w:val="Default"/>
              <w:jc w:val="right"/>
              <w:rPr>
                <w:sz w:val="20"/>
                <w:szCs w:val="20"/>
                <w:lang w:val="en-GB"/>
              </w:rPr>
            </w:pPr>
            <w:r w:rsidRPr="00B84C4B">
              <w:rPr>
                <w:sz w:val="20"/>
                <w:szCs w:val="20"/>
                <w:lang w:val="en-GB"/>
              </w:rPr>
              <w:t>28.66</w:t>
            </w:r>
          </w:p>
        </w:tc>
      </w:tr>
    </w:tbl>
    <w:p w:rsidR="00964B01" w:rsidRPr="00B84C4B" w:rsidRDefault="00964B01" w:rsidP="00964B01">
      <w:pPr>
        <w:pStyle w:val="Heading1"/>
      </w:pPr>
    </w:p>
    <w:p w:rsidR="00964B01" w:rsidRPr="00B84C4B" w:rsidRDefault="00964B01" w:rsidP="00964B01">
      <w:pPr>
        <w:pStyle w:val="Heading1"/>
        <w:rPr>
          <w:b/>
        </w:rPr>
      </w:pPr>
      <w:r w:rsidRPr="00B84C4B">
        <w:rPr>
          <w:b/>
        </w:rPr>
        <w:t>APPENDIX 2-A: THE TARGETS, AND FUNDING</w:t>
      </w:r>
    </w:p>
    <w:tbl>
      <w:tblPr>
        <w:tblW w:w="9689" w:type="dxa"/>
        <w:tblLook w:val="04A0" w:firstRow="1" w:lastRow="0" w:firstColumn="1" w:lastColumn="0" w:noHBand="0" w:noVBand="1"/>
      </w:tblPr>
      <w:tblGrid>
        <w:gridCol w:w="710"/>
        <w:gridCol w:w="3176"/>
        <w:gridCol w:w="959"/>
        <w:gridCol w:w="955"/>
        <w:gridCol w:w="959"/>
        <w:gridCol w:w="955"/>
        <w:gridCol w:w="959"/>
        <w:gridCol w:w="1016"/>
      </w:tblGrid>
      <w:tr w:rsidR="00964B01" w:rsidRPr="008023F1" w:rsidTr="008C44D0">
        <w:trPr>
          <w:trHeight w:val="315"/>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Row</w:t>
            </w:r>
          </w:p>
        </w:tc>
        <w:tc>
          <w:tcPr>
            <w:tcW w:w="3176"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Particulars</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2016</w:t>
            </w:r>
          </w:p>
        </w:tc>
        <w:tc>
          <w:tcPr>
            <w:tcW w:w="955"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2017</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2018</w:t>
            </w:r>
          </w:p>
        </w:tc>
        <w:tc>
          <w:tcPr>
            <w:tcW w:w="955"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2019</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2020</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center"/>
              <w:rPr>
                <w:b/>
                <w:color w:val="000000"/>
                <w:sz w:val="20"/>
                <w:szCs w:val="20"/>
                <w:lang w:val="en-US"/>
              </w:rPr>
            </w:pPr>
            <w:r w:rsidRPr="008023F1">
              <w:rPr>
                <w:b/>
                <w:color w:val="000000"/>
                <w:sz w:val="20"/>
                <w:szCs w:val="20"/>
                <w:lang w:val="en-US"/>
              </w:rPr>
              <w:t>Total</w:t>
            </w:r>
          </w:p>
        </w:tc>
      </w:tr>
      <w:tr w:rsidR="00964B01" w:rsidRPr="008023F1" w:rsidTr="008C44D0">
        <w:trPr>
          <w:trHeight w:val="52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1.1</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Montreal Protocol reduction schedule of Annex C, Group I substances (ODP tonnes)</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15.16</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200A7E" w:rsidP="008C44D0">
            <w:pPr>
              <w:jc w:val="right"/>
              <w:rPr>
                <w:color w:val="000000"/>
                <w:sz w:val="20"/>
                <w:szCs w:val="20"/>
                <w:lang w:val="en-US"/>
              </w:rPr>
            </w:pPr>
            <w:r w:rsidRPr="008023F1">
              <w:rPr>
                <w:color w:val="000000"/>
                <w:sz w:val="20"/>
                <w:szCs w:val="20"/>
                <w:lang w:val="en-US"/>
              </w:rPr>
              <w:t>n/a</w:t>
            </w:r>
          </w:p>
        </w:tc>
      </w:tr>
      <w:tr w:rsidR="00964B01" w:rsidRPr="008023F1" w:rsidTr="008C44D0">
        <w:trPr>
          <w:trHeight w:val="52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1.2</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Maximum allowable total consumption of Annex C, Group I substances (ODP tonnes)</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21.0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15.16</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200A7E" w:rsidP="008C44D0">
            <w:pPr>
              <w:jc w:val="right"/>
              <w:rPr>
                <w:color w:val="000000"/>
                <w:sz w:val="20"/>
                <w:szCs w:val="20"/>
                <w:lang w:val="en-US"/>
              </w:rPr>
            </w:pPr>
            <w:r w:rsidRPr="008023F1">
              <w:rPr>
                <w:color w:val="000000"/>
                <w:sz w:val="20"/>
                <w:szCs w:val="20"/>
                <w:lang w:val="en-US"/>
              </w:rPr>
              <w:t>n/a</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2.1</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Lead IA (UNDP) agreed funding (US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314,000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679,889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111,268 </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1,105,157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2.2</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Support costs for Lead IA (US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21,980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47,592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7,789 </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77,361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3.1</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agreed funding (US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314,000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679,889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111,268 </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1,105,157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3.2</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support costs (US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21,980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47,592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7,789 </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77,361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3.3</w:t>
            </w:r>
          </w:p>
        </w:tc>
        <w:tc>
          <w:tcPr>
            <w:tcW w:w="317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agreed costs (US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335,980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lang w:val="en-US"/>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727,481 </w:t>
            </w:r>
          </w:p>
        </w:tc>
        <w:tc>
          <w:tcPr>
            <w:tcW w:w="955"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   </w:t>
            </w:r>
          </w:p>
        </w:tc>
        <w:tc>
          <w:tcPr>
            <w:tcW w:w="959"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119,057 </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  1,182,518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4.1.1</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phase-out of HCFC-22 agreed to be achieved under this Agreement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5C7B83" w:rsidRDefault="00CF1957" w:rsidP="008C44D0">
            <w:pPr>
              <w:jc w:val="right"/>
              <w:rPr>
                <w:color w:val="000000"/>
                <w:sz w:val="20"/>
                <w:szCs w:val="20"/>
                <w:lang w:val="en-US"/>
              </w:rPr>
            </w:pPr>
            <w:r w:rsidRPr="005C7B83">
              <w:rPr>
                <w:color w:val="000000"/>
                <w:sz w:val="20"/>
                <w:szCs w:val="20"/>
              </w:rPr>
              <w:t>5.31</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4.1.2</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Phase-out of HCFC-22 to be achieved in previously approved projects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5C7B83" w:rsidRDefault="00964B01" w:rsidP="008C44D0">
            <w:pPr>
              <w:jc w:val="right"/>
              <w:rPr>
                <w:color w:val="000000"/>
                <w:sz w:val="20"/>
                <w:szCs w:val="20"/>
                <w:lang w:val="en-US"/>
              </w:rPr>
            </w:pPr>
            <w:r w:rsidRPr="005C7B83">
              <w:rPr>
                <w:color w:val="000000"/>
                <w:sz w:val="20"/>
                <w:szCs w:val="20"/>
              </w:rPr>
              <w:t xml:space="preserve">2.34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4.1.3</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Remaining eligible consumption for HCFC-22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5C7B83" w:rsidRDefault="003A5C16" w:rsidP="00CF1957">
            <w:pPr>
              <w:jc w:val="right"/>
              <w:rPr>
                <w:color w:val="000000"/>
                <w:sz w:val="20"/>
                <w:szCs w:val="20"/>
                <w:lang w:val="en-US"/>
              </w:rPr>
            </w:pPr>
            <w:r>
              <w:rPr>
                <w:color w:val="000000"/>
                <w:sz w:val="20"/>
                <w:szCs w:val="20"/>
              </w:rPr>
              <w:t>13.43</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4.2.1</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phase-out of HCFC-123 agreed to be achieved under this Agreement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4.2.2</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Phase-out of HCFC-123 to be achieved in previously approved projects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0.04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4.2.3</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Remaining eligible consumption for HCFC-123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4.3.1</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phase-out of HCFC-124 agreed to be achieved under this Agreement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4.3.2</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Phase-out of HCFC-124 to be achieved in previously approved projects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0.09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4.3.3</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Remaining eligible consumption for HCFC-124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4.4.1</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phase-out of HCFC-141b agreed to be achieved under this Agreement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0.41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4.4.2</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Phase-out of HCFC-141b to be achieved in previously approved projects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1.08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4.4.3</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Remaining eligible consumption for HCFC-141b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6836B0">
        <w:trPr>
          <w:trHeight w:val="315"/>
        </w:trPr>
        <w:tc>
          <w:tcPr>
            <w:tcW w:w="710" w:type="dxa"/>
            <w:tcBorders>
              <w:top w:val="nil"/>
              <w:left w:val="single" w:sz="8" w:space="0" w:color="auto"/>
              <w:bottom w:val="single" w:sz="4"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4.5.1</w:t>
            </w:r>
          </w:p>
        </w:tc>
        <w:tc>
          <w:tcPr>
            <w:tcW w:w="7963" w:type="dxa"/>
            <w:gridSpan w:val="6"/>
            <w:tcBorders>
              <w:top w:val="single" w:sz="8" w:space="0" w:color="auto"/>
              <w:left w:val="nil"/>
              <w:bottom w:val="single" w:sz="4"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phase-out of HCFC-142b agreed to be achieved under this Agreement (ODP tonnes)</w:t>
            </w:r>
          </w:p>
        </w:tc>
        <w:tc>
          <w:tcPr>
            <w:tcW w:w="1016" w:type="dxa"/>
            <w:tcBorders>
              <w:top w:val="nil"/>
              <w:left w:val="nil"/>
              <w:bottom w:val="single" w:sz="4"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2748EF">
        <w:trPr>
          <w:trHeight w:val="3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4.5.2</w:t>
            </w:r>
          </w:p>
        </w:tc>
        <w:tc>
          <w:tcPr>
            <w:tcW w:w="7963" w:type="dxa"/>
            <w:gridSpan w:val="6"/>
            <w:tcBorders>
              <w:top w:val="single" w:sz="4" w:space="0" w:color="auto"/>
              <w:left w:val="nil"/>
              <w:bottom w:val="single" w:sz="4"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Phase-out of HCFC-142b to be achieved in previously approved projects (ODP tonnes)</w:t>
            </w:r>
          </w:p>
        </w:tc>
        <w:tc>
          <w:tcPr>
            <w:tcW w:w="1016" w:type="dxa"/>
            <w:tcBorders>
              <w:top w:val="single" w:sz="4" w:space="0" w:color="auto"/>
              <w:left w:val="nil"/>
              <w:bottom w:val="single" w:sz="4"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0.63 </w:t>
            </w:r>
          </w:p>
        </w:tc>
      </w:tr>
      <w:tr w:rsidR="00964B01" w:rsidRPr="008023F1" w:rsidTr="002748EF">
        <w:trPr>
          <w:trHeight w:val="3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lastRenderedPageBreak/>
              <w:t>4.5.3</w:t>
            </w:r>
          </w:p>
        </w:tc>
        <w:tc>
          <w:tcPr>
            <w:tcW w:w="7963" w:type="dxa"/>
            <w:gridSpan w:val="6"/>
            <w:tcBorders>
              <w:top w:val="single" w:sz="4"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Remaining eligible consumption for HCFC-142b (ODP tonnes)</w:t>
            </w:r>
          </w:p>
        </w:tc>
        <w:tc>
          <w:tcPr>
            <w:tcW w:w="1016" w:type="dxa"/>
            <w:tcBorders>
              <w:top w:val="single" w:sz="4" w:space="0" w:color="auto"/>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8C44D0">
        <w:trPr>
          <w:trHeight w:val="6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4.6.1</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Total phase-out of HCFC-141b contained in imported pre-blended polyols agreed to be achieved under this Agreement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3A5C16" w:rsidP="008C44D0">
            <w:pPr>
              <w:jc w:val="right"/>
              <w:rPr>
                <w:color w:val="000000"/>
                <w:sz w:val="20"/>
                <w:szCs w:val="20"/>
                <w:lang w:val="en-US"/>
              </w:rPr>
            </w:pPr>
            <w:r>
              <w:rPr>
                <w:color w:val="000000"/>
                <w:sz w:val="20"/>
                <w:szCs w:val="20"/>
              </w:rPr>
              <w:t>5.33</w:t>
            </w:r>
          </w:p>
        </w:tc>
      </w:tr>
      <w:tr w:rsidR="00964B01" w:rsidRPr="008023F1" w:rsidTr="008C44D0">
        <w:trPr>
          <w:trHeight w:val="64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4.6.2</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Phase-out of HCFC-141b contained in imported pre-blended polyols to be achieved in previously approved projects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r w:rsidR="00964B01" w:rsidRPr="008023F1" w:rsidTr="008C44D0">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4.6.3</w:t>
            </w:r>
          </w:p>
        </w:tc>
        <w:tc>
          <w:tcPr>
            <w:tcW w:w="7963" w:type="dxa"/>
            <w:gridSpan w:val="6"/>
            <w:tcBorders>
              <w:top w:val="single" w:sz="8" w:space="0" w:color="auto"/>
              <w:left w:val="nil"/>
              <w:bottom w:val="single" w:sz="8" w:space="0" w:color="auto"/>
              <w:right w:val="single" w:sz="8" w:space="0" w:color="000000"/>
            </w:tcBorders>
            <w:shd w:val="clear" w:color="auto" w:fill="auto"/>
            <w:vAlign w:val="center"/>
            <w:hideMark/>
          </w:tcPr>
          <w:p w:rsidR="00964B01" w:rsidRPr="008023F1" w:rsidRDefault="00964B01" w:rsidP="008C44D0">
            <w:pPr>
              <w:jc w:val="left"/>
              <w:rPr>
                <w:color w:val="000000"/>
                <w:sz w:val="20"/>
                <w:szCs w:val="20"/>
                <w:lang w:val="en-US"/>
              </w:rPr>
            </w:pPr>
            <w:r w:rsidRPr="008023F1">
              <w:rPr>
                <w:color w:val="000000"/>
                <w:sz w:val="20"/>
                <w:szCs w:val="20"/>
                <w:lang w:val="en-US"/>
              </w:rPr>
              <w:t>Remaining eligible consumption for HCFC-141b contained in imported pre-blended polyols (ODP tonnes)</w:t>
            </w:r>
          </w:p>
        </w:tc>
        <w:tc>
          <w:tcPr>
            <w:tcW w:w="1016" w:type="dxa"/>
            <w:tcBorders>
              <w:top w:val="nil"/>
              <w:left w:val="nil"/>
              <w:bottom w:val="single" w:sz="8" w:space="0" w:color="auto"/>
              <w:right w:val="single" w:sz="8" w:space="0" w:color="auto"/>
            </w:tcBorders>
            <w:shd w:val="clear" w:color="auto" w:fill="auto"/>
            <w:vAlign w:val="center"/>
            <w:hideMark/>
          </w:tcPr>
          <w:p w:rsidR="00964B01" w:rsidRPr="008023F1" w:rsidRDefault="00964B01" w:rsidP="008C44D0">
            <w:pPr>
              <w:jc w:val="right"/>
              <w:rPr>
                <w:color w:val="000000"/>
                <w:sz w:val="20"/>
                <w:szCs w:val="20"/>
                <w:lang w:val="en-US"/>
              </w:rPr>
            </w:pPr>
            <w:r w:rsidRPr="008023F1">
              <w:rPr>
                <w:color w:val="000000"/>
                <w:sz w:val="20"/>
                <w:szCs w:val="20"/>
              </w:rPr>
              <w:t xml:space="preserve">0.00 </w:t>
            </w:r>
          </w:p>
        </w:tc>
      </w:tr>
    </w:tbl>
    <w:p w:rsidR="00964B01" w:rsidRPr="00B84C4B" w:rsidRDefault="00964B01" w:rsidP="00964B01">
      <w:pPr>
        <w:rPr>
          <w:b/>
        </w:rPr>
      </w:pPr>
    </w:p>
    <w:p w:rsidR="00964B01" w:rsidRPr="00B84C4B" w:rsidRDefault="00964B01" w:rsidP="00964B01">
      <w:pPr>
        <w:rPr>
          <w:b/>
        </w:rPr>
      </w:pPr>
      <w:r w:rsidRPr="00B84C4B">
        <w:rPr>
          <w:b/>
        </w:rPr>
        <w:t>APPENDIX 3-A: FUNDING APPROVAL SCHEDULE</w:t>
      </w:r>
    </w:p>
    <w:p w:rsidR="00964B01" w:rsidRPr="00B84C4B" w:rsidRDefault="00964B01" w:rsidP="00964B01"/>
    <w:p w:rsidR="00964B01" w:rsidRPr="00B84C4B" w:rsidRDefault="00964B01" w:rsidP="00F07CA5">
      <w:pPr>
        <w:pStyle w:val="Heading1"/>
        <w:numPr>
          <w:ilvl w:val="0"/>
          <w:numId w:val="21"/>
        </w:numPr>
      </w:pPr>
      <w:r w:rsidRPr="00B84C4B">
        <w:t xml:space="preserve">Funding for the future tranches will be considered for approval at the </w:t>
      </w:r>
      <w:r w:rsidRPr="00216AD0">
        <w:t>second</w:t>
      </w:r>
      <w:r w:rsidRPr="00B84C4B">
        <w:t xml:space="preserve"> meeting of the year specified in Appendix 2-A.</w:t>
      </w:r>
    </w:p>
    <w:p w:rsidR="00964B01" w:rsidRPr="00B84C4B" w:rsidRDefault="00964B01" w:rsidP="00964B01">
      <w:pPr>
        <w:keepNext/>
        <w:rPr>
          <w:b/>
        </w:rPr>
      </w:pPr>
      <w:r w:rsidRPr="00B84C4B">
        <w:rPr>
          <w:b/>
        </w:rPr>
        <w:t>APPENDIX 4-A: FORMAT OF TRANCHE IMPLEMENTATION REPORTS AND PLANS</w:t>
      </w:r>
    </w:p>
    <w:p w:rsidR="00964B01" w:rsidRPr="00B84C4B" w:rsidRDefault="00964B01" w:rsidP="00964B01">
      <w:pPr>
        <w:keepNext/>
      </w:pPr>
    </w:p>
    <w:p w:rsidR="00964B01" w:rsidRPr="00B84C4B" w:rsidRDefault="00964B01" w:rsidP="00F07CA5">
      <w:pPr>
        <w:pStyle w:val="Heading1"/>
        <w:numPr>
          <w:ilvl w:val="0"/>
          <w:numId w:val="22"/>
        </w:numPr>
      </w:pPr>
      <w:r w:rsidRPr="00B84C4B">
        <w:t>The submission of the Tranche Implementation Report and Plans for each tranche request will consist of five parts:</w:t>
      </w:r>
    </w:p>
    <w:p w:rsidR="00964B01" w:rsidRPr="00B84C4B" w:rsidRDefault="00964B01" w:rsidP="00F07CA5">
      <w:pPr>
        <w:pStyle w:val="Heading2"/>
        <w:keepNext/>
        <w:widowControl/>
        <w:numPr>
          <w:ilvl w:val="1"/>
          <w:numId w:val="14"/>
        </w:numPr>
      </w:pPr>
      <w:r w:rsidRPr="00B84C4B">
        <w:t xml:space="preserve">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rsidR="00964B01" w:rsidRPr="00B84C4B" w:rsidRDefault="00964B01" w:rsidP="00F07CA5">
      <w:pPr>
        <w:pStyle w:val="Heading2"/>
        <w:numPr>
          <w:ilvl w:val="1"/>
          <w:numId w:val="14"/>
        </w:numPr>
      </w:pPr>
      <w:r w:rsidRPr="00B84C4B">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964B01" w:rsidRPr="00B84C4B" w:rsidRDefault="00964B01" w:rsidP="00F07CA5">
      <w:pPr>
        <w:pStyle w:val="Heading2"/>
        <w:numPr>
          <w:ilvl w:val="1"/>
          <w:numId w:val="14"/>
        </w:numPr>
      </w:pPr>
      <w:r w:rsidRPr="00B84C4B">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rsidR="00964B01" w:rsidRPr="00B84C4B" w:rsidRDefault="00964B01" w:rsidP="00F07CA5">
      <w:pPr>
        <w:pStyle w:val="Heading2"/>
        <w:numPr>
          <w:ilvl w:val="1"/>
          <w:numId w:val="14"/>
        </w:numPr>
      </w:pPr>
      <w:r w:rsidRPr="00B84C4B">
        <w:t xml:space="preserve">A set of quantitative information for all Tranche Implementation Reports and Plans, </w:t>
      </w:r>
      <w:r w:rsidRPr="00B84C4B">
        <w:lastRenderedPageBreak/>
        <w:t>submitted through an online database; and</w:t>
      </w:r>
    </w:p>
    <w:p w:rsidR="00964B01" w:rsidRPr="00B84C4B" w:rsidRDefault="00964B01" w:rsidP="00F07CA5">
      <w:pPr>
        <w:pStyle w:val="Heading2"/>
        <w:numPr>
          <w:ilvl w:val="1"/>
          <w:numId w:val="14"/>
        </w:numPr>
      </w:pPr>
      <w:r w:rsidRPr="00B84C4B">
        <w:t>An Executive Summary of about five paragraphs, summarizing the information of the above sub</w:t>
      </w:r>
      <w:r w:rsidRPr="00B84C4B">
        <w:noBreakHyphen/>
        <w:t>paragraphs 1(a) to 1(d).</w:t>
      </w:r>
    </w:p>
    <w:p w:rsidR="00964B01" w:rsidRPr="00B84C4B" w:rsidRDefault="00964B01" w:rsidP="00F07CA5">
      <w:pPr>
        <w:pStyle w:val="Heading1"/>
        <w:numPr>
          <w:ilvl w:val="0"/>
          <w:numId w:val="22"/>
        </w:numPr>
      </w:pPr>
      <w:r w:rsidRPr="00B84C4B">
        <w:t>In the event that in a particular year two stages of the HPMP are being implemented in parallel, the following considerations should be taken in preparing the Tranche Implementation Reports and Plans:</w:t>
      </w:r>
    </w:p>
    <w:p w:rsidR="00964B01" w:rsidRPr="00B84C4B" w:rsidRDefault="00964B01" w:rsidP="00F07CA5">
      <w:pPr>
        <w:pStyle w:val="Heading2"/>
        <w:widowControl/>
        <w:numPr>
          <w:ilvl w:val="1"/>
          <w:numId w:val="16"/>
        </w:numPr>
      </w:pPr>
      <w:r w:rsidRPr="00B84C4B">
        <w:t>The Tranche Implementation Reports and Plans referred to as part of this Agreement, will exclusively refer to activities and funds covered by this Agreement; and</w:t>
      </w:r>
    </w:p>
    <w:p w:rsidR="00964B01" w:rsidRPr="00B84C4B" w:rsidRDefault="00964B01" w:rsidP="00F07CA5">
      <w:pPr>
        <w:pStyle w:val="Heading2"/>
        <w:keepNext/>
        <w:keepLines/>
        <w:widowControl/>
        <w:numPr>
          <w:ilvl w:val="1"/>
          <w:numId w:val="16"/>
        </w:numPr>
      </w:pPr>
      <w:r w:rsidRPr="00B84C4B">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rsidR="00964B01" w:rsidRPr="00B84C4B" w:rsidRDefault="00964B01" w:rsidP="00964B01"/>
    <w:p w:rsidR="00964B01" w:rsidRPr="00B84C4B" w:rsidRDefault="00964B01" w:rsidP="00964B01">
      <w:pPr>
        <w:keepNext/>
        <w:rPr>
          <w:b/>
        </w:rPr>
      </w:pPr>
      <w:r w:rsidRPr="00B84C4B">
        <w:rPr>
          <w:b/>
        </w:rPr>
        <w:t xml:space="preserve">APPENDIX 5-A: MONITORING INSTITUTIONS AND ROLES </w:t>
      </w:r>
    </w:p>
    <w:p w:rsidR="00964B01" w:rsidRPr="00B84C4B" w:rsidRDefault="00964B01" w:rsidP="00964B01">
      <w:pPr>
        <w:keepNext/>
      </w:pPr>
    </w:p>
    <w:p w:rsidR="00964B01" w:rsidRPr="00943745" w:rsidRDefault="00964B01" w:rsidP="00F07CA5">
      <w:pPr>
        <w:pStyle w:val="Heading1"/>
        <w:numPr>
          <w:ilvl w:val="0"/>
          <w:numId w:val="15"/>
        </w:numPr>
      </w:pPr>
      <w:r w:rsidRPr="00B84C4B">
        <w:t>The</w:t>
      </w:r>
      <w:r w:rsidRPr="00943745">
        <w:t xml:space="preserve"> project coordination and management of the Plan will </w:t>
      </w:r>
      <w:r w:rsidR="00A87FC4">
        <w:t xml:space="preserve">be </w:t>
      </w:r>
      <w:r w:rsidRPr="00943745">
        <w:t>the National Ozone Unit (NOU), a part of the National Environmental Directorate (DINAMA) of the Ministry of Housing, Land planning and Environment (MVOTMA).</w:t>
      </w:r>
      <w:r w:rsidR="00037E83" w:rsidRPr="00037E83">
        <w:t xml:space="preserve"> MVOTMA will assure passage of all national laws and regulations. </w:t>
      </w:r>
      <w:r w:rsidRPr="00943745">
        <w:t>The NOU is directly responsible for the implementation of Montreal Protocol related activities</w:t>
      </w:r>
      <w:r w:rsidR="00037E83">
        <w:t>,</w:t>
      </w:r>
      <w:r w:rsidRPr="00943745">
        <w:t xml:space="preserve"> for the identification, implementation, monitoring and evaluation of all non-investment, investment, and technical assistance activities. </w:t>
      </w:r>
      <w:r w:rsidR="00037E83" w:rsidRPr="00037E83">
        <w:t>Ozone protection matters will have an important participation on national strategies and environmental policies.</w:t>
      </w:r>
      <w:r w:rsidRPr="00943745">
        <w:t xml:space="preserve"> The strategic partners of the NOU are:</w:t>
      </w:r>
    </w:p>
    <w:p w:rsidR="00964B01" w:rsidRPr="00686B68" w:rsidRDefault="00964B01" w:rsidP="00F07CA5">
      <w:pPr>
        <w:pStyle w:val="Heading2"/>
        <w:keepNext/>
        <w:keepLines/>
        <w:widowControl/>
        <w:numPr>
          <w:ilvl w:val="1"/>
          <w:numId w:val="17"/>
        </w:numPr>
      </w:pPr>
      <w:r w:rsidRPr="00686B68">
        <w:t xml:space="preserve">National Customs Directorate (DNA) with whom the NOU shares the responsibility for the implementation of the HCFC </w:t>
      </w:r>
      <w:r w:rsidR="00200A7E" w:rsidRPr="00686B68">
        <w:t xml:space="preserve">import licensing system </w:t>
      </w:r>
      <w:r w:rsidRPr="00686B68">
        <w:t>and control trade of HCFC</w:t>
      </w:r>
      <w:r w:rsidR="00200A7E">
        <w:t>;</w:t>
      </w:r>
    </w:p>
    <w:p w:rsidR="00964B01" w:rsidRPr="00686B68" w:rsidRDefault="00964B01" w:rsidP="00F07CA5">
      <w:pPr>
        <w:pStyle w:val="Heading2"/>
        <w:keepNext/>
        <w:keepLines/>
        <w:widowControl/>
        <w:numPr>
          <w:ilvl w:val="1"/>
          <w:numId w:val="17"/>
        </w:numPr>
      </w:pPr>
      <w:r w:rsidRPr="00686B68">
        <w:t>Technological Laboratory of Uruguay (LATU) functioning as technical branch for the NOU</w:t>
      </w:r>
      <w:r w:rsidR="00200A7E">
        <w:t>;</w:t>
      </w:r>
    </w:p>
    <w:p w:rsidR="00964B01" w:rsidRPr="00686B68" w:rsidRDefault="00964B01" w:rsidP="00F07CA5">
      <w:pPr>
        <w:pStyle w:val="Heading2"/>
        <w:keepNext/>
        <w:keepLines/>
        <w:widowControl/>
        <w:numPr>
          <w:ilvl w:val="1"/>
          <w:numId w:val="17"/>
        </w:numPr>
      </w:pPr>
      <w:r w:rsidRPr="00686B68">
        <w:t>Technological University of Uruguay (UTU) supporting training activities and assessment of new technologies</w:t>
      </w:r>
      <w:r w:rsidR="00200A7E">
        <w:t>; and</w:t>
      </w:r>
    </w:p>
    <w:p w:rsidR="00964B01" w:rsidRPr="00B84C4B" w:rsidRDefault="00964B01" w:rsidP="00F07CA5">
      <w:pPr>
        <w:pStyle w:val="Heading2"/>
        <w:keepNext/>
        <w:keepLines/>
        <w:widowControl/>
        <w:numPr>
          <w:ilvl w:val="1"/>
          <w:numId w:val="17"/>
        </w:numPr>
      </w:pPr>
      <w:r w:rsidRPr="00686B68">
        <w:t>Importers of HCFCs and HCFC blends who provide information that allows validation of customs data, tracking of stockpiles</w:t>
      </w:r>
      <w:r w:rsidRPr="00B84C4B">
        <w:t>, downstream HCFC applications.</w:t>
      </w:r>
    </w:p>
    <w:p w:rsidR="00037E83" w:rsidRPr="00037E83" w:rsidRDefault="00037E83" w:rsidP="00F07CA5">
      <w:pPr>
        <w:pStyle w:val="ListParagraph"/>
        <w:numPr>
          <w:ilvl w:val="0"/>
          <w:numId w:val="15"/>
        </w:numPr>
      </w:pPr>
      <w:r w:rsidRPr="00037E83">
        <w:t>The NOU will prepare for each tranche request a status report on its activities and achievements including milestones and other performance targets as well as any other information of interest to the implementation of the HPMP. This report will be reviewed and verified by the Lead IA.</w:t>
      </w:r>
    </w:p>
    <w:p w:rsidR="00964B01" w:rsidRPr="00943745" w:rsidRDefault="00964B01" w:rsidP="002748EF">
      <w:pPr>
        <w:pStyle w:val="Heading1"/>
      </w:pPr>
    </w:p>
    <w:p w:rsidR="00964B01" w:rsidRPr="00943745" w:rsidRDefault="00964B01" w:rsidP="00F07CA5">
      <w:pPr>
        <w:pStyle w:val="Heading1"/>
        <w:numPr>
          <w:ilvl w:val="0"/>
          <w:numId w:val="15"/>
        </w:numPr>
      </w:pPr>
      <w:r w:rsidRPr="00943745">
        <w:t xml:space="preserve">The </w:t>
      </w:r>
      <w:r w:rsidR="00200A7E" w:rsidRPr="00943745">
        <w:t>Lead IA</w:t>
      </w:r>
      <w:r w:rsidRPr="00943745">
        <w:t xml:space="preserve"> has the overall financial and substantive oversight over the execution of the HPMP. The NOU is required to provide regular expenditure report to </w:t>
      </w:r>
      <w:r w:rsidR="00200A7E" w:rsidRPr="00943745">
        <w:t>the Lead IA</w:t>
      </w:r>
      <w:r w:rsidRPr="00943745">
        <w:t>.</w:t>
      </w:r>
    </w:p>
    <w:p w:rsidR="00964B01" w:rsidRPr="00216AD0" w:rsidRDefault="00964B01" w:rsidP="00964B01">
      <w:pPr>
        <w:rPr>
          <w:lang w:val="en-US"/>
        </w:rPr>
      </w:pPr>
    </w:p>
    <w:p w:rsidR="00964B01" w:rsidRPr="00B84C4B" w:rsidRDefault="00964B01" w:rsidP="00964B01">
      <w:pPr>
        <w:rPr>
          <w:b/>
        </w:rPr>
      </w:pPr>
      <w:r w:rsidRPr="00B84C4B">
        <w:rPr>
          <w:b/>
        </w:rPr>
        <w:t xml:space="preserve">APPENDIX 6-A: ROLE OF THE LEAD IMPLEMENTING AGENCY </w:t>
      </w:r>
    </w:p>
    <w:p w:rsidR="00964B01" w:rsidRPr="00B84C4B" w:rsidRDefault="00964B01" w:rsidP="00964B01"/>
    <w:p w:rsidR="00964B01" w:rsidRPr="00B84C4B" w:rsidRDefault="00964B01" w:rsidP="00F07CA5">
      <w:pPr>
        <w:pStyle w:val="Heading1"/>
        <w:numPr>
          <w:ilvl w:val="0"/>
          <w:numId w:val="23"/>
        </w:numPr>
      </w:pPr>
      <w:r w:rsidRPr="00B84C4B">
        <w:t>The Lead IA will be responsible for a range of activities, including at least the following:</w:t>
      </w:r>
    </w:p>
    <w:p w:rsidR="00964B01" w:rsidRPr="00B84C4B" w:rsidRDefault="00964B01" w:rsidP="00F07CA5">
      <w:pPr>
        <w:pStyle w:val="Heading2"/>
        <w:numPr>
          <w:ilvl w:val="1"/>
          <w:numId w:val="18"/>
        </w:numPr>
      </w:pPr>
      <w:r w:rsidRPr="00B84C4B">
        <w:t>Ensuring performance and financial verification in accordance with this Agreement and with its specific internal procedures and requirements as set out in the Country’s HPMP;</w:t>
      </w:r>
    </w:p>
    <w:p w:rsidR="00964B01" w:rsidRPr="00B84C4B" w:rsidRDefault="00964B01" w:rsidP="00F07CA5">
      <w:pPr>
        <w:pStyle w:val="Heading2"/>
        <w:numPr>
          <w:ilvl w:val="1"/>
          <w:numId w:val="18"/>
        </w:numPr>
      </w:pPr>
      <w:r w:rsidRPr="00B84C4B">
        <w:lastRenderedPageBreak/>
        <w:t>Assisting the Country in preparation of the Tranche Implementation Reports and Plans as per Appendix 4</w:t>
      </w:r>
      <w:r w:rsidRPr="00B84C4B">
        <w:noBreakHyphen/>
        <w:t>A;</w:t>
      </w:r>
    </w:p>
    <w:p w:rsidR="00964B01" w:rsidRPr="00B84C4B" w:rsidRDefault="00964B01" w:rsidP="00F07CA5">
      <w:pPr>
        <w:pStyle w:val="Heading2"/>
        <w:numPr>
          <w:ilvl w:val="1"/>
          <w:numId w:val="18"/>
        </w:numPr>
      </w:pPr>
      <w:r w:rsidRPr="00B84C4B">
        <w:t>Providing independent verification to the Executive Committee that the Targets have been met and associated tranche activities have been completed as indicated in the Tranche Implementation Plan consistent with Appendix 4-A;</w:t>
      </w:r>
    </w:p>
    <w:p w:rsidR="00964B01" w:rsidRPr="00B84C4B" w:rsidRDefault="00964B01" w:rsidP="00F07CA5">
      <w:pPr>
        <w:pStyle w:val="Heading2"/>
        <w:numPr>
          <w:ilvl w:val="1"/>
          <w:numId w:val="18"/>
        </w:numPr>
      </w:pPr>
      <w:r w:rsidRPr="00B84C4B">
        <w:t>Ensuring that the experiences and progress is reflected in updates of the overall plan and in future Tranche Implementation Plans consistent with sub-paragraphs 1(c) and 1(d) of Appendix 4-A;</w:t>
      </w:r>
    </w:p>
    <w:p w:rsidR="00964B01" w:rsidRPr="00B84C4B" w:rsidRDefault="00964B01" w:rsidP="00F07CA5">
      <w:pPr>
        <w:pStyle w:val="Heading2"/>
        <w:numPr>
          <w:ilvl w:val="1"/>
          <w:numId w:val="18"/>
        </w:numPr>
      </w:pPr>
      <w:r w:rsidRPr="00B84C4B">
        <w:t>Fulfilling the reporting requirements for the Tranche Implementation Reports and Plans and the overall plan as specified in Appendix 4-A for submission to the Executive Committee;</w:t>
      </w:r>
    </w:p>
    <w:p w:rsidR="00964B01" w:rsidRPr="00B84C4B" w:rsidRDefault="00964B01" w:rsidP="00F07CA5">
      <w:pPr>
        <w:pStyle w:val="Heading2"/>
        <w:numPr>
          <w:ilvl w:val="1"/>
          <w:numId w:val="18"/>
        </w:numPr>
      </w:pPr>
      <w:r w:rsidRPr="00B84C4B">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rsidR="00964B01" w:rsidRPr="00B84C4B" w:rsidRDefault="00964B01" w:rsidP="00F07CA5">
      <w:pPr>
        <w:pStyle w:val="Heading2"/>
        <w:numPr>
          <w:ilvl w:val="1"/>
          <w:numId w:val="18"/>
        </w:numPr>
      </w:pPr>
      <w:r w:rsidRPr="00B84C4B">
        <w:t>Ensuring that appropriate independent technical experts carry out the technical reviews;</w:t>
      </w:r>
    </w:p>
    <w:p w:rsidR="00964B01" w:rsidRPr="00B84C4B" w:rsidRDefault="00964B01" w:rsidP="00F07CA5">
      <w:pPr>
        <w:pStyle w:val="Heading2"/>
        <w:numPr>
          <w:ilvl w:val="1"/>
          <w:numId w:val="18"/>
        </w:numPr>
      </w:pPr>
      <w:r w:rsidRPr="00B84C4B">
        <w:t>Carrying out required supervision missions;</w:t>
      </w:r>
    </w:p>
    <w:p w:rsidR="00964B01" w:rsidRPr="00B84C4B" w:rsidRDefault="00964B01" w:rsidP="00F07CA5">
      <w:pPr>
        <w:pStyle w:val="Heading2"/>
        <w:numPr>
          <w:ilvl w:val="1"/>
          <w:numId w:val="18"/>
        </w:numPr>
      </w:pPr>
      <w:r w:rsidRPr="00B84C4B">
        <w:t>Ensuring the presence of an operating mechanism to allow effective, transparent implementation of the Tranche Implementation Plan and accurate data reporting;</w:t>
      </w:r>
    </w:p>
    <w:p w:rsidR="00964B01" w:rsidRPr="00B84C4B" w:rsidRDefault="00964B01" w:rsidP="00F07CA5">
      <w:pPr>
        <w:pStyle w:val="Heading2"/>
        <w:keepNext/>
        <w:widowControl/>
        <w:numPr>
          <w:ilvl w:val="1"/>
          <w:numId w:val="18"/>
        </w:numPr>
      </w:pPr>
      <w:r w:rsidRPr="00B84C4B">
        <w:t>In case of reductions in funding for failure to comply in accordance with paragraph 11 of the Agreement, to determine, in consultation with the Country, the allocation of the reductions to the different budget items and to the funding of the Lead IA;</w:t>
      </w:r>
    </w:p>
    <w:p w:rsidR="00964B01" w:rsidRPr="00B84C4B" w:rsidRDefault="00964B01" w:rsidP="00F07CA5">
      <w:pPr>
        <w:pStyle w:val="Heading2"/>
        <w:numPr>
          <w:ilvl w:val="1"/>
          <w:numId w:val="18"/>
        </w:numPr>
      </w:pPr>
      <w:r w:rsidRPr="00B84C4B">
        <w:t xml:space="preserve">Ensuring that disbursements made to the Country are based on the use of the indicators; </w:t>
      </w:r>
    </w:p>
    <w:p w:rsidR="00964B01" w:rsidRPr="00B84C4B" w:rsidRDefault="00964B01" w:rsidP="00F07CA5">
      <w:pPr>
        <w:pStyle w:val="Heading2"/>
        <w:numPr>
          <w:ilvl w:val="1"/>
          <w:numId w:val="18"/>
        </w:numPr>
      </w:pPr>
      <w:r w:rsidRPr="00B84C4B">
        <w:t xml:space="preserve">Providing assistance with policy, management and technical support when </w:t>
      </w:r>
      <w:r w:rsidR="00200A7E" w:rsidRPr="00B84C4B">
        <w:t>required; and</w:t>
      </w:r>
    </w:p>
    <w:p w:rsidR="00964B01" w:rsidRPr="00B84C4B" w:rsidRDefault="00964B01" w:rsidP="00F07CA5">
      <w:pPr>
        <w:pStyle w:val="Heading2"/>
        <w:keepNext/>
        <w:widowControl/>
        <w:numPr>
          <w:ilvl w:val="1"/>
          <w:numId w:val="18"/>
        </w:numPr>
      </w:pPr>
      <w:r w:rsidRPr="00B84C4B">
        <w:t>Timely releasing funds to the Country/participating enterprises for completing the activities related to the project.</w:t>
      </w:r>
    </w:p>
    <w:p w:rsidR="00964B01" w:rsidRPr="00B84C4B" w:rsidRDefault="00964B01" w:rsidP="00F07CA5">
      <w:pPr>
        <w:pStyle w:val="Heading1"/>
        <w:numPr>
          <w:ilvl w:val="0"/>
          <w:numId w:val="23"/>
        </w:numPr>
      </w:pPr>
      <w:r w:rsidRPr="00B84C4B">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rsidR="00964B01" w:rsidRPr="00B84C4B" w:rsidRDefault="00964B01" w:rsidP="00964B01"/>
    <w:p w:rsidR="00964B01" w:rsidRPr="00B84C4B" w:rsidRDefault="00964B01" w:rsidP="00964B01">
      <w:pPr>
        <w:keepNext/>
        <w:rPr>
          <w:b/>
        </w:rPr>
      </w:pPr>
      <w:r w:rsidRPr="00B84C4B">
        <w:rPr>
          <w:b/>
        </w:rPr>
        <w:t>APPENDIX 7-A: REDUCTIONS IN FUNDING FOR FAILURE TO COMPLY</w:t>
      </w:r>
    </w:p>
    <w:p w:rsidR="00964B01" w:rsidRPr="00B84C4B" w:rsidRDefault="00964B01" w:rsidP="00964B01">
      <w:pPr>
        <w:keepNext/>
      </w:pPr>
    </w:p>
    <w:p w:rsidR="00964B01" w:rsidRPr="00B84C4B" w:rsidRDefault="00964B01" w:rsidP="00F07CA5">
      <w:pPr>
        <w:pStyle w:val="Heading1"/>
        <w:numPr>
          <w:ilvl w:val="0"/>
          <w:numId w:val="24"/>
        </w:numPr>
      </w:pPr>
      <w:r w:rsidRPr="00B84C4B">
        <w:t xml:space="preserve">In accordance with paragraph 11 of the Agreement, the amount of funding provided may be reduced </w:t>
      </w:r>
      <w:r w:rsidRPr="00E27D30">
        <w:t>by US $</w:t>
      </w:r>
      <w:r w:rsidR="00E27D30" w:rsidRPr="00E27D30">
        <w:t xml:space="preserve">202.13 </w:t>
      </w:r>
      <w:r w:rsidRPr="00E27D30">
        <w:t>per ODP kg of consumption</w:t>
      </w:r>
      <w:r w:rsidRPr="00B84C4B">
        <w:t xml:space="preserve">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rsidR="00964B01" w:rsidRPr="00B84C4B" w:rsidRDefault="00964B01" w:rsidP="00F07CA5">
      <w:pPr>
        <w:pStyle w:val="Heading1"/>
        <w:numPr>
          <w:ilvl w:val="0"/>
          <w:numId w:val="24"/>
        </w:numPr>
      </w:pPr>
      <w:r w:rsidRPr="00B84C4B">
        <w:lastRenderedPageBreak/>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rsidR="00964B01" w:rsidRPr="007D2F44" w:rsidRDefault="00964B01" w:rsidP="00964B01"/>
    <w:p w:rsidR="00964B01" w:rsidRPr="00216AD0" w:rsidRDefault="00964B01" w:rsidP="00964B01">
      <w:pPr>
        <w:widowControl w:val="0"/>
        <w:jc w:val="center"/>
        <w:rPr>
          <w:color w:val="000000"/>
        </w:rPr>
      </w:pPr>
    </w:p>
    <w:p w:rsidR="00964B01" w:rsidRPr="00216AD0" w:rsidRDefault="00964B01" w:rsidP="00964B01">
      <w:pPr>
        <w:widowControl w:val="0"/>
        <w:jc w:val="center"/>
        <w:rPr>
          <w:color w:val="000000"/>
        </w:rPr>
      </w:pPr>
    </w:p>
    <w:p w:rsidR="00964B01" w:rsidRPr="00572436" w:rsidRDefault="00964B01" w:rsidP="002E5A19">
      <w:pPr>
        <w:jc w:val="center"/>
        <w:rPr>
          <w:b/>
          <w:lang w:val="en-CA"/>
        </w:rPr>
      </w:pPr>
    </w:p>
    <w:p w:rsidR="002E5A19" w:rsidRPr="00572436" w:rsidRDefault="002E5A19" w:rsidP="002E5A19">
      <w:pPr>
        <w:rPr>
          <w:lang w:val="en-CA"/>
        </w:rPr>
      </w:pPr>
    </w:p>
    <w:p w:rsidR="00127DB4" w:rsidRPr="00DA789E" w:rsidRDefault="00127DB4" w:rsidP="00127DB4">
      <w:pPr>
        <w:rPr>
          <w:lang w:val="en-CA"/>
        </w:rPr>
      </w:pPr>
    </w:p>
    <w:p w:rsidR="00127DB4" w:rsidRPr="00572436" w:rsidRDefault="00127DB4" w:rsidP="00572436">
      <w:pPr>
        <w:jc w:val="center"/>
        <w:rPr>
          <w:b/>
          <w:lang w:val="en-CA"/>
        </w:rPr>
      </w:pPr>
    </w:p>
    <w:p w:rsidR="00572436" w:rsidRPr="00572436" w:rsidRDefault="00572436" w:rsidP="00572436">
      <w:pPr>
        <w:rPr>
          <w:lang w:val="en-CA"/>
        </w:rPr>
      </w:pPr>
    </w:p>
    <w:sectPr w:rsidR="00572436" w:rsidRPr="00572436" w:rsidSect="002D6E85">
      <w:headerReference w:type="even" r:id="rId16"/>
      <w:headerReference w:type="default" r:id="rId17"/>
      <w:footerReference w:type="first" r:id="rId18"/>
      <w:pgSz w:w="12240" w:h="15840" w:code="1"/>
      <w:pgMar w:top="720" w:right="1440" w:bottom="864" w:left="1440" w:header="720" w:footer="475" w:gutter="0"/>
      <w:pgNumType w:start="1"/>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53583" w15:done="0"/>
  <w15:commentEx w15:paraId="17AC46F5" w15:done="0"/>
  <w15:commentEx w15:paraId="21510219" w15:done="0"/>
  <w15:commentEx w15:paraId="3881C9B9" w15:done="0"/>
  <w15:commentEx w15:paraId="1AFA5A22" w15:done="0"/>
  <w15:commentEx w15:paraId="4E838723" w15:done="0"/>
  <w15:commentEx w15:paraId="23057CA3" w15:done="0"/>
  <w15:commentEx w15:paraId="786529D9" w15:done="0"/>
  <w15:commentEx w15:paraId="0C8DCCB9" w15:done="0"/>
  <w15:commentEx w15:paraId="65382C91" w15:done="0"/>
  <w15:commentEx w15:paraId="519AEF4C" w15:done="0"/>
  <w15:commentEx w15:paraId="74B8F780" w15:done="0"/>
  <w15:commentEx w15:paraId="69BCC22F" w15:done="0"/>
  <w15:commentEx w15:paraId="062E73EE" w15:done="0"/>
  <w15:commentEx w15:paraId="7AD588FF" w15:done="0"/>
  <w15:commentEx w15:paraId="494540E4" w15:done="0"/>
  <w15:commentEx w15:paraId="03E0EA5D" w15:done="0"/>
  <w15:commentEx w15:paraId="045F07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68" w:rsidRDefault="00444268" w:rsidP="004A504B">
      <w:r>
        <w:separator/>
      </w:r>
    </w:p>
  </w:endnote>
  <w:endnote w:type="continuationSeparator" w:id="0">
    <w:p w:rsidR="00444268" w:rsidRDefault="0044426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46273"/>
      <w:docPartObj>
        <w:docPartGallery w:val="Page Numbers (Bottom of Page)"/>
        <w:docPartUnique/>
      </w:docPartObj>
    </w:sdtPr>
    <w:sdtEndPr>
      <w:rPr>
        <w:noProof/>
      </w:rPr>
    </w:sdtEndPr>
    <w:sdtContent>
      <w:p w:rsidR="00444268" w:rsidRDefault="00444268">
        <w:pPr>
          <w:pStyle w:val="Footer"/>
          <w:jc w:val="center"/>
        </w:pPr>
        <w:r>
          <w:fldChar w:fldCharType="begin"/>
        </w:r>
        <w:r>
          <w:instrText xml:space="preserve"> PAGE   \* MERGEFORMAT </w:instrText>
        </w:r>
        <w:r>
          <w:fldChar w:fldCharType="separate"/>
        </w:r>
        <w:r w:rsidR="00C2319A">
          <w:rPr>
            <w:noProof/>
          </w:rPr>
          <w:t>8</w:t>
        </w:r>
        <w:r>
          <w:rPr>
            <w:noProof/>
          </w:rPr>
          <w:fldChar w:fldCharType="end"/>
        </w:r>
      </w:p>
    </w:sdtContent>
  </w:sdt>
  <w:p w:rsidR="00444268" w:rsidRPr="0033525D" w:rsidRDefault="0044426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Pr="0033525D" w:rsidRDefault="00444268">
    <w:pPr>
      <w:jc w:val="center"/>
    </w:pPr>
    <w:r>
      <w:fldChar w:fldCharType="begin"/>
    </w:r>
    <w:r>
      <w:instrText xml:space="preserve"> PAGE </w:instrText>
    </w:r>
    <w:r>
      <w:fldChar w:fldCharType="separate"/>
    </w:r>
    <w:r w:rsidR="00C2319A">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Default="00444268"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44268" w:rsidRDefault="00444268"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Default="00444268"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44268" w:rsidRDefault="00444268"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68" w:rsidRDefault="00444268" w:rsidP="004A504B">
      <w:r>
        <w:separator/>
      </w:r>
    </w:p>
  </w:footnote>
  <w:footnote w:type="continuationSeparator" w:id="0">
    <w:p w:rsidR="00444268" w:rsidRDefault="00444268" w:rsidP="004A504B">
      <w:r>
        <w:continuationSeparator/>
      </w:r>
    </w:p>
  </w:footnote>
  <w:footnote w:id="1">
    <w:p w:rsidR="00444268" w:rsidRPr="003B1FDF" w:rsidRDefault="00444268">
      <w:pPr>
        <w:pStyle w:val="FootnoteText"/>
        <w:rPr>
          <w:lang w:val="en-CA"/>
        </w:rPr>
      </w:pPr>
      <w:r>
        <w:rPr>
          <w:rStyle w:val="FootnoteReference"/>
        </w:rPr>
        <w:footnoteRef/>
      </w:r>
      <w:r w:rsidRPr="003B1FDF">
        <w:t>As per the letter of 6 July 2016 from the Ministerio de ViviendaOrdamiento y Medio Ambiente of Uruguay to UNDP</w:t>
      </w:r>
      <w:r>
        <w:t>.</w:t>
      </w:r>
    </w:p>
  </w:footnote>
  <w:footnote w:id="2">
    <w:p w:rsidR="00444268" w:rsidRPr="00407E73" w:rsidRDefault="00444268">
      <w:pPr>
        <w:pStyle w:val="FootnoteText"/>
        <w:rPr>
          <w:lang w:val="en-CA"/>
        </w:rPr>
      </w:pPr>
      <w:r>
        <w:rPr>
          <w:rStyle w:val="FootnoteReference"/>
        </w:rPr>
        <w:footnoteRef/>
      </w:r>
      <w:r w:rsidRPr="00A53BA8">
        <w:t>Under the National Environmental Directorate (DINAMA) of the Ministry of Housing, Land Planning and Environment (MVOTMA)</w:t>
      </w:r>
      <w:r>
        <w:t>.</w:t>
      </w:r>
    </w:p>
  </w:footnote>
  <w:footnote w:id="3">
    <w:p w:rsidR="00444268" w:rsidRPr="003968D3" w:rsidRDefault="00444268" w:rsidP="003968D3">
      <w:pPr>
        <w:pStyle w:val="FootnoteText"/>
        <w:rPr>
          <w:lang w:val="en-US"/>
        </w:rPr>
      </w:pPr>
      <w:r>
        <w:rPr>
          <w:rStyle w:val="FootnoteReference"/>
        </w:rPr>
        <w:footnoteRef/>
      </w:r>
      <w:r w:rsidRPr="003968D3">
        <w:rPr>
          <w:sz w:val="18"/>
          <w:szCs w:val="18"/>
        </w:rPr>
        <w:t>Information from the suppliers on how and when an adequate supply of the technology would be made available to the country for the technologies selected (i.e., HFO</w:t>
      </w:r>
      <w:r>
        <w:rPr>
          <w:sz w:val="18"/>
          <w:szCs w:val="18"/>
        </w:rPr>
        <w:t>-</w:t>
      </w:r>
      <w:r w:rsidRPr="003968D3">
        <w:rPr>
          <w:sz w:val="18"/>
          <w:szCs w:val="18"/>
        </w:rPr>
        <w:t>1233zd(E))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Pr="0033525D" w:rsidRDefault="00444268">
    <w:r w:rsidRPr="00D0205E">
      <w:t>UNEP/OzL.Pro/ExCom/77/</w:t>
    </w:r>
    <w:r>
      <w:t>67</w:t>
    </w:r>
  </w:p>
  <w:p w:rsidR="00444268" w:rsidRPr="0033525D" w:rsidRDefault="004442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Default="00444268">
    <w:pPr>
      <w:jc w:val="right"/>
    </w:pPr>
    <w:r w:rsidRPr="00D0205E">
      <w:t>UNEP/OzL.Pro/ExCom/77/</w:t>
    </w:r>
    <w:r>
      <w:t>67</w:t>
    </w:r>
  </w:p>
  <w:p w:rsidR="00444268" w:rsidRPr="0033525D" w:rsidRDefault="00444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Default="00444268">
    <w:r w:rsidRPr="00D0205E">
      <w:t>UNEP/OzL.Pro/ExCom/77/</w:t>
    </w:r>
    <w:r>
      <w:t>67</w:t>
    </w:r>
  </w:p>
  <w:p w:rsidR="00444268" w:rsidRPr="0033525D" w:rsidRDefault="00444268">
    <w:r>
      <w:t>Annex I</w:t>
    </w:r>
  </w:p>
  <w:p w:rsidR="00444268" w:rsidRPr="0033525D" w:rsidRDefault="004442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8" w:rsidRDefault="00444268">
    <w:pPr>
      <w:jc w:val="right"/>
    </w:pPr>
    <w:r w:rsidRPr="00D0205E">
      <w:t>UNEP/OzL.Pro/ExCom/77/</w:t>
    </w:r>
    <w:r>
      <w:t>67</w:t>
    </w:r>
  </w:p>
  <w:p w:rsidR="00444268" w:rsidRPr="0033525D" w:rsidRDefault="00444268" w:rsidP="00F93EF8">
    <w:pPr>
      <w:pStyle w:val="Header"/>
      <w:jc w:val="right"/>
    </w:pPr>
    <w:r>
      <w:t>Annex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EB6D39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nsid w:val="00B0113D"/>
    <w:multiLevelType w:val="multilevel"/>
    <w:tmpl w:val="233E78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
    <w:nsid w:val="079221E7"/>
    <w:multiLevelType w:val="multilevel"/>
    <w:tmpl w:val="F77256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
    <w:nsid w:val="079B78A0"/>
    <w:multiLevelType w:val="multilevel"/>
    <w:tmpl w:val="0600965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
    <w:nsid w:val="08013AF1"/>
    <w:multiLevelType w:val="multilevel"/>
    <w:tmpl w:val="5712B84E"/>
    <w:lvl w:ilvl="0">
      <w:start w:val="1"/>
      <w:numFmt w:val="decimal"/>
      <w:lvlText w:val="%1."/>
      <w:lvlJc w:val="left"/>
      <w:pPr>
        <w:tabs>
          <w:tab w:val="num" w:pos="0"/>
        </w:tabs>
        <w:ind w:left="0" w:firstLine="0"/>
      </w:pPr>
      <w:rPr>
        <w:rFonts w:hint="default"/>
      </w:rPr>
    </w:lvl>
    <w:lvl w:ilvl="1">
      <w:start w:val="6"/>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
    <w:nsid w:val="0D7861F2"/>
    <w:multiLevelType w:val="multilevel"/>
    <w:tmpl w:val="1E24B704"/>
    <w:lvl w:ilvl="0">
      <w:start w:val="1"/>
      <w:numFmt w:val="decimal"/>
      <w:pStyle w:val="Style1"/>
      <w:lvlText w:val="%1."/>
      <w:lvlJc w:val="left"/>
      <w:pPr>
        <w:tabs>
          <w:tab w:val="num" w:pos="270"/>
        </w:tabs>
        <w:ind w:left="270" w:firstLine="0"/>
      </w:pPr>
      <w:rPr>
        <w:i w:val="0"/>
      </w:rPr>
    </w:lvl>
    <w:lvl w:ilvl="1">
      <w:start w:val="1"/>
      <w:numFmt w:val="lowerLetter"/>
      <w:lvlText w:val="(%2)"/>
      <w:lvlJc w:val="left"/>
      <w:pPr>
        <w:tabs>
          <w:tab w:val="num" w:pos="270"/>
        </w:tabs>
        <w:ind w:left="1710" w:hanging="720"/>
      </w:pPr>
    </w:lvl>
    <w:lvl w:ilvl="2">
      <w:start w:val="1"/>
      <w:numFmt w:val="lowerRoman"/>
      <w:lvlText w:val="(%3)"/>
      <w:lvlJc w:val="left"/>
      <w:pPr>
        <w:tabs>
          <w:tab w:val="num" w:pos="270"/>
        </w:tabs>
        <w:ind w:left="2430" w:hanging="720"/>
      </w:pPr>
    </w:lvl>
    <w:lvl w:ilvl="3">
      <w:start w:val="1"/>
      <w:numFmt w:val="lowerLetter"/>
      <w:lvlText w:val="%4)"/>
      <w:lvlJc w:val="left"/>
      <w:pPr>
        <w:tabs>
          <w:tab w:val="num" w:pos="180"/>
        </w:tabs>
        <w:ind w:left="3046" w:hanging="706"/>
      </w:pPr>
      <w:rPr>
        <w:b w:val="0"/>
        <w:i w:val="0"/>
      </w:rPr>
    </w:lvl>
    <w:lvl w:ilvl="4">
      <w:start w:val="1"/>
      <w:numFmt w:val="decimal"/>
      <w:lvlText w:val="(%5)"/>
      <w:lvlJc w:val="left"/>
      <w:pPr>
        <w:tabs>
          <w:tab w:val="num" w:pos="270"/>
        </w:tabs>
        <w:ind w:left="3841" w:hanging="705"/>
      </w:pPr>
    </w:lvl>
    <w:lvl w:ilvl="5">
      <w:start w:val="1"/>
      <w:numFmt w:val="lowerLetter"/>
      <w:lvlText w:val="(%6)"/>
      <w:lvlJc w:val="left"/>
      <w:pPr>
        <w:tabs>
          <w:tab w:val="num" w:pos="270"/>
        </w:tabs>
        <w:ind w:left="4561" w:hanging="720"/>
      </w:pPr>
    </w:lvl>
    <w:lvl w:ilvl="6">
      <w:start w:val="1"/>
      <w:numFmt w:val="lowerRoman"/>
      <w:lvlText w:val="(%7)"/>
      <w:lvlJc w:val="left"/>
      <w:pPr>
        <w:tabs>
          <w:tab w:val="num" w:pos="270"/>
        </w:tabs>
        <w:ind w:left="5267" w:hanging="706"/>
      </w:pPr>
    </w:lvl>
    <w:lvl w:ilvl="7">
      <w:start w:val="1"/>
      <w:numFmt w:val="lowerLetter"/>
      <w:lvlText w:val="(%8)"/>
      <w:lvlJc w:val="left"/>
      <w:pPr>
        <w:tabs>
          <w:tab w:val="num" w:pos="270"/>
        </w:tabs>
        <w:ind w:left="5972" w:hanging="705"/>
      </w:pPr>
    </w:lvl>
    <w:lvl w:ilvl="8">
      <w:start w:val="1"/>
      <w:numFmt w:val="lowerRoman"/>
      <w:lvlText w:val="(%9)"/>
      <w:lvlJc w:val="left"/>
      <w:pPr>
        <w:tabs>
          <w:tab w:val="num" w:pos="270"/>
        </w:tabs>
        <w:ind w:left="6678" w:hanging="706"/>
      </w:pPr>
    </w:lvl>
  </w:abstractNum>
  <w:abstractNum w:abstractNumId="6">
    <w:nsid w:val="171F2AFC"/>
    <w:multiLevelType w:val="multilevel"/>
    <w:tmpl w:val="82C0678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
    <w:nsid w:val="2273610B"/>
    <w:multiLevelType w:val="multilevel"/>
    <w:tmpl w:val="283015B6"/>
    <w:lvl w:ilvl="0">
      <w:start w:val="6"/>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
    <w:nsid w:val="240E576F"/>
    <w:multiLevelType w:val="multilevel"/>
    <w:tmpl w:val="73ECBDA8"/>
    <w:lvl w:ilvl="0">
      <w:start w:val="1"/>
      <w:numFmt w:val="decimal"/>
      <w:lvlText w:val="%1."/>
      <w:lvlJc w:val="left"/>
      <w:pPr>
        <w:tabs>
          <w:tab w:val="num" w:pos="0"/>
        </w:tabs>
        <w:ind w:left="0" w:firstLine="0"/>
      </w:pPr>
      <w:rPr>
        <w:rFonts w:hint="default"/>
      </w:rPr>
    </w:lvl>
    <w:lvl w:ilvl="1">
      <w:start w:val="6"/>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1">
    <w:nsid w:val="390402AC"/>
    <w:multiLevelType w:val="multilevel"/>
    <w:tmpl w:val="1210675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nsid w:val="42B448C3"/>
    <w:multiLevelType w:val="multilevel"/>
    <w:tmpl w:val="7AE87D8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nsid w:val="49BB4371"/>
    <w:multiLevelType w:val="multilevel"/>
    <w:tmpl w:val="E166AEC0"/>
    <w:lvl w:ilvl="0">
      <w:start w:val="1"/>
      <w:numFmt w:val="decimal"/>
      <w:lvlText w:val="%1."/>
      <w:lvlJc w:val="left"/>
      <w:pPr>
        <w:tabs>
          <w:tab w:val="num" w:pos="0"/>
        </w:tabs>
        <w:ind w:left="0" w:firstLine="0"/>
      </w:pPr>
      <w:rPr>
        <w:rFonts w:hint="default"/>
      </w:rPr>
    </w:lvl>
    <w:lvl w:ilvl="1">
      <w:start w:val="6"/>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nsid w:val="4A501668"/>
    <w:multiLevelType w:val="multilevel"/>
    <w:tmpl w:val="E46C9C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5">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1E02D2"/>
    <w:multiLevelType w:val="multilevel"/>
    <w:tmpl w:val="A3429D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8">
    <w:nsid w:val="5AEA0DFD"/>
    <w:multiLevelType w:val="multilevel"/>
    <w:tmpl w:val="E1008256"/>
    <w:lvl w:ilvl="0">
      <w:start w:val="6"/>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nsid w:val="63B73B4D"/>
    <w:multiLevelType w:val="multilevel"/>
    <w:tmpl w:val="8B3E4E0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nsid w:val="669D4FFC"/>
    <w:multiLevelType w:val="hybridMultilevel"/>
    <w:tmpl w:val="6F7A1C9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351D5"/>
    <w:multiLevelType w:val="multilevel"/>
    <w:tmpl w:val="69AA0748"/>
    <w:lvl w:ilvl="0">
      <w:start w:val="13"/>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2">
    <w:nsid w:val="6D576245"/>
    <w:multiLevelType w:val="multilevel"/>
    <w:tmpl w:val="7BFAC2A6"/>
    <w:lvl w:ilvl="0">
      <w:start w:val="16"/>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nsid w:val="741A6B43"/>
    <w:multiLevelType w:val="multilevel"/>
    <w:tmpl w:val="CF0CB5A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9"/>
  </w:num>
  <w:num w:numId="3">
    <w:abstractNumId w:val="15"/>
  </w:num>
  <w:num w:numId="4">
    <w:abstractNumId w:val="16"/>
  </w:num>
  <w:num w:numId="5">
    <w:abstractNumId w:val="24"/>
  </w:num>
  <w:num w:numId="6">
    <w:abstractNumId w:val="10"/>
  </w:num>
  <w:num w:numId="7">
    <w:abstractNumId w:val="20"/>
  </w:num>
  <w:num w:numId="8">
    <w:abstractNumId w:val="5"/>
  </w:num>
  <w:num w:numId="9">
    <w:abstractNumId w:val="18"/>
  </w:num>
  <w:num w:numId="10">
    <w:abstractNumId w:val="22"/>
  </w:num>
  <w:num w:numId="11">
    <w:abstractNumId w:val="1"/>
  </w:num>
  <w:num w:numId="12">
    <w:abstractNumId w:val="19"/>
  </w:num>
  <w:num w:numId="13">
    <w:abstractNumId w:val="12"/>
  </w:num>
  <w:num w:numId="14">
    <w:abstractNumId w:val="3"/>
  </w:num>
  <w:num w:numId="15">
    <w:abstractNumId w:val="4"/>
  </w:num>
  <w:num w:numId="16">
    <w:abstractNumId w:val="2"/>
  </w:num>
  <w:num w:numId="17">
    <w:abstractNumId w:val="17"/>
  </w:num>
  <w:num w:numId="18">
    <w:abstractNumId w:val="23"/>
  </w:num>
  <w:num w:numId="19">
    <w:abstractNumId w:val="11"/>
  </w:num>
  <w:num w:numId="20">
    <w:abstractNumId w:val="21"/>
  </w:num>
  <w:num w:numId="21">
    <w:abstractNumId w:val="14"/>
  </w:num>
  <w:num w:numId="22">
    <w:abstractNumId w:val="6"/>
  </w:num>
  <w:num w:numId="23">
    <w:abstractNumId w:val="13"/>
  </w:num>
  <w:num w:numId="24">
    <w:abstractNumId w:val="8"/>
  </w:num>
  <w:num w:numId="25">
    <w:abstractNumId w:val="7"/>
  </w:num>
  <w:num w:numId="26">
    <w:abstractNumId w:val="5"/>
  </w:num>
  <w:num w:numId="27">
    <w:abstractNumId w:val="5"/>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Daneau">
    <w15:presenceInfo w15:providerId="Windows Live" w15:userId="61603dec7e064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styleLockTheme/>
  <w:styleLockQFSet/>
  <w:defaultTabStop w:val="720"/>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25E"/>
    <w:rsid w:val="000002CE"/>
    <w:rsid w:val="00000FED"/>
    <w:rsid w:val="0000434E"/>
    <w:rsid w:val="00004372"/>
    <w:rsid w:val="00004839"/>
    <w:rsid w:val="000049AA"/>
    <w:rsid w:val="00007A18"/>
    <w:rsid w:val="00010775"/>
    <w:rsid w:val="0001159B"/>
    <w:rsid w:val="00011B19"/>
    <w:rsid w:val="00012177"/>
    <w:rsid w:val="00012400"/>
    <w:rsid w:val="0001251A"/>
    <w:rsid w:val="00013765"/>
    <w:rsid w:val="00013F07"/>
    <w:rsid w:val="000149A6"/>
    <w:rsid w:val="00016222"/>
    <w:rsid w:val="000173BE"/>
    <w:rsid w:val="00017AC6"/>
    <w:rsid w:val="00017EC2"/>
    <w:rsid w:val="000207F4"/>
    <w:rsid w:val="000211A9"/>
    <w:rsid w:val="0002330A"/>
    <w:rsid w:val="00023CA9"/>
    <w:rsid w:val="00023FE4"/>
    <w:rsid w:val="000271F9"/>
    <w:rsid w:val="000302C5"/>
    <w:rsid w:val="00030782"/>
    <w:rsid w:val="00030DE9"/>
    <w:rsid w:val="00030E43"/>
    <w:rsid w:val="0003116E"/>
    <w:rsid w:val="00031260"/>
    <w:rsid w:val="00031CD8"/>
    <w:rsid w:val="0003598B"/>
    <w:rsid w:val="0003681A"/>
    <w:rsid w:val="00037E83"/>
    <w:rsid w:val="000429EA"/>
    <w:rsid w:val="000450DE"/>
    <w:rsid w:val="00046326"/>
    <w:rsid w:val="00050E07"/>
    <w:rsid w:val="00052F72"/>
    <w:rsid w:val="00053B36"/>
    <w:rsid w:val="000562D8"/>
    <w:rsid w:val="00056E84"/>
    <w:rsid w:val="00057ABC"/>
    <w:rsid w:val="00057C08"/>
    <w:rsid w:val="00061763"/>
    <w:rsid w:val="00061E38"/>
    <w:rsid w:val="00062EE4"/>
    <w:rsid w:val="00063AB9"/>
    <w:rsid w:val="00063F43"/>
    <w:rsid w:val="00065F79"/>
    <w:rsid w:val="00071463"/>
    <w:rsid w:val="000762F6"/>
    <w:rsid w:val="0007651D"/>
    <w:rsid w:val="00080ED0"/>
    <w:rsid w:val="00084117"/>
    <w:rsid w:val="00085B8F"/>
    <w:rsid w:val="00085EAF"/>
    <w:rsid w:val="00086584"/>
    <w:rsid w:val="00086951"/>
    <w:rsid w:val="000903A2"/>
    <w:rsid w:val="00090481"/>
    <w:rsid w:val="00093373"/>
    <w:rsid w:val="00095B11"/>
    <w:rsid w:val="00097271"/>
    <w:rsid w:val="000A2873"/>
    <w:rsid w:val="000A31FA"/>
    <w:rsid w:val="000A3C8F"/>
    <w:rsid w:val="000A3F55"/>
    <w:rsid w:val="000A45C4"/>
    <w:rsid w:val="000A51A3"/>
    <w:rsid w:val="000A5699"/>
    <w:rsid w:val="000A7761"/>
    <w:rsid w:val="000B386C"/>
    <w:rsid w:val="000B4336"/>
    <w:rsid w:val="000B56BE"/>
    <w:rsid w:val="000B5A4D"/>
    <w:rsid w:val="000B74AC"/>
    <w:rsid w:val="000C1E5B"/>
    <w:rsid w:val="000C4253"/>
    <w:rsid w:val="000C46B4"/>
    <w:rsid w:val="000C6386"/>
    <w:rsid w:val="000C6489"/>
    <w:rsid w:val="000C6737"/>
    <w:rsid w:val="000C7549"/>
    <w:rsid w:val="000C7EA9"/>
    <w:rsid w:val="000D150A"/>
    <w:rsid w:val="000D1D63"/>
    <w:rsid w:val="000D237E"/>
    <w:rsid w:val="000D3570"/>
    <w:rsid w:val="000D54A8"/>
    <w:rsid w:val="000E07BC"/>
    <w:rsid w:val="000E3FAA"/>
    <w:rsid w:val="000E437D"/>
    <w:rsid w:val="000E48C5"/>
    <w:rsid w:val="000E5BEA"/>
    <w:rsid w:val="000E70B1"/>
    <w:rsid w:val="000F1B60"/>
    <w:rsid w:val="000F1CD4"/>
    <w:rsid w:val="000F305B"/>
    <w:rsid w:val="000F4103"/>
    <w:rsid w:val="000F70A7"/>
    <w:rsid w:val="00101A00"/>
    <w:rsid w:val="0010259B"/>
    <w:rsid w:val="001027C5"/>
    <w:rsid w:val="00104831"/>
    <w:rsid w:val="00105EE2"/>
    <w:rsid w:val="00110968"/>
    <w:rsid w:val="00111B4C"/>
    <w:rsid w:val="00111DCE"/>
    <w:rsid w:val="00113CBE"/>
    <w:rsid w:val="001150D8"/>
    <w:rsid w:val="0011706F"/>
    <w:rsid w:val="00117D99"/>
    <w:rsid w:val="001205ED"/>
    <w:rsid w:val="00120A0B"/>
    <w:rsid w:val="00125670"/>
    <w:rsid w:val="001258D6"/>
    <w:rsid w:val="00125B92"/>
    <w:rsid w:val="001266FA"/>
    <w:rsid w:val="00127208"/>
    <w:rsid w:val="00127DB4"/>
    <w:rsid w:val="001308BE"/>
    <w:rsid w:val="00131747"/>
    <w:rsid w:val="00132690"/>
    <w:rsid w:val="00132B7F"/>
    <w:rsid w:val="0013325D"/>
    <w:rsid w:val="00134C60"/>
    <w:rsid w:val="00135980"/>
    <w:rsid w:val="001362BC"/>
    <w:rsid w:val="00137D79"/>
    <w:rsid w:val="00140976"/>
    <w:rsid w:val="0014434D"/>
    <w:rsid w:val="0014448E"/>
    <w:rsid w:val="00145183"/>
    <w:rsid w:val="00145A9D"/>
    <w:rsid w:val="00146D8D"/>
    <w:rsid w:val="00151F02"/>
    <w:rsid w:val="00153DF0"/>
    <w:rsid w:val="00156C4F"/>
    <w:rsid w:val="00160D11"/>
    <w:rsid w:val="001624BC"/>
    <w:rsid w:val="001630DF"/>
    <w:rsid w:val="001634C3"/>
    <w:rsid w:val="00164719"/>
    <w:rsid w:val="001659A1"/>
    <w:rsid w:val="00166FC4"/>
    <w:rsid w:val="001677AC"/>
    <w:rsid w:val="001709AE"/>
    <w:rsid w:val="001709C1"/>
    <w:rsid w:val="00171594"/>
    <w:rsid w:val="0017224D"/>
    <w:rsid w:val="001726D3"/>
    <w:rsid w:val="00173DEF"/>
    <w:rsid w:val="00175092"/>
    <w:rsid w:val="00175286"/>
    <w:rsid w:val="00175A89"/>
    <w:rsid w:val="00177595"/>
    <w:rsid w:val="001804EA"/>
    <w:rsid w:val="001807FC"/>
    <w:rsid w:val="0018234B"/>
    <w:rsid w:val="0018266D"/>
    <w:rsid w:val="001874F9"/>
    <w:rsid w:val="00190A61"/>
    <w:rsid w:val="0019239B"/>
    <w:rsid w:val="00192BB0"/>
    <w:rsid w:val="00194378"/>
    <w:rsid w:val="00195282"/>
    <w:rsid w:val="0019610D"/>
    <w:rsid w:val="00197408"/>
    <w:rsid w:val="001A0770"/>
    <w:rsid w:val="001A1248"/>
    <w:rsid w:val="001A214C"/>
    <w:rsid w:val="001A2FBE"/>
    <w:rsid w:val="001A3342"/>
    <w:rsid w:val="001A3AD7"/>
    <w:rsid w:val="001A3E3D"/>
    <w:rsid w:val="001A5635"/>
    <w:rsid w:val="001A68CE"/>
    <w:rsid w:val="001A7049"/>
    <w:rsid w:val="001B143B"/>
    <w:rsid w:val="001B1A6E"/>
    <w:rsid w:val="001B1E40"/>
    <w:rsid w:val="001B2674"/>
    <w:rsid w:val="001B354E"/>
    <w:rsid w:val="001B3FA7"/>
    <w:rsid w:val="001B48EC"/>
    <w:rsid w:val="001B779A"/>
    <w:rsid w:val="001C018F"/>
    <w:rsid w:val="001C1BCE"/>
    <w:rsid w:val="001C1F55"/>
    <w:rsid w:val="001C4CEB"/>
    <w:rsid w:val="001C5F0B"/>
    <w:rsid w:val="001C61DF"/>
    <w:rsid w:val="001C6756"/>
    <w:rsid w:val="001C764E"/>
    <w:rsid w:val="001D1DEB"/>
    <w:rsid w:val="001D1FCC"/>
    <w:rsid w:val="001D7C2F"/>
    <w:rsid w:val="001E0BB1"/>
    <w:rsid w:val="001E0FEF"/>
    <w:rsid w:val="001E1052"/>
    <w:rsid w:val="001E1790"/>
    <w:rsid w:val="001E21B1"/>
    <w:rsid w:val="001E2F93"/>
    <w:rsid w:val="001E4286"/>
    <w:rsid w:val="001E44CB"/>
    <w:rsid w:val="001E4B3B"/>
    <w:rsid w:val="001E61E5"/>
    <w:rsid w:val="001E6208"/>
    <w:rsid w:val="001E7F9A"/>
    <w:rsid w:val="001F2159"/>
    <w:rsid w:val="001F744A"/>
    <w:rsid w:val="001F7908"/>
    <w:rsid w:val="00200A7E"/>
    <w:rsid w:val="0020388B"/>
    <w:rsid w:val="002038AF"/>
    <w:rsid w:val="00203FA1"/>
    <w:rsid w:val="002046C5"/>
    <w:rsid w:val="0020564B"/>
    <w:rsid w:val="00207E29"/>
    <w:rsid w:val="00212885"/>
    <w:rsid w:val="002156B4"/>
    <w:rsid w:val="00216434"/>
    <w:rsid w:val="00217840"/>
    <w:rsid w:val="00220970"/>
    <w:rsid w:val="00221543"/>
    <w:rsid w:val="00223D5C"/>
    <w:rsid w:val="002250C4"/>
    <w:rsid w:val="00226AD3"/>
    <w:rsid w:val="00226C06"/>
    <w:rsid w:val="00230D83"/>
    <w:rsid w:val="00231C99"/>
    <w:rsid w:val="00233035"/>
    <w:rsid w:val="00233911"/>
    <w:rsid w:val="00233B84"/>
    <w:rsid w:val="0024318F"/>
    <w:rsid w:val="00243358"/>
    <w:rsid w:val="002444DA"/>
    <w:rsid w:val="0024509D"/>
    <w:rsid w:val="002466D8"/>
    <w:rsid w:val="002467EB"/>
    <w:rsid w:val="00251D21"/>
    <w:rsid w:val="00253222"/>
    <w:rsid w:val="0025658E"/>
    <w:rsid w:val="00256FFC"/>
    <w:rsid w:val="0025746A"/>
    <w:rsid w:val="0025799A"/>
    <w:rsid w:val="0026087D"/>
    <w:rsid w:val="002614C2"/>
    <w:rsid w:val="002622E0"/>
    <w:rsid w:val="00262847"/>
    <w:rsid w:val="00263FE3"/>
    <w:rsid w:val="00265515"/>
    <w:rsid w:val="00265848"/>
    <w:rsid w:val="0026599D"/>
    <w:rsid w:val="00267C81"/>
    <w:rsid w:val="002748EF"/>
    <w:rsid w:val="00275082"/>
    <w:rsid w:val="002750FD"/>
    <w:rsid w:val="00276714"/>
    <w:rsid w:val="00277915"/>
    <w:rsid w:val="00286F31"/>
    <w:rsid w:val="00287E67"/>
    <w:rsid w:val="0029250C"/>
    <w:rsid w:val="00293EBE"/>
    <w:rsid w:val="00294328"/>
    <w:rsid w:val="0029650B"/>
    <w:rsid w:val="002A11FA"/>
    <w:rsid w:val="002A1A25"/>
    <w:rsid w:val="002A21E5"/>
    <w:rsid w:val="002A30F1"/>
    <w:rsid w:val="002B008C"/>
    <w:rsid w:val="002B0D82"/>
    <w:rsid w:val="002B2A64"/>
    <w:rsid w:val="002B41FC"/>
    <w:rsid w:val="002B5C86"/>
    <w:rsid w:val="002B6259"/>
    <w:rsid w:val="002B72E9"/>
    <w:rsid w:val="002B7AAD"/>
    <w:rsid w:val="002B7E9F"/>
    <w:rsid w:val="002C0062"/>
    <w:rsid w:val="002C3A81"/>
    <w:rsid w:val="002C4454"/>
    <w:rsid w:val="002C7998"/>
    <w:rsid w:val="002D038E"/>
    <w:rsid w:val="002D3E8F"/>
    <w:rsid w:val="002D6647"/>
    <w:rsid w:val="002D6E85"/>
    <w:rsid w:val="002E2C16"/>
    <w:rsid w:val="002E3183"/>
    <w:rsid w:val="002E3705"/>
    <w:rsid w:val="002E373B"/>
    <w:rsid w:val="002E509C"/>
    <w:rsid w:val="002E5A19"/>
    <w:rsid w:val="002E6AC7"/>
    <w:rsid w:val="002E6BA8"/>
    <w:rsid w:val="002F0527"/>
    <w:rsid w:val="002F1125"/>
    <w:rsid w:val="002F1E53"/>
    <w:rsid w:val="002F2CAA"/>
    <w:rsid w:val="002F52F7"/>
    <w:rsid w:val="00305EA1"/>
    <w:rsid w:val="00307D17"/>
    <w:rsid w:val="00307E70"/>
    <w:rsid w:val="00307E71"/>
    <w:rsid w:val="00320907"/>
    <w:rsid w:val="003223A6"/>
    <w:rsid w:val="0032251E"/>
    <w:rsid w:val="00322C98"/>
    <w:rsid w:val="00325885"/>
    <w:rsid w:val="00325A14"/>
    <w:rsid w:val="00326C4F"/>
    <w:rsid w:val="0033029B"/>
    <w:rsid w:val="003306E1"/>
    <w:rsid w:val="00330E04"/>
    <w:rsid w:val="0033197F"/>
    <w:rsid w:val="00331B83"/>
    <w:rsid w:val="003320E4"/>
    <w:rsid w:val="00332E1E"/>
    <w:rsid w:val="003331FD"/>
    <w:rsid w:val="00334AC4"/>
    <w:rsid w:val="0033525D"/>
    <w:rsid w:val="00335EE6"/>
    <w:rsid w:val="00336E4D"/>
    <w:rsid w:val="00336F0A"/>
    <w:rsid w:val="00337842"/>
    <w:rsid w:val="00340CC7"/>
    <w:rsid w:val="003414F3"/>
    <w:rsid w:val="00341C4B"/>
    <w:rsid w:val="00342386"/>
    <w:rsid w:val="00346F9F"/>
    <w:rsid w:val="003521F1"/>
    <w:rsid w:val="00352B1D"/>
    <w:rsid w:val="00352CE8"/>
    <w:rsid w:val="0035613E"/>
    <w:rsid w:val="00357A7B"/>
    <w:rsid w:val="003623D7"/>
    <w:rsid w:val="00362903"/>
    <w:rsid w:val="003630DA"/>
    <w:rsid w:val="00363EE9"/>
    <w:rsid w:val="00367396"/>
    <w:rsid w:val="0037042C"/>
    <w:rsid w:val="00373457"/>
    <w:rsid w:val="00373827"/>
    <w:rsid w:val="003745D7"/>
    <w:rsid w:val="00376128"/>
    <w:rsid w:val="0037742E"/>
    <w:rsid w:val="003803E2"/>
    <w:rsid w:val="003822C4"/>
    <w:rsid w:val="0038245A"/>
    <w:rsid w:val="00383526"/>
    <w:rsid w:val="00383CCC"/>
    <w:rsid w:val="00387915"/>
    <w:rsid w:val="00390A3D"/>
    <w:rsid w:val="0039337A"/>
    <w:rsid w:val="0039352E"/>
    <w:rsid w:val="003962BA"/>
    <w:rsid w:val="003968D3"/>
    <w:rsid w:val="003A3189"/>
    <w:rsid w:val="003A42D6"/>
    <w:rsid w:val="003A4B1D"/>
    <w:rsid w:val="003A5C16"/>
    <w:rsid w:val="003A7D54"/>
    <w:rsid w:val="003B1FDF"/>
    <w:rsid w:val="003B2F07"/>
    <w:rsid w:val="003B31E1"/>
    <w:rsid w:val="003B35A1"/>
    <w:rsid w:val="003B39A6"/>
    <w:rsid w:val="003B569D"/>
    <w:rsid w:val="003C04CC"/>
    <w:rsid w:val="003C3C0E"/>
    <w:rsid w:val="003C3E25"/>
    <w:rsid w:val="003C5623"/>
    <w:rsid w:val="003D39F5"/>
    <w:rsid w:val="003D4FAC"/>
    <w:rsid w:val="003D572D"/>
    <w:rsid w:val="003D5DD3"/>
    <w:rsid w:val="003D711D"/>
    <w:rsid w:val="003E22F3"/>
    <w:rsid w:val="003E41BA"/>
    <w:rsid w:val="003E4D48"/>
    <w:rsid w:val="003E5B4F"/>
    <w:rsid w:val="003E7906"/>
    <w:rsid w:val="003F23E9"/>
    <w:rsid w:val="003F3764"/>
    <w:rsid w:val="003F3C50"/>
    <w:rsid w:val="003F6D4B"/>
    <w:rsid w:val="003F780B"/>
    <w:rsid w:val="004049C4"/>
    <w:rsid w:val="00405DB9"/>
    <w:rsid w:val="0040628C"/>
    <w:rsid w:val="00406A6A"/>
    <w:rsid w:val="00406B22"/>
    <w:rsid w:val="00407E73"/>
    <w:rsid w:val="00411FBD"/>
    <w:rsid w:val="0041551C"/>
    <w:rsid w:val="00415778"/>
    <w:rsid w:val="004157A1"/>
    <w:rsid w:val="004157BD"/>
    <w:rsid w:val="004166B9"/>
    <w:rsid w:val="00416F96"/>
    <w:rsid w:val="00416FAF"/>
    <w:rsid w:val="004225AD"/>
    <w:rsid w:val="00422E23"/>
    <w:rsid w:val="00425838"/>
    <w:rsid w:val="0042721C"/>
    <w:rsid w:val="00430AF8"/>
    <w:rsid w:val="004328A7"/>
    <w:rsid w:val="00432D88"/>
    <w:rsid w:val="00433625"/>
    <w:rsid w:val="00434C74"/>
    <w:rsid w:val="004356A4"/>
    <w:rsid w:val="00436A60"/>
    <w:rsid w:val="004406DE"/>
    <w:rsid w:val="004414A1"/>
    <w:rsid w:val="00442A0B"/>
    <w:rsid w:val="00444268"/>
    <w:rsid w:val="00447ADB"/>
    <w:rsid w:val="004501DE"/>
    <w:rsid w:val="004503A4"/>
    <w:rsid w:val="00453249"/>
    <w:rsid w:val="00454792"/>
    <w:rsid w:val="004561B1"/>
    <w:rsid w:val="004562BF"/>
    <w:rsid w:val="00456EB4"/>
    <w:rsid w:val="00457C0E"/>
    <w:rsid w:val="004614D2"/>
    <w:rsid w:val="004621C4"/>
    <w:rsid w:val="00462AEB"/>
    <w:rsid w:val="004630F1"/>
    <w:rsid w:val="00464C4C"/>
    <w:rsid w:val="0046788B"/>
    <w:rsid w:val="004718F3"/>
    <w:rsid w:val="00471D6C"/>
    <w:rsid w:val="00472094"/>
    <w:rsid w:val="004748C2"/>
    <w:rsid w:val="00475040"/>
    <w:rsid w:val="00476DC0"/>
    <w:rsid w:val="0048018C"/>
    <w:rsid w:val="0048294C"/>
    <w:rsid w:val="004831DB"/>
    <w:rsid w:val="0048322A"/>
    <w:rsid w:val="00483D5B"/>
    <w:rsid w:val="00483D60"/>
    <w:rsid w:val="004849D5"/>
    <w:rsid w:val="00485EA8"/>
    <w:rsid w:val="0048624A"/>
    <w:rsid w:val="004903B1"/>
    <w:rsid w:val="004904EB"/>
    <w:rsid w:val="00493D40"/>
    <w:rsid w:val="00494330"/>
    <w:rsid w:val="004967B6"/>
    <w:rsid w:val="004A163D"/>
    <w:rsid w:val="004A1962"/>
    <w:rsid w:val="004A29D9"/>
    <w:rsid w:val="004A3A0F"/>
    <w:rsid w:val="004A4960"/>
    <w:rsid w:val="004A504B"/>
    <w:rsid w:val="004A5ACF"/>
    <w:rsid w:val="004A5E4D"/>
    <w:rsid w:val="004A6911"/>
    <w:rsid w:val="004A702C"/>
    <w:rsid w:val="004B1507"/>
    <w:rsid w:val="004B1D87"/>
    <w:rsid w:val="004B1EED"/>
    <w:rsid w:val="004B3331"/>
    <w:rsid w:val="004B40D9"/>
    <w:rsid w:val="004B4417"/>
    <w:rsid w:val="004B4F45"/>
    <w:rsid w:val="004B4F97"/>
    <w:rsid w:val="004B50C6"/>
    <w:rsid w:val="004B54E0"/>
    <w:rsid w:val="004B6203"/>
    <w:rsid w:val="004B6EC8"/>
    <w:rsid w:val="004B7384"/>
    <w:rsid w:val="004B74D3"/>
    <w:rsid w:val="004C06C8"/>
    <w:rsid w:val="004C2285"/>
    <w:rsid w:val="004C330C"/>
    <w:rsid w:val="004C4269"/>
    <w:rsid w:val="004C44E5"/>
    <w:rsid w:val="004C4AC6"/>
    <w:rsid w:val="004D0533"/>
    <w:rsid w:val="004D135A"/>
    <w:rsid w:val="004D2F41"/>
    <w:rsid w:val="004D4396"/>
    <w:rsid w:val="004D59C2"/>
    <w:rsid w:val="004D6236"/>
    <w:rsid w:val="004D7822"/>
    <w:rsid w:val="004E04CB"/>
    <w:rsid w:val="004E0C5E"/>
    <w:rsid w:val="004E4DBB"/>
    <w:rsid w:val="004E4E41"/>
    <w:rsid w:val="004E5DC6"/>
    <w:rsid w:val="004E5FFD"/>
    <w:rsid w:val="004E6291"/>
    <w:rsid w:val="004E70DA"/>
    <w:rsid w:val="004E7F9C"/>
    <w:rsid w:val="004F14D5"/>
    <w:rsid w:val="004F3092"/>
    <w:rsid w:val="004F3493"/>
    <w:rsid w:val="004F6993"/>
    <w:rsid w:val="00500E93"/>
    <w:rsid w:val="00501040"/>
    <w:rsid w:val="005035F6"/>
    <w:rsid w:val="0050382D"/>
    <w:rsid w:val="00505411"/>
    <w:rsid w:val="00512B09"/>
    <w:rsid w:val="0051352A"/>
    <w:rsid w:val="00513803"/>
    <w:rsid w:val="00520A61"/>
    <w:rsid w:val="0052209A"/>
    <w:rsid w:val="0052393B"/>
    <w:rsid w:val="00524090"/>
    <w:rsid w:val="00524752"/>
    <w:rsid w:val="005249F2"/>
    <w:rsid w:val="005251D3"/>
    <w:rsid w:val="00530A3E"/>
    <w:rsid w:val="005325E3"/>
    <w:rsid w:val="005337F0"/>
    <w:rsid w:val="00534BB1"/>
    <w:rsid w:val="00537541"/>
    <w:rsid w:val="005412FE"/>
    <w:rsid w:val="005432B3"/>
    <w:rsid w:val="00547811"/>
    <w:rsid w:val="0055159F"/>
    <w:rsid w:val="00555B89"/>
    <w:rsid w:val="00555D75"/>
    <w:rsid w:val="005563B5"/>
    <w:rsid w:val="00560DF0"/>
    <w:rsid w:val="005612D7"/>
    <w:rsid w:val="0056218B"/>
    <w:rsid w:val="005666B8"/>
    <w:rsid w:val="00567261"/>
    <w:rsid w:val="0056759C"/>
    <w:rsid w:val="0056790C"/>
    <w:rsid w:val="00572436"/>
    <w:rsid w:val="00573708"/>
    <w:rsid w:val="00577F74"/>
    <w:rsid w:val="00580922"/>
    <w:rsid w:val="005809C9"/>
    <w:rsid w:val="0058207B"/>
    <w:rsid w:val="00583F46"/>
    <w:rsid w:val="00585BDA"/>
    <w:rsid w:val="00586548"/>
    <w:rsid w:val="00587F75"/>
    <w:rsid w:val="005942C1"/>
    <w:rsid w:val="00594871"/>
    <w:rsid w:val="0059513E"/>
    <w:rsid w:val="00597DDF"/>
    <w:rsid w:val="005A1F31"/>
    <w:rsid w:val="005A4776"/>
    <w:rsid w:val="005A7F79"/>
    <w:rsid w:val="005B055D"/>
    <w:rsid w:val="005B0923"/>
    <w:rsid w:val="005B0D6E"/>
    <w:rsid w:val="005B4875"/>
    <w:rsid w:val="005B48FF"/>
    <w:rsid w:val="005B5117"/>
    <w:rsid w:val="005B62E5"/>
    <w:rsid w:val="005B7717"/>
    <w:rsid w:val="005C1C5D"/>
    <w:rsid w:val="005C2CCE"/>
    <w:rsid w:val="005C3E42"/>
    <w:rsid w:val="005C4851"/>
    <w:rsid w:val="005C4AD5"/>
    <w:rsid w:val="005C591C"/>
    <w:rsid w:val="005C5E94"/>
    <w:rsid w:val="005C68C3"/>
    <w:rsid w:val="005C7773"/>
    <w:rsid w:val="005C7B83"/>
    <w:rsid w:val="005D0419"/>
    <w:rsid w:val="005D1390"/>
    <w:rsid w:val="005D1D74"/>
    <w:rsid w:val="005D1F20"/>
    <w:rsid w:val="005D343C"/>
    <w:rsid w:val="005D5402"/>
    <w:rsid w:val="005D5A2A"/>
    <w:rsid w:val="005D7A0C"/>
    <w:rsid w:val="005E1FFD"/>
    <w:rsid w:val="005E3003"/>
    <w:rsid w:val="005E3977"/>
    <w:rsid w:val="005E4234"/>
    <w:rsid w:val="005E4A58"/>
    <w:rsid w:val="005E50F4"/>
    <w:rsid w:val="005E68CA"/>
    <w:rsid w:val="005E6C70"/>
    <w:rsid w:val="005F16DE"/>
    <w:rsid w:val="005F1755"/>
    <w:rsid w:val="005F46BF"/>
    <w:rsid w:val="005F48DA"/>
    <w:rsid w:val="005F68F6"/>
    <w:rsid w:val="005F72BA"/>
    <w:rsid w:val="006018DF"/>
    <w:rsid w:val="00602D2D"/>
    <w:rsid w:val="00604043"/>
    <w:rsid w:val="00604C15"/>
    <w:rsid w:val="006050AF"/>
    <w:rsid w:val="00606B6B"/>
    <w:rsid w:val="00607D1B"/>
    <w:rsid w:val="006113CE"/>
    <w:rsid w:val="0061481A"/>
    <w:rsid w:val="006158D5"/>
    <w:rsid w:val="00616BE7"/>
    <w:rsid w:val="006200D8"/>
    <w:rsid w:val="0062152C"/>
    <w:rsid w:val="00624155"/>
    <w:rsid w:val="00625D83"/>
    <w:rsid w:val="00625E0A"/>
    <w:rsid w:val="006270B4"/>
    <w:rsid w:val="00627992"/>
    <w:rsid w:val="00627F6B"/>
    <w:rsid w:val="006307B2"/>
    <w:rsid w:val="00630D15"/>
    <w:rsid w:val="00631291"/>
    <w:rsid w:val="006335BB"/>
    <w:rsid w:val="00633E5C"/>
    <w:rsid w:val="0063457B"/>
    <w:rsid w:val="00635ED2"/>
    <w:rsid w:val="00637ECA"/>
    <w:rsid w:val="00637F32"/>
    <w:rsid w:val="006404EA"/>
    <w:rsid w:val="0064274A"/>
    <w:rsid w:val="00642BEA"/>
    <w:rsid w:val="00645C8D"/>
    <w:rsid w:val="00646566"/>
    <w:rsid w:val="00647013"/>
    <w:rsid w:val="00650B85"/>
    <w:rsid w:val="00651DFD"/>
    <w:rsid w:val="00652B21"/>
    <w:rsid w:val="00652CBA"/>
    <w:rsid w:val="00654171"/>
    <w:rsid w:val="00654AFE"/>
    <w:rsid w:val="00654C40"/>
    <w:rsid w:val="006603E0"/>
    <w:rsid w:val="0066171C"/>
    <w:rsid w:val="006623E7"/>
    <w:rsid w:val="006629D2"/>
    <w:rsid w:val="00662B80"/>
    <w:rsid w:val="006636F4"/>
    <w:rsid w:val="00666F72"/>
    <w:rsid w:val="00667244"/>
    <w:rsid w:val="00671AFB"/>
    <w:rsid w:val="00671F5B"/>
    <w:rsid w:val="0067521E"/>
    <w:rsid w:val="0067525D"/>
    <w:rsid w:val="0067732A"/>
    <w:rsid w:val="006813DC"/>
    <w:rsid w:val="00681A21"/>
    <w:rsid w:val="006820B8"/>
    <w:rsid w:val="00683606"/>
    <w:rsid w:val="006836B0"/>
    <w:rsid w:val="006852C7"/>
    <w:rsid w:val="00690D81"/>
    <w:rsid w:val="00693366"/>
    <w:rsid w:val="00693DBD"/>
    <w:rsid w:val="0069449B"/>
    <w:rsid w:val="00694CAD"/>
    <w:rsid w:val="0069544A"/>
    <w:rsid w:val="00695C4F"/>
    <w:rsid w:val="00697DCA"/>
    <w:rsid w:val="006A1D56"/>
    <w:rsid w:val="006A4784"/>
    <w:rsid w:val="006A6168"/>
    <w:rsid w:val="006A6375"/>
    <w:rsid w:val="006A6527"/>
    <w:rsid w:val="006A6ED7"/>
    <w:rsid w:val="006A7A7D"/>
    <w:rsid w:val="006B2327"/>
    <w:rsid w:val="006B6FD1"/>
    <w:rsid w:val="006B745D"/>
    <w:rsid w:val="006C1727"/>
    <w:rsid w:val="006C2B84"/>
    <w:rsid w:val="006C32FD"/>
    <w:rsid w:val="006C38D7"/>
    <w:rsid w:val="006C39CE"/>
    <w:rsid w:val="006C687F"/>
    <w:rsid w:val="006C7CFE"/>
    <w:rsid w:val="006D051C"/>
    <w:rsid w:val="006D0FCC"/>
    <w:rsid w:val="006D1017"/>
    <w:rsid w:val="006D144D"/>
    <w:rsid w:val="006D25E1"/>
    <w:rsid w:val="006D2AC3"/>
    <w:rsid w:val="006D7286"/>
    <w:rsid w:val="006D765C"/>
    <w:rsid w:val="006E0DE7"/>
    <w:rsid w:val="006E2B31"/>
    <w:rsid w:val="006E3049"/>
    <w:rsid w:val="006E4229"/>
    <w:rsid w:val="006E422D"/>
    <w:rsid w:val="006E4A75"/>
    <w:rsid w:val="006F0163"/>
    <w:rsid w:val="006F108D"/>
    <w:rsid w:val="006F214F"/>
    <w:rsid w:val="006F38BA"/>
    <w:rsid w:val="0070616B"/>
    <w:rsid w:val="00706FDA"/>
    <w:rsid w:val="00711F9A"/>
    <w:rsid w:val="00713810"/>
    <w:rsid w:val="00716745"/>
    <w:rsid w:val="007170F7"/>
    <w:rsid w:val="007221DE"/>
    <w:rsid w:val="00724EC3"/>
    <w:rsid w:val="007262B3"/>
    <w:rsid w:val="00726AEC"/>
    <w:rsid w:val="00727545"/>
    <w:rsid w:val="007303A5"/>
    <w:rsid w:val="00730B3E"/>
    <w:rsid w:val="007335D8"/>
    <w:rsid w:val="0073420B"/>
    <w:rsid w:val="007354E4"/>
    <w:rsid w:val="0073572A"/>
    <w:rsid w:val="007358E4"/>
    <w:rsid w:val="00737B59"/>
    <w:rsid w:val="00741167"/>
    <w:rsid w:val="0074172B"/>
    <w:rsid w:val="0074388F"/>
    <w:rsid w:val="00744BC1"/>
    <w:rsid w:val="00745457"/>
    <w:rsid w:val="00745A72"/>
    <w:rsid w:val="0074760E"/>
    <w:rsid w:val="007504CC"/>
    <w:rsid w:val="00752052"/>
    <w:rsid w:val="00752EFA"/>
    <w:rsid w:val="007530EC"/>
    <w:rsid w:val="00754ABA"/>
    <w:rsid w:val="00762F60"/>
    <w:rsid w:val="007649C6"/>
    <w:rsid w:val="0076507C"/>
    <w:rsid w:val="0076717F"/>
    <w:rsid w:val="00767F75"/>
    <w:rsid w:val="007707B3"/>
    <w:rsid w:val="00770E93"/>
    <w:rsid w:val="00772675"/>
    <w:rsid w:val="007728DB"/>
    <w:rsid w:val="0077347A"/>
    <w:rsid w:val="007751E9"/>
    <w:rsid w:val="007755BD"/>
    <w:rsid w:val="00775962"/>
    <w:rsid w:val="00775B66"/>
    <w:rsid w:val="00776EEF"/>
    <w:rsid w:val="007848EB"/>
    <w:rsid w:val="0078614E"/>
    <w:rsid w:val="0079333B"/>
    <w:rsid w:val="0079451C"/>
    <w:rsid w:val="00796C21"/>
    <w:rsid w:val="007A0B2C"/>
    <w:rsid w:val="007A0C4B"/>
    <w:rsid w:val="007A1546"/>
    <w:rsid w:val="007A1E9D"/>
    <w:rsid w:val="007A228C"/>
    <w:rsid w:val="007A2540"/>
    <w:rsid w:val="007A2BA8"/>
    <w:rsid w:val="007A368E"/>
    <w:rsid w:val="007A497D"/>
    <w:rsid w:val="007A4C45"/>
    <w:rsid w:val="007A5868"/>
    <w:rsid w:val="007A68DC"/>
    <w:rsid w:val="007A7F2D"/>
    <w:rsid w:val="007B04CE"/>
    <w:rsid w:val="007B1241"/>
    <w:rsid w:val="007B1303"/>
    <w:rsid w:val="007B2C71"/>
    <w:rsid w:val="007B3281"/>
    <w:rsid w:val="007B3B3E"/>
    <w:rsid w:val="007B677D"/>
    <w:rsid w:val="007B6871"/>
    <w:rsid w:val="007B6991"/>
    <w:rsid w:val="007B6B32"/>
    <w:rsid w:val="007B7A2F"/>
    <w:rsid w:val="007C0427"/>
    <w:rsid w:val="007C2CA1"/>
    <w:rsid w:val="007C3D33"/>
    <w:rsid w:val="007C57DF"/>
    <w:rsid w:val="007C58D3"/>
    <w:rsid w:val="007C6DDD"/>
    <w:rsid w:val="007D0ED8"/>
    <w:rsid w:val="007D294A"/>
    <w:rsid w:val="007D363B"/>
    <w:rsid w:val="007D383E"/>
    <w:rsid w:val="007D4410"/>
    <w:rsid w:val="007D47D2"/>
    <w:rsid w:val="007D5816"/>
    <w:rsid w:val="007D6EC0"/>
    <w:rsid w:val="007D72D2"/>
    <w:rsid w:val="007D7E1D"/>
    <w:rsid w:val="007D7EF1"/>
    <w:rsid w:val="007E0B8A"/>
    <w:rsid w:val="007E0BE7"/>
    <w:rsid w:val="007E16F4"/>
    <w:rsid w:val="007E207D"/>
    <w:rsid w:val="007E257B"/>
    <w:rsid w:val="007E2D43"/>
    <w:rsid w:val="007E3F4E"/>
    <w:rsid w:val="007E49C0"/>
    <w:rsid w:val="007E6517"/>
    <w:rsid w:val="007E7024"/>
    <w:rsid w:val="007E7610"/>
    <w:rsid w:val="007E76D6"/>
    <w:rsid w:val="007E7B26"/>
    <w:rsid w:val="007E7C60"/>
    <w:rsid w:val="007F021C"/>
    <w:rsid w:val="007F06DE"/>
    <w:rsid w:val="007F0876"/>
    <w:rsid w:val="007F1CF8"/>
    <w:rsid w:val="007F72E3"/>
    <w:rsid w:val="007F7FB5"/>
    <w:rsid w:val="00801E5B"/>
    <w:rsid w:val="008022F0"/>
    <w:rsid w:val="008023F1"/>
    <w:rsid w:val="00803881"/>
    <w:rsid w:val="00804919"/>
    <w:rsid w:val="00805073"/>
    <w:rsid w:val="008069B3"/>
    <w:rsid w:val="00811AC8"/>
    <w:rsid w:val="00812C82"/>
    <w:rsid w:val="00812DCB"/>
    <w:rsid w:val="008219F7"/>
    <w:rsid w:val="00822233"/>
    <w:rsid w:val="00822FEC"/>
    <w:rsid w:val="0082329C"/>
    <w:rsid w:val="00825F7D"/>
    <w:rsid w:val="008260F5"/>
    <w:rsid w:val="00831F0C"/>
    <w:rsid w:val="00833D58"/>
    <w:rsid w:val="008352A2"/>
    <w:rsid w:val="00840B46"/>
    <w:rsid w:val="00842F89"/>
    <w:rsid w:val="008435B8"/>
    <w:rsid w:val="0084549A"/>
    <w:rsid w:val="00846C04"/>
    <w:rsid w:val="00846C96"/>
    <w:rsid w:val="00851352"/>
    <w:rsid w:val="00852057"/>
    <w:rsid w:val="00854401"/>
    <w:rsid w:val="00854E8C"/>
    <w:rsid w:val="008554A1"/>
    <w:rsid w:val="00856753"/>
    <w:rsid w:val="00856F08"/>
    <w:rsid w:val="00861D50"/>
    <w:rsid w:val="008624AB"/>
    <w:rsid w:val="008626EA"/>
    <w:rsid w:val="008630A5"/>
    <w:rsid w:val="00863230"/>
    <w:rsid w:val="00864C63"/>
    <w:rsid w:val="008654DA"/>
    <w:rsid w:val="00866D6F"/>
    <w:rsid w:val="00866FD2"/>
    <w:rsid w:val="0086765C"/>
    <w:rsid w:val="008717D8"/>
    <w:rsid w:val="0087215C"/>
    <w:rsid w:val="00872FF1"/>
    <w:rsid w:val="00875351"/>
    <w:rsid w:val="008756DC"/>
    <w:rsid w:val="00875BFA"/>
    <w:rsid w:val="008774E3"/>
    <w:rsid w:val="0088181C"/>
    <w:rsid w:val="008819EE"/>
    <w:rsid w:val="00883A93"/>
    <w:rsid w:val="00886AEF"/>
    <w:rsid w:val="00886E31"/>
    <w:rsid w:val="0088723F"/>
    <w:rsid w:val="008875FE"/>
    <w:rsid w:val="00887F8E"/>
    <w:rsid w:val="00890A8B"/>
    <w:rsid w:val="00891089"/>
    <w:rsid w:val="008944F8"/>
    <w:rsid w:val="008945A2"/>
    <w:rsid w:val="00895940"/>
    <w:rsid w:val="00896234"/>
    <w:rsid w:val="00896B49"/>
    <w:rsid w:val="00897E43"/>
    <w:rsid w:val="008A0675"/>
    <w:rsid w:val="008A2934"/>
    <w:rsid w:val="008A378B"/>
    <w:rsid w:val="008B0D71"/>
    <w:rsid w:val="008B1559"/>
    <w:rsid w:val="008B2B87"/>
    <w:rsid w:val="008B56A0"/>
    <w:rsid w:val="008B57C1"/>
    <w:rsid w:val="008B7D20"/>
    <w:rsid w:val="008C2662"/>
    <w:rsid w:val="008C2736"/>
    <w:rsid w:val="008C2A41"/>
    <w:rsid w:val="008C36B4"/>
    <w:rsid w:val="008C44D0"/>
    <w:rsid w:val="008C5738"/>
    <w:rsid w:val="008C6D8C"/>
    <w:rsid w:val="008C7EAD"/>
    <w:rsid w:val="008D582E"/>
    <w:rsid w:val="008D5B95"/>
    <w:rsid w:val="008D6152"/>
    <w:rsid w:val="008D63A1"/>
    <w:rsid w:val="008D7050"/>
    <w:rsid w:val="008D76FA"/>
    <w:rsid w:val="008E0D92"/>
    <w:rsid w:val="008E113E"/>
    <w:rsid w:val="008E212A"/>
    <w:rsid w:val="008E42C8"/>
    <w:rsid w:val="008E45BF"/>
    <w:rsid w:val="008E4B68"/>
    <w:rsid w:val="008E4E57"/>
    <w:rsid w:val="008F042B"/>
    <w:rsid w:val="008F07F6"/>
    <w:rsid w:val="008F0F81"/>
    <w:rsid w:val="008F200A"/>
    <w:rsid w:val="008F27BF"/>
    <w:rsid w:val="008F31AF"/>
    <w:rsid w:val="008F5C8D"/>
    <w:rsid w:val="008F6C70"/>
    <w:rsid w:val="00901335"/>
    <w:rsid w:val="00902D05"/>
    <w:rsid w:val="00903DAE"/>
    <w:rsid w:val="00904841"/>
    <w:rsid w:val="009049ED"/>
    <w:rsid w:val="009056D5"/>
    <w:rsid w:val="00905AEF"/>
    <w:rsid w:val="00910F40"/>
    <w:rsid w:val="00912CA5"/>
    <w:rsid w:val="00912DB5"/>
    <w:rsid w:val="00913974"/>
    <w:rsid w:val="0091505B"/>
    <w:rsid w:val="00915FBE"/>
    <w:rsid w:val="0092179A"/>
    <w:rsid w:val="00921AC4"/>
    <w:rsid w:val="00922B62"/>
    <w:rsid w:val="00923540"/>
    <w:rsid w:val="00925905"/>
    <w:rsid w:val="00926767"/>
    <w:rsid w:val="00927065"/>
    <w:rsid w:val="00930F1A"/>
    <w:rsid w:val="009339D7"/>
    <w:rsid w:val="00935109"/>
    <w:rsid w:val="009361D5"/>
    <w:rsid w:val="00936659"/>
    <w:rsid w:val="00940CC2"/>
    <w:rsid w:val="009416AB"/>
    <w:rsid w:val="009430BB"/>
    <w:rsid w:val="00943745"/>
    <w:rsid w:val="00944E20"/>
    <w:rsid w:val="00945BBB"/>
    <w:rsid w:val="009510BF"/>
    <w:rsid w:val="00952EEF"/>
    <w:rsid w:val="00953BA5"/>
    <w:rsid w:val="00954256"/>
    <w:rsid w:val="00955472"/>
    <w:rsid w:val="00956249"/>
    <w:rsid w:val="009562B1"/>
    <w:rsid w:val="00956FBA"/>
    <w:rsid w:val="009617A1"/>
    <w:rsid w:val="00961EB5"/>
    <w:rsid w:val="00963954"/>
    <w:rsid w:val="00964032"/>
    <w:rsid w:val="009648B8"/>
    <w:rsid w:val="00964B01"/>
    <w:rsid w:val="00965005"/>
    <w:rsid w:val="009659F4"/>
    <w:rsid w:val="00966083"/>
    <w:rsid w:val="0096616E"/>
    <w:rsid w:val="00970CBB"/>
    <w:rsid w:val="00970D60"/>
    <w:rsid w:val="00971ECB"/>
    <w:rsid w:val="00972AF7"/>
    <w:rsid w:val="00975814"/>
    <w:rsid w:val="009768D3"/>
    <w:rsid w:val="00981560"/>
    <w:rsid w:val="009858F0"/>
    <w:rsid w:val="0098783A"/>
    <w:rsid w:val="00987D55"/>
    <w:rsid w:val="00993D7D"/>
    <w:rsid w:val="00994DE3"/>
    <w:rsid w:val="009960E5"/>
    <w:rsid w:val="009A41A8"/>
    <w:rsid w:val="009A4A8A"/>
    <w:rsid w:val="009A7ADC"/>
    <w:rsid w:val="009B015C"/>
    <w:rsid w:val="009B0A2C"/>
    <w:rsid w:val="009B1380"/>
    <w:rsid w:val="009B1C54"/>
    <w:rsid w:val="009B1CD3"/>
    <w:rsid w:val="009B4C22"/>
    <w:rsid w:val="009B6960"/>
    <w:rsid w:val="009B6F52"/>
    <w:rsid w:val="009B6FAA"/>
    <w:rsid w:val="009B71CD"/>
    <w:rsid w:val="009C082A"/>
    <w:rsid w:val="009C1272"/>
    <w:rsid w:val="009C19B7"/>
    <w:rsid w:val="009C1A85"/>
    <w:rsid w:val="009C563B"/>
    <w:rsid w:val="009C59BA"/>
    <w:rsid w:val="009C5EBA"/>
    <w:rsid w:val="009C65B3"/>
    <w:rsid w:val="009C757F"/>
    <w:rsid w:val="009D0F3A"/>
    <w:rsid w:val="009D4866"/>
    <w:rsid w:val="009D5254"/>
    <w:rsid w:val="009D5564"/>
    <w:rsid w:val="009D7C51"/>
    <w:rsid w:val="009D7F46"/>
    <w:rsid w:val="009E2318"/>
    <w:rsid w:val="009E37B5"/>
    <w:rsid w:val="009E4AAF"/>
    <w:rsid w:val="009E5D90"/>
    <w:rsid w:val="009E6330"/>
    <w:rsid w:val="009E7173"/>
    <w:rsid w:val="009E7F27"/>
    <w:rsid w:val="009F31D9"/>
    <w:rsid w:val="009F367A"/>
    <w:rsid w:val="009F36BF"/>
    <w:rsid w:val="009F6A88"/>
    <w:rsid w:val="00A00883"/>
    <w:rsid w:val="00A00AC9"/>
    <w:rsid w:val="00A02746"/>
    <w:rsid w:val="00A0514F"/>
    <w:rsid w:val="00A058AA"/>
    <w:rsid w:val="00A06C35"/>
    <w:rsid w:val="00A06FCE"/>
    <w:rsid w:val="00A0782E"/>
    <w:rsid w:val="00A07D67"/>
    <w:rsid w:val="00A10CB5"/>
    <w:rsid w:val="00A111B6"/>
    <w:rsid w:val="00A11A12"/>
    <w:rsid w:val="00A2296C"/>
    <w:rsid w:val="00A25166"/>
    <w:rsid w:val="00A30BBA"/>
    <w:rsid w:val="00A31958"/>
    <w:rsid w:val="00A31BC3"/>
    <w:rsid w:val="00A32832"/>
    <w:rsid w:val="00A3294D"/>
    <w:rsid w:val="00A33F57"/>
    <w:rsid w:val="00A37496"/>
    <w:rsid w:val="00A401F0"/>
    <w:rsid w:val="00A42A99"/>
    <w:rsid w:val="00A51489"/>
    <w:rsid w:val="00A5151A"/>
    <w:rsid w:val="00A51E36"/>
    <w:rsid w:val="00A53BA8"/>
    <w:rsid w:val="00A53FCC"/>
    <w:rsid w:val="00A54A03"/>
    <w:rsid w:val="00A551BE"/>
    <w:rsid w:val="00A57050"/>
    <w:rsid w:val="00A57E0A"/>
    <w:rsid w:val="00A6193B"/>
    <w:rsid w:val="00A61AE8"/>
    <w:rsid w:val="00A6737D"/>
    <w:rsid w:val="00A67751"/>
    <w:rsid w:val="00A70262"/>
    <w:rsid w:val="00A70286"/>
    <w:rsid w:val="00A71EBD"/>
    <w:rsid w:val="00A71FC3"/>
    <w:rsid w:val="00A73A71"/>
    <w:rsid w:val="00A76C8D"/>
    <w:rsid w:val="00A77C94"/>
    <w:rsid w:val="00A80248"/>
    <w:rsid w:val="00A81518"/>
    <w:rsid w:val="00A823F6"/>
    <w:rsid w:val="00A82E17"/>
    <w:rsid w:val="00A82E43"/>
    <w:rsid w:val="00A8329C"/>
    <w:rsid w:val="00A855A2"/>
    <w:rsid w:val="00A86F7E"/>
    <w:rsid w:val="00A87FC4"/>
    <w:rsid w:val="00A9014C"/>
    <w:rsid w:val="00A90799"/>
    <w:rsid w:val="00A91147"/>
    <w:rsid w:val="00A92252"/>
    <w:rsid w:val="00AA0A89"/>
    <w:rsid w:val="00AA0F59"/>
    <w:rsid w:val="00AA30C2"/>
    <w:rsid w:val="00AA4297"/>
    <w:rsid w:val="00AA43BD"/>
    <w:rsid w:val="00AA4AFB"/>
    <w:rsid w:val="00AA4C8E"/>
    <w:rsid w:val="00AA4E2A"/>
    <w:rsid w:val="00AA6429"/>
    <w:rsid w:val="00AA69C4"/>
    <w:rsid w:val="00AA6ACA"/>
    <w:rsid w:val="00AB03A4"/>
    <w:rsid w:val="00AB0BC2"/>
    <w:rsid w:val="00AB0C36"/>
    <w:rsid w:val="00AB0FD6"/>
    <w:rsid w:val="00AB1933"/>
    <w:rsid w:val="00AB6464"/>
    <w:rsid w:val="00AB74D1"/>
    <w:rsid w:val="00AC01AA"/>
    <w:rsid w:val="00AC39BD"/>
    <w:rsid w:val="00AC4F72"/>
    <w:rsid w:val="00AC653B"/>
    <w:rsid w:val="00AD0693"/>
    <w:rsid w:val="00AD473F"/>
    <w:rsid w:val="00AD4EC9"/>
    <w:rsid w:val="00AD50DA"/>
    <w:rsid w:val="00AD52CC"/>
    <w:rsid w:val="00AD5874"/>
    <w:rsid w:val="00AD5E3F"/>
    <w:rsid w:val="00AD642F"/>
    <w:rsid w:val="00AD6E56"/>
    <w:rsid w:val="00AD6F18"/>
    <w:rsid w:val="00AE0364"/>
    <w:rsid w:val="00AE0DD1"/>
    <w:rsid w:val="00AE13DD"/>
    <w:rsid w:val="00AE32E6"/>
    <w:rsid w:val="00AE4AFC"/>
    <w:rsid w:val="00AE667E"/>
    <w:rsid w:val="00AF0163"/>
    <w:rsid w:val="00AF3EE3"/>
    <w:rsid w:val="00AF6183"/>
    <w:rsid w:val="00AF741A"/>
    <w:rsid w:val="00AF7D6C"/>
    <w:rsid w:val="00B01ADB"/>
    <w:rsid w:val="00B04161"/>
    <w:rsid w:val="00B056F9"/>
    <w:rsid w:val="00B105C7"/>
    <w:rsid w:val="00B10F66"/>
    <w:rsid w:val="00B11E3D"/>
    <w:rsid w:val="00B12FD8"/>
    <w:rsid w:val="00B13B3B"/>
    <w:rsid w:val="00B14B36"/>
    <w:rsid w:val="00B16056"/>
    <w:rsid w:val="00B16EA0"/>
    <w:rsid w:val="00B17E82"/>
    <w:rsid w:val="00B206B6"/>
    <w:rsid w:val="00B2093A"/>
    <w:rsid w:val="00B22701"/>
    <w:rsid w:val="00B22890"/>
    <w:rsid w:val="00B23C02"/>
    <w:rsid w:val="00B255AA"/>
    <w:rsid w:val="00B26430"/>
    <w:rsid w:val="00B33918"/>
    <w:rsid w:val="00B34300"/>
    <w:rsid w:val="00B356C0"/>
    <w:rsid w:val="00B35726"/>
    <w:rsid w:val="00B360BC"/>
    <w:rsid w:val="00B3647A"/>
    <w:rsid w:val="00B40E6F"/>
    <w:rsid w:val="00B41051"/>
    <w:rsid w:val="00B41841"/>
    <w:rsid w:val="00B44F07"/>
    <w:rsid w:val="00B452E7"/>
    <w:rsid w:val="00B4575A"/>
    <w:rsid w:val="00B50D8F"/>
    <w:rsid w:val="00B52D97"/>
    <w:rsid w:val="00B53358"/>
    <w:rsid w:val="00B545BB"/>
    <w:rsid w:val="00B5693B"/>
    <w:rsid w:val="00B575BA"/>
    <w:rsid w:val="00B57B2D"/>
    <w:rsid w:val="00B60A7A"/>
    <w:rsid w:val="00B6286A"/>
    <w:rsid w:val="00B62E20"/>
    <w:rsid w:val="00B640B0"/>
    <w:rsid w:val="00B65908"/>
    <w:rsid w:val="00B66ACC"/>
    <w:rsid w:val="00B67EA5"/>
    <w:rsid w:val="00B753C3"/>
    <w:rsid w:val="00B75F06"/>
    <w:rsid w:val="00B76429"/>
    <w:rsid w:val="00B80A52"/>
    <w:rsid w:val="00B82280"/>
    <w:rsid w:val="00B82DFA"/>
    <w:rsid w:val="00B84A7F"/>
    <w:rsid w:val="00B864C3"/>
    <w:rsid w:val="00B86588"/>
    <w:rsid w:val="00B87021"/>
    <w:rsid w:val="00B8763E"/>
    <w:rsid w:val="00B9173A"/>
    <w:rsid w:val="00B93634"/>
    <w:rsid w:val="00B9486E"/>
    <w:rsid w:val="00B956D4"/>
    <w:rsid w:val="00B96CBD"/>
    <w:rsid w:val="00B97446"/>
    <w:rsid w:val="00B97C79"/>
    <w:rsid w:val="00BA09FD"/>
    <w:rsid w:val="00BA384F"/>
    <w:rsid w:val="00BA3D36"/>
    <w:rsid w:val="00BA4A3F"/>
    <w:rsid w:val="00BA4F70"/>
    <w:rsid w:val="00BA5F2C"/>
    <w:rsid w:val="00BA673E"/>
    <w:rsid w:val="00BA7432"/>
    <w:rsid w:val="00BB2169"/>
    <w:rsid w:val="00BB44BB"/>
    <w:rsid w:val="00BB5665"/>
    <w:rsid w:val="00BB6969"/>
    <w:rsid w:val="00BC1AA0"/>
    <w:rsid w:val="00BC1C19"/>
    <w:rsid w:val="00BC2032"/>
    <w:rsid w:val="00BC2495"/>
    <w:rsid w:val="00BC2F92"/>
    <w:rsid w:val="00BC3152"/>
    <w:rsid w:val="00BC3840"/>
    <w:rsid w:val="00BC402F"/>
    <w:rsid w:val="00BC62CB"/>
    <w:rsid w:val="00BC6358"/>
    <w:rsid w:val="00BC7E4F"/>
    <w:rsid w:val="00BC7EB9"/>
    <w:rsid w:val="00BD0DEF"/>
    <w:rsid w:val="00BD2643"/>
    <w:rsid w:val="00BD4669"/>
    <w:rsid w:val="00BD56B1"/>
    <w:rsid w:val="00BD6558"/>
    <w:rsid w:val="00BE09F5"/>
    <w:rsid w:val="00BE5F56"/>
    <w:rsid w:val="00BE716D"/>
    <w:rsid w:val="00BE7A7C"/>
    <w:rsid w:val="00BE7F78"/>
    <w:rsid w:val="00BF0B0C"/>
    <w:rsid w:val="00BF3214"/>
    <w:rsid w:val="00BF6125"/>
    <w:rsid w:val="00C01409"/>
    <w:rsid w:val="00C11549"/>
    <w:rsid w:val="00C11D75"/>
    <w:rsid w:val="00C15867"/>
    <w:rsid w:val="00C2296D"/>
    <w:rsid w:val="00C22984"/>
    <w:rsid w:val="00C23155"/>
    <w:rsid w:val="00C2319A"/>
    <w:rsid w:val="00C2337B"/>
    <w:rsid w:val="00C23A81"/>
    <w:rsid w:val="00C240B3"/>
    <w:rsid w:val="00C2541F"/>
    <w:rsid w:val="00C3095A"/>
    <w:rsid w:val="00C34A9A"/>
    <w:rsid w:val="00C36F56"/>
    <w:rsid w:val="00C372C2"/>
    <w:rsid w:val="00C374F5"/>
    <w:rsid w:val="00C40868"/>
    <w:rsid w:val="00C40C41"/>
    <w:rsid w:val="00C411A1"/>
    <w:rsid w:val="00C41474"/>
    <w:rsid w:val="00C42F7E"/>
    <w:rsid w:val="00C43337"/>
    <w:rsid w:val="00C43BC4"/>
    <w:rsid w:val="00C45885"/>
    <w:rsid w:val="00C47469"/>
    <w:rsid w:val="00C504C5"/>
    <w:rsid w:val="00C506E1"/>
    <w:rsid w:val="00C50F22"/>
    <w:rsid w:val="00C512B0"/>
    <w:rsid w:val="00C54EDB"/>
    <w:rsid w:val="00C56437"/>
    <w:rsid w:val="00C56F61"/>
    <w:rsid w:val="00C57971"/>
    <w:rsid w:val="00C60531"/>
    <w:rsid w:val="00C608A5"/>
    <w:rsid w:val="00C61278"/>
    <w:rsid w:val="00C62539"/>
    <w:rsid w:val="00C63AD1"/>
    <w:rsid w:val="00C64A8D"/>
    <w:rsid w:val="00C64BC3"/>
    <w:rsid w:val="00C64F60"/>
    <w:rsid w:val="00C65926"/>
    <w:rsid w:val="00C6618A"/>
    <w:rsid w:val="00C70449"/>
    <w:rsid w:val="00C72774"/>
    <w:rsid w:val="00C72D06"/>
    <w:rsid w:val="00C73D38"/>
    <w:rsid w:val="00C748A3"/>
    <w:rsid w:val="00C7624E"/>
    <w:rsid w:val="00C76BA4"/>
    <w:rsid w:val="00C77A7E"/>
    <w:rsid w:val="00C77DD7"/>
    <w:rsid w:val="00C8201F"/>
    <w:rsid w:val="00C83A48"/>
    <w:rsid w:val="00C841BB"/>
    <w:rsid w:val="00C85865"/>
    <w:rsid w:val="00C85E85"/>
    <w:rsid w:val="00C85F46"/>
    <w:rsid w:val="00C87EC4"/>
    <w:rsid w:val="00C90E13"/>
    <w:rsid w:val="00C91599"/>
    <w:rsid w:val="00C920D7"/>
    <w:rsid w:val="00C9305C"/>
    <w:rsid w:val="00C95C1F"/>
    <w:rsid w:val="00C95F06"/>
    <w:rsid w:val="00CA2EAE"/>
    <w:rsid w:val="00CA4489"/>
    <w:rsid w:val="00CA4AC1"/>
    <w:rsid w:val="00CA52AF"/>
    <w:rsid w:val="00CA58B0"/>
    <w:rsid w:val="00CA73AE"/>
    <w:rsid w:val="00CA7EAB"/>
    <w:rsid w:val="00CB022A"/>
    <w:rsid w:val="00CB0316"/>
    <w:rsid w:val="00CB08D0"/>
    <w:rsid w:val="00CB0B01"/>
    <w:rsid w:val="00CB0B11"/>
    <w:rsid w:val="00CB47C5"/>
    <w:rsid w:val="00CB5354"/>
    <w:rsid w:val="00CB7C57"/>
    <w:rsid w:val="00CB7C59"/>
    <w:rsid w:val="00CB7FE9"/>
    <w:rsid w:val="00CC5A7D"/>
    <w:rsid w:val="00CC604D"/>
    <w:rsid w:val="00CC6057"/>
    <w:rsid w:val="00CC6A14"/>
    <w:rsid w:val="00CC70A3"/>
    <w:rsid w:val="00CD02A9"/>
    <w:rsid w:val="00CD4442"/>
    <w:rsid w:val="00CD53C3"/>
    <w:rsid w:val="00CD574E"/>
    <w:rsid w:val="00CD5A73"/>
    <w:rsid w:val="00CD7C94"/>
    <w:rsid w:val="00CE0954"/>
    <w:rsid w:val="00CE149C"/>
    <w:rsid w:val="00CE34A2"/>
    <w:rsid w:val="00CE4744"/>
    <w:rsid w:val="00CE4C22"/>
    <w:rsid w:val="00CE7158"/>
    <w:rsid w:val="00CE7C58"/>
    <w:rsid w:val="00CF0B00"/>
    <w:rsid w:val="00CF1957"/>
    <w:rsid w:val="00CF1DEE"/>
    <w:rsid w:val="00CF41EC"/>
    <w:rsid w:val="00CF5D04"/>
    <w:rsid w:val="00D002B4"/>
    <w:rsid w:val="00D0042B"/>
    <w:rsid w:val="00D0125A"/>
    <w:rsid w:val="00D0205E"/>
    <w:rsid w:val="00D02DBD"/>
    <w:rsid w:val="00D033AF"/>
    <w:rsid w:val="00D04DE4"/>
    <w:rsid w:val="00D0521F"/>
    <w:rsid w:val="00D063F1"/>
    <w:rsid w:val="00D069CC"/>
    <w:rsid w:val="00D11928"/>
    <w:rsid w:val="00D11DD8"/>
    <w:rsid w:val="00D12A31"/>
    <w:rsid w:val="00D14F22"/>
    <w:rsid w:val="00D157A7"/>
    <w:rsid w:val="00D15C16"/>
    <w:rsid w:val="00D17ED2"/>
    <w:rsid w:val="00D203BE"/>
    <w:rsid w:val="00D20527"/>
    <w:rsid w:val="00D27323"/>
    <w:rsid w:val="00D3167A"/>
    <w:rsid w:val="00D31E57"/>
    <w:rsid w:val="00D33CE2"/>
    <w:rsid w:val="00D35DEA"/>
    <w:rsid w:val="00D36F2B"/>
    <w:rsid w:val="00D40BB7"/>
    <w:rsid w:val="00D40E0C"/>
    <w:rsid w:val="00D41864"/>
    <w:rsid w:val="00D47042"/>
    <w:rsid w:val="00D50FF4"/>
    <w:rsid w:val="00D51C16"/>
    <w:rsid w:val="00D530BA"/>
    <w:rsid w:val="00D54981"/>
    <w:rsid w:val="00D57918"/>
    <w:rsid w:val="00D60C6B"/>
    <w:rsid w:val="00D626EF"/>
    <w:rsid w:val="00D63438"/>
    <w:rsid w:val="00D64054"/>
    <w:rsid w:val="00D64878"/>
    <w:rsid w:val="00D670E1"/>
    <w:rsid w:val="00D6748E"/>
    <w:rsid w:val="00D67F40"/>
    <w:rsid w:val="00D7123B"/>
    <w:rsid w:val="00D71E42"/>
    <w:rsid w:val="00D72DD4"/>
    <w:rsid w:val="00D733CC"/>
    <w:rsid w:val="00D73DC6"/>
    <w:rsid w:val="00D74038"/>
    <w:rsid w:val="00D748A5"/>
    <w:rsid w:val="00D74C1A"/>
    <w:rsid w:val="00D754C1"/>
    <w:rsid w:val="00D755F8"/>
    <w:rsid w:val="00D75C1A"/>
    <w:rsid w:val="00D77A35"/>
    <w:rsid w:val="00D77AD2"/>
    <w:rsid w:val="00D77C8E"/>
    <w:rsid w:val="00D814A4"/>
    <w:rsid w:val="00D8180A"/>
    <w:rsid w:val="00D81B3E"/>
    <w:rsid w:val="00D833FC"/>
    <w:rsid w:val="00D8376B"/>
    <w:rsid w:val="00D84A00"/>
    <w:rsid w:val="00D871A2"/>
    <w:rsid w:val="00D90415"/>
    <w:rsid w:val="00D90C70"/>
    <w:rsid w:val="00D90E49"/>
    <w:rsid w:val="00D917D1"/>
    <w:rsid w:val="00D93FE4"/>
    <w:rsid w:val="00D9479E"/>
    <w:rsid w:val="00D94FB2"/>
    <w:rsid w:val="00D9559D"/>
    <w:rsid w:val="00D978B3"/>
    <w:rsid w:val="00DA00E6"/>
    <w:rsid w:val="00DA1744"/>
    <w:rsid w:val="00DA2877"/>
    <w:rsid w:val="00DB23F9"/>
    <w:rsid w:val="00DB3496"/>
    <w:rsid w:val="00DB4248"/>
    <w:rsid w:val="00DB4875"/>
    <w:rsid w:val="00DB69F8"/>
    <w:rsid w:val="00DC0168"/>
    <w:rsid w:val="00DC37F8"/>
    <w:rsid w:val="00DC4037"/>
    <w:rsid w:val="00DC6A10"/>
    <w:rsid w:val="00DC784A"/>
    <w:rsid w:val="00DC7AF9"/>
    <w:rsid w:val="00DD2D9E"/>
    <w:rsid w:val="00DD3051"/>
    <w:rsid w:val="00DD30DA"/>
    <w:rsid w:val="00DD3239"/>
    <w:rsid w:val="00DD4945"/>
    <w:rsid w:val="00DD560D"/>
    <w:rsid w:val="00DD7152"/>
    <w:rsid w:val="00DD76E1"/>
    <w:rsid w:val="00DE0068"/>
    <w:rsid w:val="00DE060E"/>
    <w:rsid w:val="00DE099E"/>
    <w:rsid w:val="00DE100D"/>
    <w:rsid w:val="00DE18D8"/>
    <w:rsid w:val="00DE4066"/>
    <w:rsid w:val="00DE465C"/>
    <w:rsid w:val="00DE506C"/>
    <w:rsid w:val="00DE657E"/>
    <w:rsid w:val="00DE6C0D"/>
    <w:rsid w:val="00DE6E29"/>
    <w:rsid w:val="00DF4704"/>
    <w:rsid w:val="00DF507C"/>
    <w:rsid w:val="00DF54F2"/>
    <w:rsid w:val="00DF595A"/>
    <w:rsid w:val="00DF60AC"/>
    <w:rsid w:val="00DF6718"/>
    <w:rsid w:val="00DF7F28"/>
    <w:rsid w:val="00E024AA"/>
    <w:rsid w:val="00E04566"/>
    <w:rsid w:val="00E045AD"/>
    <w:rsid w:val="00E058BF"/>
    <w:rsid w:val="00E06A2C"/>
    <w:rsid w:val="00E11023"/>
    <w:rsid w:val="00E115C6"/>
    <w:rsid w:val="00E12849"/>
    <w:rsid w:val="00E1330F"/>
    <w:rsid w:val="00E156E0"/>
    <w:rsid w:val="00E15F12"/>
    <w:rsid w:val="00E16CFC"/>
    <w:rsid w:val="00E17D93"/>
    <w:rsid w:val="00E20F0B"/>
    <w:rsid w:val="00E2231C"/>
    <w:rsid w:val="00E250F1"/>
    <w:rsid w:val="00E2527A"/>
    <w:rsid w:val="00E25EF2"/>
    <w:rsid w:val="00E2763B"/>
    <w:rsid w:val="00E2765C"/>
    <w:rsid w:val="00E27D30"/>
    <w:rsid w:val="00E315E8"/>
    <w:rsid w:val="00E3210F"/>
    <w:rsid w:val="00E3550D"/>
    <w:rsid w:val="00E418F8"/>
    <w:rsid w:val="00E41DAB"/>
    <w:rsid w:val="00E426E6"/>
    <w:rsid w:val="00E43467"/>
    <w:rsid w:val="00E44857"/>
    <w:rsid w:val="00E46F75"/>
    <w:rsid w:val="00E47731"/>
    <w:rsid w:val="00E5051F"/>
    <w:rsid w:val="00E54B98"/>
    <w:rsid w:val="00E55331"/>
    <w:rsid w:val="00E563E6"/>
    <w:rsid w:val="00E56A49"/>
    <w:rsid w:val="00E605EE"/>
    <w:rsid w:val="00E6140C"/>
    <w:rsid w:val="00E614E0"/>
    <w:rsid w:val="00E61B41"/>
    <w:rsid w:val="00E62F17"/>
    <w:rsid w:val="00E64019"/>
    <w:rsid w:val="00E645E6"/>
    <w:rsid w:val="00E66A74"/>
    <w:rsid w:val="00E700A8"/>
    <w:rsid w:val="00E7128F"/>
    <w:rsid w:val="00E73F7F"/>
    <w:rsid w:val="00E745CE"/>
    <w:rsid w:val="00E75EEB"/>
    <w:rsid w:val="00E7694C"/>
    <w:rsid w:val="00E864BE"/>
    <w:rsid w:val="00E86935"/>
    <w:rsid w:val="00E86B1E"/>
    <w:rsid w:val="00E86D8D"/>
    <w:rsid w:val="00E940F0"/>
    <w:rsid w:val="00E950E9"/>
    <w:rsid w:val="00E96697"/>
    <w:rsid w:val="00E9721E"/>
    <w:rsid w:val="00EA07B3"/>
    <w:rsid w:val="00EA30A6"/>
    <w:rsid w:val="00EA39BE"/>
    <w:rsid w:val="00EA3B24"/>
    <w:rsid w:val="00EA4017"/>
    <w:rsid w:val="00EA429F"/>
    <w:rsid w:val="00EA4BEF"/>
    <w:rsid w:val="00EA4F9E"/>
    <w:rsid w:val="00EA61B6"/>
    <w:rsid w:val="00EA63CA"/>
    <w:rsid w:val="00EA6D3B"/>
    <w:rsid w:val="00EB00AD"/>
    <w:rsid w:val="00EB0FE2"/>
    <w:rsid w:val="00EB111C"/>
    <w:rsid w:val="00EB136C"/>
    <w:rsid w:val="00EB143D"/>
    <w:rsid w:val="00EB34AC"/>
    <w:rsid w:val="00EB3692"/>
    <w:rsid w:val="00EB480E"/>
    <w:rsid w:val="00EB5EC6"/>
    <w:rsid w:val="00EB6157"/>
    <w:rsid w:val="00EB6302"/>
    <w:rsid w:val="00EB6382"/>
    <w:rsid w:val="00EB65D1"/>
    <w:rsid w:val="00EB6D1B"/>
    <w:rsid w:val="00EB7FC9"/>
    <w:rsid w:val="00EC06BE"/>
    <w:rsid w:val="00EC2B0F"/>
    <w:rsid w:val="00EC4C45"/>
    <w:rsid w:val="00ED0AEE"/>
    <w:rsid w:val="00ED27E8"/>
    <w:rsid w:val="00ED3641"/>
    <w:rsid w:val="00ED3A02"/>
    <w:rsid w:val="00ED4C58"/>
    <w:rsid w:val="00ED4E96"/>
    <w:rsid w:val="00ED6B34"/>
    <w:rsid w:val="00ED70AD"/>
    <w:rsid w:val="00ED7137"/>
    <w:rsid w:val="00ED7F59"/>
    <w:rsid w:val="00EE532F"/>
    <w:rsid w:val="00EE5442"/>
    <w:rsid w:val="00EE7A6F"/>
    <w:rsid w:val="00EF2182"/>
    <w:rsid w:val="00EF3819"/>
    <w:rsid w:val="00EF3FA7"/>
    <w:rsid w:val="00EF7867"/>
    <w:rsid w:val="00F01DDB"/>
    <w:rsid w:val="00F020C7"/>
    <w:rsid w:val="00F03FD5"/>
    <w:rsid w:val="00F06975"/>
    <w:rsid w:val="00F07252"/>
    <w:rsid w:val="00F077F5"/>
    <w:rsid w:val="00F07CA5"/>
    <w:rsid w:val="00F124C5"/>
    <w:rsid w:val="00F13D89"/>
    <w:rsid w:val="00F155C6"/>
    <w:rsid w:val="00F179D3"/>
    <w:rsid w:val="00F17CCD"/>
    <w:rsid w:val="00F17E2B"/>
    <w:rsid w:val="00F20FFF"/>
    <w:rsid w:val="00F21088"/>
    <w:rsid w:val="00F23D7C"/>
    <w:rsid w:val="00F241BE"/>
    <w:rsid w:val="00F25238"/>
    <w:rsid w:val="00F25C1E"/>
    <w:rsid w:val="00F312A1"/>
    <w:rsid w:val="00F327E7"/>
    <w:rsid w:val="00F33B32"/>
    <w:rsid w:val="00F35746"/>
    <w:rsid w:val="00F37344"/>
    <w:rsid w:val="00F37D82"/>
    <w:rsid w:val="00F422EB"/>
    <w:rsid w:val="00F447C7"/>
    <w:rsid w:val="00F46A6C"/>
    <w:rsid w:val="00F47048"/>
    <w:rsid w:val="00F47F6D"/>
    <w:rsid w:val="00F51719"/>
    <w:rsid w:val="00F53AE4"/>
    <w:rsid w:val="00F55159"/>
    <w:rsid w:val="00F554A9"/>
    <w:rsid w:val="00F55B68"/>
    <w:rsid w:val="00F57C8F"/>
    <w:rsid w:val="00F60835"/>
    <w:rsid w:val="00F6105C"/>
    <w:rsid w:val="00F6123F"/>
    <w:rsid w:val="00F6187E"/>
    <w:rsid w:val="00F6237E"/>
    <w:rsid w:val="00F63A30"/>
    <w:rsid w:val="00F652FB"/>
    <w:rsid w:val="00F65E22"/>
    <w:rsid w:val="00F702EC"/>
    <w:rsid w:val="00F716FD"/>
    <w:rsid w:val="00F74EE8"/>
    <w:rsid w:val="00F7544E"/>
    <w:rsid w:val="00F8019F"/>
    <w:rsid w:val="00F80355"/>
    <w:rsid w:val="00F80886"/>
    <w:rsid w:val="00F80F0A"/>
    <w:rsid w:val="00F810BE"/>
    <w:rsid w:val="00F82679"/>
    <w:rsid w:val="00F832B1"/>
    <w:rsid w:val="00F83819"/>
    <w:rsid w:val="00F8640F"/>
    <w:rsid w:val="00F90569"/>
    <w:rsid w:val="00F914D3"/>
    <w:rsid w:val="00F926DD"/>
    <w:rsid w:val="00F92F03"/>
    <w:rsid w:val="00F93E17"/>
    <w:rsid w:val="00F93EF8"/>
    <w:rsid w:val="00F97D1E"/>
    <w:rsid w:val="00FA125D"/>
    <w:rsid w:val="00FA316F"/>
    <w:rsid w:val="00FA4F46"/>
    <w:rsid w:val="00FA539D"/>
    <w:rsid w:val="00FA587E"/>
    <w:rsid w:val="00FA6D29"/>
    <w:rsid w:val="00FA6E39"/>
    <w:rsid w:val="00FA7457"/>
    <w:rsid w:val="00FB034B"/>
    <w:rsid w:val="00FB0C81"/>
    <w:rsid w:val="00FB3963"/>
    <w:rsid w:val="00FB444A"/>
    <w:rsid w:val="00FB5DB9"/>
    <w:rsid w:val="00FB643E"/>
    <w:rsid w:val="00FC2200"/>
    <w:rsid w:val="00FC2540"/>
    <w:rsid w:val="00FC39B7"/>
    <w:rsid w:val="00FC4846"/>
    <w:rsid w:val="00FC4D44"/>
    <w:rsid w:val="00FC521F"/>
    <w:rsid w:val="00FD01D0"/>
    <w:rsid w:val="00FD0CD5"/>
    <w:rsid w:val="00FD5061"/>
    <w:rsid w:val="00FD5766"/>
    <w:rsid w:val="00FD6339"/>
    <w:rsid w:val="00FE157B"/>
    <w:rsid w:val="00FE1C4A"/>
    <w:rsid w:val="00FE2BA9"/>
    <w:rsid w:val="00FE4291"/>
    <w:rsid w:val="00FE4BBA"/>
    <w:rsid w:val="00FE5F0A"/>
    <w:rsid w:val="00FE6FD9"/>
    <w:rsid w:val="00FF0204"/>
    <w:rsid w:val="00FF0F17"/>
    <w:rsid w:val="00FF1C05"/>
    <w:rsid w:val="00FF2F5A"/>
    <w:rsid w:val="00FF345B"/>
    <w:rsid w:val="00FF3AED"/>
    <w:rsid w:val="00FF4859"/>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3E"/>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aliases w:val="Char1,Char1 Char Char"/>
    <w:basedOn w:val="Normal"/>
    <w:link w:val="FootnoteTextChar"/>
    <w:uiPriority w:val="99"/>
    <w:unhideWhenUsed/>
    <w:qFormat/>
    <w:rsid w:val="00120A0B"/>
    <w:rPr>
      <w:sz w:val="20"/>
      <w:szCs w:val="20"/>
    </w:rPr>
  </w:style>
  <w:style w:type="character" w:customStyle="1" w:styleId="FootnoteTextChar">
    <w:name w:val="Footnote Text Char"/>
    <w:aliases w:val="Char1 Char,Char1 Char Char Char"/>
    <w:basedOn w:val="DefaultParagraphFont"/>
    <w:link w:val="FootnoteText"/>
    <w:uiPriority w:val="99"/>
    <w:rsid w:val="00120A0B"/>
    <w:rPr>
      <w:lang w:val="en-GB"/>
    </w:rPr>
  </w:style>
  <w:style w:type="character" w:styleId="FootnoteReference">
    <w:name w:val="footnote reference"/>
    <w:basedOn w:val="DefaultParagraphFont"/>
    <w:unhideWhenUsed/>
    <w:rsid w:val="00120A0B"/>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4B6EC8"/>
    <w:pPr>
      <w:ind w:left="720"/>
      <w:contextualSpacing/>
    </w:p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3630DA"/>
    <w:rPr>
      <w:sz w:val="22"/>
      <w:szCs w:val="22"/>
      <w:lang w:val="en-GB"/>
    </w:rPr>
  </w:style>
  <w:style w:type="paragraph" w:customStyle="1" w:styleId="Style1">
    <w:name w:val="Style1"/>
    <w:basedOn w:val="ListParagraph"/>
    <w:link w:val="Style1Char"/>
    <w:qFormat/>
    <w:rsid w:val="003630DA"/>
    <w:pPr>
      <w:numPr>
        <w:numId w:val="8"/>
      </w:numPr>
      <w:spacing w:line="360" w:lineRule="auto"/>
    </w:pPr>
  </w:style>
  <w:style w:type="character" w:customStyle="1" w:styleId="Style1Char">
    <w:name w:val="Style1 Char"/>
    <w:basedOn w:val="ListParagraphChar"/>
    <w:link w:val="Style1"/>
    <w:rsid w:val="003630DA"/>
    <w:rPr>
      <w:sz w:val="22"/>
      <w:szCs w:val="22"/>
      <w:lang w:val="en-GB"/>
    </w:rPr>
  </w:style>
  <w:style w:type="paragraph" w:styleId="BodyText">
    <w:name w:val="Body Text"/>
    <w:basedOn w:val="Normal"/>
    <w:link w:val="BodyTextChar"/>
    <w:uiPriority w:val="99"/>
    <w:unhideWhenUsed/>
    <w:rsid w:val="003630DA"/>
    <w:pPr>
      <w:spacing w:after="120"/>
    </w:pPr>
    <w:rPr>
      <w:rFonts w:eastAsiaTheme="minorHAnsi"/>
      <w:lang w:val="en-US"/>
    </w:rPr>
  </w:style>
  <w:style w:type="character" w:customStyle="1" w:styleId="BodyTextChar">
    <w:name w:val="Body Text Char"/>
    <w:basedOn w:val="DefaultParagraphFont"/>
    <w:link w:val="BodyText"/>
    <w:uiPriority w:val="99"/>
    <w:rsid w:val="003630DA"/>
    <w:rPr>
      <w:rFonts w:eastAsiaTheme="minorHAnsi"/>
      <w:sz w:val="22"/>
      <w:szCs w:val="22"/>
    </w:rPr>
  </w:style>
  <w:style w:type="table" w:styleId="MediumShading1-Accent5">
    <w:name w:val="Medium Shading 1 Accent 5"/>
    <w:basedOn w:val="TableNormal"/>
    <w:uiPriority w:val="63"/>
    <w:rsid w:val="00127DB4"/>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
    <w:name w:val="列出段落"/>
    <w:basedOn w:val="Normal"/>
    <w:qFormat/>
    <w:rsid w:val="008B56A0"/>
    <w:pPr>
      <w:widowControl w:val="0"/>
      <w:ind w:firstLineChars="200" w:firstLine="420"/>
    </w:pPr>
    <w:rPr>
      <w:rFonts w:eastAsia="SimSun"/>
      <w:kern w:val="2"/>
      <w:sz w:val="21"/>
      <w:lang w:val="en-US" w:eastAsia="zh-CN"/>
    </w:rPr>
  </w:style>
  <w:style w:type="paragraph" w:customStyle="1" w:styleId="2">
    <w:name w:val="列出段落2"/>
    <w:basedOn w:val="Normal"/>
    <w:rsid w:val="00C64A8D"/>
    <w:pPr>
      <w:widowControl w:val="0"/>
      <w:ind w:firstLineChars="200" w:firstLine="420"/>
    </w:pPr>
    <w:rPr>
      <w:rFonts w:eastAsia="SimSun"/>
      <w:kern w:val="2"/>
      <w:sz w:val="21"/>
      <w:szCs w:val="20"/>
      <w:lang w:val="en-US" w:eastAsia="zh-CN"/>
    </w:rPr>
  </w:style>
  <w:style w:type="paragraph" w:customStyle="1" w:styleId="NormalIndent1">
    <w:name w:val="Normal Indent1"/>
    <w:basedOn w:val="Normal"/>
    <w:rsid w:val="00DF60AC"/>
    <w:pPr>
      <w:widowControl w:val="0"/>
      <w:ind w:firstLineChars="200" w:firstLine="420"/>
    </w:pPr>
    <w:rPr>
      <w:rFonts w:eastAsia="SimSun"/>
      <w:kern w:val="2"/>
      <w:sz w:val="21"/>
      <w:szCs w:val="20"/>
      <w:lang w:val="en-US" w:eastAsia="zh-CN"/>
    </w:rPr>
  </w:style>
  <w:style w:type="paragraph" w:styleId="Caption">
    <w:name w:val="caption"/>
    <w:basedOn w:val="Normal"/>
    <w:next w:val="Normal"/>
    <w:uiPriority w:val="35"/>
    <w:unhideWhenUsed/>
    <w:qFormat/>
    <w:rsid w:val="00EC06BE"/>
    <w:pPr>
      <w:spacing w:after="200"/>
      <w:jc w:val="left"/>
    </w:pPr>
    <w:rPr>
      <w:rFonts w:asciiTheme="minorHAnsi" w:eastAsiaTheme="minorHAnsi" w:hAnsiTheme="minorHAnsi" w:cstheme="minorBidi"/>
      <w:i/>
      <w:iCs/>
      <w:color w:val="1F497D" w:themeColor="text2"/>
      <w:sz w:val="18"/>
      <w:szCs w:val="18"/>
      <w:lang w:val="es-DO"/>
    </w:rPr>
  </w:style>
  <w:style w:type="character" w:customStyle="1" w:styleId="shorttext">
    <w:name w:val="short_text"/>
    <w:basedOn w:val="DefaultParagraphFont"/>
    <w:rsid w:val="00FD5061"/>
  </w:style>
  <w:style w:type="table" w:customStyle="1" w:styleId="TableGrid10">
    <w:name w:val="Table Grid1"/>
    <w:basedOn w:val="TableNormal"/>
    <w:next w:val="TableGrid"/>
    <w:uiPriority w:val="59"/>
    <w:rsid w:val="00A374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B01"/>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00A7E"/>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3E"/>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aliases w:val="Char1,Char1 Char Char"/>
    <w:basedOn w:val="Normal"/>
    <w:link w:val="FootnoteTextChar"/>
    <w:uiPriority w:val="99"/>
    <w:unhideWhenUsed/>
    <w:qFormat/>
    <w:rsid w:val="00120A0B"/>
    <w:rPr>
      <w:sz w:val="20"/>
      <w:szCs w:val="20"/>
    </w:rPr>
  </w:style>
  <w:style w:type="character" w:customStyle="1" w:styleId="FootnoteTextChar">
    <w:name w:val="Footnote Text Char"/>
    <w:aliases w:val="Char1 Char,Char1 Char Char Char"/>
    <w:basedOn w:val="DefaultParagraphFont"/>
    <w:link w:val="FootnoteText"/>
    <w:uiPriority w:val="99"/>
    <w:rsid w:val="00120A0B"/>
    <w:rPr>
      <w:lang w:val="en-GB"/>
    </w:rPr>
  </w:style>
  <w:style w:type="character" w:styleId="FootnoteReference">
    <w:name w:val="footnote reference"/>
    <w:basedOn w:val="DefaultParagraphFont"/>
    <w:unhideWhenUsed/>
    <w:rsid w:val="00120A0B"/>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4B6EC8"/>
    <w:pPr>
      <w:ind w:left="720"/>
      <w:contextualSpacing/>
    </w:p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3630DA"/>
    <w:rPr>
      <w:sz w:val="22"/>
      <w:szCs w:val="22"/>
      <w:lang w:val="en-GB"/>
    </w:rPr>
  </w:style>
  <w:style w:type="paragraph" w:customStyle="1" w:styleId="Style1">
    <w:name w:val="Style1"/>
    <w:basedOn w:val="ListParagraph"/>
    <w:link w:val="Style1Char"/>
    <w:qFormat/>
    <w:rsid w:val="003630DA"/>
    <w:pPr>
      <w:numPr>
        <w:numId w:val="8"/>
      </w:numPr>
      <w:spacing w:line="360" w:lineRule="auto"/>
    </w:pPr>
  </w:style>
  <w:style w:type="character" w:customStyle="1" w:styleId="Style1Char">
    <w:name w:val="Style1 Char"/>
    <w:basedOn w:val="ListParagraphChar"/>
    <w:link w:val="Style1"/>
    <w:rsid w:val="003630DA"/>
    <w:rPr>
      <w:sz w:val="22"/>
      <w:szCs w:val="22"/>
      <w:lang w:val="en-GB"/>
    </w:rPr>
  </w:style>
  <w:style w:type="paragraph" w:styleId="BodyText">
    <w:name w:val="Body Text"/>
    <w:basedOn w:val="Normal"/>
    <w:link w:val="BodyTextChar"/>
    <w:uiPriority w:val="99"/>
    <w:unhideWhenUsed/>
    <w:rsid w:val="003630DA"/>
    <w:pPr>
      <w:spacing w:after="120"/>
    </w:pPr>
    <w:rPr>
      <w:rFonts w:eastAsiaTheme="minorHAnsi"/>
      <w:lang w:val="en-US"/>
    </w:rPr>
  </w:style>
  <w:style w:type="character" w:customStyle="1" w:styleId="BodyTextChar">
    <w:name w:val="Body Text Char"/>
    <w:basedOn w:val="DefaultParagraphFont"/>
    <w:link w:val="BodyText"/>
    <w:uiPriority w:val="99"/>
    <w:rsid w:val="003630DA"/>
    <w:rPr>
      <w:rFonts w:eastAsiaTheme="minorHAnsi"/>
      <w:sz w:val="22"/>
      <w:szCs w:val="22"/>
    </w:rPr>
  </w:style>
  <w:style w:type="table" w:styleId="MediumShading1-Accent5">
    <w:name w:val="Medium Shading 1 Accent 5"/>
    <w:basedOn w:val="TableNormal"/>
    <w:uiPriority w:val="63"/>
    <w:rsid w:val="00127DB4"/>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
    <w:name w:val="列出段落"/>
    <w:basedOn w:val="Normal"/>
    <w:qFormat/>
    <w:rsid w:val="008B56A0"/>
    <w:pPr>
      <w:widowControl w:val="0"/>
      <w:ind w:firstLineChars="200" w:firstLine="420"/>
    </w:pPr>
    <w:rPr>
      <w:rFonts w:eastAsia="SimSun"/>
      <w:kern w:val="2"/>
      <w:sz w:val="21"/>
      <w:lang w:val="en-US" w:eastAsia="zh-CN"/>
    </w:rPr>
  </w:style>
  <w:style w:type="paragraph" w:customStyle="1" w:styleId="2">
    <w:name w:val="列出段落2"/>
    <w:basedOn w:val="Normal"/>
    <w:rsid w:val="00C64A8D"/>
    <w:pPr>
      <w:widowControl w:val="0"/>
      <w:ind w:firstLineChars="200" w:firstLine="420"/>
    </w:pPr>
    <w:rPr>
      <w:rFonts w:eastAsia="SimSun"/>
      <w:kern w:val="2"/>
      <w:sz w:val="21"/>
      <w:szCs w:val="20"/>
      <w:lang w:val="en-US" w:eastAsia="zh-CN"/>
    </w:rPr>
  </w:style>
  <w:style w:type="paragraph" w:customStyle="1" w:styleId="NormalIndent1">
    <w:name w:val="Normal Indent1"/>
    <w:basedOn w:val="Normal"/>
    <w:rsid w:val="00DF60AC"/>
    <w:pPr>
      <w:widowControl w:val="0"/>
      <w:ind w:firstLineChars="200" w:firstLine="420"/>
    </w:pPr>
    <w:rPr>
      <w:rFonts w:eastAsia="SimSun"/>
      <w:kern w:val="2"/>
      <w:sz w:val="21"/>
      <w:szCs w:val="20"/>
      <w:lang w:val="en-US" w:eastAsia="zh-CN"/>
    </w:rPr>
  </w:style>
  <w:style w:type="paragraph" w:styleId="Caption">
    <w:name w:val="caption"/>
    <w:basedOn w:val="Normal"/>
    <w:next w:val="Normal"/>
    <w:uiPriority w:val="35"/>
    <w:unhideWhenUsed/>
    <w:qFormat/>
    <w:rsid w:val="00EC06BE"/>
    <w:pPr>
      <w:spacing w:after="200"/>
      <w:jc w:val="left"/>
    </w:pPr>
    <w:rPr>
      <w:rFonts w:asciiTheme="minorHAnsi" w:eastAsiaTheme="minorHAnsi" w:hAnsiTheme="minorHAnsi" w:cstheme="minorBidi"/>
      <w:i/>
      <w:iCs/>
      <w:color w:val="1F497D" w:themeColor="text2"/>
      <w:sz w:val="18"/>
      <w:szCs w:val="18"/>
      <w:lang w:val="es-DO"/>
    </w:rPr>
  </w:style>
  <w:style w:type="character" w:customStyle="1" w:styleId="shorttext">
    <w:name w:val="short_text"/>
    <w:basedOn w:val="DefaultParagraphFont"/>
    <w:rsid w:val="00FD5061"/>
  </w:style>
  <w:style w:type="table" w:customStyle="1" w:styleId="TableGrid10">
    <w:name w:val="Table Grid1"/>
    <w:basedOn w:val="TableNormal"/>
    <w:next w:val="TableGrid"/>
    <w:uiPriority w:val="59"/>
    <w:rsid w:val="00A374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B01"/>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00A7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589">
      <w:bodyDiv w:val="1"/>
      <w:marLeft w:val="0"/>
      <w:marRight w:val="0"/>
      <w:marTop w:val="0"/>
      <w:marBottom w:val="0"/>
      <w:divBdr>
        <w:top w:val="none" w:sz="0" w:space="0" w:color="auto"/>
        <w:left w:val="none" w:sz="0" w:space="0" w:color="auto"/>
        <w:bottom w:val="none" w:sz="0" w:space="0" w:color="auto"/>
        <w:right w:val="none" w:sz="0" w:space="0" w:color="auto"/>
      </w:divBdr>
    </w:div>
    <w:div w:id="97603332">
      <w:bodyDiv w:val="1"/>
      <w:marLeft w:val="0"/>
      <w:marRight w:val="0"/>
      <w:marTop w:val="0"/>
      <w:marBottom w:val="0"/>
      <w:divBdr>
        <w:top w:val="none" w:sz="0" w:space="0" w:color="auto"/>
        <w:left w:val="none" w:sz="0" w:space="0" w:color="auto"/>
        <w:bottom w:val="none" w:sz="0" w:space="0" w:color="auto"/>
        <w:right w:val="none" w:sz="0" w:space="0" w:color="auto"/>
      </w:divBdr>
    </w:div>
    <w:div w:id="120420935">
      <w:bodyDiv w:val="1"/>
      <w:marLeft w:val="0"/>
      <w:marRight w:val="0"/>
      <w:marTop w:val="0"/>
      <w:marBottom w:val="0"/>
      <w:divBdr>
        <w:top w:val="none" w:sz="0" w:space="0" w:color="auto"/>
        <w:left w:val="none" w:sz="0" w:space="0" w:color="auto"/>
        <w:bottom w:val="none" w:sz="0" w:space="0" w:color="auto"/>
        <w:right w:val="none" w:sz="0" w:space="0" w:color="auto"/>
      </w:divBdr>
    </w:div>
    <w:div w:id="258025386">
      <w:bodyDiv w:val="1"/>
      <w:marLeft w:val="0"/>
      <w:marRight w:val="0"/>
      <w:marTop w:val="0"/>
      <w:marBottom w:val="0"/>
      <w:divBdr>
        <w:top w:val="none" w:sz="0" w:space="0" w:color="auto"/>
        <w:left w:val="none" w:sz="0" w:space="0" w:color="auto"/>
        <w:bottom w:val="none" w:sz="0" w:space="0" w:color="auto"/>
        <w:right w:val="none" w:sz="0" w:space="0" w:color="auto"/>
      </w:divBdr>
    </w:div>
    <w:div w:id="273708869">
      <w:bodyDiv w:val="1"/>
      <w:marLeft w:val="0"/>
      <w:marRight w:val="0"/>
      <w:marTop w:val="0"/>
      <w:marBottom w:val="0"/>
      <w:divBdr>
        <w:top w:val="none" w:sz="0" w:space="0" w:color="auto"/>
        <w:left w:val="none" w:sz="0" w:space="0" w:color="auto"/>
        <w:bottom w:val="none" w:sz="0" w:space="0" w:color="auto"/>
        <w:right w:val="none" w:sz="0" w:space="0" w:color="auto"/>
      </w:divBdr>
    </w:div>
    <w:div w:id="615016273">
      <w:bodyDiv w:val="1"/>
      <w:marLeft w:val="0"/>
      <w:marRight w:val="0"/>
      <w:marTop w:val="0"/>
      <w:marBottom w:val="0"/>
      <w:divBdr>
        <w:top w:val="none" w:sz="0" w:space="0" w:color="auto"/>
        <w:left w:val="none" w:sz="0" w:space="0" w:color="auto"/>
        <w:bottom w:val="none" w:sz="0" w:space="0" w:color="auto"/>
        <w:right w:val="none" w:sz="0" w:space="0" w:color="auto"/>
      </w:divBdr>
    </w:div>
    <w:div w:id="695814338">
      <w:bodyDiv w:val="1"/>
      <w:marLeft w:val="0"/>
      <w:marRight w:val="0"/>
      <w:marTop w:val="0"/>
      <w:marBottom w:val="0"/>
      <w:divBdr>
        <w:top w:val="none" w:sz="0" w:space="0" w:color="auto"/>
        <w:left w:val="none" w:sz="0" w:space="0" w:color="auto"/>
        <w:bottom w:val="none" w:sz="0" w:space="0" w:color="auto"/>
        <w:right w:val="none" w:sz="0" w:space="0" w:color="auto"/>
      </w:divBdr>
    </w:div>
    <w:div w:id="721176802">
      <w:bodyDiv w:val="1"/>
      <w:marLeft w:val="0"/>
      <w:marRight w:val="0"/>
      <w:marTop w:val="0"/>
      <w:marBottom w:val="0"/>
      <w:divBdr>
        <w:top w:val="none" w:sz="0" w:space="0" w:color="auto"/>
        <w:left w:val="none" w:sz="0" w:space="0" w:color="auto"/>
        <w:bottom w:val="none" w:sz="0" w:space="0" w:color="auto"/>
        <w:right w:val="none" w:sz="0" w:space="0" w:color="auto"/>
      </w:divBdr>
    </w:div>
    <w:div w:id="826553629">
      <w:bodyDiv w:val="1"/>
      <w:marLeft w:val="0"/>
      <w:marRight w:val="0"/>
      <w:marTop w:val="0"/>
      <w:marBottom w:val="0"/>
      <w:divBdr>
        <w:top w:val="none" w:sz="0" w:space="0" w:color="auto"/>
        <w:left w:val="none" w:sz="0" w:space="0" w:color="auto"/>
        <w:bottom w:val="none" w:sz="0" w:space="0" w:color="auto"/>
        <w:right w:val="none" w:sz="0" w:space="0" w:color="auto"/>
      </w:divBdr>
    </w:div>
    <w:div w:id="855462588">
      <w:bodyDiv w:val="1"/>
      <w:marLeft w:val="0"/>
      <w:marRight w:val="0"/>
      <w:marTop w:val="0"/>
      <w:marBottom w:val="0"/>
      <w:divBdr>
        <w:top w:val="none" w:sz="0" w:space="0" w:color="auto"/>
        <w:left w:val="none" w:sz="0" w:space="0" w:color="auto"/>
        <w:bottom w:val="none" w:sz="0" w:space="0" w:color="auto"/>
        <w:right w:val="none" w:sz="0" w:space="0" w:color="auto"/>
      </w:divBdr>
    </w:div>
    <w:div w:id="972977095">
      <w:bodyDiv w:val="1"/>
      <w:marLeft w:val="0"/>
      <w:marRight w:val="0"/>
      <w:marTop w:val="0"/>
      <w:marBottom w:val="0"/>
      <w:divBdr>
        <w:top w:val="none" w:sz="0" w:space="0" w:color="auto"/>
        <w:left w:val="none" w:sz="0" w:space="0" w:color="auto"/>
        <w:bottom w:val="none" w:sz="0" w:space="0" w:color="auto"/>
        <w:right w:val="none" w:sz="0" w:space="0" w:color="auto"/>
      </w:divBdr>
    </w:div>
    <w:div w:id="990249854">
      <w:bodyDiv w:val="1"/>
      <w:marLeft w:val="0"/>
      <w:marRight w:val="0"/>
      <w:marTop w:val="0"/>
      <w:marBottom w:val="0"/>
      <w:divBdr>
        <w:top w:val="none" w:sz="0" w:space="0" w:color="auto"/>
        <w:left w:val="none" w:sz="0" w:space="0" w:color="auto"/>
        <w:bottom w:val="none" w:sz="0" w:space="0" w:color="auto"/>
        <w:right w:val="none" w:sz="0" w:space="0" w:color="auto"/>
      </w:divBdr>
    </w:div>
    <w:div w:id="1023092495">
      <w:bodyDiv w:val="1"/>
      <w:marLeft w:val="0"/>
      <w:marRight w:val="0"/>
      <w:marTop w:val="0"/>
      <w:marBottom w:val="0"/>
      <w:divBdr>
        <w:top w:val="none" w:sz="0" w:space="0" w:color="auto"/>
        <w:left w:val="none" w:sz="0" w:space="0" w:color="auto"/>
        <w:bottom w:val="none" w:sz="0" w:space="0" w:color="auto"/>
        <w:right w:val="none" w:sz="0" w:space="0" w:color="auto"/>
      </w:divBdr>
    </w:div>
    <w:div w:id="1068960235">
      <w:bodyDiv w:val="1"/>
      <w:marLeft w:val="0"/>
      <w:marRight w:val="0"/>
      <w:marTop w:val="0"/>
      <w:marBottom w:val="0"/>
      <w:divBdr>
        <w:top w:val="none" w:sz="0" w:space="0" w:color="auto"/>
        <w:left w:val="none" w:sz="0" w:space="0" w:color="auto"/>
        <w:bottom w:val="none" w:sz="0" w:space="0" w:color="auto"/>
        <w:right w:val="none" w:sz="0" w:space="0" w:color="auto"/>
      </w:divBdr>
    </w:div>
    <w:div w:id="1103502429">
      <w:bodyDiv w:val="1"/>
      <w:marLeft w:val="0"/>
      <w:marRight w:val="0"/>
      <w:marTop w:val="0"/>
      <w:marBottom w:val="0"/>
      <w:divBdr>
        <w:top w:val="none" w:sz="0" w:space="0" w:color="auto"/>
        <w:left w:val="none" w:sz="0" w:space="0" w:color="auto"/>
        <w:bottom w:val="none" w:sz="0" w:space="0" w:color="auto"/>
        <w:right w:val="none" w:sz="0" w:space="0" w:color="auto"/>
      </w:divBdr>
    </w:div>
    <w:div w:id="1105923377">
      <w:bodyDiv w:val="1"/>
      <w:marLeft w:val="0"/>
      <w:marRight w:val="0"/>
      <w:marTop w:val="0"/>
      <w:marBottom w:val="0"/>
      <w:divBdr>
        <w:top w:val="none" w:sz="0" w:space="0" w:color="auto"/>
        <w:left w:val="none" w:sz="0" w:space="0" w:color="auto"/>
        <w:bottom w:val="none" w:sz="0" w:space="0" w:color="auto"/>
        <w:right w:val="none" w:sz="0" w:space="0" w:color="auto"/>
      </w:divBdr>
    </w:div>
    <w:div w:id="1112822652">
      <w:bodyDiv w:val="1"/>
      <w:marLeft w:val="0"/>
      <w:marRight w:val="0"/>
      <w:marTop w:val="0"/>
      <w:marBottom w:val="0"/>
      <w:divBdr>
        <w:top w:val="none" w:sz="0" w:space="0" w:color="auto"/>
        <w:left w:val="none" w:sz="0" w:space="0" w:color="auto"/>
        <w:bottom w:val="none" w:sz="0" w:space="0" w:color="auto"/>
        <w:right w:val="none" w:sz="0" w:space="0" w:color="auto"/>
      </w:divBdr>
    </w:div>
    <w:div w:id="1434981003">
      <w:bodyDiv w:val="1"/>
      <w:marLeft w:val="0"/>
      <w:marRight w:val="0"/>
      <w:marTop w:val="0"/>
      <w:marBottom w:val="0"/>
      <w:divBdr>
        <w:top w:val="none" w:sz="0" w:space="0" w:color="auto"/>
        <w:left w:val="none" w:sz="0" w:space="0" w:color="auto"/>
        <w:bottom w:val="none" w:sz="0" w:space="0" w:color="auto"/>
        <w:right w:val="none" w:sz="0" w:space="0" w:color="auto"/>
      </w:divBdr>
    </w:div>
    <w:div w:id="1509442331">
      <w:bodyDiv w:val="1"/>
      <w:marLeft w:val="0"/>
      <w:marRight w:val="0"/>
      <w:marTop w:val="0"/>
      <w:marBottom w:val="0"/>
      <w:divBdr>
        <w:top w:val="none" w:sz="0" w:space="0" w:color="auto"/>
        <w:left w:val="none" w:sz="0" w:space="0" w:color="auto"/>
        <w:bottom w:val="none" w:sz="0" w:space="0" w:color="auto"/>
        <w:right w:val="none" w:sz="0" w:space="0" w:color="auto"/>
      </w:divBdr>
    </w:div>
    <w:div w:id="153125851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6459418">
      <w:bodyDiv w:val="1"/>
      <w:marLeft w:val="0"/>
      <w:marRight w:val="0"/>
      <w:marTop w:val="0"/>
      <w:marBottom w:val="0"/>
      <w:divBdr>
        <w:top w:val="none" w:sz="0" w:space="0" w:color="auto"/>
        <w:left w:val="none" w:sz="0" w:space="0" w:color="auto"/>
        <w:bottom w:val="none" w:sz="0" w:space="0" w:color="auto"/>
        <w:right w:val="none" w:sz="0" w:space="0" w:color="auto"/>
      </w:divBdr>
    </w:div>
    <w:div w:id="2021736917">
      <w:bodyDiv w:val="1"/>
      <w:marLeft w:val="0"/>
      <w:marRight w:val="0"/>
      <w:marTop w:val="0"/>
      <w:marBottom w:val="0"/>
      <w:divBdr>
        <w:top w:val="none" w:sz="0" w:space="0" w:color="auto"/>
        <w:left w:val="none" w:sz="0" w:space="0" w:color="auto"/>
        <w:bottom w:val="none" w:sz="0" w:space="0" w:color="auto"/>
        <w:right w:val="none" w:sz="0" w:space="0" w:color="auto"/>
      </w:divBdr>
    </w:div>
    <w:div w:id="2081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UNEP/OzL.Pro/ExCom/77/67</Document_x0020_Number>
    <DocumentType xmlns="64e33b30-101d-41de-b951-961aab25ea29">Pre-session</DocumentType>
  </documentManagement>
</p:properties>
</file>

<file path=customXml/itemProps1.xml><?xml version="1.0" encoding="utf-8"?>
<ds:datastoreItem xmlns:ds="http://schemas.openxmlformats.org/officeDocument/2006/customXml" ds:itemID="{ED3929F8-CC73-44DE-BA83-CB0C293B86DF}"/>
</file>

<file path=customXml/itemProps2.xml><?xml version="1.0" encoding="utf-8"?>
<ds:datastoreItem xmlns:ds="http://schemas.openxmlformats.org/officeDocument/2006/customXml" ds:itemID="{E9E3914D-83AA-491E-B802-FB4A9DB043ED}"/>
</file>

<file path=customXml/itemProps3.xml><?xml version="1.0" encoding="utf-8"?>
<ds:datastoreItem xmlns:ds="http://schemas.openxmlformats.org/officeDocument/2006/customXml" ds:itemID="{3A993C3B-1DFB-48A2-AF8F-D5BA505DD58B}"/>
</file>

<file path=customXml/itemProps4.xml><?xml version="1.0" encoding="utf-8"?>
<ds:datastoreItem xmlns:ds="http://schemas.openxmlformats.org/officeDocument/2006/customXml" ds:itemID="{B01A2C17-5B63-44AB-AEE5-3FD9F1BAA9A5}"/>
</file>

<file path=docProps/app.xml><?xml version="1.0" encoding="utf-8"?>
<Properties xmlns="http://schemas.openxmlformats.org/officeDocument/2006/extended-properties" xmlns:vt="http://schemas.openxmlformats.org/officeDocument/2006/docPropsVTypes">
  <Template>normal</Template>
  <TotalTime>2</TotalTime>
  <Pages>21</Pages>
  <Words>7592</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Project proposal:  Uruguay</vt:lpstr>
    </vt:vector>
  </TitlesOfParts>
  <Company>Hewlett-Packard Company</Company>
  <LinksUpToDate>false</LinksUpToDate>
  <CharactersWithSpaces>49455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Uruguay</dc:title>
  <dc:subject>UNEP/OzL.Pro/ExCom/77/67</dc:subject>
  <dc:creator>Nanette Guerin</dc:creator>
  <cp:lastModifiedBy>Elina Yuen</cp:lastModifiedBy>
  <cp:revision>5</cp:revision>
  <cp:lastPrinted>2016-11-04T01:34:00Z</cp:lastPrinted>
  <dcterms:created xsi:type="dcterms:W3CDTF">2016-11-04T01:28:00Z</dcterms:created>
  <dcterms:modified xsi:type="dcterms:W3CDTF">2016-11-04T01:34:00Z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vt:lpwstr>
  </property>
  <property fmtid="{D5CDD505-2E9C-101B-9397-08002B2CF9AE}" pid="3" name="Revision date">
    <vt:lpwstr>27/07/2016</vt:lpwstr>
  </property>
  <property fmtid="{D5CDD505-2E9C-101B-9397-08002B2CF9AE}" pid="4" name="ContentTypeId">
    <vt:lpwstr>0x010100F409F5B17BF82F4083D32896D3516BC1</vt:lpwstr>
  </property>
</Properties>
</file>