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763605">
        <w:trPr>
          <w:trHeight w:val="720"/>
        </w:trPr>
        <w:tc>
          <w:tcPr>
            <w:tcW w:w="5490" w:type="dxa"/>
            <w:gridSpan w:val="2"/>
            <w:tcBorders>
              <w:bottom w:val="single" w:sz="18" w:space="0" w:color="auto"/>
            </w:tcBorders>
          </w:tcPr>
          <w:p w:rsidR="00C15867" w:rsidRPr="0000434E" w:rsidRDefault="00C15867" w:rsidP="007636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763605">
            <w:pPr>
              <w:jc w:val="right"/>
              <w:rPr>
                <w:sz w:val="52"/>
                <w:szCs w:val="52"/>
              </w:rPr>
            </w:pPr>
            <w:r>
              <w:rPr>
                <w:rFonts w:ascii="Univers Bold" w:hAnsi="Univers Bold"/>
                <w:b/>
                <w:sz w:val="72"/>
              </w:rPr>
              <w:t>EP</w:t>
            </w:r>
          </w:p>
        </w:tc>
      </w:tr>
      <w:tr w:rsidR="00C15867" w:rsidTr="00763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763605">
            <w:pPr>
              <w:spacing w:before="120"/>
            </w:pPr>
            <w:r>
              <w:rPr>
                <w:noProof/>
                <w:lang w:val="en-CA" w:eastAsia="en-CA"/>
              </w:rPr>
              <w:drawing>
                <wp:anchor distT="0" distB="0" distL="114300" distR="114300" simplePos="0" relativeHeight="251660288" behindDoc="0" locked="0" layoutInCell="1" allowOverlap="1" wp14:anchorId="61C686AC" wp14:editId="18295F90">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0643C58C" wp14:editId="70FE421B">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7636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7636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7636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763605">
            <w:pPr>
              <w:spacing w:before="720"/>
              <w:ind w:left="158"/>
            </w:pPr>
          </w:p>
        </w:tc>
        <w:tc>
          <w:tcPr>
            <w:tcW w:w="4590" w:type="dxa"/>
            <w:tcBorders>
              <w:top w:val="nil"/>
              <w:left w:val="nil"/>
              <w:bottom w:val="single" w:sz="36" w:space="0" w:color="auto"/>
              <w:right w:val="nil"/>
            </w:tcBorders>
          </w:tcPr>
          <w:p w:rsidR="00C15867" w:rsidRPr="0033525D" w:rsidRDefault="00C15867" w:rsidP="00763605">
            <w:r w:rsidRPr="0033525D">
              <w:t>Distr.</w:t>
            </w:r>
          </w:p>
          <w:p w:rsidR="00923540" w:rsidRPr="0033525D" w:rsidRDefault="00923540" w:rsidP="00923540">
            <w:r w:rsidRPr="0033525D">
              <w:t>GENERAL</w:t>
            </w:r>
          </w:p>
          <w:p w:rsidR="00C15867" w:rsidRPr="0033525D" w:rsidRDefault="00C15867" w:rsidP="00763605"/>
          <w:p w:rsidR="00C15867" w:rsidRPr="003F73BA" w:rsidRDefault="00C15867" w:rsidP="00763605"/>
          <w:p w:rsidR="00C15867" w:rsidRPr="00F623D1" w:rsidRDefault="003F0D05" w:rsidP="00763605">
            <w:r>
              <w:fldChar w:fldCharType="begin"/>
            </w:r>
            <w:r>
              <w:instrText xml:space="preserve"> DOCPROPERTY "Document number"  \* MERGEFORMAT </w:instrText>
            </w:r>
            <w:r>
              <w:fldChar w:fldCharType="separate"/>
            </w:r>
            <w:r w:rsidR="007D2DD0" w:rsidRPr="00F623D1">
              <w:t>UNEP/</w:t>
            </w:r>
            <w:proofErr w:type="spellStart"/>
            <w:r w:rsidR="007D2DD0" w:rsidRPr="00F623D1">
              <w:t>OzL.Pro</w:t>
            </w:r>
            <w:proofErr w:type="spellEnd"/>
            <w:r w:rsidR="007D2DD0" w:rsidRPr="00F623D1">
              <w:t>/ExCom/77/58</w:t>
            </w:r>
            <w:r>
              <w:fldChar w:fldCharType="end"/>
            </w:r>
          </w:p>
          <w:p w:rsidR="00C15867" w:rsidRPr="003F73BA" w:rsidRDefault="00F623D1" w:rsidP="00763605">
            <w:r>
              <w:fldChar w:fldCharType="begin"/>
            </w:r>
            <w:r>
              <w:instrText xml:space="preserve"> DATE  \@ "d MMMM yyyy"  \* MERGEFORMAT </w:instrText>
            </w:r>
            <w:r>
              <w:fldChar w:fldCharType="separate"/>
            </w:r>
            <w:r w:rsidR="003F0D05">
              <w:rPr>
                <w:noProof/>
              </w:rPr>
              <w:t>4 November 2016</w:t>
            </w:r>
            <w:r>
              <w:fldChar w:fldCharType="end"/>
            </w:r>
          </w:p>
          <w:p w:rsidR="00C15867" w:rsidRPr="00000FED" w:rsidRDefault="00C15867" w:rsidP="00763605">
            <w:pPr>
              <w:rPr>
                <w:caps/>
              </w:rPr>
            </w:pPr>
          </w:p>
          <w:p w:rsidR="00C15867" w:rsidRDefault="00C15867" w:rsidP="00763605">
            <w:r w:rsidRPr="0033525D">
              <w:t>ORIGINAL: ENGLISH</w:t>
            </w:r>
          </w:p>
        </w:tc>
      </w:tr>
    </w:tbl>
    <w:p w:rsidR="00667244" w:rsidRPr="00C73E59" w:rsidRDefault="00C15867" w:rsidP="00667244">
      <w:pPr>
        <w:jc w:val="left"/>
      </w:pPr>
      <w:r w:rsidRPr="0033525D">
        <w:t>EXECUTIVE COMMITTEE OF</w:t>
      </w:r>
      <w:r w:rsidRPr="0033525D">
        <w:br/>
        <w:t xml:space="preserve">  </w:t>
      </w:r>
      <w:r w:rsidRPr="00C73E59">
        <w:t>THE MULTILATERAL FUND FOR THE</w:t>
      </w:r>
      <w:r w:rsidRPr="00C73E59">
        <w:br/>
        <w:t xml:space="preserve">  IMPLEMENTATION OF THE MONTREAL PROTOCOL</w:t>
      </w:r>
      <w:r w:rsidRPr="00C73E59">
        <w:br/>
      </w:r>
      <w:r w:rsidR="00667244" w:rsidRPr="00C73E59">
        <w:rPr>
          <w:lang w:val="en-CA"/>
        </w:rPr>
        <w:t>Seventy-</w:t>
      </w:r>
      <w:r w:rsidR="00822233" w:rsidRPr="00C73E59">
        <w:rPr>
          <w:lang w:val="en-CA"/>
        </w:rPr>
        <w:t>seventh</w:t>
      </w:r>
      <w:r w:rsidR="00667244" w:rsidRPr="00C73E59">
        <w:t xml:space="preserve"> Meeting</w:t>
      </w:r>
    </w:p>
    <w:p w:rsidR="00667244" w:rsidRPr="00C73E59" w:rsidRDefault="00667244" w:rsidP="00667244">
      <w:pPr>
        <w:jc w:val="left"/>
        <w:rPr>
          <w:lang w:val="en-CA"/>
        </w:rPr>
      </w:pPr>
      <w:r w:rsidRPr="00C73E59">
        <w:t>Montreal</w:t>
      </w:r>
      <w:r w:rsidRPr="00C73E59">
        <w:rPr>
          <w:lang w:val="en-CA"/>
        </w:rPr>
        <w:t xml:space="preserve">, </w:t>
      </w:r>
      <w:r w:rsidR="00822233" w:rsidRPr="00C73E59">
        <w:t xml:space="preserve">28 November </w:t>
      </w:r>
      <w:r w:rsidR="00D45C5F">
        <w:t>-</w:t>
      </w:r>
      <w:r w:rsidR="00D45C5F" w:rsidRPr="00C73E59">
        <w:t xml:space="preserve"> </w:t>
      </w:r>
      <w:r w:rsidR="00822233" w:rsidRPr="00C73E59">
        <w:t>2 December 2016</w:t>
      </w:r>
    </w:p>
    <w:p w:rsidR="00C15867" w:rsidRPr="00C73E59" w:rsidRDefault="00C15867" w:rsidP="00F76E75">
      <w:pPr>
        <w:jc w:val="center"/>
        <w:rPr>
          <w:lang w:val="en-US"/>
        </w:rPr>
      </w:pPr>
    </w:p>
    <w:p w:rsidR="004E7F9C" w:rsidRPr="00C73E59" w:rsidRDefault="004E7F9C" w:rsidP="004E7F9C">
      <w:pPr>
        <w:pStyle w:val="Title1"/>
      </w:pPr>
    </w:p>
    <w:p w:rsidR="00F76E75" w:rsidRDefault="00F76E75" w:rsidP="00A03045">
      <w:pPr>
        <w:jc w:val="center"/>
        <w:rPr>
          <w:b/>
          <w:lang w:val="en-CA"/>
        </w:rPr>
      </w:pPr>
    </w:p>
    <w:p w:rsidR="00324984" w:rsidRDefault="00324984" w:rsidP="00A03045">
      <w:pPr>
        <w:jc w:val="center"/>
        <w:rPr>
          <w:b/>
          <w:lang w:val="en-CA"/>
        </w:rPr>
      </w:pPr>
    </w:p>
    <w:p w:rsidR="00A03045" w:rsidRPr="00C73E59" w:rsidRDefault="00A03045" w:rsidP="00A03045">
      <w:pPr>
        <w:jc w:val="center"/>
        <w:rPr>
          <w:b/>
          <w:lang w:val="en-CA"/>
        </w:rPr>
      </w:pPr>
      <w:r w:rsidRPr="00C73E59">
        <w:rPr>
          <w:b/>
          <w:lang w:val="en-CA"/>
        </w:rPr>
        <w:t xml:space="preserve">PROJECT PROPOSAL: </w:t>
      </w:r>
      <w:r w:rsidR="001637DE" w:rsidRPr="00C73E59">
        <w:rPr>
          <w:b/>
        </w:rPr>
        <w:t>REPUBLIC OF MOLDOVA</w:t>
      </w:r>
    </w:p>
    <w:p w:rsidR="00A03045" w:rsidRPr="00C73E59" w:rsidRDefault="00A03045" w:rsidP="00A03045">
      <w:pPr>
        <w:jc w:val="center"/>
        <w:rPr>
          <w:b/>
          <w:lang w:val="en-CA"/>
        </w:rPr>
      </w:pPr>
    </w:p>
    <w:p w:rsidR="00A03045" w:rsidRPr="00C73E59" w:rsidRDefault="00A03045" w:rsidP="00A03045">
      <w:pPr>
        <w:rPr>
          <w:lang w:val="en-CA"/>
        </w:rPr>
      </w:pPr>
    </w:p>
    <w:p w:rsidR="00A03045" w:rsidRPr="00C73E59" w:rsidRDefault="00A03045" w:rsidP="00A03045">
      <w:pPr>
        <w:rPr>
          <w:lang w:val="en-CA"/>
        </w:rPr>
      </w:pPr>
    </w:p>
    <w:p w:rsidR="00A03045" w:rsidRPr="00C73E59" w:rsidRDefault="00A03045" w:rsidP="00A03045">
      <w:pPr>
        <w:ind w:firstLine="720"/>
        <w:rPr>
          <w:lang w:val="en-CA"/>
        </w:rPr>
      </w:pPr>
      <w:r w:rsidRPr="00C73E59">
        <w:rPr>
          <w:lang w:val="en-CA"/>
        </w:rPr>
        <w:t xml:space="preserve">This document consists of the comments and recommendation of the Secretariat on the following project proposal: </w:t>
      </w:r>
    </w:p>
    <w:p w:rsidR="00A03045" w:rsidRPr="00C73E59" w:rsidRDefault="00A03045" w:rsidP="00A03045">
      <w:pPr>
        <w:rPr>
          <w:lang w:val="en-CA"/>
        </w:rPr>
      </w:pPr>
    </w:p>
    <w:p w:rsidR="00A03045" w:rsidRPr="00C73E59" w:rsidRDefault="00A03045" w:rsidP="00A03045">
      <w:pPr>
        <w:rPr>
          <w:u w:val="single"/>
          <w:lang w:val="en-CA"/>
        </w:rPr>
      </w:pPr>
      <w:r w:rsidRPr="00C73E59">
        <w:rPr>
          <w:u w:val="single"/>
          <w:lang w:val="en-CA"/>
        </w:rPr>
        <w:t>Phase</w:t>
      </w:r>
      <w:r w:rsidRPr="00C73E59">
        <w:rPr>
          <w:u w:val="single"/>
          <w:lang w:val="en-CA"/>
        </w:rPr>
        <w:noBreakHyphen/>
        <w:t>out</w:t>
      </w:r>
    </w:p>
    <w:p w:rsidR="00A03045" w:rsidRPr="00C73E59" w:rsidRDefault="00A03045" w:rsidP="00A03045">
      <w:pPr>
        <w:rPr>
          <w:lang w:val="en-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3503"/>
      </w:tblGrid>
      <w:tr w:rsidR="00A03045" w:rsidRPr="00C73E59" w:rsidTr="00D45C5F">
        <w:tc>
          <w:tcPr>
            <w:tcW w:w="3171" w:type="pct"/>
          </w:tcPr>
          <w:p w:rsidR="00A03045" w:rsidRPr="00C73E59" w:rsidRDefault="00A03045" w:rsidP="00491F96">
            <w:pPr>
              <w:numPr>
                <w:ilvl w:val="0"/>
                <w:numId w:val="10"/>
              </w:numPr>
              <w:contextualSpacing/>
            </w:pPr>
            <w:r w:rsidRPr="00C73E59">
              <w:t>HCFC phase</w:t>
            </w:r>
            <w:r w:rsidRPr="00C73E59">
              <w:noBreakHyphen/>
              <w:t>out management plan (stage II, first tranche)</w:t>
            </w:r>
          </w:p>
        </w:tc>
        <w:tc>
          <w:tcPr>
            <w:tcW w:w="1829" w:type="pct"/>
          </w:tcPr>
          <w:p w:rsidR="00A03045" w:rsidRPr="00C73E59" w:rsidRDefault="00A03045" w:rsidP="00306EA0">
            <w:pPr>
              <w:jc w:val="right"/>
              <w:rPr>
                <w:b/>
              </w:rPr>
            </w:pPr>
            <w:r w:rsidRPr="00C73E59">
              <w:t>UN</w:t>
            </w:r>
            <w:r w:rsidR="001637DE" w:rsidRPr="00C73E59">
              <w:t>DP</w:t>
            </w:r>
            <w:r w:rsidR="00D45C5F">
              <w:t xml:space="preserve"> and</w:t>
            </w:r>
            <w:r w:rsidRPr="00C73E59">
              <w:t xml:space="preserve"> UNEP</w:t>
            </w:r>
          </w:p>
        </w:tc>
      </w:tr>
    </w:tbl>
    <w:p w:rsidR="00A03045" w:rsidRPr="00C73E59" w:rsidRDefault="00A03045" w:rsidP="00A03045">
      <w:pPr>
        <w:rPr>
          <w:lang w:val="en-CA"/>
        </w:rPr>
      </w:pPr>
    </w:p>
    <w:p w:rsidR="00A03045" w:rsidRPr="00C73E59" w:rsidRDefault="00A03045" w:rsidP="00A03045">
      <w:pPr>
        <w:rPr>
          <w:lang w:val="en-CA"/>
        </w:rPr>
      </w:pPr>
      <w:r w:rsidRPr="00C73E59">
        <w:rPr>
          <w:lang w:val="en-CA"/>
        </w:rPr>
        <w:br w:type="page"/>
      </w:r>
    </w:p>
    <w:p w:rsidR="00A03045" w:rsidRPr="00C73E59" w:rsidRDefault="00A03045" w:rsidP="00A03045">
      <w:pPr>
        <w:jc w:val="center"/>
        <w:rPr>
          <w:b/>
          <w:lang w:val="en-CA"/>
        </w:rPr>
      </w:pPr>
      <w:r w:rsidRPr="00C73E59">
        <w:rPr>
          <w:b/>
          <w:lang w:val="en-CA"/>
        </w:rPr>
        <w:lastRenderedPageBreak/>
        <w:t>PROJECT EVALUATION SHEET – MULTI</w:t>
      </w:r>
      <w:r w:rsidRPr="00C73E59">
        <w:rPr>
          <w:b/>
          <w:lang w:val="en-CA"/>
        </w:rPr>
        <w:noBreakHyphen/>
        <w:t>YEAR PROJECTS</w:t>
      </w:r>
    </w:p>
    <w:p w:rsidR="00A03045" w:rsidRPr="00C73E59" w:rsidRDefault="00A03045" w:rsidP="00A03045">
      <w:pPr>
        <w:jc w:val="center"/>
        <w:rPr>
          <w:b/>
          <w:lang w:val="en-CA"/>
        </w:rPr>
      </w:pPr>
    </w:p>
    <w:p w:rsidR="00A03045" w:rsidRPr="00C73E59" w:rsidRDefault="001637DE" w:rsidP="00A03045">
      <w:pPr>
        <w:jc w:val="center"/>
        <w:rPr>
          <w:b/>
          <w:lang w:val="en-CA"/>
        </w:rPr>
      </w:pPr>
      <w:r w:rsidRPr="00C73E59">
        <w:rPr>
          <w:b/>
          <w:lang w:val="en-CA"/>
        </w:rPr>
        <w:t>Republic of Moldova</w:t>
      </w:r>
    </w:p>
    <w:p w:rsidR="00A03045" w:rsidRPr="00C73E59" w:rsidRDefault="00A03045" w:rsidP="00A03045">
      <w:pPr>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83"/>
        <w:gridCol w:w="2317"/>
        <w:gridCol w:w="2500"/>
        <w:gridCol w:w="2500"/>
      </w:tblGrid>
      <w:tr w:rsidR="00DC1645" w:rsidRPr="00C73E59" w:rsidTr="00763605">
        <w:trPr>
          <w:trHeight w:val="240"/>
        </w:trPr>
        <w:tc>
          <w:tcPr>
            <w:tcW w:w="2683" w:type="dxa"/>
            <w:shd w:val="clear" w:color="auto" w:fill="auto"/>
          </w:tcPr>
          <w:p w:rsidR="00A03045" w:rsidRPr="00C73E59" w:rsidRDefault="00A03045" w:rsidP="00763605">
            <w:pPr>
              <w:spacing w:after="80"/>
              <w:jc w:val="left"/>
              <w:rPr>
                <w:b/>
                <w:sz w:val="18"/>
              </w:rPr>
            </w:pPr>
            <w:r w:rsidRPr="00C73E59">
              <w:rPr>
                <w:b/>
                <w:sz w:val="18"/>
              </w:rPr>
              <w:t>(I) PROJECT TITLE</w:t>
            </w:r>
          </w:p>
        </w:tc>
        <w:tc>
          <w:tcPr>
            <w:tcW w:w="2317" w:type="dxa"/>
            <w:shd w:val="clear" w:color="auto" w:fill="auto"/>
          </w:tcPr>
          <w:p w:rsidR="00A03045" w:rsidRPr="00C73E59" w:rsidRDefault="00A03045" w:rsidP="00763605">
            <w:pPr>
              <w:spacing w:after="80"/>
              <w:jc w:val="center"/>
              <w:rPr>
                <w:b/>
                <w:sz w:val="18"/>
              </w:rPr>
            </w:pPr>
            <w:r w:rsidRPr="00C73E59">
              <w:rPr>
                <w:b/>
                <w:sz w:val="18"/>
              </w:rPr>
              <w:t>AGENCY</w:t>
            </w:r>
          </w:p>
        </w:tc>
        <w:tc>
          <w:tcPr>
            <w:tcW w:w="2500" w:type="dxa"/>
            <w:shd w:val="clear" w:color="auto" w:fill="auto"/>
          </w:tcPr>
          <w:p w:rsidR="00A03045" w:rsidRPr="00C73E59" w:rsidRDefault="00A03045" w:rsidP="00763605">
            <w:pPr>
              <w:spacing w:after="80"/>
              <w:jc w:val="center"/>
              <w:rPr>
                <w:b/>
                <w:sz w:val="18"/>
              </w:rPr>
            </w:pPr>
            <w:r w:rsidRPr="00C73E59">
              <w:rPr>
                <w:b/>
                <w:sz w:val="18"/>
              </w:rPr>
              <w:t>MEETING APPROVED</w:t>
            </w:r>
          </w:p>
        </w:tc>
        <w:tc>
          <w:tcPr>
            <w:tcW w:w="2500" w:type="dxa"/>
            <w:shd w:val="clear" w:color="auto" w:fill="auto"/>
          </w:tcPr>
          <w:p w:rsidR="00A03045" w:rsidRPr="00C73E59" w:rsidRDefault="00A03045" w:rsidP="00763605">
            <w:pPr>
              <w:spacing w:after="80"/>
              <w:jc w:val="center"/>
              <w:rPr>
                <w:b/>
                <w:sz w:val="18"/>
              </w:rPr>
            </w:pPr>
            <w:r w:rsidRPr="00C73E59">
              <w:rPr>
                <w:b/>
                <w:sz w:val="18"/>
              </w:rPr>
              <w:t>CONTROL MEASURE</w:t>
            </w:r>
          </w:p>
        </w:tc>
      </w:tr>
      <w:tr w:rsidR="00DC1645" w:rsidRPr="00C73E59" w:rsidTr="00763605">
        <w:trPr>
          <w:trHeight w:val="240"/>
        </w:trPr>
        <w:tc>
          <w:tcPr>
            <w:tcW w:w="2683" w:type="dxa"/>
            <w:shd w:val="clear" w:color="auto" w:fill="auto"/>
          </w:tcPr>
          <w:p w:rsidR="00A03045" w:rsidRPr="00C73E59" w:rsidRDefault="00A03045" w:rsidP="00763605">
            <w:pPr>
              <w:spacing w:after="80"/>
              <w:jc w:val="center"/>
              <w:rPr>
                <w:sz w:val="18"/>
              </w:rPr>
            </w:pPr>
            <w:r w:rsidRPr="00C73E59">
              <w:rPr>
                <w:sz w:val="18"/>
              </w:rPr>
              <w:t>HCFC phase</w:t>
            </w:r>
            <w:r w:rsidRPr="00C73E59">
              <w:rPr>
                <w:sz w:val="18"/>
              </w:rPr>
              <w:noBreakHyphen/>
              <w:t>out plan (Stage II)</w:t>
            </w:r>
          </w:p>
        </w:tc>
        <w:tc>
          <w:tcPr>
            <w:tcW w:w="2317" w:type="dxa"/>
            <w:shd w:val="clear" w:color="auto" w:fill="auto"/>
          </w:tcPr>
          <w:p w:rsidR="00A03045" w:rsidRPr="00C73E59" w:rsidRDefault="00A03045" w:rsidP="00763605">
            <w:pPr>
              <w:spacing w:after="80"/>
              <w:jc w:val="center"/>
              <w:rPr>
                <w:sz w:val="18"/>
              </w:rPr>
            </w:pPr>
            <w:r w:rsidRPr="00C73E59">
              <w:rPr>
                <w:sz w:val="18"/>
              </w:rPr>
              <w:t xml:space="preserve">UNEP, </w:t>
            </w:r>
            <w:r w:rsidR="00763605" w:rsidRPr="00C73E59">
              <w:rPr>
                <w:sz w:val="18"/>
              </w:rPr>
              <w:t>UNDP</w:t>
            </w:r>
            <w:r w:rsidRPr="00C73E59">
              <w:rPr>
                <w:sz w:val="18"/>
              </w:rPr>
              <w:t xml:space="preserve"> (lead)</w:t>
            </w:r>
          </w:p>
        </w:tc>
        <w:tc>
          <w:tcPr>
            <w:tcW w:w="2500" w:type="dxa"/>
            <w:shd w:val="clear" w:color="auto" w:fill="auto"/>
          </w:tcPr>
          <w:p w:rsidR="00A03045" w:rsidRPr="00C73E59" w:rsidRDefault="00A03045" w:rsidP="00763605">
            <w:pPr>
              <w:spacing w:after="80"/>
              <w:jc w:val="center"/>
              <w:rPr>
                <w:sz w:val="18"/>
              </w:rPr>
            </w:pPr>
            <w:r w:rsidRPr="00C73E59">
              <w:rPr>
                <w:sz w:val="18"/>
              </w:rPr>
              <w:t>n/a</w:t>
            </w:r>
          </w:p>
        </w:tc>
        <w:tc>
          <w:tcPr>
            <w:tcW w:w="2500" w:type="dxa"/>
            <w:shd w:val="clear" w:color="auto" w:fill="auto"/>
          </w:tcPr>
          <w:p w:rsidR="00A03045" w:rsidRPr="00C73E59" w:rsidRDefault="00A03045" w:rsidP="00763605">
            <w:pPr>
              <w:spacing w:after="80"/>
              <w:jc w:val="center"/>
              <w:rPr>
                <w:sz w:val="18"/>
              </w:rPr>
            </w:pPr>
            <w:r w:rsidRPr="00C73E59">
              <w:rPr>
                <w:sz w:val="18"/>
              </w:rPr>
              <w:t>n/a</w:t>
            </w:r>
          </w:p>
        </w:tc>
      </w:tr>
    </w:tbl>
    <w:p w:rsidR="00A03045" w:rsidRPr="00C73E59" w:rsidRDefault="00A03045" w:rsidP="00A03045">
      <w:pPr>
        <w:jc w:val="center"/>
        <w:rPr>
          <w:color w:val="FF0000"/>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DC1645" w:rsidRPr="00C73E59" w:rsidTr="00763605">
        <w:trPr>
          <w:trHeight w:val="240"/>
        </w:trPr>
        <w:tc>
          <w:tcPr>
            <w:tcW w:w="5200" w:type="dxa"/>
            <w:shd w:val="clear" w:color="auto" w:fill="auto"/>
          </w:tcPr>
          <w:p w:rsidR="00A03045" w:rsidRPr="00C73E59" w:rsidRDefault="00A03045" w:rsidP="00763605">
            <w:pPr>
              <w:spacing w:after="60"/>
              <w:jc w:val="left"/>
              <w:rPr>
                <w:b/>
                <w:sz w:val="18"/>
              </w:rPr>
            </w:pPr>
            <w:r w:rsidRPr="00C73E59">
              <w:rPr>
                <w:b/>
                <w:sz w:val="18"/>
              </w:rPr>
              <w:t>(II) LATEST ARTICLE 7 DATA (Annex C Group l)</w:t>
            </w:r>
          </w:p>
        </w:tc>
        <w:tc>
          <w:tcPr>
            <w:tcW w:w="2400" w:type="dxa"/>
            <w:shd w:val="clear" w:color="auto" w:fill="auto"/>
          </w:tcPr>
          <w:p w:rsidR="00A03045" w:rsidRPr="00C73E59" w:rsidRDefault="00A03045" w:rsidP="00763605">
            <w:pPr>
              <w:spacing w:after="60"/>
              <w:jc w:val="center"/>
              <w:rPr>
                <w:sz w:val="18"/>
              </w:rPr>
            </w:pPr>
            <w:r w:rsidRPr="00C73E59">
              <w:rPr>
                <w:sz w:val="18"/>
              </w:rPr>
              <w:t>Year: 2015</w:t>
            </w:r>
          </w:p>
        </w:tc>
        <w:tc>
          <w:tcPr>
            <w:tcW w:w="2400" w:type="dxa"/>
            <w:shd w:val="clear" w:color="auto" w:fill="auto"/>
          </w:tcPr>
          <w:p w:rsidR="00A03045" w:rsidRPr="00C73E59" w:rsidRDefault="00DC1645" w:rsidP="00DC1645">
            <w:pPr>
              <w:spacing w:after="60"/>
              <w:jc w:val="right"/>
              <w:rPr>
                <w:sz w:val="18"/>
              </w:rPr>
            </w:pPr>
            <w:r w:rsidRPr="00C73E59">
              <w:rPr>
                <w:sz w:val="18"/>
              </w:rPr>
              <w:t xml:space="preserve">0.82 </w:t>
            </w:r>
            <w:r w:rsidR="00A03045" w:rsidRPr="00C73E59">
              <w:rPr>
                <w:sz w:val="18"/>
              </w:rPr>
              <w:t>(ODP tonnes)</w:t>
            </w:r>
          </w:p>
        </w:tc>
      </w:tr>
    </w:tbl>
    <w:p w:rsidR="00A03045" w:rsidRPr="00C73E59" w:rsidRDefault="00A03045" w:rsidP="00A03045">
      <w:pPr>
        <w:jc w:val="center"/>
        <w:rPr>
          <w:color w:val="FF0000"/>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DC1645" w:rsidRPr="00C73E59" w:rsidTr="00763605">
        <w:trPr>
          <w:trHeight w:val="240"/>
        </w:trPr>
        <w:tc>
          <w:tcPr>
            <w:tcW w:w="0" w:type="auto"/>
            <w:gridSpan w:val="8"/>
            <w:shd w:val="clear" w:color="auto" w:fill="auto"/>
          </w:tcPr>
          <w:p w:rsidR="00A03045" w:rsidRPr="00C73E59" w:rsidRDefault="00A03045" w:rsidP="00763605">
            <w:pPr>
              <w:spacing w:after="60"/>
              <w:jc w:val="left"/>
              <w:rPr>
                <w:b/>
                <w:sz w:val="18"/>
              </w:rPr>
            </w:pPr>
            <w:r w:rsidRPr="00C73E59">
              <w:rPr>
                <w:b/>
                <w:sz w:val="18"/>
              </w:rPr>
              <w:t>(III) LATEST COUNTRY PROGRAMME SECTORAL DATA (ODP tonnes)</w:t>
            </w:r>
          </w:p>
        </w:tc>
        <w:tc>
          <w:tcPr>
            <w:tcW w:w="0" w:type="auto"/>
            <w:gridSpan w:val="2"/>
            <w:shd w:val="clear" w:color="auto" w:fill="auto"/>
          </w:tcPr>
          <w:p w:rsidR="00A03045" w:rsidRPr="00C73E59" w:rsidRDefault="00A03045" w:rsidP="00DC1645">
            <w:pPr>
              <w:spacing w:after="60"/>
              <w:jc w:val="right"/>
              <w:rPr>
                <w:b/>
                <w:sz w:val="18"/>
              </w:rPr>
            </w:pPr>
            <w:r w:rsidRPr="00C73E59">
              <w:rPr>
                <w:b/>
                <w:sz w:val="18"/>
              </w:rPr>
              <w:t>Year: 201</w:t>
            </w:r>
            <w:r w:rsidR="00DC1645" w:rsidRPr="00C73E59">
              <w:rPr>
                <w:b/>
                <w:sz w:val="18"/>
              </w:rPr>
              <w:t>5</w:t>
            </w:r>
          </w:p>
        </w:tc>
      </w:tr>
      <w:tr w:rsidR="00DC1645" w:rsidRPr="00C73E59" w:rsidTr="00763605">
        <w:trPr>
          <w:trHeight w:val="240"/>
        </w:trPr>
        <w:tc>
          <w:tcPr>
            <w:tcW w:w="0" w:type="auto"/>
            <w:shd w:val="clear" w:color="auto" w:fill="auto"/>
          </w:tcPr>
          <w:p w:rsidR="00A03045" w:rsidRPr="00C73E59" w:rsidRDefault="00A03045" w:rsidP="00763605">
            <w:pPr>
              <w:spacing w:after="60"/>
              <w:jc w:val="center"/>
              <w:rPr>
                <w:sz w:val="18"/>
              </w:rPr>
            </w:pPr>
            <w:r w:rsidRPr="00C73E59">
              <w:rPr>
                <w:sz w:val="18"/>
              </w:rPr>
              <w:t>Chemical</w:t>
            </w:r>
          </w:p>
        </w:tc>
        <w:tc>
          <w:tcPr>
            <w:tcW w:w="0" w:type="auto"/>
            <w:shd w:val="clear" w:color="auto" w:fill="auto"/>
          </w:tcPr>
          <w:p w:rsidR="00A03045" w:rsidRPr="00C73E59" w:rsidRDefault="00A03045" w:rsidP="00763605">
            <w:pPr>
              <w:spacing w:after="60"/>
              <w:jc w:val="center"/>
              <w:rPr>
                <w:sz w:val="18"/>
              </w:rPr>
            </w:pPr>
            <w:r w:rsidRPr="00C73E59">
              <w:rPr>
                <w:sz w:val="18"/>
              </w:rPr>
              <w:t>Aerosol</w:t>
            </w:r>
          </w:p>
        </w:tc>
        <w:tc>
          <w:tcPr>
            <w:tcW w:w="0" w:type="auto"/>
            <w:shd w:val="clear" w:color="auto" w:fill="auto"/>
          </w:tcPr>
          <w:p w:rsidR="00A03045" w:rsidRPr="00C73E59" w:rsidRDefault="00A03045" w:rsidP="00763605">
            <w:pPr>
              <w:spacing w:after="60"/>
              <w:jc w:val="center"/>
              <w:rPr>
                <w:sz w:val="18"/>
              </w:rPr>
            </w:pPr>
            <w:r w:rsidRPr="00C73E59">
              <w:rPr>
                <w:sz w:val="18"/>
              </w:rPr>
              <w:t>Foam</w:t>
            </w:r>
          </w:p>
        </w:tc>
        <w:tc>
          <w:tcPr>
            <w:tcW w:w="0" w:type="auto"/>
            <w:shd w:val="clear" w:color="auto" w:fill="auto"/>
          </w:tcPr>
          <w:p w:rsidR="00A03045" w:rsidRPr="00C73E59" w:rsidRDefault="00A03045" w:rsidP="00763605">
            <w:pPr>
              <w:spacing w:after="60"/>
              <w:jc w:val="center"/>
              <w:rPr>
                <w:sz w:val="18"/>
              </w:rPr>
            </w:pPr>
            <w:r w:rsidRPr="00C73E59">
              <w:rPr>
                <w:sz w:val="18"/>
              </w:rPr>
              <w:t>Fire fighting</w:t>
            </w:r>
          </w:p>
        </w:tc>
        <w:tc>
          <w:tcPr>
            <w:tcW w:w="0" w:type="auto"/>
            <w:gridSpan w:val="2"/>
            <w:shd w:val="clear" w:color="auto" w:fill="auto"/>
          </w:tcPr>
          <w:p w:rsidR="00A03045" w:rsidRPr="00C73E59" w:rsidRDefault="00A03045" w:rsidP="00763605">
            <w:pPr>
              <w:spacing w:after="60"/>
              <w:jc w:val="center"/>
              <w:rPr>
                <w:sz w:val="18"/>
              </w:rPr>
            </w:pPr>
            <w:r w:rsidRPr="00C73E59">
              <w:rPr>
                <w:sz w:val="18"/>
              </w:rPr>
              <w:t>Refrigeration</w:t>
            </w:r>
          </w:p>
        </w:tc>
        <w:tc>
          <w:tcPr>
            <w:tcW w:w="0" w:type="auto"/>
            <w:shd w:val="clear" w:color="auto" w:fill="auto"/>
          </w:tcPr>
          <w:p w:rsidR="00A03045" w:rsidRPr="00C73E59" w:rsidRDefault="00A03045" w:rsidP="00763605">
            <w:pPr>
              <w:spacing w:after="60"/>
              <w:jc w:val="center"/>
              <w:rPr>
                <w:sz w:val="18"/>
              </w:rPr>
            </w:pPr>
            <w:r w:rsidRPr="00C73E59">
              <w:rPr>
                <w:sz w:val="18"/>
              </w:rPr>
              <w:t>Solvent</w:t>
            </w:r>
          </w:p>
        </w:tc>
        <w:tc>
          <w:tcPr>
            <w:tcW w:w="0" w:type="auto"/>
            <w:shd w:val="clear" w:color="auto" w:fill="auto"/>
          </w:tcPr>
          <w:p w:rsidR="00A03045" w:rsidRPr="00C73E59" w:rsidRDefault="00A03045" w:rsidP="00763605">
            <w:pPr>
              <w:spacing w:after="60"/>
              <w:jc w:val="center"/>
              <w:rPr>
                <w:sz w:val="18"/>
              </w:rPr>
            </w:pPr>
            <w:r w:rsidRPr="00C73E59">
              <w:rPr>
                <w:sz w:val="18"/>
              </w:rPr>
              <w:t>Process agent</w:t>
            </w:r>
          </w:p>
        </w:tc>
        <w:tc>
          <w:tcPr>
            <w:tcW w:w="0" w:type="auto"/>
            <w:shd w:val="clear" w:color="auto" w:fill="auto"/>
          </w:tcPr>
          <w:p w:rsidR="00A03045" w:rsidRPr="00C73E59" w:rsidRDefault="00A03045" w:rsidP="00763605">
            <w:pPr>
              <w:spacing w:after="60"/>
              <w:jc w:val="center"/>
              <w:rPr>
                <w:sz w:val="18"/>
              </w:rPr>
            </w:pPr>
            <w:r w:rsidRPr="00C73E59">
              <w:rPr>
                <w:sz w:val="18"/>
              </w:rPr>
              <w:t>Lab use</w:t>
            </w:r>
          </w:p>
        </w:tc>
        <w:tc>
          <w:tcPr>
            <w:tcW w:w="0" w:type="auto"/>
            <w:shd w:val="clear" w:color="auto" w:fill="auto"/>
          </w:tcPr>
          <w:p w:rsidR="00A03045" w:rsidRPr="00C73E59" w:rsidRDefault="00A03045" w:rsidP="00763605">
            <w:pPr>
              <w:spacing w:after="60"/>
              <w:jc w:val="center"/>
              <w:rPr>
                <w:sz w:val="18"/>
              </w:rPr>
            </w:pPr>
            <w:r w:rsidRPr="00C73E59">
              <w:rPr>
                <w:sz w:val="18"/>
              </w:rPr>
              <w:t>Total sector consumption</w:t>
            </w:r>
          </w:p>
        </w:tc>
      </w:tr>
      <w:tr w:rsidR="00DC1645" w:rsidRPr="00C73E59" w:rsidTr="00763605">
        <w:trPr>
          <w:trHeight w:val="240"/>
        </w:trPr>
        <w:tc>
          <w:tcPr>
            <w:tcW w:w="0" w:type="auto"/>
            <w:gridSpan w:val="4"/>
            <w:shd w:val="clear" w:color="auto" w:fill="auto"/>
          </w:tcPr>
          <w:p w:rsidR="00A03045" w:rsidRPr="00C73E59" w:rsidRDefault="00A03045" w:rsidP="00763605">
            <w:pPr>
              <w:spacing w:after="60"/>
              <w:jc w:val="center"/>
              <w:rPr>
                <w:sz w:val="18"/>
              </w:rPr>
            </w:pPr>
            <w:r w:rsidRPr="00C73E59">
              <w:rPr>
                <w:sz w:val="18"/>
              </w:rPr>
              <w:t xml:space="preserve"> </w:t>
            </w:r>
          </w:p>
        </w:tc>
        <w:tc>
          <w:tcPr>
            <w:tcW w:w="0" w:type="auto"/>
            <w:shd w:val="clear" w:color="auto" w:fill="auto"/>
          </w:tcPr>
          <w:p w:rsidR="00A03045" w:rsidRPr="00C73E59" w:rsidRDefault="00A03045" w:rsidP="00763605">
            <w:pPr>
              <w:spacing w:after="60"/>
              <w:jc w:val="center"/>
              <w:rPr>
                <w:sz w:val="18"/>
              </w:rPr>
            </w:pPr>
            <w:r w:rsidRPr="00C73E59">
              <w:rPr>
                <w:sz w:val="18"/>
              </w:rPr>
              <w:t>Manufacturing</w:t>
            </w:r>
          </w:p>
        </w:tc>
        <w:tc>
          <w:tcPr>
            <w:tcW w:w="0" w:type="auto"/>
            <w:shd w:val="clear" w:color="auto" w:fill="auto"/>
          </w:tcPr>
          <w:p w:rsidR="00A03045" w:rsidRPr="00C73E59" w:rsidRDefault="00A03045" w:rsidP="00763605">
            <w:pPr>
              <w:spacing w:after="60"/>
              <w:jc w:val="center"/>
              <w:rPr>
                <w:sz w:val="18"/>
              </w:rPr>
            </w:pPr>
            <w:r w:rsidRPr="00C73E59">
              <w:rPr>
                <w:sz w:val="18"/>
              </w:rPr>
              <w:t>Servicing</w:t>
            </w:r>
          </w:p>
        </w:tc>
        <w:tc>
          <w:tcPr>
            <w:tcW w:w="0" w:type="auto"/>
            <w:gridSpan w:val="4"/>
            <w:shd w:val="clear" w:color="auto" w:fill="auto"/>
          </w:tcPr>
          <w:p w:rsidR="00A03045" w:rsidRPr="00C73E59" w:rsidRDefault="00A03045" w:rsidP="00763605">
            <w:pPr>
              <w:spacing w:after="60"/>
              <w:jc w:val="center"/>
              <w:rPr>
                <w:sz w:val="18"/>
              </w:rPr>
            </w:pPr>
          </w:p>
        </w:tc>
      </w:tr>
      <w:tr w:rsidR="00DC1645" w:rsidRPr="00C73E59" w:rsidTr="00763605">
        <w:trPr>
          <w:trHeight w:val="240"/>
        </w:trPr>
        <w:tc>
          <w:tcPr>
            <w:tcW w:w="1200" w:type="dxa"/>
            <w:shd w:val="clear" w:color="auto" w:fill="auto"/>
          </w:tcPr>
          <w:p w:rsidR="00A03045" w:rsidRPr="00C73E59" w:rsidRDefault="00A03045" w:rsidP="00763605">
            <w:pPr>
              <w:spacing w:after="60"/>
              <w:jc w:val="left"/>
              <w:rPr>
                <w:sz w:val="18"/>
              </w:rPr>
            </w:pPr>
            <w:r w:rsidRPr="00C73E59">
              <w:rPr>
                <w:sz w:val="18"/>
              </w:rPr>
              <w:t>HCFC</w:t>
            </w:r>
            <w:r w:rsidRPr="00C73E59">
              <w:rPr>
                <w:sz w:val="18"/>
              </w:rPr>
              <w:noBreakHyphen/>
              <w:t>141b</w:t>
            </w: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r>
      <w:tr w:rsidR="00DC1645" w:rsidRPr="00C73E59" w:rsidTr="00763605">
        <w:trPr>
          <w:trHeight w:val="240"/>
        </w:trPr>
        <w:tc>
          <w:tcPr>
            <w:tcW w:w="1200" w:type="dxa"/>
            <w:shd w:val="clear" w:color="auto" w:fill="auto"/>
          </w:tcPr>
          <w:p w:rsidR="00A03045" w:rsidRPr="00C73E59" w:rsidRDefault="00A03045" w:rsidP="00763605">
            <w:pPr>
              <w:spacing w:after="60"/>
              <w:jc w:val="left"/>
              <w:rPr>
                <w:sz w:val="18"/>
              </w:rPr>
            </w:pPr>
            <w:r w:rsidRPr="00C73E59">
              <w:rPr>
                <w:sz w:val="18"/>
              </w:rPr>
              <w:t>HCFC</w:t>
            </w:r>
            <w:r w:rsidRPr="00C73E59">
              <w:rPr>
                <w:sz w:val="18"/>
              </w:rPr>
              <w:noBreakHyphen/>
              <w:t>142b</w:t>
            </w: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r>
      <w:tr w:rsidR="00DC1645" w:rsidRPr="00C73E59" w:rsidTr="00763605">
        <w:trPr>
          <w:trHeight w:val="240"/>
        </w:trPr>
        <w:tc>
          <w:tcPr>
            <w:tcW w:w="1200" w:type="dxa"/>
            <w:shd w:val="clear" w:color="auto" w:fill="auto"/>
          </w:tcPr>
          <w:p w:rsidR="00A03045" w:rsidRPr="00C73E59" w:rsidRDefault="00A03045" w:rsidP="00763605">
            <w:pPr>
              <w:spacing w:after="60"/>
              <w:jc w:val="left"/>
              <w:rPr>
                <w:sz w:val="18"/>
              </w:rPr>
            </w:pPr>
            <w:r w:rsidRPr="00C73E59">
              <w:rPr>
                <w:sz w:val="18"/>
              </w:rPr>
              <w:t>HCFC</w:t>
            </w:r>
            <w:r w:rsidRPr="00C73E59">
              <w:rPr>
                <w:sz w:val="18"/>
              </w:rPr>
              <w:noBreakHyphen/>
              <w:t>22</w:t>
            </w: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DC1645" w:rsidP="00763605">
            <w:pPr>
              <w:spacing w:after="60"/>
              <w:jc w:val="right"/>
              <w:rPr>
                <w:sz w:val="18"/>
              </w:rPr>
            </w:pPr>
            <w:r w:rsidRPr="00C73E59">
              <w:rPr>
                <w:sz w:val="18"/>
              </w:rPr>
              <w:t>1.36</w:t>
            </w: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A03045" w:rsidP="00763605">
            <w:pPr>
              <w:spacing w:after="60"/>
              <w:jc w:val="right"/>
              <w:rPr>
                <w:sz w:val="18"/>
              </w:rPr>
            </w:pPr>
          </w:p>
        </w:tc>
        <w:tc>
          <w:tcPr>
            <w:tcW w:w="0" w:type="auto"/>
            <w:shd w:val="clear" w:color="auto" w:fill="auto"/>
          </w:tcPr>
          <w:p w:rsidR="00A03045" w:rsidRPr="00C73E59" w:rsidRDefault="00DC1645" w:rsidP="00763605">
            <w:pPr>
              <w:spacing w:after="60"/>
              <w:jc w:val="right"/>
              <w:rPr>
                <w:sz w:val="18"/>
              </w:rPr>
            </w:pPr>
            <w:r w:rsidRPr="00C73E59">
              <w:rPr>
                <w:sz w:val="18"/>
              </w:rPr>
              <w:t>1.36</w:t>
            </w:r>
          </w:p>
        </w:tc>
      </w:tr>
    </w:tbl>
    <w:p w:rsidR="00A03045" w:rsidRPr="00C73E59" w:rsidRDefault="00A03045" w:rsidP="00A03045">
      <w:pPr>
        <w:jc w:val="center"/>
        <w:rPr>
          <w:color w:val="FF0000"/>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86"/>
        <w:gridCol w:w="805"/>
        <w:gridCol w:w="5704"/>
        <w:gridCol w:w="805"/>
      </w:tblGrid>
      <w:tr w:rsidR="00DC1645" w:rsidRPr="00C73E59" w:rsidTr="00763605">
        <w:trPr>
          <w:trHeight w:val="240"/>
        </w:trPr>
        <w:tc>
          <w:tcPr>
            <w:tcW w:w="0" w:type="auto"/>
            <w:gridSpan w:val="4"/>
            <w:shd w:val="clear" w:color="auto" w:fill="auto"/>
          </w:tcPr>
          <w:p w:rsidR="00A03045" w:rsidRPr="00C73E59" w:rsidRDefault="00A03045" w:rsidP="00763605">
            <w:pPr>
              <w:spacing w:after="60"/>
              <w:jc w:val="left"/>
              <w:rPr>
                <w:b/>
                <w:sz w:val="18"/>
              </w:rPr>
            </w:pPr>
            <w:r w:rsidRPr="00C73E59">
              <w:rPr>
                <w:b/>
                <w:sz w:val="18"/>
              </w:rPr>
              <w:t>(IV) CONSUMPTION DATA (ODP tonnes)</w:t>
            </w:r>
          </w:p>
        </w:tc>
      </w:tr>
      <w:tr w:rsidR="00DC1645" w:rsidRPr="00C73E59" w:rsidTr="00763605">
        <w:trPr>
          <w:trHeight w:val="240"/>
        </w:trPr>
        <w:tc>
          <w:tcPr>
            <w:tcW w:w="0" w:type="auto"/>
            <w:shd w:val="clear" w:color="auto" w:fill="auto"/>
          </w:tcPr>
          <w:p w:rsidR="00A03045" w:rsidRPr="00C73E59" w:rsidRDefault="00A03045" w:rsidP="00763605">
            <w:pPr>
              <w:spacing w:after="60"/>
              <w:jc w:val="center"/>
              <w:rPr>
                <w:sz w:val="18"/>
              </w:rPr>
            </w:pPr>
            <w:r w:rsidRPr="00C73E59">
              <w:rPr>
                <w:sz w:val="18"/>
              </w:rPr>
              <w:t xml:space="preserve">2009 </w:t>
            </w:r>
            <w:r w:rsidRPr="00C73E59">
              <w:rPr>
                <w:sz w:val="18"/>
              </w:rPr>
              <w:noBreakHyphen/>
              <w:t xml:space="preserve"> 2010 baseline:</w:t>
            </w:r>
          </w:p>
        </w:tc>
        <w:tc>
          <w:tcPr>
            <w:tcW w:w="0" w:type="auto"/>
            <w:shd w:val="clear" w:color="auto" w:fill="auto"/>
          </w:tcPr>
          <w:p w:rsidR="00A03045" w:rsidRPr="00C73E59" w:rsidRDefault="00DC1645" w:rsidP="00763605">
            <w:pPr>
              <w:spacing w:after="60"/>
              <w:jc w:val="right"/>
              <w:rPr>
                <w:sz w:val="18"/>
              </w:rPr>
            </w:pPr>
            <w:r w:rsidRPr="00C73E59">
              <w:rPr>
                <w:sz w:val="18"/>
              </w:rPr>
              <w:t>1.00</w:t>
            </w:r>
          </w:p>
        </w:tc>
        <w:tc>
          <w:tcPr>
            <w:tcW w:w="0" w:type="auto"/>
            <w:shd w:val="clear" w:color="auto" w:fill="auto"/>
          </w:tcPr>
          <w:p w:rsidR="00A03045" w:rsidRPr="00C73E59" w:rsidRDefault="00A03045" w:rsidP="00763605">
            <w:pPr>
              <w:spacing w:after="60"/>
              <w:jc w:val="center"/>
              <w:rPr>
                <w:sz w:val="18"/>
              </w:rPr>
            </w:pPr>
            <w:r w:rsidRPr="00C73E59">
              <w:rPr>
                <w:sz w:val="18"/>
              </w:rPr>
              <w:t>Starting point for sustained aggregate reductions:</w:t>
            </w:r>
          </w:p>
        </w:tc>
        <w:tc>
          <w:tcPr>
            <w:tcW w:w="0" w:type="auto"/>
            <w:shd w:val="clear" w:color="auto" w:fill="auto"/>
          </w:tcPr>
          <w:p w:rsidR="00A03045" w:rsidRPr="00C73E59" w:rsidRDefault="00DC1645" w:rsidP="00763605">
            <w:pPr>
              <w:spacing w:after="60"/>
              <w:jc w:val="right"/>
              <w:rPr>
                <w:sz w:val="18"/>
              </w:rPr>
            </w:pPr>
            <w:r w:rsidRPr="00C73E59">
              <w:rPr>
                <w:sz w:val="18"/>
              </w:rPr>
              <w:t>1.00</w:t>
            </w:r>
          </w:p>
        </w:tc>
      </w:tr>
      <w:tr w:rsidR="00DC1645" w:rsidRPr="00C73E59" w:rsidTr="00763605">
        <w:trPr>
          <w:trHeight w:val="240"/>
        </w:trPr>
        <w:tc>
          <w:tcPr>
            <w:tcW w:w="0" w:type="auto"/>
            <w:gridSpan w:val="4"/>
            <w:shd w:val="clear" w:color="auto" w:fill="auto"/>
          </w:tcPr>
          <w:p w:rsidR="00A03045" w:rsidRPr="00C73E59" w:rsidRDefault="00A03045" w:rsidP="00763605">
            <w:pPr>
              <w:spacing w:after="60"/>
              <w:jc w:val="center"/>
              <w:rPr>
                <w:b/>
                <w:sz w:val="18"/>
              </w:rPr>
            </w:pPr>
            <w:r w:rsidRPr="00C73E59">
              <w:rPr>
                <w:b/>
                <w:sz w:val="18"/>
              </w:rPr>
              <w:t>CONSUMPTION ELIGIBLE FOR FUNDING (ODP tonnes)</w:t>
            </w:r>
          </w:p>
        </w:tc>
      </w:tr>
      <w:tr w:rsidR="00DC1645" w:rsidRPr="00C73E59" w:rsidTr="00763605">
        <w:trPr>
          <w:trHeight w:val="240"/>
        </w:trPr>
        <w:tc>
          <w:tcPr>
            <w:tcW w:w="0" w:type="auto"/>
            <w:shd w:val="clear" w:color="auto" w:fill="auto"/>
          </w:tcPr>
          <w:p w:rsidR="00A03045" w:rsidRPr="00C73E59" w:rsidRDefault="00A03045" w:rsidP="00763605">
            <w:pPr>
              <w:spacing w:after="60"/>
              <w:jc w:val="center"/>
              <w:rPr>
                <w:sz w:val="18"/>
              </w:rPr>
            </w:pPr>
            <w:r w:rsidRPr="00C73E59">
              <w:rPr>
                <w:sz w:val="18"/>
              </w:rPr>
              <w:t>Already approved:</w:t>
            </w:r>
          </w:p>
        </w:tc>
        <w:tc>
          <w:tcPr>
            <w:tcW w:w="0" w:type="auto"/>
            <w:shd w:val="clear" w:color="auto" w:fill="auto"/>
          </w:tcPr>
          <w:p w:rsidR="00A03045" w:rsidRPr="00C73E59" w:rsidRDefault="00DC1645" w:rsidP="00763605">
            <w:pPr>
              <w:spacing w:after="60"/>
              <w:jc w:val="right"/>
              <w:rPr>
                <w:sz w:val="18"/>
              </w:rPr>
            </w:pPr>
            <w:r w:rsidRPr="00C73E59">
              <w:rPr>
                <w:sz w:val="18"/>
              </w:rPr>
              <w:t>0.10</w:t>
            </w:r>
          </w:p>
        </w:tc>
        <w:tc>
          <w:tcPr>
            <w:tcW w:w="0" w:type="auto"/>
            <w:shd w:val="clear" w:color="auto" w:fill="auto"/>
          </w:tcPr>
          <w:p w:rsidR="00A03045" w:rsidRPr="00C73E59" w:rsidRDefault="00A03045" w:rsidP="00763605">
            <w:pPr>
              <w:spacing w:after="60"/>
              <w:jc w:val="center"/>
              <w:rPr>
                <w:sz w:val="18"/>
              </w:rPr>
            </w:pPr>
            <w:r w:rsidRPr="00C73E59">
              <w:rPr>
                <w:sz w:val="18"/>
              </w:rPr>
              <w:t>Remaining:</w:t>
            </w:r>
          </w:p>
        </w:tc>
        <w:tc>
          <w:tcPr>
            <w:tcW w:w="0" w:type="auto"/>
            <w:shd w:val="clear" w:color="auto" w:fill="auto"/>
          </w:tcPr>
          <w:p w:rsidR="00A03045" w:rsidRPr="00C73E59" w:rsidRDefault="00DC1645" w:rsidP="00763605">
            <w:pPr>
              <w:spacing w:after="60"/>
              <w:jc w:val="right"/>
              <w:rPr>
                <w:sz w:val="18"/>
              </w:rPr>
            </w:pPr>
            <w:r w:rsidRPr="00C73E59">
              <w:rPr>
                <w:sz w:val="18"/>
              </w:rPr>
              <w:t>0.90</w:t>
            </w:r>
          </w:p>
        </w:tc>
      </w:tr>
    </w:tbl>
    <w:p w:rsidR="00A03045" w:rsidRPr="00C73E59" w:rsidRDefault="00A03045" w:rsidP="00A03045">
      <w:pPr>
        <w:jc w:val="center"/>
        <w:rPr>
          <w:color w:val="FF0000"/>
          <w:lang w:val="en-CA"/>
        </w:rPr>
      </w:pPr>
    </w:p>
    <w:tbl>
      <w:tblPr>
        <w:tblStyle w:val="TableGrid"/>
        <w:tblW w:w="5238"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29"/>
        <w:gridCol w:w="2192"/>
        <w:gridCol w:w="998"/>
        <w:gridCol w:w="997"/>
        <w:gridCol w:w="997"/>
        <w:gridCol w:w="997"/>
        <w:gridCol w:w="997"/>
        <w:gridCol w:w="1138"/>
        <w:gridCol w:w="987"/>
      </w:tblGrid>
      <w:tr w:rsidR="00170FFC" w:rsidRPr="00C73E59" w:rsidTr="00170FFC">
        <w:trPr>
          <w:trHeight w:val="240"/>
        </w:trPr>
        <w:tc>
          <w:tcPr>
            <w:tcW w:w="1455" w:type="pct"/>
            <w:gridSpan w:val="2"/>
            <w:shd w:val="clear" w:color="auto" w:fill="auto"/>
          </w:tcPr>
          <w:p w:rsidR="00170FFC" w:rsidRPr="00C73E59" w:rsidRDefault="00170FFC" w:rsidP="00763605">
            <w:pPr>
              <w:spacing w:after="60"/>
              <w:jc w:val="left"/>
              <w:rPr>
                <w:b/>
                <w:sz w:val="18"/>
              </w:rPr>
            </w:pPr>
            <w:r w:rsidRPr="00C73E59">
              <w:rPr>
                <w:b/>
                <w:sz w:val="18"/>
              </w:rPr>
              <w:t>(V) BUSINESS PLAN</w:t>
            </w:r>
          </w:p>
        </w:tc>
        <w:tc>
          <w:tcPr>
            <w:tcW w:w="497" w:type="pct"/>
          </w:tcPr>
          <w:p w:rsidR="00170FFC" w:rsidRPr="00C73E59" w:rsidRDefault="00170FFC" w:rsidP="00763605">
            <w:pPr>
              <w:spacing w:after="60"/>
              <w:jc w:val="center"/>
              <w:rPr>
                <w:b/>
                <w:sz w:val="18"/>
              </w:rPr>
            </w:pPr>
            <w:r w:rsidRPr="00C73E59">
              <w:rPr>
                <w:b/>
                <w:sz w:val="18"/>
              </w:rPr>
              <w:t>2016</w:t>
            </w:r>
          </w:p>
        </w:tc>
        <w:tc>
          <w:tcPr>
            <w:tcW w:w="497" w:type="pct"/>
            <w:shd w:val="clear" w:color="auto" w:fill="auto"/>
          </w:tcPr>
          <w:p w:rsidR="00170FFC" w:rsidRPr="00C73E59" w:rsidRDefault="00170FFC" w:rsidP="00763605">
            <w:pPr>
              <w:spacing w:after="60"/>
              <w:jc w:val="center"/>
              <w:rPr>
                <w:b/>
                <w:sz w:val="18"/>
              </w:rPr>
            </w:pPr>
            <w:r w:rsidRPr="00C73E59">
              <w:rPr>
                <w:b/>
                <w:sz w:val="18"/>
              </w:rPr>
              <w:t>2017</w:t>
            </w:r>
          </w:p>
        </w:tc>
        <w:tc>
          <w:tcPr>
            <w:tcW w:w="497" w:type="pct"/>
          </w:tcPr>
          <w:p w:rsidR="00170FFC" w:rsidRPr="00C73E59" w:rsidRDefault="00170FFC" w:rsidP="00763605">
            <w:pPr>
              <w:spacing w:after="60"/>
              <w:jc w:val="center"/>
              <w:rPr>
                <w:b/>
                <w:sz w:val="18"/>
              </w:rPr>
            </w:pPr>
            <w:r w:rsidRPr="00C73E59">
              <w:rPr>
                <w:b/>
                <w:sz w:val="18"/>
              </w:rPr>
              <w:t>2018</w:t>
            </w:r>
          </w:p>
        </w:tc>
        <w:tc>
          <w:tcPr>
            <w:tcW w:w="497" w:type="pct"/>
          </w:tcPr>
          <w:p w:rsidR="00170FFC" w:rsidRPr="00C73E59" w:rsidRDefault="00170FFC" w:rsidP="00763605">
            <w:pPr>
              <w:spacing w:after="60"/>
              <w:jc w:val="center"/>
              <w:rPr>
                <w:b/>
                <w:sz w:val="18"/>
              </w:rPr>
            </w:pPr>
            <w:r w:rsidRPr="00C73E59">
              <w:rPr>
                <w:b/>
                <w:sz w:val="18"/>
              </w:rPr>
              <w:t>2019</w:t>
            </w:r>
          </w:p>
        </w:tc>
        <w:tc>
          <w:tcPr>
            <w:tcW w:w="497" w:type="pct"/>
          </w:tcPr>
          <w:p w:rsidR="00170FFC" w:rsidRPr="00C73E59" w:rsidRDefault="00170FFC" w:rsidP="00763605">
            <w:pPr>
              <w:spacing w:after="60"/>
              <w:jc w:val="center"/>
              <w:rPr>
                <w:b/>
                <w:sz w:val="18"/>
              </w:rPr>
            </w:pPr>
            <w:r w:rsidRPr="00C73E59">
              <w:rPr>
                <w:b/>
                <w:sz w:val="18"/>
              </w:rPr>
              <w:t>2020</w:t>
            </w:r>
          </w:p>
        </w:tc>
        <w:tc>
          <w:tcPr>
            <w:tcW w:w="567" w:type="pct"/>
          </w:tcPr>
          <w:p w:rsidR="00170FFC" w:rsidRPr="00C73E59" w:rsidRDefault="00170FFC" w:rsidP="00763605">
            <w:pPr>
              <w:spacing w:after="60"/>
              <w:jc w:val="center"/>
              <w:rPr>
                <w:b/>
                <w:sz w:val="18"/>
              </w:rPr>
            </w:pPr>
            <w:r>
              <w:rPr>
                <w:b/>
                <w:sz w:val="18"/>
              </w:rPr>
              <w:t>After 2020</w:t>
            </w:r>
          </w:p>
        </w:tc>
        <w:tc>
          <w:tcPr>
            <w:tcW w:w="492" w:type="pct"/>
            <w:shd w:val="clear" w:color="auto" w:fill="auto"/>
          </w:tcPr>
          <w:p w:rsidR="00170FFC" w:rsidRPr="00C73E59" w:rsidRDefault="00170FFC" w:rsidP="00763605">
            <w:pPr>
              <w:spacing w:after="60"/>
              <w:jc w:val="center"/>
              <w:rPr>
                <w:b/>
                <w:sz w:val="18"/>
              </w:rPr>
            </w:pPr>
            <w:r w:rsidRPr="00C73E59">
              <w:rPr>
                <w:b/>
                <w:sz w:val="18"/>
              </w:rPr>
              <w:t>Total</w:t>
            </w:r>
          </w:p>
        </w:tc>
      </w:tr>
      <w:tr w:rsidR="00170FFC" w:rsidRPr="00C73E59" w:rsidTr="00170FFC">
        <w:trPr>
          <w:trHeight w:val="240"/>
        </w:trPr>
        <w:tc>
          <w:tcPr>
            <w:tcW w:w="363" w:type="pct"/>
            <w:vMerge w:val="restart"/>
            <w:shd w:val="clear" w:color="auto" w:fill="auto"/>
            <w:vAlign w:val="center"/>
          </w:tcPr>
          <w:p w:rsidR="00170FFC" w:rsidRPr="00C73E59" w:rsidRDefault="00170FFC" w:rsidP="00170FFC">
            <w:pPr>
              <w:spacing w:after="60"/>
              <w:jc w:val="left"/>
              <w:rPr>
                <w:b/>
                <w:sz w:val="18"/>
              </w:rPr>
            </w:pPr>
            <w:r w:rsidRPr="00C73E59">
              <w:rPr>
                <w:b/>
                <w:sz w:val="18"/>
              </w:rPr>
              <w:t>UNDP</w:t>
            </w:r>
          </w:p>
        </w:tc>
        <w:tc>
          <w:tcPr>
            <w:tcW w:w="1092" w:type="pct"/>
            <w:shd w:val="clear" w:color="auto" w:fill="auto"/>
          </w:tcPr>
          <w:p w:rsidR="00170FFC" w:rsidRPr="00C73E59" w:rsidRDefault="00170FFC" w:rsidP="00170FFC">
            <w:pPr>
              <w:spacing w:after="60"/>
              <w:jc w:val="left"/>
              <w:rPr>
                <w:b/>
                <w:sz w:val="18"/>
              </w:rPr>
            </w:pPr>
            <w:r w:rsidRPr="00C73E59">
              <w:rPr>
                <w:b/>
                <w:sz w:val="18"/>
              </w:rPr>
              <w:t>ODP phase</w:t>
            </w:r>
            <w:r w:rsidRPr="00C73E59">
              <w:rPr>
                <w:b/>
                <w:sz w:val="18"/>
              </w:rPr>
              <w:noBreakHyphen/>
              <w:t>out (ODP</w:t>
            </w:r>
            <w:r>
              <w:rPr>
                <w:b/>
                <w:sz w:val="18"/>
              </w:rPr>
              <w:t> </w:t>
            </w:r>
            <w:r w:rsidRPr="00C73E59">
              <w:rPr>
                <w:b/>
                <w:sz w:val="18"/>
              </w:rPr>
              <w:t>tonnes)</w:t>
            </w:r>
          </w:p>
        </w:tc>
        <w:tc>
          <w:tcPr>
            <w:tcW w:w="497" w:type="pct"/>
          </w:tcPr>
          <w:p w:rsidR="00170FFC" w:rsidRPr="00E464BD" w:rsidRDefault="00170FFC" w:rsidP="00763605">
            <w:pPr>
              <w:spacing w:after="60"/>
              <w:jc w:val="right"/>
              <w:rPr>
                <w:sz w:val="18"/>
                <w:szCs w:val="18"/>
              </w:rPr>
            </w:pPr>
            <w:r w:rsidRPr="00E464BD">
              <w:rPr>
                <w:sz w:val="18"/>
                <w:szCs w:val="18"/>
              </w:rPr>
              <w:t>0.04</w:t>
            </w:r>
          </w:p>
        </w:tc>
        <w:tc>
          <w:tcPr>
            <w:tcW w:w="497" w:type="pct"/>
            <w:shd w:val="clear" w:color="auto" w:fill="auto"/>
          </w:tcPr>
          <w:p w:rsidR="00170FFC" w:rsidRPr="00E464BD" w:rsidRDefault="00170FFC" w:rsidP="00763605">
            <w:pPr>
              <w:spacing w:after="60"/>
              <w:jc w:val="right"/>
              <w:rPr>
                <w:sz w:val="18"/>
                <w:szCs w:val="18"/>
              </w:rPr>
            </w:pPr>
            <w:r w:rsidRPr="00E464BD">
              <w:rPr>
                <w:sz w:val="18"/>
                <w:szCs w:val="18"/>
              </w:rPr>
              <w:t>0</w:t>
            </w:r>
          </w:p>
        </w:tc>
        <w:tc>
          <w:tcPr>
            <w:tcW w:w="497" w:type="pct"/>
          </w:tcPr>
          <w:p w:rsidR="00170FFC" w:rsidRPr="00E464BD" w:rsidRDefault="00170FFC" w:rsidP="00763605">
            <w:pPr>
              <w:spacing w:after="60"/>
              <w:jc w:val="right"/>
              <w:rPr>
                <w:sz w:val="18"/>
                <w:szCs w:val="18"/>
              </w:rPr>
            </w:pPr>
            <w:r w:rsidRPr="00E464BD">
              <w:rPr>
                <w:sz w:val="18"/>
                <w:szCs w:val="18"/>
              </w:rPr>
              <w:t>0.04</w:t>
            </w:r>
          </w:p>
        </w:tc>
        <w:tc>
          <w:tcPr>
            <w:tcW w:w="497" w:type="pct"/>
          </w:tcPr>
          <w:p w:rsidR="00170FFC" w:rsidRPr="00E464BD" w:rsidRDefault="00170FFC" w:rsidP="00763605">
            <w:pPr>
              <w:spacing w:after="60"/>
              <w:jc w:val="right"/>
              <w:rPr>
                <w:sz w:val="18"/>
                <w:szCs w:val="18"/>
              </w:rPr>
            </w:pPr>
            <w:r w:rsidRPr="00E464BD">
              <w:rPr>
                <w:sz w:val="18"/>
                <w:szCs w:val="18"/>
              </w:rPr>
              <w:t>0</w:t>
            </w:r>
          </w:p>
        </w:tc>
        <w:tc>
          <w:tcPr>
            <w:tcW w:w="497" w:type="pct"/>
          </w:tcPr>
          <w:p w:rsidR="00170FFC" w:rsidRPr="00E464BD" w:rsidRDefault="00170FFC" w:rsidP="00763605">
            <w:pPr>
              <w:spacing w:after="60"/>
              <w:jc w:val="right"/>
              <w:rPr>
                <w:sz w:val="18"/>
                <w:szCs w:val="18"/>
              </w:rPr>
            </w:pPr>
            <w:r w:rsidRPr="00E464BD">
              <w:rPr>
                <w:sz w:val="18"/>
                <w:szCs w:val="18"/>
              </w:rPr>
              <w:t>0.01</w:t>
            </w:r>
          </w:p>
        </w:tc>
        <w:tc>
          <w:tcPr>
            <w:tcW w:w="567" w:type="pct"/>
          </w:tcPr>
          <w:p w:rsidR="00170FFC" w:rsidRPr="00E464BD" w:rsidRDefault="00D45C5F" w:rsidP="00763605">
            <w:pPr>
              <w:spacing w:after="60"/>
              <w:jc w:val="right"/>
              <w:rPr>
                <w:sz w:val="18"/>
                <w:szCs w:val="18"/>
              </w:rPr>
            </w:pPr>
            <w:r>
              <w:rPr>
                <w:sz w:val="18"/>
                <w:szCs w:val="18"/>
              </w:rPr>
              <w:t>0.00</w:t>
            </w:r>
          </w:p>
        </w:tc>
        <w:tc>
          <w:tcPr>
            <w:tcW w:w="492" w:type="pct"/>
            <w:shd w:val="clear" w:color="auto" w:fill="auto"/>
          </w:tcPr>
          <w:p w:rsidR="00170FFC" w:rsidRPr="00E464BD" w:rsidRDefault="00170FFC" w:rsidP="00763605">
            <w:pPr>
              <w:spacing w:after="60"/>
              <w:jc w:val="right"/>
              <w:rPr>
                <w:sz w:val="18"/>
                <w:szCs w:val="18"/>
              </w:rPr>
            </w:pPr>
            <w:r w:rsidRPr="00E464BD">
              <w:rPr>
                <w:sz w:val="18"/>
                <w:szCs w:val="18"/>
              </w:rPr>
              <w:t>0.09</w:t>
            </w:r>
          </w:p>
        </w:tc>
      </w:tr>
      <w:tr w:rsidR="00170FFC" w:rsidRPr="00C73E59" w:rsidTr="00170FFC">
        <w:trPr>
          <w:trHeight w:val="240"/>
        </w:trPr>
        <w:tc>
          <w:tcPr>
            <w:tcW w:w="363" w:type="pct"/>
            <w:vMerge/>
            <w:shd w:val="clear" w:color="auto" w:fill="auto"/>
            <w:vAlign w:val="center"/>
          </w:tcPr>
          <w:p w:rsidR="00170FFC" w:rsidRPr="00C73E59" w:rsidRDefault="00170FFC" w:rsidP="00170FFC">
            <w:pPr>
              <w:spacing w:after="60"/>
              <w:jc w:val="left"/>
              <w:rPr>
                <w:b/>
                <w:sz w:val="18"/>
              </w:rPr>
            </w:pPr>
          </w:p>
        </w:tc>
        <w:tc>
          <w:tcPr>
            <w:tcW w:w="1092" w:type="pct"/>
            <w:shd w:val="clear" w:color="auto" w:fill="auto"/>
          </w:tcPr>
          <w:p w:rsidR="00170FFC" w:rsidRPr="00C73E59" w:rsidRDefault="00170FFC" w:rsidP="00763605">
            <w:pPr>
              <w:spacing w:after="60"/>
              <w:jc w:val="left"/>
              <w:rPr>
                <w:b/>
                <w:sz w:val="18"/>
              </w:rPr>
            </w:pPr>
            <w:r w:rsidRPr="00C73E59">
              <w:rPr>
                <w:b/>
                <w:sz w:val="18"/>
              </w:rPr>
              <w:t>Funding (US $)</w:t>
            </w:r>
          </w:p>
        </w:tc>
        <w:tc>
          <w:tcPr>
            <w:tcW w:w="497" w:type="pct"/>
          </w:tcPr>
          <w:p w:rsidR="00170FFC" w:rsidRPr="00E464BD" w:rsidRDefault="00170FFC" w:rsidP="00763605">
            <w:pPr>
              <w:jc w:val="right"/>
              <w:rPr>
                <w:sz w:val="18"/>
                <w:szCs w:val="18"/>
              </w:rPr>
            </w:pPr>
            <w:r w:rsidRPr="00E464BD">
              <w:rPr>
                <w:sz w:val="18"/>
                <w:szCs w:val="18"/>
              </w:rPr>
              <w:t>24,881</w:t>
            </w:r>
          </w:p>
        </w:tc>
        <w:tc>
          <w:tcPr>
            <w:tcW w:w="497" w:type="pct"/>
            <w:shd w:val="clear" w:color="auto" w:fill="auto"/>
          </w:tcPr>
          <w:p w:rsidR="00170FFC" w:rsidRPr="00E464BD" w:rsidRDefault="00170FFC" w:rsidP="00763605">
            <w:pPr>
              <w:spacing w:after="60"/>
              <w:jc w:val="right"/>
              <w:rPr>
                <w:sz w:val="18"/>
                <w:szCs w:val="18"/>
              </w:rPr>
            </w:pPr>
            <w:r w:rsidRPr="00E464BD">
              <w:rPr>
                <w:sz w:val="18"/>
                <w:szCs w:val="18"/>
              </w:rPr>
              <w:t>0</w:t>
            </w:r>
          </w:p>
        </w:tc>
        <w:tc>
          <w:tcPr>
            <w:tcW w:w="497" w:type="pct"/>
          </w:tcPr>
          <w:p w:rsidR="00170FFC" w:rsidRPr="00E464BD" w:rsidRDefault="00170FFC" w:rsidP="00763605">
            <w:pPr>
              <w:jc w:val="right"/>
              <w:rPr>
                <w:sz w:val="18"/>
                <w:szCs w:val="18"/>
              </w:rPr>
            </w:pPr>
            <w:r w:rsidRPr="00E464BD">
              <w:rPr>
                <w:sz w:val="18"/>
                <w:szCs w:val="18"/>
              </w:rPr>
              <w:t>24,881</w:t>
            </w:r>
          </w:p>
        </w:tc>
        <w:tc>
          <w:tcPr>
            <w:tcW w:w="497" w:type="pct"/>
          </w:tcPr>
          <w:p w:rsidR="00170FFC" w:rsidRPr="00E464BD" w:rsidRDefault="00170FFC" w:rsidP="00763605">
            <w:pPr>
              <w:spacing w:after="60"/>
              <w:jc w:val="right"/>
              <w:rPr>
                <w:sz w:val="18"/>
                <w:szCs w:val="18"/>
              </w:rPr>
            </w:pPr>
            <w:r w:rsidRPr="00E464BD">
              <w:rPr>
                <w:sz w:val="18"/>
                <w:szCs w:val="18"/>
              </w:rPr>
              <w:t>0</w:t>
            </w:r>
          </w:p>
        </w:tc>
        <w:tc>
          <w:tcPr>
            <w:tcW w:w="497" w:type="pct"/>
          </w:tcPr>
          <w:p w:rsidR="00170FFC" w:rsidRPr="00E464BD" w:rsidRDefault="00170FFC" w:rsidP="00763605">
            <w:pPr>
              <w:jc w:val="right"/>
              <w:rPr>
                <w:sz w:val="18"/>
                <w:szCs w:val="18"/>
              </w:rPr>
            </w:pPr>
            <w:r w:rsidRPr="00E464BD">
              <w:rPr>
                <w:sz w:val="18"/>
                <w:szCs w:val="18"/>
              </w:rPr>
              <w:t>5,529</w:t>
            </w:r>
          </w:p>
        </w:tc>
        <w:tc>
          <w:tcPr>
            <w:tcW w:w="567" w:type="pct"/>
          </w:tcPr>
          <w:p w:rsidR="00170FFC" w:rsidRPr="00E464BD" w:rsidRDefault="00D45C5F" w:rsidP="00763605">
            <w:pPr>
              <w:spacing w:after="60"/>
              <w:jc w:val="right"/>
              <w:rPr>
                <w:sz w:val="18"/>
                <w:szCs w:val="18"/>
              </w:rPr>
            </w:pPr>
            <w:r>
              <w:rPr>
                <w:sz w:val="18"/>
                <w:szCs w:val="18"/>
              </w:rPr>
              <w:t>0</w:t>
            </w:r>
          </w:p>
        </w:tc>
        <w:tc>
          <w:tcPr>
            <w:tcW w:w="492" w:type="pct"/>
            <w:shd w:val="clear" w:color="auto" w:fill="auto"/>
          </w:tcPr>
          <w:p w:rsidR="00170FFC" w:rsidRPr="00E464BD" w:rsidRDefault="00170FFC" w:rsidP="00763605">
            <w:pPr>
              <w:spacing w:after="60"/>
              <w:jc w:val="right"/>
              <w:rPr>
                <w:sz w:val="18"/>
                <w:szCs w:val="18"/>
              </w:rPr>
            </w:pPr>
            <w:r w:rsidRPr="00E464BD">
              <w:rPr>
                <w:sz w:val="18"/>
                <w:szCs w:val="18"/>
              </w:rPr>
              <w:t>55,291</w:t>
            </w:r>
          </w:p>
        </w:tc>
      </w:tr>
      <w:tr w:rsidR="00170FFC" w:rsidRPr="00C73E59" w:rsidTr="00170FFC">
        <w:trPr>
          <w:trHeight w:val="240"/>
        </w:trPr>
        <w:tc>
          <w:tcPr>
            <w:tcW w:w="363" w:type="pct"/>
            <w:vMerge w:val="restart"/>
            <w:shd w:val="clear" w:color="auto" w:fill="auto"/>
            <w:vAlign w:val="center"/>
          </w:tcPr>
          <w:p w:rsidR="00170FFC" w:rsidRPr="00C73E59" w:rsidRDefault="00170FFC" w:rsidP="00170FFC">
            <w:pPr>
              <w:spacing w:after="60"/>
              <w:jc w:val="left"/>
              <w:rPr>
                <w:b/>
                <w:sz w:val="18"/>
              </w:rPr>
            </w:pPr>
            <w:r w:rsidRPr="00C73E59">
              <w:rPr>
                <w:b/>
                <w:sz w:val="18"/>
              </w:rPr>
              <w:t>UNEP</w:t>
            </w:r>
          </w:p>
        </w:tc>
        <w:tc>
          <w:tcPr>
            <w:tcW w:w="1092" w:type="pct"/>
            <w:shd w:val="clear" w:color="auto" w:fill="auto"/>
          </w:tcPr>
          <w:p w:rsidR="00170FFC" w:rsidRPr="00C73E59" w:rsidRDefault="00170FFC" w:rsidP="00763605">
            <w:pPr>
              <w:spacing w:after="60"/>
              <w:jc w:val="left"/>
              <w:rPr>
                <w:b/>
                <w:sz w:val="18"/>
              </w:rPr>
            </w:pPr>
            <w:r w:rsidRPr="00C73E59">
              <w:rPr>
                <w:b/>
                <w:sz w:val="18"/>
              </w:rPr>
              <w:t>ODP phase</w:t>
            </w:r>
            <w:r w:rsidRPr="00C73E59">
              <w:rPr>
                <w:b/>
                <w:sz w:val="18"/>
              </w:rPr>
              <w:noBreakHyphen/>
              <w:t>out (ODP tonnes)</w:t>
            </w:r>
          </w:p>
        </w:tc>
        <w:tc>
          <w:tcPr>
            <w:tcW w:w="497" w:type="pct"/>
          </w:tcPr>
          <w:p w:rsidR="00170FFC" w:rsidRPr="00E464BD" w:rsidRDefault="00170FFC" w:rsidP="00763605">
            <w:pPr>
              <w:spacing w:after="60"/>
              <w:jc w:val="right"/>
              <w:rPr>
                <w:sz w:val="18"/>
              </w:rPr>
            </w:pPr>
            <w:r w:rsidRPr="00E464BD">
              <w:rPr>
                <w:sz w:val="18"/>
              </w:rPr>
              <w:t>0.08</w:t>
            </w:r>
          </w:p>
        </w:tc>
        <w:tc>
          <w:tcPr>
            <w:tcW w:w="497" w:type="pct"/>
            <w:shd w:val="clear" w:color="auto" w:fill="auto"/>
          </w:tcPr>
          <w:p w:rsidR="00170FFC" w:rsidRPr="00E464BD" w:rsidRDefault="00170FFC" w:rsidP="00763605">
            <w:pPr>
              <w:spacing w:after="60"/>
              <w:jc w:val="right"/>
              <w:rPr>
                <w:sz w:val="18"/>
                <w:szCs w:val="18"/>
              </w:rPr>
            </w:pPr>
            <w:r w:rsidRPr="00E464BD">
              <w:rPr>
                <w:sz w:val="18"/>
                <w:szCs w:val="18"/>
              </w:rPr>
              <w:t>0</w:t>
            </w:r>
          </w:p>
        </w:tc>
        <w:tc>
          <w:tcPr>
            <w:tcW w:w="497" w:type="pct"/>
          </w:tcPr>
          <w:p w:rsidR="00170FFC" w:rsidRPr="00E464BD" w:rsidRDefault="00170FFC" w:rsidP="00763605">
            <w:pPr>
              <w:spacing w:after="60"/>
              <w:jc w:val="right"/>
              <w:rPr>
                <w:sz w:val="18"/>
              </w:rPr>
            </w:pPr>
            <w:r w:rsidRPr="00E464BD">
              <w:rPr>
                <w:sz w:val="18"/>
              </w:rPr>
              <w:t>0.08</w:t>
            </w:r>
          </w:p>
        </w:tc>
        <w:tc>
          <w:tcPr>
            <w:tcW w:w="497" w:type="pct"/>
          </w:tcPr>
          <w:p w:rsidR="00170FFC" w:rsidRPr="00E464BD" w:rsidRDefault="00170FFC" w:rsidP="00763605">
            <w:pPr>
              <w:spacing w:after="60"/>
              <w:jc w:val="right"/>
              <w:rPr>
                <w:sz w:val="18"/>
                <w:szCs w:val="18"/>
              </w:rPr>
            </w:pPr>
            <w:r w:rsidRPr="00E464BD">
              <w:rPr>
                <w:sz w:val="18"/>
                <w:szCs w:val="18"/>
              </w:rPr>
              <w:t>0</w:t>
            </w:r>
          </w:p>
        </w:tc>
        <w:tc>
          <w:tcPr>
            <w:tcW w:w="497" w:type="pct"/>
          </w:tcPr>
          <w:p w:rsidR="00170FFC" w:rsidRPr="00E464BD" w:rsidRDefault="00170FFC" w:rsidP="00763605">
            <w:pPr>
              <w:spacing w:after="60"/>
              <w:jc w:val="right"/>
              <w:rPr>
                <w:sz w:val="18"/>
              </w:rPr>
            </w:pPr>
            <w:r w:rsidRPr="00E464BD">
              <w:rPr>
                <w:sz w:val="18"/>
              </w:rPr>
              <w:t>0.08</w:t>
            </w:r>
          </w:p>
        </w:tc>
        <w:tc>
          <w:tcPr>
            <w:tcW w:w="567" w:type="pct"/>
          </w:tcPr>
          <w:p w:rsidR="00170FFC" w:rsidRPr="00E464BD" w:rsidRDefault="00D45C5F" w:rsidP="00763605">
            <w:pPr>
              <w:spacing w:after="60"/>
              <w:jc w:val="right"/>
              <w:rPr>
                <w:sz w:val="18"/>
              </w:rPr>
            </w:pPr>
            <w:r>
              <w:rPr>
                <w:sz w:val="18"/>
              </w:rPr>
              <w:t>0.20</w:t>
            </w:r>
          </w:p>
        </w:tc>
        <w:tc>
          <w:tcPr>
            <w:tcW w:w="492" w:type="pct"/>
            <w:shd w:val="clear" w:color="auto" w:fill="auto"/>
          </w:tcPr>
          <w:p w:rsidR="00170FFC" w:rsidRPr="00E464BD" w:rsidRDefault="00170FFC" w:rsidP="00763605">
            <w:pPr>
              <w:spacing w:after="60"/>
              <w:jc w:val="right"/>
              <w:rPr>
                <w:sz w:val="18"/>
              </w:rPr>
            </w:pPr>
            <w:r w:rsidRPr="00E464BD">
              <w:rPr>
                <w:sz w:val="18"/>
              </w:rPr>
              <w:t>0.44</w:t>
            </w:r>
          </w:p>
        </w:tc>
      </w:tr>
      <w:tr w:rsidR="00170FFC" w:rsidRPr="00C73E59" w:rsidTr="00170FFC">
        <w:trPr>
          <w:trHeight w:val="240"/>
        </w:trPr>
        <w:tc>
          <w:tcPr>
            <w:tcW w:w="363" w:type="pct"/>
            <w:vMerge/>
            <w:shd w:val="clear" w:color="auto" w:fill="auto"/>
          </w:tcPr>
          <w:p w:rsidR="00170FFC" w:rsidRPr="00C73E59" w:rsidRDefault="00170FFC" w:rsidP="00763605">
            <w:pPr>
              <w:spacing w:after="60"/>
              <w:jc w:val="left"/>
              <w:rPr>
                <w:b/>
                <w:sz w:val="18"/>
              </w:rPr>
            </w:pPr>
          </w:p>
        </w:tc>
        <w:tc>
          <w:tcPr>
            <w:tcW w:w="1092" w:type="pct"/>
            <w:shd w:val="clear" w:color="auto" w:fill="auto"/>
          </w:tcPr>
          <w:p w:rsidR="00170FFC" w:rsidRPr="00C73E59" w:rsidRDefault="00170FFC" w:rsidP="00763605">
            <w:pPr>
              <w:spacing w:after="60"/>
              <w:jc w:val="left"/>
              <w:rPr>
                <w:b/>
                <w:sz w:val="18"/>
              </w:rPr>
            </w:pPr>
            <w:r w:rsidRPr="00C73E59">
              <w:rPr>
                <w:b/>
                <w:sz w:val="18"/>
              </w:rPr>
              <w:t>Funding (US $)</w:t>
            </w:r>
          </w:p>
        </w:tc>
        <w:tc>
          <w:tcPr>
            <w:tcW w:w="497" w:type="pct"/>
          </w:tcPr>
          <w:p w:rsidR="00170FFC" w:rsidRPr="00E464BD" w:rsidRDefault="00170FFC" w:rsidP="00763605">
            <w:pPr>
              <w:spacing w:after="60"/>
              <w:jc w:val="right"/>
              <w:rPr>
                <w:sz w:val="18"/>
              </w:rPr>
            </w:pPr>
            <w:r w:rsidRPr="00E464BD">
              <w:rPr>
                <w:sz w:val="18"/>
              </w:rPr>
              <w:t>13,205</w:t>
            </w:r>
          </w:p>
        </w:tc>
        <w:tc>
          <w:tcPr>
            <w:tcW w:w="497" w:type="pct"/>
            <w:shd w:val="clear" w:color="auto" w:fill="auto"/>
          </w:tcPr>
          <w:p w:rsidR="00170FFC" w:rsidRPr="00E464BD" w:rsidRDefault="00170FFC" w:rsidP="00763605">
            <w:pPr>
              <w:spacing w:after="60"/>
              <w:jc w:val="right"/>
              <w:rPr>
                <w:sz w:val="18"/>
                <w:szCs w:val="18"/>
              </w:rPr>
            </w:pPr>
            <w:r w:rsidRPr="00E464BD">
              <w:rPr>
                <w:sz w:val="18"/>
                <w:szCs w:val="18"/>
              </w:rPr>
              <w:t>0</w:t>
            </w:r>
          </w:p>
        </w:tc>
        <w:tc>
          <w:tcPr>
            <w:tcW w:w="497" w:type="pct"/>
          </w:tcPr>
          <w:p w:rsidR="00170FFC" w:rsidRPr="00E464BD" w:rsidRDefault="00170FFC" w:rsidP="00763605">
            <w:pPr>
              <w:spacing w:after="60"/>
              <w:jc w:val="right"/>
              <w:rPr>
                <w:sz w:val="18"/>
              </w:rPr>
            </w:pPr>
            <w:r w:rsidRPr="00E464BD">
              <w:rPr>
                <w:sz w:val="18"/>
              </w:rPr>
              <w:t>13,205</w:t>
            </w:r>
          </w:p>
        </w:tc>
        <w:tc>
          <w:tcPr>
            <w:tcW w:w="497" w:type="pct"/>
          </w:tcPr>
          <w:p w:rsidR="00170FFC" w:rsidRPr="00E464BD" w:rsidRDefault="00170FFC" w:rsidP="00763605">
            <w:pPr>
              <w:spacing w:after="60"/>
              <w:jc w:val="right"/>
              <w:rPr>
                <w:sz w:val="18"/>
                <w:szCs w:val="18"/>
              </w:rPr>
            </w:pPr>
            <w:r w:rsidRPr="00E464BD">
              <w:rPr>
                <w:sz w:val="18"/>
                <w:szCs w:val="18"/>
              </w:rPr>
              <w:t>0</w:t>
            </w:r>
          </w:p>
        </w:tc>
        <w:tc>
          <w:tcPr>
            <w:tcW w:w="497" w:type="pct"/>
          </w:tcPr>
          <w:p w:rsidR="00170FFC" w:rsidRPr="00E464BD" w:rsidRDefault="00170FFC" w:rsidP="00763605">
            <w:pPr>
              <w:spacing w:after="60"/>
              <w:jc w:val="right"/>
              <w:rPr>
                <w:sz w:val="18"/>
              </w:rPr>
            </w:pPr>
            <w:r w:rsidRPr="00E464BD">
              <w:rPr>
                <w:sz w:val="18"/>
              </w:rPr>
              <w:t>13,205</w:t>
            </w:r>
          </w:p>
        </w:tc>
        <w:tc>
          <w:tcPr>
            <w:tcW w:w="567" w:type="pct"/>
          </w:tcPr>
          <w:p w:rsidR="00170FFC" w:rsidRPr="00E464BD" w:rsidRDefault="00D45C5F" w:rsidP="00763605">
            <w:pPr>
              <w:spacing w:after="60"/>
              <w:jc w:val="right"/>
              <w:rPr>
                <w:sz w:val="18"/>
              </w:rPr>
            </w:pPr>
            <w:r>
              <w:rPr>
                <w:sz w:val="18"/>
              </w:rPr>
              <w:t>100,000</w:t>
            </w:r>
          </w:p>
        </w:tc>
        <w:tc>
          <w:tcPr>
            <w:tcW w:w="492" w:type="pct"/>
            <w:shd w:val="clear" w:color="auto" w:fill="auto"/>
          </w:tcPr>
          <w:p w:rsidR="00170FFC" w:rsidRPr="00E464BD" w:rsidRDefault="00170FFC" w:rsidP="00763605">
            <w:pPr>
              <w:spacing w:after="60"/>
              <w:jc w:val="right"/>
              <w:rPr>
                <w:sz w:val="18"/>
              </w:rPr>
            </w:pPr>
            <w:r w:rsidRPr="00E464BD">
              <w:rPr>
                <w:sz w:val="18"/>
              </w:rPr>
              <w:t>139,615</w:t>
            </w:r>
          </w:p>
        </w:tc>
      </w:tr>
    </w:tbl>
    <w:p w:rsidR="00A03045" w:rsidRPr="00C73E59" w:rsidRDefault="00A03045" w:rsidP="00A03045">
      <w:pPr>
        <w:jc w:val="center"/>
        <w:rPr>
          <w:color w:val="FF0000"/>
          <w:lang w:val="en-CA"/>
        </w:rPr>
      </w:pPr>
    </w:p>
    <w:tbl>
      <w:tblPr>
        <w:tblStyle w:val="TableGrid"/>
        <w:tblW w:w="5238"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323"/>
        <w:gridCol w:w="1038"/>
        <w:gridCol w:w="1379"/>
        <w:gridCol w:w="1055"/>
        <w:gridCol w:w="1057"/>
        <w:gridCol w:w="1055"/>
        <w:gridCol w:w="1057"/>
        <w:gridCol w:w="1055"/>
        <w:gridCol w:w="1013"/>
      </w:tblGrid>
      <w:tr w:rsidR="00DC1645" w:rsidRPr="00C73E59" w:rsidTr="00763605">
        <w:tc>
          <w:tcPr>
            <w:tcW w:w="1863" w:type="pct"/>
            <w:gridSpan w:val="3"/>
            <w:shd w:val="clear" w:color="auto" w:fill="auto"/>
          </w:tcPr>
          <w:p w:rsidR="00A03045" w:rsidRPr="00C73E59" w:rsidRDefault="00A03045" w:rsidP="00763605">
            <w:pPr>
              <w:spacing w:after="60"/>
              <w:jc w:val="left"/>
              <w:rPr>
                <w:b/>
                <w:sz w:val="18"/>
                <w:szCs w:val="18"/>
              </w:rPr>
            </w:pPr>
            <w:r w:rsidRPr="00C73E59">
              <w:rPr>
                <w:b/>
                <w:sz w:val="18"/>
                <w:szCs w:val="18"/>
              </w:rPr>
              <w:t>(VI) PROJECT DATA</w:t>
            </w:r>
          </w:p>
        </w:tc>
        <w:tc>
          <w:tcPr>
            <w:tcW w:w="526" w:type="pct"/>
            <w:shd w:val="clear" w:color="auto" w:fill="auto"/>
          </w:tcPr>
          <w:p w:rsidR="00A03045" w:rsidRPr="00C73E59" w:rsidRDefault="00A03045" w:rsidP="00763605">
            <w:pPr>
              <w:spacing w:after="60"/>
              <w:jc w:val="center"/>
              <w:rPr>
                <w:b/>
                <w:sz w:val="18"/>
                <w:szCs w:val="18"/>
              </w:rPr>
            </w:pPr>
            <w:r w:rsidRPr="00C73E59">
              <w:rPr>
                <w:b/>
                <w:sz w:val="18"/>
                <w:szCs w:val="18"/>
              </w:rPr>
              <w:t>2016</w:t>
            </w:r>
          </w:p>
        </w:tc>
        <w:tc>
          <w:tcPr>
            <w:tcW w:w="527" w:type="pct"/>
            <w:shd w:val="clear" w:color="auto" w:fill="auto"/>
          </w:tcPr>
          <w:p w:rsidR="00A03045" w:rsidRPr="00C73E59" w:rsidRDefault="00A03045" w:rsidP="00763605">
            <w:pPr>
              <w:spacing w:after="60"/>
              <w:jc w:val="center"/>
              <w:rPr>
                <w:b/>
                <w:sz w:val="18"/>
                <w:szCs w:val="18"/>
              </w:rPr>
            </w:pPr>
            <w:r w:rsidRPr="00C73E59">
              <w:rPr>
                <w:b/>
                <w:sz w:val="18"/>
                <w:szCs w:val="18"/>
              </w:rPr>
              <w:t>2017</w:t>
            </w:r>
          </w:p>
        </w:tc>
        <w:tc>
          <w:tcPr>
            <w:tcW w:w="526" w:type="pct"/>
            <w:shd w:val="clear" w:color="auto" w:fill="auto"/>
          </w:tcPr>
          <w:p w:rsidR="00A03045" w:rsidRPr="00C73E59" w:rsidRDefault="00A03045" w:rsidP="00763605">
            <w:pPr>
              <w:spacing w:after="60"/>
              <w:jc w:val="center"/>
              <w:rPr>
                <w:b/>
                <w:sz w:val="18"/>
                <w:szCs w:val="18"/>
              </w:rPr>
            </w:pPr>
            <w:r w:rsidRPr="00C73E59">
              <w:rPr>
                <w:b/>
                <w:sz w:val="18"/>
                <w:szCs w:val="18"/>
              </w:rPr>
              <w:t>2018</w:t>
            </w:r>
          </w:p>
        </w:tc>
        <w:tc>
          <w:tcPr>
            <w:tcW w:w="527" w:type="pct"/>
            <w:shd w:val="clear" w:color="auto" w:fill="auto"/>
          </w:tcPr>
          <w:p w:rsidR="00A03045" w:rsidRPr="00C73E59" w:rsidRDefault="00A03045" w:rsidP="00763605">
            <w:pPr>
              <w:spacing w:after="60"/>
              <w:jc w:val="center"/>
              <w:rPr>
                <w:b/>
                <w:sz w:val="18"/>
                <w:szCs w:val="18"/>
              </w:rPr>
            </w:pPr>
            <w:r w:rsidRPr="00C73E59">
              <w:rPr>
                <w:b/>
                <w:sz w:val="18"/>
                <w:szCs w:val="18"/>
              </w:rPr>
              <w:t>2019</w:t>
            </w:r>
          </w:p>
        </w:tc>
        <w:tc>
          <w:tcPr>
            <w:tcW w:w="526" w:type="pct"/>
            <w:shd w:val="clear" w:color="auto" w:fill="auto"/>
          </w:tcPr>
          <w:p w:rsidR="00A03045" w:rsidRPr="00C73E59" w:rsidRDefault="00A03045" w:rsidP="00763605">
            <w:pPr>
              <w:spacing w:after="60"/>
              <w:jc w:val="center"/>
              <w:rPr>
                <w:b/>
                <w:sz w:val="18"/>
                <w:szCs w:val="18"/>
              </w:rPr>
            </w:pPr>
            <w:r w:rsidRPr="00C73E59">
              <w:rPr>
                <w:b/>
                <w:sz w:val="18"/>
                <w:szCs w:val="18"/>
              </w:rPr>
              <w:t>2020</w:t>
            </w:r>
          </w:p>
        </w:tc>
        <w:tc>
          <w:tcPr>
            <w:tcW w:w="506" w:type="pct"/>
            <w:shd w:val="clear" w:color="auto" w:fill="auto"/>
          </w:tcPr>
          <w:p w:rsidR="00A03045" w:rsidRPr="00C73E59" w:rsidRDefault="00A03045" w:rsidP="00763605">
            <w:pPr>
              <w:spacing w:after="60"/>
              <w:jc w:val="center"/>
              <w:rPr>
                <w:b/>
                <w:sz w:val="18"/>
                <w:szCs w:val="18"/>
              </w:rPr>
            </w:pPr>
            <w:r w:rsidRPr="00C73E59">
              <w:rPr>
                <w:b/>
                <w:sz w:val="18"/>
                <w:szCs w:val="18"/>
              </w:rPr>
              <w:t>Total</w:t>
            </w:r>
          </w:p>
        </w:tc>
      </w:tr>
      <w:tr w:rsidR="00DC1645" w:rsidRPr="00C73E59" w:rsidTr="00763605">
        <w:tc>
          <w:tcPr>
            <w:tcW w:w="1863" w:type="pct"/>
            <w:gridSpan w:val="3"/>
            <w:shd w:val="clear" w:color="auto" w:fill="auto"/>
          </w:tcPr>
          <w:p w:rsidR="00DC1645" w:rsidRPr="00C73E59" w:rsidRDefault="00DC1645" w:rsidP="00763605">
            <w:pPr>
              <w:spacing w:after="60"/>
              <w:jc w:val="left"/>
              <w:rPr>
                <w:sz w:val="18"/>
                <w:szCs w:val="18"/>
              </w:rPr>
            </w:pPr>
            <w:r w:rsidRPr="00C73E59">
              <w:rPr>
                <w:sz w:val="18"/>
                <w:szCs w:val="18"/>
              </w:rPr>
              <w:t>Montreal Protocol consumption limits</w:t>
            </w:r>
          </w:p>
        </w:tc>
        <w:tc>
          <w:tcPr>
            <w:tcW w:w="526" w:type="pct"/>
            <w:shd w:val="clear" w:color="auto" w:fill="auto"/>
          </w:tcPr>
          <w:p w:rsidR="00DC1645" w:rsidRPr="00C73E59" w:rsidRDefault="00DC1645" w:rsidP="00763605">
            <w:pPr>
              <w:jc w:val="right"/>
              <w:rPr>
                <w:sz w:val="18"/>
                <w:szCs w:val="18"/>
              </w:rPr>
            </w:pPr>
            <w:r w:rsidRPr="00C73E59">
              <w:rPr>
                <w:sz w:val="18"/>
                <w:szCs w:val="18"/>
              </w:rPr>
              <w:t>0.90</w:t>
            </w:r>
          </w:p>
        </w:tc>
        <w:tc>
          <w:tcPr>
            <w:tcW w:w="527" w:type="pct"/>
            <w:shd w:val="clear" w:color="auto" w:fill="auto"/>
          </w:tcPr>
          <w:p w:rsidR="00DC1645" w:rsidRPr="00C73E59" w:rsidRDefault="00DC1645" w:rsidP="00DC1645">
            <w:pPr>
              <w:jc w:val="right"/>
              <w:rPr>
                <w:sz w:val="18"/>
                <w:szCs w:val="18"/>
              </w:rPr>
            </w:pPr>
            <w:r w:rsidRPr="00C73E59">
              <w:rPr>
                <w:sz w:val="18"/>
                <w:szCs w:val="18"/>
              </w:rPr>
              <w:t>0.90</w:t>
            </w:r>
          </w:p>
        </w:tc>
        <w:tc>
          <w:tcPr>
            <w:tcW w:w="526" w:type="pct"/>
            <w:shd w:val="clear" w:color="auto" w:fill="auto"/>
          </w:tcPr>
          <w:p w:rsidR="00DC1645" w:rsidRPr="00C73E59" w:rsidRDefault="00DC1645" w:rsidP="00DC1645">
            <w:pPr>
              <w:jc w:val="right"/>
              <w:rPr>
                <w:sz w:val="18"/>
                <w:szCs w:val="18"/>
              </w:rPr>
            </w:pPr>
            <w:r w:rsidRPr="00C73E59">
              <w:rPr>
                <w:sz w:val="18"/>
                <w:szCs w:val="18"/>
              </w:rPr>
              <w:t>0.90</w:t>
            </w:r>
          </w:p>
        </w:tc>
        <w:tc>
          <w:tcPr>
            <w:tcW w:w="527" w:type="pct"/>
            <w:shd w:val="clear" w:color="auto" w:fill="auto"/>
          </w:tcPr>
          <w:p w:rsidR="00DC1645" w:rsidRPr="00C73E59" w:rsidRDefault="00DC1645" w:rsidP="00DC1645">
            <w:pPr>
              <w:jc w:val="right"/>
              <w:rPr>
                <w:sz w:val="18"/>
                <w:szCs w:val="18"/>
              </w:rPr>
            </w:pPr>
            <w:r w:rsidRPr="00C73E59">
              <w:rPr>
                <w:sz w:val="18"/>
                <w:szCs w:val="18"/>
              </w:rPr>
              <w:t>0.90</w:t>
            </w:r>
          </w:p>
        </w:tc>
        <w:tc>
          <w:tcPr>
            <w:tcW w:w="526" w:type="pct"/>
            <w:shd w:val="clear" w:color="auto" w:fill="auto"/>
          </w:tcPr>
          <w:p w:rsidR="00DC1645" w:rsidRPr="00C73E59" w:rsidRDefault="00DC1645" w:rsidP="00763605">
            <w:pPr>
              <w:jc w:val="right"/>
              <w:rPr>
                <w:sz w:val="18"/>
                <w:szCs w:val="18"/>
              </w:rPr>
            </w:pPr>
            <w:r w:rsidRPr="00C73E59">
              <w:rPr>
                <w:sz w:val="18"/>
                <w:szCs w:val="18"/>
              </w:rPr>
              <w:t>0.65</w:t>
            </w:r>
          </w:p>
        </w:tc>
        <w:tc>
          <w:tcPr>
            <w:tcW w:w="506" w:type="pct"/>
            <w:shd w:val="clear" w:color="auto" w:fill="auto"/>
          </w:tcPr>
          <w:p w:rsidR="00DC1645" w:rsidRPr="00C73E59" w:rsidRDefault="00DC1645" w:rsidP="00763605">
            <w:pPr>
              <w:spacing w:after="60"/>
              <w:jc w:val="center"/>
              <w:rPr>
                <w:sz w:val="18"/>
                <w:szCs w:val="18"/>
              </w:rPr>
            </w:pPr>
            <w:r w:rsidRPr="00C73E59">
              <w:rPr>
                <w:sz w:val="18"/>
                <w:szCs w:val="18"/>
              </w:rPr>
              <w:t>n/a</w:t>
            </w:r>
          </w:p>
        </w:tc>
      </w:tr>
      <w:tr w:rsidR="00DC1645" w:rsidRPr="00C73E59" w:rsidTr="00763605">
        <w:tc>
          <w:tcPr>
            <w:tcW w:w="1863" w:type="pct"/>
            <w:gridSpan w:val="3"/>
            <w:shd w:val="clear" w:color="auto" w:fill="auto"/>
          </w:tcPr>
          <w:p w:rsidR="00DC1645" w:rsidRPr="00C73E59" w:rsidRDefault="00DC1645" w:rsidP="00763605">
            <w:pPr>
              <w:spacing w:after="60"/>
              <w:jc w:val="left"/>
              <w:rPr>
                <w:sz w:val="18"/>
                <w:szCs w:val="18"/>
              </w:rPr>
            </w:pPr>
            <w:r w:rsidRPr="00C73E59">
              <w:rPr>
                <w:sz w:val="18"/>
                <w:szCs w:val="18"/>
              </w:rPr>
              <w:t>Maximum allowable consumption (ODP tonnes)</w:t>
            </w:r>
          </w:p>
        </w:tc>
        <w:tc>
          <w:tcPr>
            <w:tcW w:w="526" w:type="pct"/>
            <w:shd w:val="clear" w:color="auto" w:fill="auto"/>
          </w:tcPr>
          <w:p w:rsidR="00DC1645" w:rsidRPr="00C73E59" w:rsidRDefault="00DC1645" w:rsidP="00CD0A79">
            <w:pPr>
              <w:jc w:val="right"/>
              <w:rPr>
                <w:sz w:val="18"/>
                <w:szCs w:val="18"/>
              </w:rPr>
            </w:pPr>
            <w:r w:rsidRPr="00C73E59">
              <w:rPr>
                <w:sz w:val="18"/>
                <w:szCs w:val="18"/>
              </w:rPr>
              <w:t>0.90</w:t>
            </w:r>
          </w:p>
        </w:tc>
        <w:tc>
          <w:tcPr>
            <w:tcW w:w="527" w:type="pct"/>
            <w:shd w:val="clear" w:color="auto" w:fill="auto"/>
          </w:tcPr>
          <w:p w:rsidR="00DC1645" w:rsidRPr="00C73E59" w:rsidRDefault="00DC1645" w:rsidP="00CD0A79">
            <w:pPr>
              <w:jc w:val="right"/>
              <w:rPr>
                <w:sz w:val="18"/>
                <w:szCs w:val="18"/>
              </w:rPr>
            </w:pPr>
            <w:r w:rsidRPr="00C73E59">
              <w:rPr>
                <w:sz w:val="18"/>
                <w:szCs w:val="18"/>
              </w:rPr>
              <w:t>0.90</w:t>
            </w:r>
          </w:p>
        </w:tc>
        <w:tc>
          <w:tcPr>
            <w:tcW w:w="526" w:type="pct"/>
            <w:shd w:val="clear" w:color="auto" w:fill="auto"/>
          </w:tcPr>
          <w:p w:rsidR="00DC1645" w:rsidRPr="00C73E59" w:rsidRDefault="00DC1645" w:rsidP="00CD0A79">
            <w:pPr>
              <w:jc w:val="right"/>
              <w:rPr>
                <w:sz w:val="18"/>
                <w:szCs w:val="18"/>
              </w:rPr>
            </w:pPr>
            <w:r w:rsidRPr="00C73E59">
              <w:rPr>
                <w:sz w:val="18"/>
                <w:szCs w:val="18"/>
              </w:rPr>
              <w:t>0.90</w:t>
            </w:r>
          </w:p>
        </w:tc>
        <w:tc>
          <w:tcPr>
            <w:tcW w:w="527" w:type="pct"/>
            <w:shd w:val="clear" w:color="auto" w:fill="auto"/>
          </w:tcPr>
          <w:p w:rsidR="00DC1645" w:rsidRPr="00C73E59" w:rsidRDefault="00DC1645" w:rsidP="00CD0A79">
            <w:pPr>
              <w:jc w:val="right"/>
              <w:rPr>
                <w:sz w:val="18"/>
                <w:szCs w:val="18"/>
              </w:rPr>
            </w:pPr>
            <w:r w:rsidRPr="00C73E59">
              <w:rPr>
                <w:sz w:val="18"/>
                <w:szCs w:val="18"/>
              </w:rPr>
              <w:t>0.90</w:t>
            </w:r>
          </w:p>
        </w:tc>
        <w:tc>
          <w:tcPr>
            <w:tcW w:w="526" w:type="pct"/>
            <w:shd w:val="clear" w:color="auto" w:fill="auto"/>
          </w:tcPr>
          <w:p w:rsidR="00DC1645" w:rsidRPr="00C73E59" w:rsidRDefault="00DC1645" w:rsidP="00CD0A79">
            <w:pPr>
              <w:jc w:val="right"/>
              <w:rPr>
                <w:sz w:val="18"/>
                <w:szCs w:val="18"/>
              </w:rPr>
            </w:pPr>
            <w:r w:rsidRPr="00C73E59">
              <w:rPr>
                <w:sz w:val="18"/>
                <w:szCs w:val="18"/>
              </w:rPr>
              <w:t>0.65</w:t>
            </w:r>
          </w:p>
        </w:tc>
        <w:tc>
          <w:tcPr>
            <w:tcW w:w="506" w:type="pct"/>
            <w:shd w:val="clear" w:color="auto" w:fill="auto"/>
          </w:tcPr>
          <w:p w:rsidR="00DC1645" w:rsidRPr="00C73E59" w:rsidRDefault="00DC1645" w:rsidP="00763605">
            <w:pPr>
              <w:spacing w:after="60"/>
              <w:jc w:val="center"/>
              <w:rPr>
                <w:sz w:val="18"/>
                <w:szCs w:val="18"/>
              </w:rPr>
            </w:pPr>
            <w:r w:rsidRPr="00C73E59">
              <w:rPr>
                <w:sz w:val="18"/>
                <w:szCs w:val="18"/>
              </w:rPr>
              <w:t>n/a</w:t>
            </w:r>
          </w:p>
        </w:tc>
      </w:tr>
      <w:tr w:rsidR="00DC1645" w:rsidRPr="00C73E59" w:rsidTr="00763605">
        <w:tc>
          <w:tcPr>
            <w:tcW w:w="659" w:type="pct"/>
            <w:vMerge w:val="restart"/>
            <w:shd w:val="clear" w:color="auto" w:fill="auto"/>
          </w:tcPr>
          <w:p w:rsidR="00DC1645" w:rsidRPr="00C73E59" w:rsidRDefault="00DC1645" w:rsidP="00763605">
            <w:pPr>
              <w:spacing w:after="60"/>
              <w:jc w:val="left"/>
              <w:rPr>
                <w:sz w:val="18"/>
                <w:szCs w:val="18"/>
              </w:rPr>
            </w:pPr>
            <w:r w:rsidRPr="00C73E59">
              <w:rPr>
                <w:sz w:val="18"/>
                <w:szCs w:val="18"/>
              </w:rPr>
              <w:t>Project costs requested in principle (US $)</w:t>
            </w:r>
          </w:p>
        </w:tc>
        <w:tc>
          <w:tcPr>
            <w:tcW w:w="517" w:type="pct"/>
            <w:vMerge w:val="restart"/>
            <w:shd w:val="clear" w:color="auto" w:fill="auto"/>
          </w:tcPr>
          <w:p w:rsidR="00DC1645" w:rsidRPr="00C73E59" w:rsidRDefault="00DC1645" w:rsidP="00763605">
            <w:pPr>
              <w:spacing w:after="60"/>
              <w:jc w:val="center"/>
              <w:rPr>
                <w:sz w:val="18"/>
                <w:szCs w:val="18"/>
              </w:rPr>
            </w:pPr>
            <w:r w:rsidRPr="00C73E59">
              <w:rPr>
                <w:sz w:val="18"/>
                <w:szCs w:val="18"/>
              </w:rPr>
              <w:t>UNDP</w:t>
            </w:r>
          </w:p>
        </w:tc>
        <w:tc>
          <w:tcPr>
            <w:tcW w:w="687" w:type="pct"/>
            <w:shd w:val="clear" w:color="auto" w:fill="auto"/>
          </w:tcPr>
          <w:p w:rsidR="00DC1645" w:rsidRPr="00C73E59" w:rsidRDefault="00DC1645" w:rsidP="00763605">
            <w:pPr>
              <w:spacing w:after="60"/>
              <w:jc w:val="left"/>
              <w:rPr>
                <w:sz w:val="18"/>
                <w:szCs w:val="18"/>
              </w:rPr>
            </w:pPr>
            <w:r w:rsidRPr="00C73E59">
              <w:rPr>
                <w:sz w:val="18"/>
                <w:szCs w:val="18"/>
              </w:rPr>
              <w:t>Project costs</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104,850</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17,450</w:t>
            </w:r>
          </w:p>
        </w:tc>
        <w:tc>
          <w:tcPr>
            <w:tcW w:w="506" w:type="pct"/>
            <w:shd w:val="clear" w:color="auto" w:fill="auto"/>
          </w:tcPr>
          <w:p w:rsidR="00DC1645" w:rsidRPr="00C73E59" w:rsidRDefault="00DC1645" w:rsidP="00CD0A79">
            <w:pPr>
              <w:jc w:val="right"/>
              <w:rPr>
                <w:sz w:val="18"/>
                <w:szCs w:val="18"/>
                <w:lang w:eastAsia="en-CA"/>
              </w:rPr>
            </w:pPr>
            <w:r w:rsidRPr="00C73E59">
              <w:rPr>
                <w:sz w:val="18"/>
                <w:szCs w:val="18"/>
                <w:lang w:eastAsia="en-CA"/>
              </w:rPr>
              <w:t>122,300</w:t>
            </w:r>
          </w:p>
        </w:tc>
      </w:tr>
      <w:tr w:rsidR="00DC1645" w:rsidRPr="00C73E59" w:rsidTr="00763605">
        <w:tc>
          <w:tcPr>
            <w:tcW w:w="659" w:type="pct"/>
            <w:vMerge/>
            <w:shd w:val="clear" w:color="auto" w:fill="auto"/>
          </w:tcPr>
          <w:p w:rsidR="00DC1645" w:rsidRPr="00C73E59" w:rsidRDefault="00DC1645" w:rsidP="00763605">
            <w:pPr>
              <w:spacing w:after="60"/>
              <w:jc w:val="center"/>
              <w:rPr>
                <w:sz w:val="18"/>
                <w:szCs w:val="18"/>
              </w:rPr>
            </w:pPr>
          </w:p>
        </w:tc>
        <w:tc>
          <w:tcPr>
            <w:tcW w:w="517" w:type="pct"/>
            <w:vMerge/>
            <w:shd w:val="clear" w:color="auto" w:fill="auto"/>
          </w:tcPr>
          <w:p w:rsidR="00DC1645" w:rsidRPr="00C73E59" w:rsidRDefault="00DC1645" w:rsidP="00763605">
            <w:pPr>
              <w:spacing w:after="60"/>
              <w:jc w:val="center"/>
              <w:rPr>
                <w:sz w:val="18"/>
                <w:szCs w:val="18"/>
              </w:rPr>
            </w:pPr>
          </w:p>
        </w:tc>
        <w:tc>
          <w:tcPr>
            <w:tcW w:w="687" w:type="pct"/>
            <w:shd w:val="clear" w:color="auto" w:fill="auto"/>
          </w:tcPr>
          <w:p w:rsidR="00DC1645" w:rsidRPr="00C73E59" w:rsidRDefault="00DC1645" w:rsidP="00763605">
            <w:pPr>
              <w:spacing w:after="60"/>
              <w:jc w:val="left"/>
              <w:rPr>
                <w:sz w:val="18"/>
                <w:szCs w:val="18"/>
              </w:rPr>
            </w:pPr>
            <w:r w:rsidRPr="00C73E59">
              <w:rPr>
                <w:sz w:val="18"/>
                <w:szCs w:val="18"/>
              </w:rPr>
              <w:t>Support costs</w:t>
            </w:r>
          </w:p>
        </w:tc>
        <w:tc>
          <w:tcPr>
            <w:tcW w:w="526" w:type="pct"/>
            <w:shd w:val="clear" w:color="auto" w:fill="auto"/>
          </w:tcPr>
          <w:p w:rsidR="00DC1645" w:rsidRPr="00C73E59" w:rsidRDefault="00DC1645" w:rsidP="00170FFC">
            <w:pPr>
              <w:jc w:val="right"/>
              <w:rPr>
                <w:sz w:val="18"/>
                <w:szCs w:val="18"/>
                <w:lang w:eastAsia="en-CA"/>
              </w:rPr>
            </w:pPr>
            <w:r w:rsidRPr="00C73E59">
              <w:rPr>
                <w:sz w:val="18"/>
                <w:szCs w:val="18"/>
                <w:lang w:eastAsia="en-CA"/>
              </w:rPr>
              <w:t>9,43</w:t>
            </w:r>
            <w:r w:rsidR="00170FFC">
              <w:rPr>
                <w:sz w:val="18"/>
                <w:szCs w:val="18"/>
                <w:lang w:eastAsia="en-CA"/>
              </w:rPr>
              <w:t>7</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w:t>
            </w:r>
          </w:p>
        </w:tc>
        <w:tc>
          <w:tcPr>
            <w:tcW w:w="526" w:type="pct"/>
            <w:shd w:val="clear" w:color="auto" w:fill="auto"/>
          </w:tcPr>
          <w:p w:rsidR="00DC1645" w:rsidRPr="00C73E59" w:rsidRDefault="00DC1645" w:rsidP="00170FFC">
            <w:pPr>
              <w:jc w:val="right"/>
              <w:rPr>
                <w:sz w:val="18"/>
                <w:szCs w:val="18"/>
                <w:lang w:eastAsia="en-CA"/>
              </w:rPr>
            </w:pPr>
            <w:r w:rsidRPr="00C73E59">
              <w:rPr>
                <w:sz w:val="18"/>
                <w:szCs w:val="18"/>
                <w:lang w:eastAsia="en-CA"/>
              </w:rPr>
              <w:t>1,570</w:t>
            </w:r>
          </w:p>
        </w:tc>
        <w:tc>
          <w:tcPr>
            <w:tcW w:w="506" w:type="pct"/>
            <w:shd w:val="clear" w:color="auto" w:fill="auto"/>
          </w:tcPr>
          <w:p w:rsidR="00DC1645" w:rsidRPr="00C73E59" w:rsidRDefault="00DC1645" w:rsidP="00CD0A79">
            <w:pPr>
              <w:jc w:val="right"/>
              <w:rPr>
                <w:sz w:val="18"/>
                <w:szCs w:val="18"/>
                <w:lang w:eastAsia="en-CA"/>
              </w:rPr>
            </w:pPr>
            <w:r w:rsidRPr="00C73E59">
              <w:rPr>
                <w:sz w:val="18"/>
                <w:szCs w:val="18"/>
                <w:lang w:eastAsia="en-CA"/>
              </w:rPr>
              <w:t>11,007</w:t>
            </w:r>
          </w:p>
        </w:tc>
      </w:tr>
      <w:tr w:rsidR="00DC1645" w:rsidRPr="00C73E59" w:rsidTr="00763605">
        <w:tc>
          <w:tcPr>
            <w:tcW w:w="659" w:type="pct"/>
            <w:vMerge/>
            <w:shd w:val="clear" w:color="auto" w:fill="auto"/>
          </w:tcPr>
          <w:p w:rsidR="00DC1645" w:rsidRPr="00C73E59" w:rsidRDefault="00DC1645" w:rsidP="00763605">
            <w:pPr>
              <w:spacing w:after="60"/>
              <w:jc w:val="center"/>
              <w:rPr>
                <w:sz w:val="18"/>
                <w:szCs w:val="18"/>
              </w:rPr>
            </w:pPr>
          </w:p>
        </w:tc>
        <w:tc>
          <w:tcPr>
            <w:tcW w:w="517" w:type="pct"/>
            <w:vMerge w:val="restart"/>
            <w:shd w:val="clear" w:color="auto" w:fill="auto"/>
          </w:tcPr>
          <w:p w:rsidR="00DC1645" w:rsidRPr="00C73E59" w:rsidRDefault="00DC1645" w:rsidP="00763605">
            <w:pPr>
              <w:spacing w:after="60"/>
              <w:jc w:val="center"/>
              <w:rPr>
                <w:sz w:val="18"/>
                <w:szCs w:val="18"/>
              </w:rPr>
            </w:pPr>
            <w:r w:rsidRPr="00C73E59">
              <w:rPr>
                <w:sz w:val="18"/>
                <w:szCs w:val="18"/>
              </w:rPr>
              <w:t>UNEP</w:t>
            </w:r>
          </w:p>
        </w:tc>
        <w:tc>
          <w:tcPr>
            <w:tcW w:w="687" w:type="pct"/>
            <w:shd w:val="clear" w:color="auto" w:fill="auto"/>
          </w:tcPr>
          <w:p w:rsidR="00DC1645" w:rsidRPr="00C73E59" w:rsidRDefault="00DC1645" w:rsidP="00763605">
            <w:pPr>
              <w:spacing w:after="60"/>
              <w:jc w:val="left"/>
              <w:rPr>
                <w:sz w:val="18"/>
                <w:szCs w:val="18"/>
              </w:rPr>
            </w:pPr>
            <w:r w:rsidRPr="00C73E59">
              <w:rPr>
                <w:sz w:val="18"/>
                <w:szCs w:val="18"/>
              </w:rPr>
              <w:t>Project costs</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26,100</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26,100</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w:t>
            </w:r>
          </w:p>
        </w:tc>
        <w:tc>
          <w:tcPr>
            <w:tcW w:w="526" w:type="pct"/>
            <w:shd w:val="clear" w:color="auto" w:fill="auto"/>
          </w:tcPr>
          <w:p w:rsidR="00DC1645" w:rsidRPr="00C73E59" w:rsidRDefault="00170FFC" w:rsidP="00CD0A79">
            <w:pPr>
              <w:jc w:val="right"/>
              <w:rPr>
                <w:sz w:val="18"/>
                <w:szCs w:val="18"/>
                <w:lang w:eastAsia="en-CA"/>
              </w:rPr>
            </w:pPr>
            <w:r>
              <w:rPr>
                <w:sz w:val="18"/>
                <w:szCs w:val="18"/>
                <w:lang w:eastAsia="en-CA"/>
              </w:rPr>
              <w:t>-</w:t>
            </w:r>
          </w:p>
        </w:tc>
        <w:tc>
          <w:tcPr>
            <w:tcW w:w="506" w:type="pct"/>
            <w:shd w:val="clear" w:color="auto" w:fill="auto"/>
          </w:tcPr>
          <w:p w:rsidR="00DC1645" w:rsidRPr="00C73E59" w:rsidRDefault="00DC1645" w:rsidP="00CD0A79">
            <w:pPr>
              <w:jc w:val="right"/>
              <w:rPr>
                <w:sz w:val="18"/>
                <w:szCs w:val="18"/>
                <w:lang w:eastAsia="en-CA"/>
              </w:rPr>
            </w:pPr>
            <w:r w:rsidRPr="00C73E59">
              <w:rPr>
                <w:sz w:val="18"/>
                <w:szCs w:val="18"/>
                <w:lang w:eastAsia="en-CA"/>
              </w:rPr>
              <w:t>52,200</w:t>
            </w:r>
          </w:p>
        </w:tc>
      </w:tr>
      <w:tr w:rsidR="00DC1645" w:rsidRPr="00C73E59" w:rsidTr="00763605">
        <w:tc>
          <w:tcPr>
            <w:tcW w:w="659" w:type="pct"/>
            <w:vMerge/>
            <w:tcBorders>
              <w:bottom w:val="single" w:sz="4" w:space="0" w:color="auto"/>
            </w:tcBorders>
            <w:shd w:val="clear" w:color="auto" w:fill="auto"/>
          </w:tcPr>
          <w:p w:rsidR="00DC1645" w:rsidRPr="00C73E59" w:rsidRDefault="00DC1645" w:rsidP="00763605">
            <w:pPr>
              <w:spacing w:after="60"/>
              <w:jc w:val="center"/>
              <w:rPr>
                <w:sz w:val="18"/>
                <w:szCs w:val="18"/>
              </w:rPr>
            </w:pPr>
          </w:p>
        </w:tc>
        <w:tc>
          <w:tcPr>
            <w:tcW w:w="517" w:type="pct"/>
            <w:vMerge/>
            <w:tcBorders>
              <w:bottom w:val="single" w:sz="4" w:space="0" w:color="auto"/>
            </w:tcBorders>
            <w:shd w:val="clear" w:color="auto" w:fill="auto"/>
          </w:tcPr>
          <w:p w:rsidR="00DC1645" w:rsidRPr="00C73E59" w:rsidRDefault="00DC1645" w:rsidP="00763605">
            <w:pPr>
              <w:spacing w:after="60"/>
              <w:jc w:val="center"/>
              <w:rPr>
                <w:sz w:val="18"/>
                <w:szCs w:val="18"/>
              </w:rPr>
            </w:pPr>
          </w:p>
        </w:tc>
        <w:tc>
          <w:tcPr>
            <w:tcW w:w="687" w:type="pct"/>
            <w:shd w:val="clear" w:color="auto" w:fill="auto"/>
          </w:tcPr>
          <w:p w:rsidR="00DC1645" w:rsidRPr="00C73E59" w:rsidRDefault="00DC1645" w:rsidP="00763605">
            <w:pPr>
              <w:spacing w:after="60"/>
              <w:jc w:val="left"/>
              <w:rPr>
                <w:sz w:val="18"/>
                <w:szCs w:val="18"/>
              </w:rPr>
            </w:pPr>
            <w:r w:rsidRPr="00C73E59">
              <w:rPr>
                <w:sz w:val="18"/>
                <w:szCs w:val="18"/>
              </w:rPr>
              <w:t>Support costs</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3,393</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3,393</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w:t>
            </w:r>
          </w:p>
        </w:tc>
        <w:tc>
          <w:tcPr>
            <w:tcW w:w="526" w:type="pct"/>
            <w:shd w:val="clear" w:color="auto" w:fill="auto"/>
          </w:tcPr>
          <w:p w:rsidR="00DC1645" w:rsidRPr="00C73E59" w:rsidRDefault="00170FFC" w:rsidP="00CD0A79">
            <w:pPr>
              <w:jc w:val="right"/>
              <w:rPr>
                <w:sz w:val="18"/>
                <w:szCs w:val="18"/>
                <w:lang w:eastAsia="en-CA"/>
              </w:rPr>
            </w:pPr>
            <w:r>
              <w:rPr>
                <w:sz w:val="18"/>
                <w:szCs w:val="18"/>
                <w:lang w:eastAsia="en-CA"/>
              </w:rPr>
              <w:t>-</w:t>
            </w:r>
          </w:p>
        </w:tc>
        <w:tc>
          <w:tcPr>
            <w:tcW w:w="506" w:type="pct"/>
            <w:shd w:val="clear" w:color="auto" w:fill="auto"/>
          </w:tcPr>
          <w:p w:rsidR="00DC1645" w:rsidRPr="00C73E59" w:rsidRDefault="00DC1645" w:rsidP="00CD0A79">
            <w:pPr>
              <w:jc w:val="right"/>
              <w:rPr>
                <w:sz w:val="18"/>
                <w:szCs w:val="18"/>
                <w:lang w:eastAsia="en-CA"/>
              </w:rPr>
            </w:pPr>
            <w:r w:rsidRPr="00C73E59">
              <w:rPr>
                <w:sz w:val="18"/>
                <w:szCs w:val="18"/>
                <w:lang w:eastAsia="en-CA"/>
              </w:rPr>
              <w:t>6,786</w:t>
            </w:r>
          </w:p>
        </w:tc>
      </w:tr>
      <w:tr w:rsidR="00DC1645" w:rsidRPr="00C73E59" w:rsidTr="00763605">
        <w:tc>
          <w:tcPr>
            <w:tcW w:w="1863" w:type="pct"/>
            <w:gridSpan w:val="3"/>
            <w:tcBorders>
              <w:top w:val="single" w:sz="4" w:space="0" w:color="auto"/>
              <w:bottom w:val="single" w:sz="4" w:space="0" w:color="auto"/>
            </w:tcBorders>
            <w:shd w:val="clear" w:color="auto" w:fill="auto"/>
          </w:tcPr>
          <w:p w:rsidR="00DC1645" w:rsidRPr="00C73E59" w:rsidRDefault="00DC1645" w:rsidP="00763605">
            <w:pPr>
              <w:spacing w:after="60"/>
              <w:jc w:val="left"/>
              <w:rPr>
                <w:sz w:val="18"/>
                <w:szCs w:val="18"/>
              </w:rPr>
            </w:pPr>
            <w:r w:rsidRPr="00C73E59">
              <w:rPr>
                <w:sz w:val="18"/>
                <w:szCs w:val="18"/>
              </w:rPr>
              <w:t>Total project costs requested in principle (US$)</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130,950</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0</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26,100</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0</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17,450</w:t>
            </w:r>
          </w:p>
        </w:tc>
        <w:tc>
          <w:tcPr>
            <w:tcW w:w="506" w:type="pct"/>
            <w:shd w:val="clear" w:color="auto" w:fill="auto"/>
          </w:tcPr>
          <w:p w:rsidR="00DC1645" w:rsidRPr="00C73E59" w:rsidRDefault="00DC1645" w:rsidP="00CD0A79">
            <w:pPr>
              <w:jc w:val="right"/>
              <w:rPr>
                <w:sz w:val="18"/>
                <w:szCs w:val="18"/>
                <w:lang w:eastAsia="en-CA"/>
              </w:rPr>
            </w:pPr>
            <w:r w:rsidRPr="00C73E59">
              <w:rPr>
                <w:sz w:val="18"/>
                <w:szCs w:val="18"/>
                <w:lang w:eastAsia="en-CA"/>
              </w:rPr>
              <w:t>174,500</w:t>
            </w:r>
          </w:p>
        </w:tc>
      </w:tr>
      <w:tr w:rsidR="00DC1645" w:rsidRPr="00C73E59" w:rsidTr="00763605">
        <w:tc>
          <w:tcPr>
            <w:tcW w:w="1863" w:type="pct"/>
            <w:gridSpan w:val="3"/>
            <w:tcBorders>
              <w:top w:val="single" w:sz="4" w:space="0" w:color="auto"/>
            </w:tcBorders>
            <w:shd w:val="clear" w:color="auto" w:fill="auto"/>
          </w:tcPr>
          <w:p w:rsidR="00DC1645" w:rsidRPr="00C73E59" w:rsidRDefault="00DC1645" w:rsidP="00763605">
            <w:pPr>
              <w:spacing w:after="60"/>
              <w:jc w:val="left"/>
              <w:rPr>
                <w:sz w:val="18"/>
                <w:szCs w:val="18"/>
              </w:rPr>
            </w:pPr>
            <w:r w:rsidRPr="00C73E59">
              <w:rPr>
                <w:sz w:val="18"/>
                <w:szCs w:val="18"/>
              </w:rPr>
              <w:t>Total support costs requested in principle (US$)</w:t>
            </w:r>
          </w:p>
        </w:tc>
        <w:tc>
          <w:tcPr>
            <w:tcW w:w="526" w:type="pct"/>
            <w:shd w:val="clear" w:color="auto" w:fill="auto"/>
          </w:tcPr>
          <w:p w:rsidR="00DC1645" w:rsidRPr="00C73E59" w:rsidRDefault="00170FFC" w:rsidP="00CD0A79">
            <w:pPr>
              <w:jc w:val="right"/>
              <w:rPr>
                <w:sz w:val="18"/>
                <w:szCs w:val="18"/>
                <w:lang w:eastAsia="en-CA"/>
              </w:rPr>
            </w:pPr>
            <w:r>
              <w:rPr>
                <w:sz w:val="18"/>
                <w:szCs w:val="18"/>
                <w:lang w:eastAsia="en-CA"/>
              </w:rPr>
              <w:t>12,830</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0</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3,393</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0</w:t>
            </w:r>
          </w:p>
        </w:tc>
        <w:tc>
          <w:tcPr>
            <w:tcW w:w="526" w:type="pct"/>
            <w:shd w:val="clear" w:color="auto" w:fill="auto"/>
          </w:tcPr>
          <w:p w:rsidR="00DC1645" w:rsidRPr="00C73E59" w:rsidRDefault="00DC1645" w:rsidP="00170FFC">
            <w:pPr>
              <w:jc w:val="right"/>
              <w:rPr>
                <w:sz w:val="18"/>
                <w:szCs w:val="18"/>
                <w:lang w:eastAsia="en-CA"/>
              </w:rPr>
            </w:pPr>
            <w:r w:rsidRPr="00C73E59">
              <w:rPr>
                <w:sz w:val="18"/>
                <w:szCs w:val="18"/>
                <w:lang w:eastAsia="en-CA"/>
              </w:rPr>
              <w:t>1,570</w:t>
            </w:r>
          </w:p>
        </w:tc>
        <w:tc>
          <w:tcPr>
            <w:tcW w:w="506" w:type="pct"/>
            <w:shd w:val="clear" w:color="auto" w:fill="auto"/>
          </w:tcPr>
          <w:p w:rsidR="00DC1645" w:rsidRPr="00C73E59" w:rsidRDefault="00DC1645" w:rsidP="00CD0A79">
            <w:pPr>
              <w:jc w:val="right"/>
              <w:rPr>
                <w:sz w:val="18"/>
                <w:szCs w:val="18"/>
                <w:lang w:eastAsia="en-CA"/>
              </w:rPr>
            </w:pPr>
            <w:r w:rsidRPr="00C73E59">
              <w:rPr>
                <w:sz w:val="18"/>
                <w:szCs w:val="18"/>
                <w:lang w:eastAsia="en-CA"/>
              </w:rPr>
              <w:t>17,793</w:t>
            </w:r>
          </w:p>
        </w:tc>
      </w:tr>
      <w:tr w:rsidR="00DC1645" w:rsidRPr="00C73E59" w:rsidTr="00763605">
        <w:trPr>
          <w:trHeight w:val="187"/>
        </w:trPr>
        <w:tc>
          <w:tcPr>
            <w:tcW w:w="1863" w:type="pct"/>
            <w:gridSpan w:val="3"/>
            <w:shd w:val="clear" w:color="auto" w:fill="auto"/>
          </w:tcPr>
          <w:p w:rsidR="00DC1645" w:rsidRPr="00C73E59" w:rsidRDefault="00DC1645" w:rsidP="00763605">
            <w:pPr>
              <w:spacing w:after="60"/>
              <w:jc w:val="left"/>
              <w:rPr>
                <w:sz w:val="18"/>
                <w:szCs w:val="18"/>
              </w:rPr>
            </w:pPr>
            <w:r w:rsidRPr="00C73E59">
              <w:rPr>
                <w:sz w:val="18"/>
                <w:szCs w:val="18"/>
              </w:rPr>
              <w:t>Total funds requested in principle (US$)</w:t>
            </w:r>
          </w:p>
        </w:tc>
        <w:tc>
          <w:tcPr>
            <w:tcW w:w="526" w:type="pct"/>
            <w:shd w:val="clear" w:color="auto" w:fill="auto"/>
          </w:tcPr>
          <w:p w:rsidR="00DC1645" w:rsidRPr="00C73E59" w:rsidRDefault="00170FFC" w:rsidP="00CD0A79">
            <w:pPr>
              <w:jc w:val="right"/>
              <w:rPr>
                <w:sz w:val="18"/>
                <w:szCs w:val="18"/>
                <w:lang w:eastAsia="en-CA"/>
              </w:rPr>
            </w:pPr>
            <w:r>
              <w:rPr>
                <w:sz w:val="18"/>
                <w:szCs w:val="18"/>
                <w:lang w:eastAsia="en-CA"/>
              </w:rPr>
              <w:t>143,780</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0</w:t>
            </w:r>
          </w:p>
        </w:tc>
        <w:tc>
          <w:tcPr>
            <w:tcW w:w="526" w:type="pct"/>
            <w:shd w:val="clear" w:color="auto" w:fill="auto"/>
          </w:tcPr>
          <w:p w:rsidR="00DC1645" w:rsidRPr="00C73E59" w:rsidRDefault="00DC1645" w:rsidP="00CD0A79">
            <w:pPr>
              <w:jc w:val="right"/>
              <w:rPr>
                <w:sz w:val="18"/>
                <w:szCs w:val="18"/>
                <w:lang w:eastAsia="en-CA"/>
              </w:rPr>
            </w:pPr>
            <w:r w:rsidRPr="00C73E59">
              <w:rPr>
                <w:sz w:val="18"/>
                <w:szCs w:val="18"/>
                <w:lang w:eastAsia="en-CA"/>
              </w:rPr>
              <w:t>29,493</w:t>
            </w:r>
          </w:p>
        </w:tc>
        <w:tc>
          <w:tcPr>
            <w:tcW w:w="527" w:type="pct"/>
            <w:shd w:val="clear" w:color="auto" w:fill="auto"/>
          </w:tcPr>
          <w:p w:rsidR="00DC1645" w:rsidRPr="00C73E59" w:rsidRDefault="00DC1645" w:rsidP="00CD0A79">
            <w:pPr>
              <w:jc w:val="right"/>
              <w:rPr>
                <w:sz w:val="18"/>
                <w:szCs w:val="18"/>
                <w:lang w:eastAsia="en-CA"/>
              </w:rPr>
            </w:pPr>
            <w:r w:rsidRPr="00C73E59">
              <w:rPr>
                <w:sz w:val="18"/>
                <w:szCs w:val="18"/>
                <w:lang w:eastAsia="en-CA"/>
              </w:rPr>
              <w:t>0</w:t>
            </w:r>
          </w:p>
        </w:tc>
        <w:tc>
          <w:tcPr>
            <w:tcW w:w="526" w:type="pct"/>
            <w:shd w:val="clear" w:color="auto" w:fill="auto"/>
          </w:tcPr>
          <w:p w:rsidR="00DC1645" w:rsidRPr="00C73E59" w:rsidRDefault="00DC1645" w:rsidP="00170FFC">
            <w:pPr>
              <w:jc w:val="right"/>
              <w:rPr>
                <w:sz w:val="18"/>
                <w:szCs w:val="18"/>
                <w:lang w:eastAsia="en-CA"/>
              </w:rPr>
            </w:pPr>
            <w:r w:rsidRPr="00C73E59">
              <w:rPr>
                <w:sz w:val="18"/>
                <w:szCs w:val="18"/>
                <w:lang w:eastAsia="en-CA"/>
              </w:rPr>
              <w:t>19,020</w:t>
            </w:r>
          </w:p>
        </w:tc>
        <w:tc>
          <w:tcPr>
            <w:tcW w:w="506" w:type="pct"/>
            <w:shd w:val="clear" w:color="auto" w:fill="auto"/>
          </w:tcPr>
          <w:p w:rsidR="00DC1645" w:rsidRPr="00C73E59" w:rsidRDefault="00DC1645" w:rsidP="00CD0A79">
            <w:pPr>
              <w:jc w:val="right"/>
              <w:rPr>
                <w:sz w:val="18"/>
                <w:szCs w:val="18"/>
                <w:lang w:eastAsia="en-CA"/>
              </w:rPr>
            </w:pPr>
            <w:r w:rsidRPr="00C73E59">
              <w:rPr>
                <w:sz w:val="18"/>
                <w:szCs w:val="18"/>
                <w:lang w:eastAsia="en-CA"/>
              </w:rPr>
              <w:t>192,293</w:t>
            </w:r>
          </w:p>
        </w:tc>
      </w:tr>
    </w:tbl>
    <w:p w:rsidR="00A03045" w:rsidRPr="00C73E59" w:rsidRDefault="00A03045" w:rsidP="00A03045">
      <w:pPr>
        <w:jc w:val="center"/>
        <w:rPr>
          <w:color w:val="FF0000"/>
          <w:lang w:val="en-CA"/>
        </w:rPr>
      </w:pPr>
    </w:p>
    <w:tbl>
      <w:tblPr>
        <w:tblStyle w:val="TableGrid10"/>
        <w:tblW w:w="5216" w:type="pct"/>
        <w:tblInd w:w="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70"/>
        <w:gridCol w:w="2937"/>
        <w:gridCol w:w="3183"/>
      </w:tblGrid>
      <w:tr w:rsidR="00DC1645" w:rsidRPr="00C73E59" w:rsidTr="00763605">
        <w:trPr>
          <w:trHeight w:val="50"/>
        </w:trPr>
        <w:tc>
          <w:tcPr>
            <w:tcW w:w="5000" w:type="pct"/>
            <w:gridSpan w:val="3"/>
            <w:shd w:val="clear" w:color="auto" w:fill="auto"/>
          </w:tcPr>
          <w:p w:rsidR="00A03045" w:rsidRPr="00C73E59" w:rsidRDefault="00A03045" w:rsidP="00763605">
            <w:pPr>
              <w:spacing w:after="60"/>
              <w:rPr>
                <w:b/>
                <w:sz w:val="18"/>
                <w:szCs w:val="18"/>
              </w:rPr>
            </w:pPr>
            <w:r w:rsidRPr="00C73E59">
              <w:rPr>
                <w:b/>
                <w:sz w:val="18"/>
                <w:szCs w:val="18"/>
              </w:rPr>
              <w:t>(VII) Request for funding for the first tranche (2016)</w:t>
            </w:r>
          </w:p>
        </w:tc>
      </w:tr>
      <w:tr w:rsidR="00DC1645" w:rsidRPr="00C73E59" w:rsidTr="00763605">
        <w:trPr>
          <w:trHeight w:val="50"/>
        </w:trPr>
        <w:tc>
          <w:tcPr>
            <w:tcW w:w="1937" w:type="pct"/>
            <w:shd w:val="clear" w:color="auto" w:fill="auto"/>
          </w:tcPr>
          <w:p w:rsidR="00A03045" w:rsidRPr="00C73E59" w:rsidRDefault="00A03045" w:rsidP="00763605">
            <w:pPr>
              <w:spacing w:after="60"/>
              <w:jc w:val="center"/>
              <w:rPr>
                <w:b/>
                <w:sz w:val="18"/>
                <w:szCs w:val="18"/>
              </w:rPr>
            </w:pPr>
            <w:r w:rsidRPr="00C73E59">
              <w:rPr>
                <w:b/>
                <w:sz w:val="18"/>
                <w:szCs w:val="18"/>
              </w:rPr>
              <w:t>Agency</w:t>
            </w:r>
          </w:p>
        </w:tc>
        <w:tc>
          <w:tcPr>
            <w:tcW w:w="1468" w:type="pct"/>
            <w:shd w:val="clear" w:color="auto" w:fill="auto"/>
          </w:tcPr>
          <w:p w:rsidR="00A03045" w:rsidRPr="00C73E59" w:rsidRDefault="00A03045" w:rsidP="00763605">
            <w:pPr>
              <w:spacing w:after="60"/>
              <w:jc w:val="center"/>
              <w:rPr>
                <w:b/>
                <w:sz w:val="18"/>
                <w:szCs w:val="18"/>
              </w:rPr>
            </w:pPr>
            <w:r w:rsidRPr="00C73E59">
              <w:rPr>
                <w:b/>
                <w:sz w:val="18"/>
                <w:szCs w:val="18"/>
              </w:rPr>
              <w:t>Funds requested (US $)</w:t>
            </w:r>
          </w:p>
        </w:tc>
        <w:tc>
          <w:tcPr>
            <w:tcW w:w="1595" w:type="pct"/>
            <w:shd w:val="clear" w:color="auto" w:fill="auto"/>
          </w:tcPr>
          <w:p w:rsidR="00A03045" w:rsidRPr="00C73E59" w:rsidRDefault="00A03045" w:rsidP="00763605">
            <w:pPr>
              <w:spacing w:after="60"/>
              <w:jc w:val="center"/>
              <w:rPr>
                <w:b/>
                <w:sz w:val="18"/>
                <w:szCs w:val="18"/>
              </w:rPr>
            </w:pPr>
            <w:r w:rsidRPr="00C73E59">
              <w:rPr>
                <w:b/>
                <w:sz w:val="18"/>
                <w:szCs w:val="18"/>
              </w:rPr>
              <w:t>Support costs (US $)</w:t>
            </w:r>
          </w:p>
        </w:tc>
      </w:tr>
      <w:tr w:rsidR="00DC1645" w:rsidRPr="00C73E59" w:rsidTr="00763605">
        <w:trPr>
          <w:trHeight w:val="50"/>
        </w:trPr>
        <w:tc>
          <w:tcPr>
            <w:tcW w:w="1937" w:type="pct"/>
            <w:shd w:val="clear" w:color="auto" w:fill="auto"/>
          </w:tcPr>
          <w:p w:rsidR="00A03045" w:rsidRPr="00C73E59" w:rsidRDefault="00A03045" w:rsidP="00763605">
            <w:pPr>
              <w:spacing w:after="60"/>
              <w:rPr>
                <w:sz w:val="18"/>
                <w:szCs w:val="18"/>
              </w:rPr>
            </w:pPr>
            <w:r w:rsidRPr="00C73E59">
              <w:rPr>
                <w:sz w:val="18"/>
                <w:szCs w:val="18"/>
              </w:rPr>
              <w:t>UN</w:t>
            </w:r>
            <w:r w:rsidR="00DC1645" w:rsidRPr="00C73E59">
              <w:rPr>
                <w:sz w:val="18"/>
                <w:szCs w:val="18"/>
              </w:rPr>
              <w:t>DP</w:t>
            </w:r>
          </w:p>
        </w:tc>
        <w:tc>
          <w:tcPr>
            <w:tcW w:w="1468" w:type="pct"/>
            <w:shd w:val="clear" w:color="auto" w:fill="auto"/>
          </w:tcPr>
          <w:p w:rsidR="00A03045" w:rsidRPr="00C73E59" w:rsidRDefault="00E464BD" w:rsidP="00763605">
            <w:pPr>
              <w:spacing w:after="60"/>
              <w:jc w:val="right"/>
              <w:rPr>
                <w:sz w:val="18"/>
                <w:szCs w:val="18"/>
              </w:rPr>
            </w:pPr>
            <w:r>
              <w:rPr>
                <w:sz w:val="18"/>
                <w:szCs w:val="18"/>
              </w:rPr>
              <w:t>104,850</w:t>
            </w:r>
          </w:p>
        </w:tc>
        <w:tc>
          <w:tcPr>
            <w:tcW w:w="1595" w:type="pct"/>
            <w:shd w:val="clear" w:color="auto" w:fill="auto"/>
          </w:tcPr>
          <w:p w:rsidR="00A03045" w:rsidRPr="00C73E59" w:rsidRDefault="00E464BD" w:rsidP="00170FFC">
            <w:pPr>
              <w:spacing w:after="60"/>
              <w:jc w:val="right"/>
              <w:rPr>
                <w:sz w:val="18"/>
                <w:szCs w:val="18"/>
              </w:rPr>
            </w:pPr>
            <w:r>
              <w:rPr>
                <w:sz w:val="18"/>
                <w:szCs w:val="18"/>
              </w:rPr>
              <w:t>9,43</w:t>
            </w:r>
            <w:r w:rsidR="00170FFC">
              <w:rPr>
                <w:sz w:val="18"/>
                <w:szCs w:val="18"/>
              </w:rPr>
              <w:t>7</w:t>
            </w:r>
          </w:p>
        </w:tc>
      </w:tr>
      <w:tr w:rsidR="00DC1645" w:rsidRPr="00C73E59" w:rsidTr="00763605">
        <w:trPr>
          <w:trHeight w:val="50"/>
        </w:trPr>
        <w:tc>
          <w:tcPr>
            <w:tcW w:w="1937" w:type="pct"/>
            <w:shd w:val="clear" w:color="auto" w:fill="auto"/>
          </w:tcPr>
          <w:p w:rsidR="00A03045" w:rsidRPr="00C73E59" w:rsidRDefault="00763605" w:rsidP="00DC1645">
            <w:pPr>
              <w:spacing w:after="60"/>
              <w:rPr>
                <w:sz w:val="18"/>
                <w:szCs w:val="18"/>
              </w:rPr>
            </w:pPr>
            <w:r w:rsidRPr="00C73E59">
              <w:rPr>
                <w:sz w:val="18"/>
                <w:szCs w:val="18"/>
              </w:rPr>
              <w:t>UN</w:t>
            </w:r>
            <w:r w:rsidR="00DC1645" w:rsidRPr="00C73E59">
              <w:rPr>
                <w:sz w:val="18"/>
                <w:szCs w:val="18"/>
              </w:rPr>
              <w:t>EP</w:t>
            </w:r>
          </w:p>
        </w:tc>
        <w:tc>
          <w:tcPr>
            <w:tcW w:w="1468" w:type="pct"/>
            <w:tcBorders>
              <w:right w:val="single" w:sz="4" w:space="0" w:color="auto"/>
            </w:tcBorders>
            <w:shd w:val="clear" w:color="auto" w:fill="auto"/>
          </w:tcPr>
          <w:p w:rsidR="00A03045" w:rsidRPr="00C73E59" w:rsidRDefault="00E464BD" w:rsidP="00763605">
            <w:pPr>
              <w:spacing w:after="60"/>
              <w:jc w:val="right"/>
              <w:rPr>
                <w:sz w:val="18"/>
                <w:szCs w:val="18"/>
              </w:rPr>
            </w:pPr>
            <w:r>
              <w:rPr>
                <w:sz w:val="18"/>
                <w:szCs w:val="18"/>
              </w:rPr>
              <w:t>26,100</w:t>
            </w:r>
          </w:p>
        </w:tc>
        <w:tc>
          <w:tcPr>
            <w:tcW w:w="1595" w:type="pct"/>
            <w:tcBorders>
              <w:left w:val="single" w:sz="4" w:space="0" w:color="auto"/>
            </w:tcBorders>
            <w:shd w:val="clear" w:color="auto" w:fill="auto"/>
          </w:tcPr>
          <w:p w:rsidR="00A03045" w:rsidRPr="00C73E59" w:rsidRDefault="00E464BD" w:rsidP="00763605">
            <w:pPr>
              <w:spacing w:after="60"/>
              <w:jc w:val="right"/>
              <w:rPr>
                <w:sz w:val="18"/>
                <w:szCs w:val="18"/>
              </w:rPr>
            </w:pPr>
            <w:r>
              <w:rPr>
                <w:sz w:val="18"/>
                <w:szCs w:val="18"/>
              </w:rPr>
              <w:t>3,393</w:t>
            </w:r>
          </w:p>
        </w:tc>
      </w:tr>
      <w:tr w:rsidR="00DC1645" w:rsidRPr="00C73E59" w:rsidTr="00763605">
        <w:trPr>
          <w:trHeight w:val="102"/>
        </w:trPr>
        <w:tc>
          <w:tcPr>
            <w:tcW w:w="1937" w:type="pct"/>
            <w:shd w:val="clear" w:color="auto" w:fill="auto"/>
          </w:tcPr>
          <w:p w:rsidR="00A03045" w:rsidRPr="00C73E59" w:rsidRDefault="00A03045" w:rsidP="00763605">
            <w:pPr>
              <w:spacing w:after="60"/>
              <w:rPr>
                <w:b/>
                <w:sz w:val="18"/>
                <w:szCs w:val="18"/>
              </w:rPr>
            </w:pPr>
            <w:r w:rsidRPr="00C73E59">
              <w:rPr>
                <w:b/>
                <w:sz w:val="18"/>
                <w:szCs w:val="18"/>
              </w:rPr>
              <w:t>Total</w:t>
            </w:r>
          </w:p>
        </w:tc>
        <w:tc>
          <w:tcPr>
            <w:tcW w:w="1470" w:type="pct"/>
            <w:tcBorders>
              <w:right w:val="single" w:sz="4" w:space="0" w:color="auto"/>
            </w:tcBorders>
            <w:shd w:val="clear" w:color="auto" w:fill="auto"/>
          </w:tcPr>
          <w:p w:rsidR="00A03045" w:rsidRPr="00C73E59" w:rsidRDefault="00E464BD" w:rsidP="00763605">
            <w:pPr>
              <w:spacing w:after="60"/>
              <w:jc w:val="right"/>
              <w:rPr>
                <w:sz w:val="18"/>
                <w:szCs w:val="18"/>
              </w:rPr>
            </w:pPr>
            <w:r>
              <w:rPr>
                <w:sz w:val="18"/>
                <w:szCs w:val="18"/>
              </w:rPr>
              <w:t>130,950</w:t>
            </w:r>
          </w:p>
        </w:tc>
        <w:tc>
          <w:tcPr>
            <w:tcW w:w="1593" w:type="pct"/>
            <w:tcBorders>
              <w:left w:val="single" w:sz="4" w:space="0" w:color="auto"/>
            </w:tcBorders>
            <w:shd w:val="clear" w:color="auto" w:fill="auto"/>
          </w:tcPr>
          <w:p w:rsidR="00A03045" w:rsidRPr="00C73E59" w:rsidRDefault="00E464BD" w:rsidP="00170FFC">
            <w:pPr>
              <w:spacing w:after="60"/>
              <w:jc w:val="right"/>
              <w:rPr>
                <w:sz w:val="18"/>
                <w:szCs w:val="18"/>
              </w:rPr>
            </w:pPr>
            <w:r>
              <w:rPr>
                <w:sz w:val="18"/>
                <w:szCs w:val="18"/>
              </w:rPr>
              <w:t>12,</w:t>
            </w:r>
            <w:r w:rsidR="00170FFC">
              <w:rPr>
                <w:sz w:val="18"/>
                <w:szCs w:val="18"/>
              </w:rPr>
              <w:t>830</w:t>
            </w:r>
          </w:p>
        </w:tc>
      </w:tr>
      <w:tr w:rsidR="00DC1645" w:rsidRPr="00C73E59" w:rsidTr="00763605">
        <w:trPr>
          <w:trHeight w:val="102"/>
        </w:trPr>
        <w:tc>
          <w:tcPr>
            <w:tcW w:w="1937" w:type="pct"/>
            <w:shd w:val="clear" w:color="auto" w:fill="auto"/>
          </w:tcPr>
          <w:p w:rsidR="00A03045" w:rsidRPr="00C73E59" w:rsidRDefault="00A03045" w:rsidP="00763605">
            <w:pPr>
              <w:spacing w:after="60"/>
              <w:rPr>
                <w:sz w:val="18"/>
                <w:szCs w:val="18"/>
              </w:rPr>
            </w:pPr>
            <w:r w:rsidRPr="00C73E59">
              <w:rPr>
                <w:b/>
                <w:sz w:val="18"/>
                <w:szCs w:val="18"/>
              </w:rPr>
              <w:t>Funding request:</w:t>
            </w:r>
          </w:p>
        </w:tc>
        <w:tc>
          <w:tcPr>
            <w:tcW w:w="3063" w:type="pct"/>
            <w:gridSpan w:val="2"/>
            <w:shd w:val="clear" w:color="auto" w:fill="auto"/>
          </w:tcPr>
          <w:p w:rsidR="00A03045" w:rsidRPr="00C73E59" w:rsidRDefault="00A03045" w:rsidP="00763605">
            <w:pPr>
              <w:spacing w:after="60"/>
              <w:jc w:val="center"/>
              <w:rPr>
                <w:sz w:val="18"/>
                <w:szCs w:val="18"/>
              </w:rPr>
            </w:pPr>
            <w:r w:rsidRPr="00C73E59">
              <w:rPr>
                <w:sz w:val="18"/>
                <w:szCs w:val="18"/>
              </w:rPr>
              <w:t>Approval of funding for the first tranche (2016) as indicated above</w:t>
            </w:r>
          </w:p>
        </w:tc>
      </w:tr>
      <w:tr w:rsidR="00DC1645" w:rsidRPr="00C73E59" w:rsidTr="00763605">
        <w:trPr>
          <w:trHeight w:val="102"/>
        </w:trPr>
        <w:tc>
          <w:tcPr>
            <w:tcW w:w="1937" w:type="pct"/>
            <w:shd w:val="clear" w:color="auto" w:fill="auto"/>
          </w:tcPr>
          <w:p w:rsidR="00A03045" w:rsidRPr="00C73E59" w:rsidRDefault="00A03045" w:rsidP="00763605">
            <w:pPr>
              <w:spacing w:after="60"/>
              <w:rPr>
                <w:sz w:val="18"/>
                <w:szCs w:val="18"/>
              </w:rPr>
            </w:pPr>
            <w:r w:rsidRPr="00C73E59">
              <w:rPr>
                <w:b/>
                <w:sz w:val="18"/>
                <w:szCs w:val="18"/>
              </w:rPr>
              <w:t>Secretariat's recommendation:</w:t>
            </w:r>
          </w:p>
        </w:tc>
        <w:tc>
          <w:tcPr>
            <w:tcW w:w="3063" w:type="pct"/>
            <w:gridSpan w:val="2"/>
            <w:shd w:val="clear" w:color="auto" w:fill="auto"/>
          </w:tcPr>
          <w:p w:rsidR="00A03045" w:rsidRPr="00C73E59" w:rsidRDefault="00A03045" w:rsidP="00763605">
            <w:pPr>
              <w:spacing w:after="60"/>
              <w:jc w:val="center"/>
              <w:rPr>
                <w:sz w:val="18"/>
                <w:szCs w:val="18"/>
              </w:rPr>
            </w:pPr>
            <w:r w:rsidRPr="00C73E59">
              <w:rPr>
                <w:sz w:val="18"/>
                <w:szCs w:val="18"/>
              </w:rPr>
              <w:t>For individual consideration</w:t>
            </w:r>
          </w:p>
        </w:tc>
      </w:tr>
    </w:tbl>
    <w:p w:rsidR="00A03045" w:rsidRPr="00C73E59" w:rsidRDefault="00A03045" w:rsidP="00A03045">
      <w:pPr>
        <w:rPr>
          <w:lang w:val="en-CA"/>
        </w:rPr>
      </w:pPr>
      <w:r w:rsidRPr="00C73E59">
        <w:rPr>
          <w:lang w:val="en-CA"/>
        </w:rPr>
        <w:br w:type="page"/>
      </w:r>
    </w:p>
    <w:p w:rsidR="00A03045" w:rsidRPr="00C70B37" w:rsidRDefault="00A03045" w:rsidP="00442121">
      <w:pPr>
        <w:spacing w:after="240"/>
        <w:jc w:val="center"/>
        <w:rPr>
          <w:b/>
          <w:lang w:val="en-CA"/>
        </w:rPr>
      </w:pPr>
      <w:r w:rsidRPr="00C70B37">
        <w:rPr>
          <w:b/>
          <w:lang w:val="en-CA"/>
        </w:rPr>
        <w:lastRenderedPageBreak/>
        <w:t>PROJECT DESCRIPTION</w:t>
      </w:r>
    </w:p>
    <w:p w:rsidR="00A03045" w:rsidRPr="00C33CB2" w:rsidRDefault="00A03045" w:rsidP="00442121">
      <w:pPr>
        <w:pStyle w:val="Heading1"/>
        <w:numPr>
          <w:ilvl w:val="0"/>
          <w:numId w:val="49"/>
        </w:numPr>
        <w:rPr>
          <w:lang w:val="en-CA"/>
        </w:rPr>
      </w:pPr>
      <w:r w:rsidRPr="00C33CB2">
        <w:rPr>
          <w:lang w:val="en-CA"/>
        </w:rPr>
        <w:t xml:space="preserve">On behalf of the Government of </w:t>
      </w:r>
      <w:r w:rsidR="001637DE" w:rsidRPr="00C33CB2">
        <w:rPr>
          <w:lang w:val="en-CA"/>
        </w:rPr>
        <w:t>the Republic of Moldova</w:t>
      </w:r>
      <w:r w:rsidRPr="00C33CB2">
        <w:rPr>
          <w:lang w:val="en-CA"/>
        </w:rPr>
        <w:t xml:space="preserve">, </w:t>
      </w:r>
      <w:r w:rsidR="00763605" w:rsidRPr="00C33CB2">
        <w:rPr>
          <w:lang w:val="en-CA"/>
        </w:rPr>
        <w:t>UNDP</w:t>
      </w:r>
      <w:r w:rsidR="0008789D" w:rsidRPr="00C70B37">
        <w:rPr>
          <w:rStyle w:val="FootnoteReference"/>
          <w:lang w:val="en-CA"/>
        </w:rPr>
        <w:footnoteReference w:id="1"/>
      </w:r>
      <w:r w:rsidRPr="00C33CB2">
        <w:rPr>
          <w:lang w:val="en-CA"/>
        </w:rPr>
        <w:t xml:space="preserve"> as the lead implementing agency, has submitted to the 7</w:t>
      </w:r>
      <w:r w:rsidR="00763605" w:rsidRPr="00C33CB2">
        <w:rPr>
          <w:lang w:val="en-CA"/>
        </w:rPr>
        <w:t>7</w:t>
      </w:r>
      <w:r w:rsidRPr="00C33CB2">
        <w:rPr>
          <w:vertAlign w:val="superscript"/>
          <w:lang w:val="en-CA"/>
        </w:rPr>
        <w:t>th</w:t>
      </w:r>
      <w:r w:rsidRPr="00C33CB2">
        <w:rPr>
          <w:lang w:val="en-CA"/>
        </w:rPr>
        <w:t xml:space="preserve"> meeting stage II of the HCFC phase</w:t>
      </w:r>
      <w:r w:rsidRPr="00C33CB2">
        <w:rPr>
          <w:lang w:val="en-CA"/>
        </w:rPr>
        <w:noBreakHyphen/>
        <w:t>out management plan (HPMP) at a total cost of US $</w:t>
      </w:r>
      <w:r w:rsidR="000964D5" w:rsidRPr="00C33CB2">
        <w:rPr>
          <w:lang w:val="en-CA"/>
        </w:rPr>
        <w:t>192,293</w:t>
      </w:r>
      <w:r w:rsidRPr="00C33CB2">
        <w:rPr>
          <w:lang w:val="en-CA"/>
        </w:rPr>
        <w:t>, consisting of US $</w:t>
      </w:r>
      <w:r w:rsidR="000964D5" w:rsidRPr="00C33CB2">
        <w:rPr>
          <w:lang w:val="en-CA"/>
        </w:rPr>
        <w:t>122,300</w:t>
      </w:r>
      <w:r w:rsidRPr="00C33CB2">
        <w:rPr>
          <w:lang w:val="en-CA"/>
        </w:rPr>
        <w:t>, plus agency support costs of US $</w:t>
      </w:r>
      <w:r w:rsidR="000964D5" w:rsidRPr="00C33CB2">
        <w:rPr>
          <w:lang w:val="en-CA"/>
        </w:rPr>
        <w:t>11,007</w:t>
      </w:r>
      <w:r w:rsidRPr="00C33CB2">
        <w:rPr>
          <w:lang w:val="en-CA"/>
        </w:rPr>
        <w:t xml:space="preserve"> for </w:t>
      </w:r>
      <w:r w:rsidR="00763605" w:rsidRPr="00C33CB2">
        <w:rPr>
          <w:lang w:val="en-CA"/>
        </w:rPr>
        <w:t>UNDP</w:t>
      </w:r>
      <w:r w:rsidRPr="00C33CB2">
        <w:rPr>
          <w:lang w:val="en-CA"/>
        </w:rPr>
        <w:t>, and US $</w:t>
      </w:r>
      <w:r w:rsidR="000964D5" w:rsidRPr="00C33CB2">
        <w:rPr>
          <w:lang w:val="en-CA"/>
        </w:rPr>
        <w:t>52,200</w:t>
      </w:r>
      <w:r w:rsidRPr="00C33CB2">
        <w:rPr>
          <w:lang w:val="en-CA"/>
        </w:rPr>
        <w:t>, plus agency support costs of US $</w:t>
      </w:r>
      <w:r w:rsidR="000964D5" w:rsidRPr="00C33CB2">
        <w:rPr>
          <w:lang w:val="en-CA"/>
        </w:rPr>
        <w:t>6,786</w:t>
      </w:r>
      <w:r w:rsidRPr="00C33CB2">
        <w:rPr>
          <w:lang w:val="en-CA"/>
        </w:rPr>
        <w:t xml:space="preserve"> for UNEP, as originally submitted. The implementation of stage</w:t>
      </w:r>
      <w:r w:rsidR="00413F05" w:rsidRPr="00C33CB2">
        <w:rPr>
          <w:lang w:val="en-CA"/>
        </w:rPr>
        <w:t xml:space="preserve"> II of the HPMP will phase </w:t>
      </w:r>
      <w:r w:rsidR="00213E09" w:rsidRPr="00C33CB2">
        <w:rPr>
          <w:lang w:val="en-CA"/>
        </w:rPr>
        <w:t>out 0.</w:t>
      </w:r>
      <w:r w:rsidR="002430B2" w:rsidRPr="00C33CB2">
        <w:rPr>
          <w:lang w:val="en-CA"/>
        </w:rPr>
        <w:t>2</w:t>
      </w:r>
      <w:r w:rsidRPr="00C33CB2">
        <w:rPr>
          <w:lang w:val="en-CA"/>
        </w:rPr>
        <w:t xml:space="preserve">5 ODP tonnes of HCFCs and assist </w:t>
      </w:r>
      <w:r w:rsidR="00413F05" w:rsidRPr="00C33CB2">
        <w:rPr>
          <w:lang w:val="en-CA"/>
        </w:rPr>
        <w:t>t</w:t>
      </w:r>
      <w:r w:rsidR="001637DE" w:rsidRPr="00C33CB2">
        <w:rPr>
          <w:lang w:val="en-CA"/>
        </w:rPr>
        <w:t>he Republic of Moldova</w:t>
      </w:r>
      <w:r w:rsidRPr="00C33CB2">
        <w:rPr>
          <w:lang w:val="en-CA"/>
        </w:rPr>
        <w:t xml:space="preserve"> in meeting the Montreal Protocol compliance target of 35 per cent reduction from baseline consumption by 2020.</w:t>
      </w:r>
    </w:p>
    <w:p w:rsidR="00A03045" w:rsidRPr="00C70B37" w:rsidRDefault="00A03045" w:rsidP="00442121">
      <w:pPr>
        <w:pStyle w:val="Heading1"/>
        <w:rPr>
          <w:lang w:val="en-CA"/>
        </w:rPr>
      </w:pPr>
      <w:r w:rsidRPr="00C70B37">
        <w:rPr>
          <w:lang w:val="en-CA"/>
        </w:rPr>
        <w:t xml:space="preserve">The first tranche for stage II of the HPMP being requested </w:t>
      </w:r>
      <w:r w:rsidR="00485E0B" w:rsidRPr="00C70B37">
        <w:rPr>
          <w:lang w:val="en-CA"/>
        </w:rPr>
        <w:t>at this meeting amounts to US $</w:t>
      </w:r>
      <w:r w:rsidR="00E211F6" w:rsidRPr="00C70B37">
        <w:rPr>
          <w:lang w:val="en-CA"/>
        </w:rPr>
        <w:t>143,</w:t>
      </w:r>
      <w:r w:rsidR="00170FFC" w:rsidRPr="00C70B37">
        <w:rPr>
          <w:lang w:val="en-CA"/>
        </w:rPr>
        <w:t>780</w:t>
      </w:r>
      <w:r w:rsidRPr="00C70B37">
        <w:rPr>
          <w:lang w:val="en-CA"/>
        </w:rPr>
        <w:t>, consisting of US $</w:t>
      </w:r>
      <w:r w:rsidR="00E211F6" w:rsidRPr="00C70B37">
        <w:rPr>
          <w:lang w:val="en-CA"/>
        </w:rPr>
        <w:t>104,850</w:t>
      </w:r>
      <w:r w:rsidRPr="00C70B37">
        <w:rPr>
          <w:lang w:val="en-CA"/>
        </w:rPr>
        <w:t>, plus agency support costs of US $</w:t>
      </w:r>
      <w:r w:rsidR="00E211F6" w:rsidRPr="00C70B37">
        <w:rPr>
          <w:lang w:val="en-CA"/>
        </w:rPr>
        <w:t>9,</w:t>
      </w:r>
      <w:r w:rsidR="00170FFC" w:rsidRPr="00C70B37">
        <w:rPr>
          <w:lang w:val="en-CA"/>
        </w:rPr>
        <w:t xml:space="preserve">437 </w:t>
      </w:r>
      <w:r w:rsidRPr="00C70B37">
        <w:rPr>
          <w:lang w:val="en-CA"/>
        </w:rPr>
        <w:t xml:space="preserve">for </w:t>
      </w:r>
      <w:r w:rsidR="00763605" w:rsidRPr="00C70B37">
        <w:rPr>
          <w:lang w:val="en-CA"/>
        </w:rPr>
        <w:t>UNDP</w:t>
      </w:r>
      <w:r w:rsidRPr="00C70B37">
        <w:rPr>
          <w:lang w:val="en-CA"/>
        </w:rPr>
        <w:t>, and US $</w:t>
      </w:r>
      <w:r w:rsidR="00E211F6" w:rsidRPr="00C70B37">
        <w:rPr>
          <w:lang w:val="en-CA"/>
        </w:rPr>
        <w:t>26,1</w:t>
      </w:r>
      <w:r w:rsidRPr="00C70B37">
        <w:rPr>
          <w:lang w:val="en-CA"/>
        </w:rPr>
        <w:t>00, plus agency support costs of US $</w:t>
      </w:r>
      <w:r w:rsidR="00E211F6" w:rsidRPr="00C70B37">
        <w:rPr>
          <w:lang w:val="en-CA"/>
        </w:rPr>
        <w:t>3,393</w:t>
      </w:r>
      <w:r w:rsidRPr="00C70B37">
        <w:rPr>
          <w:lang w:val="en-CA"/>
        </w:rPr>
        <w:t xml:space="preserve"> for UNEP, as originally submitted.</w:t>
      </w:r>
    </w:p>
    <w:p w:rsidR="00A03045" w:rsidRPr="00C70B37" w:rsidRDefault="00A03045" w:rsidP="00442121">
      <w:pPr>
        <w:spacing w:after="240"/>
        <w:rPr>
          <w:b/>
        </w:rPr>
      </w:pPr>
      <w:r w:rsidRPr="00C70B37">
        <w:rPr>
          <w:b/>
        </w:rPr>
        <w:t>Status</w:t>
      </w:r>
      <w:r w:rsidR="0090042A" w:rsidRPr="00C70B37">
        <w:rPr>
          <w:b/>
        </w:rPr>
        <w:t xml:space="preserve"> of</w:t>
      </w:r>
      <w:r w:rsidRPr="00C70B37">
        <w:rPr>
          <w:b/>
        </w:rPr>
        <w:t> implementation of stage I of the HPMP</w:t>
      </w:r>
    </w:p>
    <w:p w:rsidR="002430B2" w:rsidRPr="00C70B37" w:rsidRDefault="002430B2" w:rsidP="00442121">
      <w:pPr>
        <w:pStyle w:val="Heading1"/>
      </w:pPr>
      <w:r w:rsidRPr="00C70B37">
        <w:t>Stage I of the HPMP for Moldova was approved at the 63</w:t>
      </w:r>
      <w:r w:rsidRPr="00C70B37">
        <w:rPr>
          <w:vertAlign w:val="superscript"/>
        </w:rPr>
        <w:t>rd</w:t>
      </w:r>
      <w:r w:rsidRPr="00C70B37">
        <w:t xml:space="preserve"> meeting to meet the 10 per cent reduction from the </w:t>
      </w:r>
      <w:r w:rsidR="00E464BD" w:rsidRPr="00C70B37">
        <w:t xml:space="preserve">estimated </w:t>
      </w:r>
      <w:r w:rsidR="00170FFC" w:rsidRPr="00C70B37">
        <w:t xml:space="preserve">HCFC </w:t>
      </w:r>
      <w:r w:rsidRPr="00C70B37">
        <w:t xml:space="preserve">baseline </w:t>
      </w:r>
      <w:r w:rsidR="00E464BD" w:rsidRPr="00C70B37">
        <w:t xml:space="preserve">of </w:t>
      </w:r>
      <w:r w:rsidRPr="00C70B37">
        <w:t>2.3 ODP tonnes by 2015. At the 74</w:t>
      </w:r>
      <w:r w:rsidRPr="00C70B37">
        <w:rPr>
          <w:vertAlign w:val="superscript"/>
        </w:rPr>
        <w:t>th</w:t>
      </w:r>
      <w:r w:rsidRPr="00C70B37">
        <w:t xml:space="preserve"> meeting, this baseline was officially revised (i.e.</w:t>
      </w:r>
      <w:r w:rsidR="00BD6C70" w:rsidRPr="00C70B37">
        <w:t>,</w:t>
      </w:r>
      <w:r w:rsidRPr="00C70B37">
        <w:t xml:space="preserve"> 1.0 ODP tonne), thereby adjusting the country’s starting point</w:t>
      </w:r>
      <w:r w:rsidR="00170FFC" w:rsidRPr="00C70B37">
        <w:t xml:space="preserve"> for aggregate reduction </w:t>
      </w:r>
      <w:r w:rsidR="001601F4" w:rsidRPr="00C70B37">
        <w:t>i</w:t>
      </w:r>
      <w:r w:rsidR="00170FFC" w:rsidRPr="00C70B37">
        <w:t xml:space="preserve">n HCFC consumption, and </w:t>
      </w:r>
      <w:r w:rsidR="0090042A" w:rsidRPr="00C70B37">
        <w:t>the funding eligibility from US $88,000 to US $66,000</w:t>
      </w:r>
      <w:r w:rsidR="00B42FEC" w:rsidRPr="00C70B37">
        <w:t xml:space="preserve">, </w:t>
      </w:r>
      <w:r w:rsidR="00170FFC" w:rsidRPr="00C70B37">
        <w:t>noting</w:t>
      </w:r>
      <w:r w:rsidR="0090042A" w:rsidRPr="00C70B37">
        <w:t xml:space="preserve"> that the deduction of US $22,000 would be made when stage II of the HPMP </w:t>
      </w:r>
      <w:r w:rsidR="00170FFC" w:rsidRPr="00C70B37">
        <w:t xml:space="preserve">was </w:t>
      </w:r>
      <w:r w:rsidR="0090042A" w:rsidRPr="00C70B37">
        <w:t>considered.</w:t>
      </w:r>
      <w:r w:rsidR="00170FFC" w:rsidRPr="00C70B37">
        <w:rPr>
          <w:rStyle w:val="FootnoteReference"/>
        </w:rPr>
        <w:footnoteReference w:id="2"/>
      </w:r>
      <w:r w:rsidR="00CA710F">
        <w:t xml:space="preserve"> </w:t>
      </w:r>
      <w:r w:rsidR="0090042A" w:rsidRPr="00C70B37">
        <w:t xml:space="preserve">Stage I of the HPMP would phase out 0.1 ODP tonnes of HCFC-22 used in the servicing sector. </w:t>
      </w:r>
    </w:p>
    <w:p w:rsidR="0090042A" w:rsidRPr="00C70B37" w:rsidRDefault="0090042A" w:rsidP="00442121">
      <w:pPr>
        <w:spacing w:after="240"/>
        <w:rPr>
          <w:u w:val="single"/>
        </w:rPr>
      </w:pPr>
      <w:r w:rsidRPr="00C70B37">
        <w:rPr>
          <w:u w:val="single"/>
        </w:rPr>
        <w:t>ODS policy and regulatory framework</w:t>
      </w:r>
    </w:p>
    <w:p w:rsidR="001601F4" w:rsidRPr="00C70B37" w:rsidRDefault="0090042A" w:rsidP="00442121">
      <w:pPr>
        <w:pStyle w:val="Heading1"/>
        <w:rPr>
          <w:lang w:val="en-US"/>
        </w:rPr>
      </w:pPr>
      <w:r w:rsidRPr="00C70B37">
        <w:rPr>
          <w:lang w:val="en-US"/>
        </w:rPr>
        <w:t xml:space="preserve">The HCFC licensing system </w:t>
      </w:r>
      <w:r w:rsidR="001A75C1" w:rsidRPr="00C70B37">
        <w:rPr>
          <w:lang w:val="en-US"/>
        </w:rPr>
        <w:t>is operational since 2013</w:t>
      </w:r>
      <w:r w:rsidR="001601F4" w:rsidRPr="00C70B37">
        <w:rPr>
          <w:lang w:val="en-US"/>
        </w:rPr>
        <w:t>;</w:t>
      </w:r>
      <w:r w:rsidR="001A75C1" w:rsidRPr="00C70B37">
        <w:rPr>
          <w:lang w:val="en-US"/>
        </w:rPr>
        <w:t xml:space="preserve"> importers continue to be registered and are issued licenses to import/export HCFCs according to the quota set by the Government which is in line with Montreal Protocol control measures. </w:t>
      </w:r>
      <w:r w:rsidR="001601F4" w:rsidRPr="00C70B37">
        <w:rPr>
          <w:lang w:val="en-US"/>
        </w:rPr>
        <w:t>A total of 26 trainers and 26 customs officers were trained in monitoring the import and export of ODS, including HCFCs and HCFC-based equipment; the handbook for customs officers was adjusted to include new customs codes; and three portable refrigerant identifiers were provided to the Customs authority.</w:t>
      </w:r>
    </w:p>
    <w:p w:rsidR="0082449E" w:rsidRPr="00C70B37" w:rsidRDefault="001A75C1" w:rsidP="00442121">
      <w:pPr>
        <w:pStyle w:val="Heading1"/>
        <w:rPr>
          <w:lang w:val="en-US"/>
        </w:rPr>
      </w:pPr>
      <w:r w:rsidRPr="00C70B37">
        <w:rPr>
          <w:lang w:val="en-US"/>
        </w:rPr>
        <w:t xml:space="preserve">The Republic of Moldova signed an Association Agreement </w:t>
      </w:r>
      <w:r w:rsidR="00CD0A79" w:rsidRPr="00C70B37">
        <w:rPr>
          <w:lang w:val="en-US"/>
        </w:rPr>
        <w:t>with the European Union (EU)</w:t>
      </w:r>
      <w:proofErr w:type="gramStart"/>
      <w:r w:rsidR="00CD0A79" w:rsidRPr="00C70B37">
        <w:rPr>
          <w:lang w:val="en-US"/>
        </w:rPr>
        <w:t>,</w:t>
      </w:r>
      <w:proofErr w:type="gramEnd"/>
      <w:r w:rsidR="00CD0A79" w:rsidRPr="00C70B37">
        <w:rPr>
          <w:lang w:val="en-US"/>
        </w:rPr>
        <w:t xml:space="preserve"> </w:t>
      </w:r>
      <w:r w:rsidRPr="00C70B37">
        <w:rPr>
          <w:lang w:val="en-US"/>
        </w:rPr>
        <w:t xml:space="preserve">effective September 2014 which commits </w:t>
      </w:r>
      <w:r w:rsidR="001601F4" w:rsidRPr="00C70B37">
        <w:rPr>
          <w:lang w:val="en-US"/>
        </w:rPr>
        <w:t xml:space="preserve">the country </w:t>
      </w:r>
      <w:r w:rsidR="00CD0A79" w:rsidRPr="00C70B37">
        <w:rPr>
          <w:lang w:val="en-US"/>
        </w:rPr>
        <w:t xml:space="preserve">to </w:t>
      </w:r>
      <w:r w:rsidRPr="00C70B37">
        <w:rPr>
          <w:lang w:val="en-US"/>
        </w:rPr>
        <w:t xml:space="preserve">converge its policies and legislation to those of the </w:t>
      </w:r>
      <w:r w:rsidR="001601F4" w:rsidRPr="00C70B37">
        <w:rPr>
          <w:lang w:val="en-US"/>
        </w:rPr>
        <w:t>EU</w:t>
      </w:r>
      <w:r w:rsidRPr="00C70B37">
        <w:rPr>
          <w:lang w:val="en-US"/>
        </w:rPr>
        <w:t xml:space="preserve"> including ozone protection </w:t>
      </w:r>
      <w:r w:rsidR="00CD0A79" w:rsidRPr="00C70B37">
        <w:rPr>
          <w:lang w:val="en-US"/>
        </w:rPr>
        <w:t>and climate change, and the country is committed to harmonize its ozone policy with the EU F</w:t>
      </w:r>
      <w:r w:rsidR="00BD6C70" w:rsidRPr="00C70B37">
        <w:rPr>
          <w:lang w:val="en-US"/>
        </w:rPr>
        <w:noBreakHyphen/>
      </w:r>
      <w:r w:rsidR="00D55502" w:rsidRPr="00C70B37">
        <w:rPr>
          <w:lang w:val="en-US"/>
        </w:rPr>
        <w:t>Gas R</w:t>
      </w:r>
      <w:r w:rsidR="00CD0A79" w:rsidRPr="00C70B37">
        <w:rPr>
          <w:lang w:val="en-US"/>
        </w:rPr>
        <w:t xml:space="preserve">egulation. </w:t>
      </w:r>
    </w:p>
    <w:p w:rsidR="00A03045" w:rsidRPr="00C70B37" w:rsidRDefault="00A03045" w:rsidP="00442121">
      <w:pPr>
        <w:spacing w:after="240"/>
        <w:rPr>
          <w:u w:val="single"/>
        </w:rPr>
      </w:pPr>
      <w:r w:rsidRPr="00C70B37">
        <w:rPr>
          <w:u w:val="single"/>
        </w:rPr>
        <w:t>Progress in implementation of stage I activities</w:t>
      </w:r>
    </w:p>
    <w:p w:rsidR="0090042A" w:rsidRPr="00C70B37" w:rsidRDefault="00A03045" w:rsidP="00442121">
      <w:pPr>
        <w:pStyle w:val="Heading1"/>
      </w:pPr>
      <w:r w:rsidRPr="00C70B37">
        <w:t xml:space="preserve">The </w:t>
      </w:r>
      <w:r w:rsidR="00357EBD" w:rsidRPr="00C70B37">
        <w:t>second</w:t>
      </w:r>
      <w:r w:rsidRPr="00C70B37">
        <w:t xml:space="preserve"> (and final) tranche of stage I of the HPMP for </w:t>
      </w:r>
      <w:r w:rsidR="00357EBD" w:rsidRPr="00C70B37">
        <w:t>t</w:t>
      </w:r>
      <w:r w:rsidR="001637DE" w:rsidRPr="00C70B37">
        <w:t>he Republic of Moldova</w:t>
      </w:r>
      <w:r w:rsidR="00357EBD" w:rsidRPr="00C70B37">
        <w:t xml:space="preserve"> was approved at the 74</w:t>
      </w:r>
      <w:r w:rsidR="00357EBD" w:rsidRPr="00C70B37">
        <w:rPr>
          <w:vertAlign w:val="superscript"/>
        </w:rPr>
        <w:t>th</w:t>
      </w:r>
      <w:r w:rsidRPr="00C70B37">
        <w:t> meeting. An overview of the results of the implementation of stage I of the HPMP is presented below.</w:t>
      </w:r>
    </w:p>
    <w:p w:rsidR="0008789D" w:rsidRPr="00C70B37" w:rsidRDefault="00A03045" w:rsidP="00442121">
      <w:pPr>
        <w:pStyle w:val="Heading1"/>
        <w:numPr>
          <w:ilvl w:val="0"/>
          <w:numId w:val="0"/>
        </w:numPr>
      </w:pPr>
      <w:r w:rsidRPr="00C70B37">
        <w:rPr>
          <w:i/>
        </w:rPr>
        <w:t xml:space="preserve">Refrigeration servicing sector </w:t>
      </w:r>
    </w:p>
    <w:p w:rsidR="00D1567F" w:rsidRPr="00C70B37" w:rsidRDefault="0008789D" w:rsidP="00442121">
      <w:pPr>
        <w:pStyle w:val="Heading1"/>
      </w:pPr>
      <w:r w:rsidRPr="00C70B37">
        <w:t>The training and certification system</w:t>
      </w:r>
      <w:r w:rsidR="00953E45" w:rsidRPr="00C70B37">
        <w:t xml:space="preserve"> </w:t>
      </w:r>
      <w:r w:rsidRPr="00C70B37">
        <w:t xml:space="preserve">for refrigeration </w:t>
      </w:r>
      <w:r w:rsidR="00953E45" w:rsidRPr="00C70B37">
        <w:t>service technicians</w:t>
      </w:r>
      <w:r w:rsidR="00494A7C" w:rsidRPr="00C70B37">
        <w:t xml:space="preserve"> </w:t>
      </w:r>
      <w:r w:rsidRPr="00C70B37">
        <w:t>are being developed to be consistent with the</w:t>
      </w:r>
      <w:r w:rsidR="00953E45" w:rsidRPr="00C70B37">
        <w:t xml:space="preserve"> EU </w:t>
      </w:r>
      <w:r w:rsidRPr="00C70B37">
        <w:t>F-</w:t>
      </w:r>
      <w:r w:rsidR="00D55502" w:rsidRPr="00C70B37">
        <w:t>G</w:t>
      </w:r>
      <w:r w:rsidRPr="00C70B37">
        <w:t xml:space="preserve">as </w:t>
      </w:r>
      <w:r w:rsidR="00953E45" w:rsidRPr="00C70B37">
        <w:t>Regulation</w:t>
      </w:r>
      <w:r w:rsidRPr="00C70B37">
        <w:t>;</w:t>
      </w:r>
      <w:r w:rsidR="00953E45" w:rsidRPr="00C70B37">
        <w:t xml:space="preserve"> </w:t>
      </w:r>
      <w:r w:rsidRPr="00C70B37">
        <w:t>the code of good practices in refrigeration and air</w:t>
      </w:r>
      <w:r w:rsidR="00BD6C70" w:rsidRPr="00C70B37">
        <w:noBreakHyphen/>
      </w:r>
      <w:r w:rsidRPr="00C70B37">
        <w:t>conditioning</w:t>
      </w:r>
      <w:r w:rsidR="00D55502" w:rsidRPr="00C70B37">
        <w:t xml:space="preserve"> (RAC)</w:t>
      </w:r>
      <w:r w:rsidRPr="00C70B37">
        <w:t xml:space="preserve"> was updated; 215 technicians were trained and supplied with additional sets of basic recovery equipment and tools (i.e., electronic leak detectors, manifold gauges, hoses, refrigerant recovery units and vacuum pumps); a website </w:t>
      </w:r>
      <w:r w:rsidR="00261B8D" w:rsidRPr="00C70B37">
        <w:t xml:space="preserve">(www//frigotehnica.md) </w:t>
      </w:r>
      <w:r w:rsidRPr="00C70B37">
        <w:t xml:space="preserve">was developed for the association of refrigeration technicians containing information on alternatives; </w:t>
      </w:r>
      <w:r w:rsidR="00261B8D" w:rsidRPr="00C70B37">
        <w:t>new curricul</w:t>
      </w:r>
      <w:r w:rsidRPr="00C70B37">
        <w:t xml:space="preserve">um </w:t>
      </w:r>
      <w:r w:rsidR="00BD6C70" w:rsidRPr="00C70B37">
        <w:t xml:space="preserve">related to refrigerants and the environment, how to use low-global warming potential (GWP) and non-hydrofluorocarbon (HFC) technologies and natural refrigerants </w:t>
      </w:r>
      <w:r w:rsidRPr="00C70B37">
        <w:t>was introduced in the public university</w:t>
      </w:r>
      <w:r w:rsidR="00D1567F" w:rsidRPr="00C70B37">
        <w:t>.</w:t>
      </w:r>
    </w:p>
    <w:p w:rsidR="00A03045" w:rsidRPr="00C70B37" w:rsidRDefault="00A03045" w:rsidP="00442121">
      <w:pPr>
        <w:pStyle w:val="Heading1"/>
        <w:numPr>
          <w:ilvl w:val="0"/>
          <w:numId w:val="0"/>
        </w:numPr>
      </w:pPr>
      <w:r w:rsidRPr="00C70B37">
        <w:rPr>
          <w:i/>
        </w:rPr>
        <w:t>Project implementation and monitoring unit (PMU)</w:t>
      </w:r>
    </w:p>
    <w:p w:rsidR="00BA4D04" w:rsidRPr="00C70B37" w:rsidRDefault="00F73BEB" w:rsidP="00442121">
      <w:pPr>
        <w:pStyle w:val="Heading1"/>
      </w:pPr>
      <w:r w:rsidRPr="00C70B37">
        <w:t>The NOU, within the Ministry of Environment, coordinates the implementation of the HPMP activities with the assistance of national coordinating experts.</w:t>
      </w:r>
    </w:p>
    <w:p w:rsidR="00A03045" w:rsidRPr="00C70B37" w:rsidRDefault="00A03045" w:rsidP="00442121">
      <w:pPr>
        <w:spacing w:after="240"/>
        <w:outlineLvl w:val="0"/>
        <w:rPr>
          <w:i/>
        </w:rPr>
      </w:pPr>
      <w:r w:rsidRPr="00C70B37">
        <w:rPr>
          <w:u w:val="single"/>
        </w:rPr>
        <w:t xml:space="preserve">Status of disbursements </w:t>
      </w:r>
    </w:p>
    <w:p w:rsidR="00BA4D04" w:rsidRPr="00C70B37" w:rsidRDefault="00A03045" w:rsidP="00442121">
      <w:pPr>
        <w:pStyle w:val="Heading1"/>
      </w:pPr>
      <w:r w:rsidRPr="00C70B37">
        <w:t xml:space="preserve">As of </w:t>
      </w:r>
      <w:r w:rsidR="00FE40C0" w:rsidRPr="00C70B37">
        <w:t>August</w:t>
      </w:r>
      <w:r w:rsidRPr="00C70B37">
        <w:t xml:space="preserve"> 2016, of the total funds of US $</w:t>
      </w:r>
      <w:r w:rsidR="00FE40C0" w:rsidRPr="00C70B37">
        <w:t>88,000</w:t>
      </w:r>
      <w:r w:rsidRPr="00C70B37">
        <w:t xml:space="preserve"> so far approved, US $</w:t>
      </w:r>
      <w:r w:rsidR="00FE40C0" w:rsidRPr="00C70B37">
        <w:t>81,386</w:t>
      </w:r>
      <w:r w:rsidRPr="00C70B37">
        <w:t xml:space="preserve"> has been disbursed</w:t>
      </w:r>
      <w:r w:rsidR="00D1567F" w:rsidRPr="00C70B37">
        <w:t xml:space="preserve"> by UNDP</w:t>
      </w:r>
      <w:r w:rsidRPr="00C70B37">
        <w:t>. The remaining US $</w:t>
      </w:r>
      <w:r w:rsidR="00FE40C0" w:rsidRPr="00C70B37">
        <w:t>6,61</w:t>
      </w:r>
      <w:r w:rsidR="001601F4" w:rsidRPr="00C70B37">
        <w:t>4</w:t>
      </w:r>
      <w:r w:rsidRPr="00C70B37">
        <w:t xml:space="preserve"> will be disbursed in 201</w:t>
      </w:r>
      <w:r w:rsidR="00861C90" w:rsidRPr="00C70B37">
        <w:t>7</w:t>
      </w:r>
      <w:r w:rsidRPr="00C70B37">
        <w:t>.</w:t>
      </w:r>
    </w:p>
    <w:p w:rsidR="00D1567F" w:rsidRPr="00C70B37" w:rsidRDefault="00D1567F" w:rsidP="00442121">
      <w:pPr>
        <w:spacing w:after="240"/>
        <w:rPr>
          <w:b/>
        </w:rPr>
      </w:pPr>
      <w:r w:rsidRPr="00C70B37">
        <w:rPr>
          <w:b/>
        </w:rPr>
        <w:t>HCFC consumption</w:t>
      </w:r>
    </w:p>
    <w:p w:rsidR="00D1567F" w:rsidRPr="00C70B37" w:rsidRDefault="001601F4" w:rsidP="00442121">
      <w:pPr>
        <w:pStyle w:val="Heading1"/>
      </w:pPr>
      <w:r w:rsidRPr="00C70B37">
        <w:t>T</w:t>
      </w:r>
      <w:r w:rsidR="00D1567F" w:rsidRPr="00C70B37">
        <w:t xml:space="preserve">he remaining consumption eligible for funding </w:t>
      </w:r>
      <w:r w:rsidRPr="00C70B37">
        <w:t xml:space="preserve">for stage II of the HPMP </w:t>
      </w:r>
      <w:r w:rsidR="00D1567F" w:rsidRPr="00C70B37">
        <w:t>would be 0.90 ODP tonnes. The total phase</w:t>
      </w:r>
      <w:r w:rsidR="00D1567F" w:rsidRPr="00C70B37">
        <w:noBreakHyphen/>
        <w:t>out of HCFC to be achieved in stage</w:t>
      </w:r>
      <w:r w:rsidRPr="00C70B37">
        <w:t>s</w:t>
      </w:r>
      <w:r w:rsidR="00D1567F" w:rsidRPr="00C70B37">
        <w:t> I and II would be 0.35</w:t>
      </w:r>
      <w:r w:rsidR="00351595">
        <w:t> </w:t>
      </w:r>
      <w:r w:rsidR="00D1567F" w:rsidRPr="00C70B37">
        <w:t>ODP tonnes, reducing HCFC consumption by 35 per cent of the baseline</w:t>
      </w:r>
      <w:r w:rsidR="00070382" w:rsidRPr="00C70B37">
        <w:t xml:space="preserve"> in 2020</w:t>
      </w:r>
      <w:r w:rsidR="00D1567F" w:rsidRPr="00C70B37">
        <w:t>.</w:t>
      </w:r>
    </w:p>
    <w:p w:rsidR="00D1567F" w:rsidRPr="00C70B37" w:rsidRDefault="00D1567F" w:rsidP="00442121">
      <w:pPr>
        <w:pStyle w:val="Heading1"/>
        <w:rPr>
          <w:lang w:val="en-CA"/>
        </w:rPr>
      </w:pPr>
      <w:r w:rsidRPr="00C70B37">
        <w:rPr>
          <w:lang w:val="en-CA"/>
        </w:rPr>
        <w:t>The Government of the Republic of Moldova reported a consumption of 0.82 ODP tonnes of HCFC in 2015. The 201</w:t>
      </w:r>
      <w:r w:rsidR="00351595">
        <w:rPr>
          <w:lang w:val="en-CA"/>
        </w:rPr>
        <w:t>1</w:t>
      </w:r>
      <w:r w:rsidRPr="00C70B37">
        <w:rPr>
          <w:lang w:val="en-CA"/>
        </w:rPr>
        <w:noBreakHyphen/>
        <w:t xml:space="preserve">2015 HCFC consumption is shown in Table 2. </w:t>
      </w:r>
    </w:p>
    <w:p w:rsidR="00D1567F" w:rsidRPr="00C73E59" w:rsidRDefault="00D1567F" w:rsidP="00D1567F">
      <w:pPr>
        <w:keepNext/>
        <w:rPr>
          <w:b/>
          <w:lang w:val="en-CA"/>
        </w:rPr>
      </w:pPr>
      <w:proofErr w:type="gramStart"/>
      <w:r w:rsidRPr="00C73E59">
        <w:rPr>
          <w:b/>
          <w:lang w:val="en-CA"/>
        </w:rPr>
        <w:t>Table 2.</w:t>
      </w:r>
      <w:proofErr w:type="gramEnd"/>
      <w:r w:rsidRPr="00C73E59">
        <w:rPr>
          <w:b/>
          <w:lang w:val="en-CA"/>
        </w:rPr>
        <w:t xml:space="preserve"> HCFC-22 consumption in the Republic of Moldova (201</w:t>
      </w:r>
      <w:r w:rsidR="00351595">
        <w:rPr>
          <w:b/>
          <w:lang w:val="en-CA"/>
        </w:rPr>
        <w:t>1</w:t>
      </w:r>
      <w:r w:rsidRPr="00C73E59">
        <w:rPr>
          <w:b/>
          <w:lang w:val="en-CA"/>
        </w:rPr>
        <w:noBreakHyphen/>
        <w:t>2015 Article 7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095"/>
        <w:gridCol w:w="1096"/>
        <w:gridCol w:w="1096"/>
        <w:gridCol w:w="1096"/>
        <w:gridCol w:w="1096"/>
        <w:gridCol w:w="1092"/>
      </w:tblGrid>
      <w:tr w:rsidR="001601F4" w:rsidRPr="00C73E59" w:rsidTr="00C70B37">
        <w:trPr>
          <w:tblHeader/>
        </w:trPr>
        <w:tc>
          <w:tcPr>
            <w:tcW w:w="1546" w:type="pct"/>
            <w:shd w:val="clear" w:color="auto" w:fill="auto"/>
            <w:noWrap/>
            <w:tcMar>
              <w:left w:w="43" w:type="dxa"/>
              <w:right w:w="43" w:type="dxa"/>
            </w:tcMar>
            <w:vAlign w:val="center"/>
            <w:hideMark/>
          </w:tcPr>
          <w:p w:rsidR="001601F4" w:rsidRPr="00C73E59" w:rsidRDefault="001601F4" w:rsidP="00654CD2">
            <w:pPr>
              <w:keepNext/>
              <w:widowControl w:val="0"/>
              <w:jc w:val="center"/>
              <w:rPr>
                <w:b/>
                <w:bCs/>
                <w:sz w:val="20"/>
                <w:szCs w:val="20"/>
                <w:lang w:val="en-CA"/>
              </w:rPr>
            </w:pPr>
            <w:r w:rsidRPr="00C73E59">
              <w:rPr>
                <w:b/>
                <w:bCs/>
                <w:sz w:val="20"/>
                <w:szCs w:val="20"/>
                <w:lang w:val="en-CA"/>
              </w:rPr>
              <w:t>HCFC</w:t>
            </w:r>
            <w:r>
              <w:rPr>
                <w:b/>
                <w:bCs/>
                <w:sz w:val="20"/>
                <w:szCs w:val="20"/>
                <w:lang w:val="en-CA"/>
              </w:rPr>
              <w:t>-22</w:t>
            </w:r>
          </w:p>
        </w:tc>
        <w:tc>
          <w:tcPr>
            <w:tcW w:w="576" w:type="pct"/>
          </w:tcPr>
          <w:p w:rsidR="001601F4" w:rsidRPr="00C73E59" w:rsidRDefault="001601F4" w:rsidP="00654CD2">
            <w:pPr>
              <w:keepNext/>
              <w:jc w:val="center"/>
              <w:rPr>
                <w:b/>
                <w:bCs/>
                <w:sz w:val="20"/>
                <w:szCs w:val="20"/>
                <w:lang w:val="en-CA"/>
              </w:rPr>
            </w:pPr>
            <w:r>
              <w:rPr>
                <w:b/>
                <w:bCs/>
                <w:sz w:val="20"/>
                <w:szCs w:val="20"/>
                <w:lang w:val="en-CA"/>
              </w:rPr>
              <w:t>2011</w:t>
            </w:r>
          </w:p>
        </w:tc>
        <w:tc>
          <w:tcPr>
            <w:tcW w:w="576" w:type="pct"/>
            <w:shd w:val="clear" w:color="auto" w:fill="auto"/>
            <w:noWrap/>
            <w:vAlign w:val="center"/>
            <w:hideMark/>
          </w:tcPr>
          <w:p w:rsidR="001601F4" w:rsidRPr="00C73E59" w:rsidRDefault="001601F4" w:rsidP="00654CD2">
            <w:pPr>
              <w:keepNext/>
              <w:jc w:val="center"/>
              <w:rPr>
                <w:b/>
                <w:bCs/>
                <w:sz w:val="20"/>
                <w:szCs w:val="20"/>
                <w:lang w:val="en-CA"/>
              </w:rPr>
            </w:pPr>
            <w:r w:rsidRPr="00C73E59">
              <w:rPr>
                <w:b/>
                <w:bCs/>
                <w:sz w:val="20"/>
                <w:szCs w:val="20"/>
                <w:lang w:val="en-CA"/>
              </w:rPr>
              <w:t>2012</w:t>
            </w:r>
          </w:p>
        </w:tc>
        <w:tc>
          <w:tcPr>
            <w:tcW w:w="576" w:type="pct"/>
            <w:shd w:val="clear" w:color="auto" w:fill="auto"/>
            <w:noWrap/>
            <w:vAlign w:val="center"/>
            <w:hideMark/>
          </w:tcPr>
          <w:p w:rsidR="001601F4" w:rsidRPr="00C73E59" w:rsidRDefault="001601F4" w:rsidP="00654CD2">
            <w:pPr>
              <w:keepNext/>
              <w:jc w:val="center"/>
              <w:rPr>
                <w:b/>
                <w:bCs/>
                <w:sz w:val="20"/>
                <w:szCs w:val="20"/>
                <w:lang w:val="en-CA"/>
              </w:rPr>
            </w:pPr>
            <w:r w:rsidRPr="00C73E59">
              <w:rPr>
                <w:b/>
                <w:bCs/>
                <w:sz w:val="20"/>
                <w:szCs w:val="20"/>
                <w:lang w:val="en-CA"/>
              </w:rPr>
              <w:t>2013</w:t>
            </w:r>
          </w:p>
        </w:tc>
        <w:tc>
          <w:tcPr>
            <w:tcW w:w="576" w:type="pct"/>
          </w:tcPr>
          <w:p w:rsidR="001601F4" w:rsidRPr="00C73E59" w:rsidRDefault="001601F4" w:rsidP="00654CD2">
            <w:pPr>
              <w:keepNext/>
              <w:jc w:val="center"/>
              <w:rPr>
                <w:b/>
                <w:bCs/>
                <w:sz w:val="20"/>
                <w:szCs w:val="20"/>
                <w:lang w:val="en-CA"/>
              </w:rPr>
            </w:pPr>
            <w:r w:rsidRPr="00C73E59">
              <w:rPr>
                <w:b/>
                <w:bCs/>
                <w:sz w:val="20"/>
                <w:szCs w:val="20"/>
                <w:lang w:val="en-CA"/>
              </w:rPr>
              <w:t>2014</w:t>
            </w:r>
          </w:p>
        </w:tc>
        <w:tc>
          <w:tcPr>
            <w:tcW w:w="576" w:type="pct"/>
          </w:tcPr>
          <w:p w:rsidR="001601F4" w:rsidRPr="00C73E59" w:rsidRDefault="001601F4" w:rsidP="00654CD2">
            <w:pPr>
              <w:keepNext/>
              <w:jc w:val="center"/>
              <w:rPr>
                <w:b/>
                <w:bCs/>
                <w:sz w:val="20"/>
                <w:szCs w:val="20"/>
                <w:lang w:val="en-CA"/>
              </w:rPr>
            </w:pPr>
            <w:r w:rsidRPr="00C73E59">
              <w:rPr>
                <w:b/>
                <w:bCs/>
                <w:sz w:val="20"/>
                <w:szCs w:val="20"/>
                <w:lang w:val="en-CA"/>
              </w:rPr>
              <w:t>2015</w:t>
            </w:r>
          </w:p>
        </w:tc>
        <w:tc>
          <w:tcPr>
            <w:tcW w:w="576" w:type="pct"/>
            <w:shd w:val="clear" w:color="auto" w:fill="auto"/>
            <w:noWrap/>
            <w:vAlign w:val="center"/>
            <w:hideMark/>
          </w:tcPr>
          <w:p w:rsidR="001601F4" w:rsidRPr="00C73E59" w:rsidRDefault="001601F4" w:rsidP="00654CD2">
            <w:pPr>
              <w:keepNext/>
              <w:widowControl w:val="0"/>
              <w:jc w:val="center"/>
              <w:rPr>
                <w:b/>
                <w:bCs/>
                <w:sz w:val="20"/>
                <w:szCs w:val="20"/>
                <w:lang w:val="en-CA"/>
              </w:rPr>
            </w:pPr>
            <w:r w:rsidRPr="00C73E59">
              <w:rPr>
                <w:b/>
                <w:bCs/>
                <w:sz w:val="20"/>
                <w:szCs w:val="20"/>
                <w:lang w:val="en-CA"/>
              </w:rPr>
              <w:t>Baseline</w:t>
            </w:r>
          </w:p>
        </w:tc>
      </w:tr>
      <w:tr w:rsidR="001601F4" w:rsidRPr="00C73E59" w:rsidTr="00C70B37">
        <w:tc>
          <w:tcPr>
            <w:tcW w:w="1546" w:type="pct"/>
            <w:shd w:val="clear" w:color="auto" w:fill="auto"/>
            <w:noWrap/>
            <w:tcMar>
              <w:left w:w="43" w:type="dxa"/>
              <w:right w:w="43" w:type="dxa"/>
            </w:tcMar>
            <w:vAlign w:val="center"/>
            <w:hideMark/>
          </w:tcPr>
          <w:p w:rsidR="001601F4" w:rsidRPr="00C73E59" w:rsidRDefault="001601F4" w:rsidP="00654CD2">
            <w:pPr>
              <w:keepNext/>
              <w:widowControl w:val="0"/>
              <w:jc w:val="left"/>
              <w:rPr>
                <w:b/>
                <w:bCs/>
                <w:sz w:val="20"/>
                <w:szCs w:val="20"/>
                <w:lang w:val="en-CA"/>
              </w:rPr>
            </w:pPr>
            <w:r w:rsidRPr="00C73E59">
              <w:rPr>
                <w:b/>
                <w:bCs/>
                <w:sz w:val="20"/>
                <w:szCs w:val="20"/>
                <w:lang w:val="en-CA"/>
              </w:rPr>
              <w:t>Metric tonnes</w:t>
            </w:r>
          </w:p>
        </w:tc>
        <w:tc>
          <w:tcPr>
            <w:tcW w:w="576" w:type="pct"/>
          </w:tcPr>
          <w:p w:rsidR="001601F4" w:rsidRPr="00C73E59" w:rsidRDefault="00F31E9E" w:rsidP="00654CD2">
            <w:pPr>
              <w:jc w:val="right"/>
              <w:rPr>
                <w:sz w:val="20"/>
                <w:szCs w:val="20"/>
                <w:lang w:val="en-CA"/>
              </w:rPr>
            </w:pPr>
            <w:r>
              <w:rPr>
                <w:sz w:val="20"/>
                <w:szCs w:val="20"/>
                <w:lang w:val="en-CA"/>
              </w:rPr>
              <w:t>23.82</w:t>
            </w:r>
          </w:p>
        </w:tc>
        <w:tc>
          <w:tcPr>
            <w:tcW w:w="576" w:type="pct"/>
            <w:shd w:val="clear" w:color="auto" w:fill="auto"/>
            <w:noWrap/>
            <w:vAlign w:val="bottom"/>
            <w:hideMark/>
          </w:tcPr>
          <w:p w:rsidR="001601F4" w:rsidRPr="00C73E59" w:rsidRDefault="001601F4" w:rsidP="00654CD2">
            <w:pPr>
              <w:jc w:val="right"/>
              <w:rPr>
                <w:sz w:val="20"/>
                <w:szCs w:val="20"/>
                <w:lang w:val="en-CA"/>
              </w:rPr>
            </w:pPr>
            <w:r w:rsidRPr="00C73E59">
              <w:rPr>
                <w:sz w:val="20"/>
                <w:szCs w:val="20"/>
                <w:lang w:val="en-CA"/>
              </w:rPr>
              <w:t>34.2</w:t>
            </w:r>
          </w:p>
        </w:tc>
        <w:tc>
          <w:tcPr>
            <w:tcW w:w="576" w:type="pct"/>
            <w:shd w:val="clear" w:color="auto" w:fill="auto"/>
            <w:noWrap/>
            <w:vAlign w:val="bottom"/>
            <w:hideMark/>
          </w:tcPr>
          <w:p w:rsidR="001601F4" w:rsidRPr="00C73E59" w:rsidRDefault="001601F4" w:rsidP="00654CD2">
            <w:pPr>
              <w:jc w:val="right"/>
              <w:rPr>
                <w:sz w:val="20"/>
                <w:szCs w:val="20"/>
                <w:lang w:val="en-CA"/>
              </w:rPr>
            </w:pPr>
            <w:r w:rsidRPr="00C73E59">
              <w:rPr>
                <w:sz w:val="20"/>
                <w:szCs w:val="20"/>
                <w:lang w:val="en-CA"/>
              </w:rPr>
              <w:t>18.05</w:t>
            </w:r>
          </w:p>
        </w:tc>
        <w:tc>
          <w:tcPr>
            <w:tcW w:w="576" w:type="pct"/>
            <w:vAlign w:val="bottom"/>
          </w:tcPr>
          <w:p w:rsidR="001601F4" w:rsidRPr="00C73E59" w:rsidRDefault="001601F4" w:rsidP="00F31E9E">
            <w:pPr>
              <w:jc w:val="right"/>
              <w:rPr>
                <w:sz w:val="20"/>
                <w:szCs w:val="20"/>
                <w:lang w:val="en-CA"/>
              </w:rPr>
            </w:pPr>
            <w:r w:rsidRPr="00C73E59">
              <w:rPr>
                <w:sz w:val="20"/>
                <w:szCs w:val="20"/>
                <w:lang w:val="en-CA"/>
              </w:rPr>
              <w:t>13.8</w:t>
            </w:r>
            <w:r w:rsidR="00F31E9E">
              <w:rPr>
                <w:sz w:val="20"/>
                <w:szCs w:val="20"/>
                <w:lang w:val="en-CA"/>
              </w:rPr>
              <w:t>1</w:t>
            </w:r>
          </w:p>
        </w:tc>
        <w:tc>
          <w:tcPr>
            <w:tcW w:w="576" w:type="pct"/>
          </w:tcPr>
          <w:p w:rsidR="001601F4" w:rsidRPr="00C73E59" w:rsidRDefault="001601F4" w:rsidP="00654CD2">
            <w:pPr>
              <w:jc w:val="right"/>
              <w:rPr>
                <w:sz w:val="20"/>
                <w:szCs w:val="20"/>
                <w:lang w:val="en-CA"/>
              </w:rPr>
            </w:pPr>
            <w:r w:rsidRPr="00C73E59">
              <w:rPr>
                <w:sz w:val="20"/>
                <w:szCs w:val="20"/>
                <w:lang w:val="en-CA"/>
              </w:rPr>
              <w:t>14.9</w:t>
            </w:r>
            <w:r w:rsidR="00F31E9E">
              <w:rPr>
                <w:sz w:val="20"/>
                <w:szCs w:val="20"/>
                <w:lang w:val="en-CA"/>
              </w:rPr>
              <w:t>0</w:t>
            </w:r>
          </w:p>
        </w:tc>
        <w:tc>
          <w:tcPr>
            <w:tcW w:w="576" w:type="pct"/>
            <w:shd w:val="clear" w:color="auto" w:fill="auto"/>
            <w:noWrap/>
            <w:hideMark/>
          </w:tcPr>
          <w:p w:rsidR="001601F4" w:rsidRPr="00C70B37" w:rsidRDefault="00F31E9E" w:rsidP="00654CD2">
            <w:pPr>
              <w:keepNext/>
              <w:widowControl w:val="0"/>
              <w:jc w:val="right"/>
              <w:rPr>
                <w:bCs/>
                <w:sz w:val="20"/>
                <w:szCs w:val="20"/>
                <w:lang w:val="en-CA"/>
              </w:rPr>
            </w:pPr>
            <w:r w:rsidRPr="00C70B37">
              <w:rPr>
                <w:bCs/>
                <w:sz w:val="20"/>
                <w:szCs w:val="20"/>
                <w:lang w:val="en-CA"/>
              </w:rPr>
              <w:t>18.18</w:t>
            </w:r>
          </w:p>
        </w:tc>
      </w:tr>
      <w:tr w:rsidR="001601F4" w:rsidRPr="00C73E59" w:rsidTr="00C70B37">
        <w:tc>
          <w:tcPr>
            <w:tcW w:w="1546" w:type="pct"/>
            <w:shd w:val="clear" w:color="auto" w:fill="auto"/>
            <w:noWrap/>
            <w:tcMar>
              <w:left w:w="43" w:type="dxa"/>
              <w:right w:w="43" w:type="dxa"/>
            </w:tcMar>
            <w:vAlign w:val="center"/>
            <w:hideMark/>
          </w:tcPr>
          <w:p w:rsidR="001601F4" w:rsidRPr="00C73E59" w:rsidRDefault="001601F4" w:rsidP="00654CD2">
            <w:pPr>
              <w:widowControl w:val="0"/>
              <w:jc w:val="left"/>
              <w:rPr>
                <w:b/>
                <w:bCs/>
                <w:sz w:val="20"/>
                <w:szCs w:val="20"/>
                <w:lang w:val="en-CA"/>
              </w:rPr>
            </w:pPr>
            <w:r w:rsidRPr="00C73E59">
              <w:rPr>
                <w:b/>
                <w:bCs/>
                <w:sz w:val="20"/>
                <w:szCs w:val="20"/>
                <w:lang w:val="en-CA"/>
              </w:rPr>
              <w:t>ODP tonnes</w:t>
            </w:r>
          </w:p>
        </w:tc>
        <w:tc>
          <w:tcPr>
            <w:tcW w:w="576" w:type="pct"/>
          </w:tcPr>
          <w:p w:rsidR="001601F4" w:rsidRPr="00C73E59" w:rsidRDefault="00F31E9E" w:rsidP="00654CD2">
            <w:pPr>
              <w:jc w:val="right"/>
              <w:rPr>
                <w:sz w:val="20"/>
                <w:szCs w:val="20"/>
                <w:lang w:val="en-CA"/>
              </w:rPr>
            </w:pPr>
            <w:r>
              <w:rPr>
                <w:sz w:val="20"/>
                <w:szCs w:val="20"/>
                <w:lang w:val="en-CA"/>
              </w:rPr>
              <w:t>1.31</w:t>
            </w:r>
          </w:p>
        </w:tc>
        <w:tc>
          <w:tcPr>
            <w:tcW w:w="576" w:type="pct"/>
            <w:shd w:val="clear" w:color="auto" w:fill="auto"/>
            <w:noWrap/>
            <w:hideMark/>
          </w:tcPr>
          <w:p w:rsidR="001601F4" w:rsidRPr="00C73E59" w:rsidRDefault="001601F4" w:rsidP="00654CD2">
            <w:pPr>
              <w:jc w:val="right"/>
              <w:rPr>
                <w:sz w:val="20"/>
                <w:szCs w:val="20"/>
                <w:lang w:val="en-CA"/>
              </w:rPr>
            </w:pPr>
            <w:r w:rsidRPr="00C73E59">
              <w:rPr>
                <w:sz w:val="20"/>
                <w:szCs w:val="20"/>
                <w:lang w:val="en-CA"/>
              </w:rPr>
              <w:t>1.88 </w:t>
            </w:r>
          </w:p>
        </w:tc>
        <w:tc>
          <w:tcPr>
            <w:tcW w:w="576" w:type="pct"/>
            <w:shd w:val="clear" w:color="auto" w:fill="auto"/>
            <w:noWrap/>
          </w:tcPr>
          <w:p w:rsidR="001601F4" w:rsidRPr="00C73E59" w:rsidRDefault="001601F4" w:rsidP="00654CD2">
            <w:pPr>
              <w:jc w:val="right"/>
              <w:rPr>
                <w:sz w:val="20"/>
                <w:szCs w:val="20"/>
                <w:lang w:val="en-CA"/>
              </w:rPr>
            </w:pPr>
            <w:r w:rsidRPr="00C73E59">
              <w:rPr>
                <w:sz w:val="20"/>
                <w:szCs w:val="20"/>
                <w:lang w:val="en-CA"/>
              </w:rPr>
              <w:t>0.99 </w:t>
            </w:r>
          </w:p>
        </w:tc>
        <w:tc>
          <w:tcPr>
            <w:tcW w:w="576" w:type="pct"/>
          </w:tcPr>
          <w:p w:rsidR="001601F4" w:rsidRPr="00C73E59" w:rsidRDefault="001601F4" w:rsidP="00654CD2">
            <w:pPr>
              <w:jc w:val="right"/>
              <w:rPr>
                <w:sz w:val="20"/>
                <w:szCs w:val="20"/>
                <w:lang w:val="en-CA"/>
              </w:rPr>
            </w:pPr>
            <w:r w:rsidRPr="00C73E59">
              <w:rPr>
                <w:sz w:val="20"/>
                <w:szCs w:val="20"/>
                <w:lang w:val="en-CA"/>
              </w:rPr>
              <w:t>0.76 </w:t>
            </w:r>
          </w:p>
        </w:tc>
        <w:tc>
          <w:tcPr>
            <w:tcW w:w="576" w:type="pct"/>
          </w:tcPr>
          <w:p w:rsidR="001601F4" w:rsidRPr="00C73E59" w:rsidRDefault="001601F4" w:rsidP="00654CD2">
            <w:pPr>
              <w:jc w:val="right"/>
              <w:rPr>
                <w:sz w:val="20"/>
                <w:szCs w:val="20"/>
                <w:lang w:val="en-CA"/>
              </w:rPr>
            </w:pPr>
            <w:r w:rsidRPr="00C73E59">
              <w:rPr>
                <w:sz w:val="20"/>
                <w:szCs w:val="20"/>
                <w:lang w:val="en-CA"/>
              </w:rPr>
              <w:t>0.82</w:t>
            </w:r>
          </w:p>
        </w:tc>
        <w:tc>
          <w:tcPr>
            <w:tcW w:w="576" w:type="pct"/>
            <w:shd w:val="clear" w:color="auto" w:fill="auto"/>
            <w:noWrap/>
            <w:hideMark/>
          </w:tcPr>
          <w:p w:rsidR="001601F4" w:rsidRPr="00F31E9E" w:rsidRDefault="001601F4" w:rsidP="00654CD2">
            <w:pPr>
              <w:jc w:val="right"/>
              <w:rPr>
                <w:sz w:val="20"/>
                <w:szCs w:val="20"/>
              </w:rPr>
            </w:pPr>
            <w:r w:rsidRPr="00F31E9E">
              <w:rPr>
                <w:sz w:val="20"/>
                <w:szCs w:val="20"/>
              </w:rPr>
              <w:t>1.0</w:t>
            </w:r>
          </w:p>
        </w:tc>
      </w:tr>
    </w:tbl>
    <w:p w:rsidR="00D1567F" w:rsidRPr="00C73E59" w:rsidRDefault="00D1567F" w:rsidP="00473464">
      <w:pPr>
        <w:rPr>
          <w:lang w:val="en-CA"/>
        </w:rPr>
      </w:pPr>
    </w:p>
    <w:p w:rsidR="00D1567F" w:rsidRPr="00C70B37" w:rsidRDefault="009428F4" w:rsidP="00473464">
      <w:pPr>
        <w:pStyle w:val="Heading1"/>
        <w:keepNext/>
        <w:rPr>
          <w:lang w:val="en-CA"/>
        </w:rPr>
      </w:pPr>
      <w:r w:rsidRPr="00C70B37">
        <w:rPr>
          <w:lang w:val="en-CA"/>
        </w:rPr>
        <w:t xml:space="preserve">In 2015, the use of HCFC-22 was </w:t>
      </w:r>
      <w:r w:rsidR="00070382" w:rsidRPr="00C70B37">
        <w:rPr>
          <w:lang w:val="en-CA"/>
        </w:rPr>
        <w:t xml:space="preserve">largely for </w:t>
      </w:r>
      <w:r w:rsidRPr="00C70B37">
        <w:rPr>
          <w:lang w:val="en-CA"/>
        </w:rPr>
        <w:t>se</w:t>
      </w:r>
      <w:r w:rsidR="00576C6A" w:rsidRPr="00C70B37">
        <w:rPr>
          <w:lang w:val="en-CA"/>
        </w:rPr>
        <w:t>rvicing</w:t>
      </w:r>
      <w:r w:rsidR="00070382" w:rsidRPr="00C70B37">
        <w:rPr>
          <w:lang w:val="en-CA"/>
        </w:rPr>
        <w:t>,</w:t>
      </w:r>
      <w:r w:rsidR="00576C6A" w:rsidRPr="00C70B37">
        <w:rPr>
          <w:lang w:val="en-CA"/>
        </w:rPr>
        <w:t xml:space="preserve"> </w:t>
      </w:r>
      <w:r w:rsidR="00070382" w:rsidRPr="00C70B37">
        <w:rPr>
          <w:lang w:val="en-CA"/>
        </w:rPr>
        <w:t xml:space="preserve">and some </w:t>
      </w:r>
      <w:r w:rsidR="00070382" w:rsidRPr="00C70B37">
        <w:t>assembly of refrigeration equipment</w:t>
      </w:r>
      <w:r w:rsidR="00070382" w:rsidRPr="00C70B37">
        <w:rPr>
          <w:lang w:val="en-CA"/>
        </w:rPr>
        <w:t xml:space="preserve"> </w:t>
      </w:r>
      <w:r w:rsidRPr="00F76E75">
        <w:rPr>
          <w:lang w:val="en-CA"/>
        </w:rPr>
        <w:t>(</w:t>
      </w:r>
      <w:r w:rsidR="00576C6A" w:rsidRPr="00F76E75">
        <w:rPr>
          <w:lang w:val="en-CA"/>
        </w:rPr>
        <w:t xml:space="preserve">i.e., </w:t>
      </w:r>
      <w:r w:rsidR="00F76E75" w:rsidRPr="00F76E75">
        <w:rPr>
          <w:lang w:val="en-CA"/>
        </w:rPr>
        <w:t>9</w:t>
      </w:r>
      <w:r w:rsidRPr="00F76E75">
        <w:rPr>
          <w:lang w:val="en-CA"/>
        </w:rPr>
        <w:t xml:space="preserve">2 per cent in industrial and commercial refrigeration; </w:t>
      </w:r>
      <w:r w:rsidR="00576C6A" w:rsidRPr="00F76E75">
        <w:rPr>
          <w:lang w:val="en-CA"/>
        </w:rPr>
        <w:t>6 per cent for air-conditioning, and 2 per cent for transport refrigeration).</w:t>
      </w:r>
      <w:r w:rsidR="00576C6A" w:rsidRPr="00C70B37">
        <w:rPr>
          <w:lang w:val="en-CA"/>
        </w:rPr>
        <w:t xml:space="preserve"> </w:t>
      </w:r>
      <w:r w:rsidR="00D1567F" w:rsidRPr="00C70B37">
        <w:rPr>
          <w:lang w:val="en-CA"/>
        </w:rPr>
        <w:t xml:space="preserve">The increase in consumption in 2015 was attributed to economic </w:t>
      </w:r>
      <w:r w:rsidR="008A270F" w:rsidRPr="00C70B37">
        <w:rPr>
          <w:lang w:val="en-CA"/>
        </w:rPr>
        <w:t xml:space="preserve">growth </w:t>
      </w:r>
      <w:r w:rsidR="00070382" w:rsidRPr="00C70B37">
        <w:rPr>
          <w:lang w:val="en-CA"/>
        </w:rPr>
        <w:t>as compared to 2014.</w:t>
      </w:r>
      <w:r w:rsidR="00AB10DA" w:rsidRPr="00C70B37">
        <w:rPr>
          <w:lang w:val="en-CA"/>
        </w:rPr>
        <w:t xml:space="preserve"> The Secretariat also noted a difference in the figure provided for the servicing sector under the </w:t>
      </w:r>
      <w:r w:rsidR="008A270F" w:rsidRPr="00C70B37">
        <w:rPr>
          <w:lang w:val="en-CA"/>
        </w:rPr>
        <w:t xml:space="preserve">country </w:t>
      </w:r>
      <w:r w:rsidR="009D7385" w:rsidRPr="00C70B37">
        <w:rPr>
          <w:lang w:val="en-CA"/>
        </w:rPr>
        <w:t>programme 2015</w:t>
      </w:r>
      <w:r w:rsidR="008A270F" w:rsidRPr="00C70B37">
        <w:rPr>
          <w:lang w:val="en-CA"/>
        </w:rPr>
        <w:t xml:space="preserve"> (CP)</w:t>
      </w:r>
      <w:r w:rsidR="00AB10DA" w:rsidRPr="00C70B37">
        <w:rPr>
          <w:lang w:val="en-CA"/>
        </w:rPr>
        <w:t xml:space="preserve"> report (</w:t>
      </w:r>
      <w:r w:rsidR="008A7852" w:rsidRPr="00C70B37">
        <w:rPr>
          <w:lang w:val="en-CA"/>
        </w:rPr>
        <w:t>2</w:t>
      </w:r>
      <w:r w:rsidR="008A270F" w:rsidRPr="00C70B37">
        <w:rPr>
          <w:lang w:val="en-CA"/>
        </w:rPr>
        <w:t>4.8</w:t>
      </w:r>
      <w:r w:rsidR="008A7852" w:rsidRPr="00C70B37">
        <w:rPr>
          <w:lang w:val="en-CA"/>
        </w:rPr>
        <w:t xml:space="preserve"> </w:t>
      </w:r>
      <w:r w:rsidR="00AB10DA" w:rsidRPr="00C70B37">
        <w:rPr>
          <w:lang w:val="en-CA"/>
        </w:rPr>
        <w:t>mt)</w:t>
      </w:r>
      <w:r w:rsidR="00070382" w:rsidRPr="00C70B37">
        <w:rPr>
          <w:lang w:val="en-CA"/>
        </w:rPr>
        <w:t xml:space="preserve"> </w:t>
      </w:r>
      <w:r w:rsidR="008A7852" w:rsidRPr="00C70B37">
        <w:rPr>
          <w:lang w:val="en-CA"/>
        </w:rPr>
        <w:t>and that for import (14.9 mt). UNDP explained that the servicing sector figure reflects actual use (using stockpiled material) while the import figure shows what had been brought in for that year by importers.</w:t>
      </w:r>
    </w:p>
    <w:p w:rsidR="00A03045" w:rsidRPr="00C70B37" w:rsidRDefault="00A03045" w:rsidP="00473464">
      <w:pPr>
        <w:keepNext/>
        <w:spacing w:after="240"/>
        <w:outlineLvl w:val="0"/>
        <w:rPr>
          <w:b/>
        </w:rPr>
      </w:pPr>
      <w:r w:rsidRPr="00C70B37">
        <w:rPr>
          <w:b/>
        </w:rPr>
        <w:t>Stage II of the HPMP and proposed activities</w:t>
      </w:r>
    </w:p>
    <w:p w:rsidR="00A03045" w:rsidRPr="00C33CB2" w:rsidRDefault="00D576F1" w:rsidP="00473464">
      <w:pPr>
        <w:pStyle w:val="Heading1"/>
        <w:keepNext/>
        <w:rPr>
          <w:lang w:val="en-CA"/>
        </w:rPr>
      </w:pPr>
      <w:r w:rsidRPr="00C33CB2">
        <w:rPr>
          <w:lang w:val="en-CA"/>
        </w:rPr>
        <w:t>The activities to be implemented during stage II include regulatory and control measures</w:t>
      </w:r>
      <w:r w:rsidR="008A270F" w:rsidRPr="00C33CB2">
        <w:rPr>
          <w:lang w:val="en-CA"/>
        </w:rPr>
        <w:t>,</w:t>
      </w:r>
      <w:r w:rsidRPr="00C33CB2">
        <w:rPr>
          <w:lang w:val="en-CA"/>
        </w:rPr>
        <w:t xml:space="preserve"> technical capacity for the servicing sector, awareness activities, and project monitoring and management.</w:t>
      </w:r>
    </w:p>
    <w:p w:rsidR="00972C97" w:rsidRPr="00C70B37" w:rsidRDefault="00972C97" w:rsidP="00473464">
      <w:pPr>
        <w:pStyle w:val="Heading1"/>
        <w:keepNext/>
        <w:numPr>
          <w:ilvl w:val="0"/>
          <w:numId w:val="0"/>
        </w:numPr>
        <w:rPr>
          <w:u w:val="single"/>
        </w:rPr>
      </w:pPr>
      <w:r w:rsidRPr="00C70B37">
        <w:rPr>
          <w:u w:val="single"/>
        </w:rPr>
        <w:t>Regulatory actions</w:t>
      </w:r>
    </w:p>
    <w:p w:rsidR="00972C97" w:rsidRPr="00C33CB2" w:rsidRDefault="00972C97" w:rsidP="00473464">
      <w:pPr>
        <w:pStyle w:val="Heading1"/>
        <w:keepNext/>
        <w:rPr>
          <w:lang w:val="en-CA"/>
        </w:rPr>
      </w:pPr>
      <w:r w:rsidRPr="00C33CB2">
        <w:rPr>
          <w:lang w:val="en-CA"/>
        </w:rPr>
        <w:t>The following policy and regulatory measures will be implemented</w:t>
      </w:r>
      <w:r w:rsidR="00D576F1" w:rsidRPr="00C33CB2">
        <w:rPr>
          <w:lang w:val="en-CA"/>
        </w:rPr>
        <w:t xml:space="preserve"> with the assistance of UNEP: </w:t>
      </w:r>
    </w:p>
    <w:p w:rsidR="00972C97" w:rsidRPr="00C70B37" w:rsidRDefault="00972C97" w:rsidP="00473464">
      <w:pPr>
        <w:pStyle w:val="Heading2"/>
      </w:pPr>
      <w:r w:rsidRPr="00C70B37">
        <w:t xml:space="preserve">Adoption of regulation for implementation of </w:t>
      </w:r>
      <w:r w:rsidR="00E464BD" w:rsidRPr="00C70B37">
        <w:t xml:space="preserve">a </w:t>
      </w:r>
      <w:r w:rsidRPr="00C70B37">
        <w:t xml:space="preserve">new certification system (harmonized with EU </w:t>
      </w:r>
      <w:r w:rsidR="008A270F" w:rsidRPr="00C70B37">
        <w:t>F-gas regulation</w:t>
      </w:r>
      <w:r w:rsidRPr="00C70B37">
        <w:t>);</w:t>
      </w:r>
      <w:r w:rsidR="000373DE" w:rsidRPr="00C70B37">
        <w:t xml:space="preserve"> introduction of a ban on import of all equipment containing or relying on HCFCs (new and </w:t>
      </w:r>
      <w:r w:rsidR="00D55502" w:rsidRPr="00C70B37">
        <w:t>second hand</w:t>
      </w:r>
      <w:r w:rsidR="000373DE" w:rsidRPr="00C70B37">
        <w:t xml:space="preserve">) for 2017; </w:t>
      </w:r>
      <w:r w:rsidR="008A270F" w:rsidRPr="00C70B37">
        <w:t xml:space="preserve">and </w:t>
      </w:r>
      <w:r w:rsidR="000373DE" w:rsidRPr="00C70B37">
        <w:t>development of an e</w:t>
      </w:r>
      <w:r w:rsidR="008A270F" w:rsidRPr="00C70B37">
        <w:noBreakHyphen/>
      </w:r>
      <w:r w:rsidR="000373DE" w:rsidRPr="00C70B37">
        <w:t>licensing system (US $12,000);</w:t>
      </w:r>
      <w:r w:rsidR="008A270F" w:rsidRPr="00C70B37">
        <w:t xml:space="preserve"> and </w:t>
      </w:r>
    </w:p>
    <w:p w:rsidR="00972C97" w:rsidRPr="00C70B37" w:rsidRDefault="000373DE" w:rsidP="00473464">
      <w:pPr>
        <w:pStyle w:val="Heading2"/>
      </w:pPr>
      <w:proofErr w:type="gramStart"/>
      <w:r w:rsidRPr="00C70B37">
        <w:t xml:space="preserve">Training of 30 customs officers and 30 environmental inspectors on enforcement </w:t>
      </w:r>
      <w:r w:rsidR="00440E5A" w:rsidRPr="00C70B37">
        <w:t>and implementation of the EU F-gas regulation</w:t>
      </w:r>
      <w:r w:rsidRPr="00C70B37">
        <w:t>; preparation of updated training material (US</w:t>
      </w:r>
      <w:r w:rsidR="00351595">
        <w:t> </w:t>
      </w:r>
      <w:r w:rsidRPr="00C70B37">
        <w:t>$10,800)</w:t>
      </w:r>
      <w:r w:rsidR="008A270F" w:rsidRPr="00C70B37">
        <w:t>.</w:t>
      </w:r>
      <w:proofErr w:type="gramEnd"/>
    </w:p>
    <w:p w:rsidR="00A03045" w:rsidRPr="00C70B37" w:rsidRDefault="00A03045" w:rsidP="00473464">
      <w:pPr>
        <w:pStyle w:val="Heading1"/>
        <w:keepNext/>
        <w:numPr>
          <w:ilvl w:val="0"/>
          <w:numId w:val="0"/>
        </w:numPr>
        <w:rPr>
          <w:u w:val="single"/>
        </w:rPr>
      </w:pPr>
      <w:r w:rsidRPr="00C70B37">
        <w:rPr>
          <w:u w:val="single"/>
        </w:rPr>
        <w:t>Activities in the refrigeration servicing sector</w:t>
      </w:r>
    </w:p>
    <w:p w:rsidR="000373DE" w:rsidRPr="00C70B37" w:rsidRDefault="000373DE" w:rsidP="00473464">
      <w:pPr>
        <w:pStyle w:val="Heading1"/>
      </w:pPr>
      <w:r w:rsidRPr="00C70B37">
        <w:t>The following activities will be implemented:</w:t>
      </w:r>
    </w:p>
    <w:p w:rsidR="000373DE" w:rsidRPr="00C70B37" w:rsidRDefault="000373DE" w:rsidP="00473464">
      <w:pPr>
        <w:pStyle w:val="Heading2"/>
      </w:pPr>
      <w:r w:rsidRPr="00C70B37">
        <w:t xml:space="preserve">Training programme and certification for 60 service technicians; </w:t>
      </w:r>
      <w:r w:rsidR="00D55502" w:rsidRPr="00C70B37">
        <w:t>upgrading</w:t>
      </w:r>
      <w:r w:rsidRPr="00C70B37">
        <w:t xml:space="preserve"> training material on good practices in refrigeration; website development for the RAC association; strengthening the technological college through provision of training materials (UNEP) (US $29,400);</w:t>
      </w:r>
    </w:p>
    <w:p w:rsidR="000373DE" w:rsidRPr="00C70B37" w:rsidRDefault="000373DE" w:rsidP="00473464">
      <w:pPr>
        <w:pStyle w:val="Heading2"/>
      </w:pPr>
      <w:r w:rsidRPr="00C70B37">
        <w:t>Strengthening the capacity of service technicians</w:t>
      </w:r>
      <w:r w:rsidR="00DA7378" w:rsidRPr="00C70B37">
        <w:t xml:space="preserve"> and service centres </w:t>
      </w:r>
      <w:r w:rsidRPr="00C70B37">
        <w:t xml:space="preserve">through provision of </w:t>
      </w:r>
      <w:r w:rsidR="00DA7378" w:rsidRPr="00C70B37">
        <w:t>equipment (</w:t>
      </w:r>
      <w:r w:rsidR="008A270F" w:rsidRPr="00C70B37">
        <w:t>e.g.</w:t>
      </w:r>
      <w:r w:rsidR="00DA7378" w:rsidRPr="00C70B37">
        <w:t xml:space="preserve">, multi-gas recovery machine, vacuum pump, re-usable cylinders with scales, hoses with multi-gas manometers, leak detectors, gauges) upon certification </w:t>
      </w:r>
      <w:r w:rsidR="008A270F" w:rsidRPr="00C70B37">
        <w:t xml:space="preserve">of technicians </w:t>
      </w:r>
      <w:r w:rsidR="00DA7378" w:rsidRPr="00C70B37">
        <w:t xml:space="preserve">(UNDP) (US $56,300); </w:t>
      </w:r>
    </w:p>
    <w:p w:rsidR="004B0896" w:rsidRPr="00C70B37" w:rsidRDefault="00DA7378" w:rsidP="00473464">
      <w:pPr>
        <w:pStyle w:val="Heading2"/>
      </w:pPr>
      <w:proofErr w:type="gramStart"/>
      <w:r w:rsidRPr="00C70B37">
        <w:t xml:space="preserve">Technical assistance for adoption </w:t>
      </w:r>
      <w:r w:rsidR="00440E5A" w:rsidRPr="00C70B37">
        <w:t>of low-GWP refrigerants (i.e., CO</w:t>
      </w:r>
      <w:r w:rsidR="00440E5A" w:rsidRPr="00C33CB2">
        <w:rPr>
          <w:vertAlign w:val="subscript"/>
        </w:rPr>
        <w:t>2</w:t>
      </w:r>
      <w:r w:rsidR="00440E5A" w:rsidRPr="00C70B37">
        <w:t xml:space="preserve"> and ammonia</w:t>
      </w:r>
      <w:r w:rsidR="00351595">
        <w:noBreakHyphen/>
      </w:r>
      <w:r w:rsidR="00440E5A" w:rsidRPr="00C70B37">
        <w:t>based technologies) for end-users</w:t>
      </w:r>
      <w:r w:rsidRPr="00C70B37">
        <w:t xml:space="preserve"> </w:t>
      </w:r>
      <w:r w:rsidR="00402AE9" w:rsidRPr="00C70B37">
        <w:t>in the commercial refrigeration sector through pi</w:t>
      </w:r>
      <w:r w:rsidR="00C9168B">
        <w:t>lot demonstration of their use by installing low-GWP equipment in beneficiary end-users (i.e., in supermarkets).</w:t>
      </w:r>
      <w:proofErr w:type="gramEnd"/>
      <w:r w:rsidR="00C9168B">
        <w:t xml:space="preserve"> </w:t>
      </w:r>
      <w:r w:rsidR="00402AE9" w:rsidRPr="00C70B37">
        <w:t xml:space="preserve">The component will be launched with an introductory seminar for potential recipients to explain modalities of the programme and agree on technology choice (UNDP (US $66,000). </w:t>
      </w:r>
    </w:p>
    <w:p w:rsidR="00A03045" w:rsidRPr="00C70B37" w:rsidRDefault="00A03045" w:rsidP="00473464">
      <w:pPr>
        <w:pStyle w:val="Heading1"/>
        <w:numPr>
          <w:ilvl w:val="0"/>
          <w:numId w:val="0"/>
        </w:numPr>
        <w:rPr>
          <w:i/>
        </w:rPr>
      </w:pPr>
      <w:r w:rsidRPr="00C70B37">
        <w:rPr>
          <w:i/>
        </w:rPr>
        <w:t>Implementation and monitoring activities</w:t>
      </w:r>
    </w:p>
    <w:p w:rsidR="00972C97" w:rsidRPr="00C70B37" w:rsidRDefault="00972C97" w:rsidP="00473464">
      <w:pPr>
        <w:pStyle w:val="Heading1"/>
        <w:keepNext/>
      </w:pPr>
      <w:r w:rsidRPr="00C70B37">
        <w:t>The NOU, within the Ministry of Environment, coordinates the implementation of the HPMP activities with the assistance of national coordinating experts</w:t>
      </w:r>
      <w:r w:rsidR="00C775EF" w:rsidRPr="00C70B37">
        <w:t>.</w:t>
      </w:r>
      <w:r w:rsidR="00723D1D" w:rsidRPr="00C70B37">
        <w:t xml:space="preserve"> </w:t>
      </w:r>
    </w:p>
    <w:p w:rsidR="00A03045" w:rsidRPr="00C70B37" w:rsidRDefault="00A03045" w:rsidP="00473464">
      <w:pPr>
        <w:pStyle w:val="Heading1"/>
        <w:keepNext/>
        <w:numPr>
          <w:ilvl w:val="0"/>
          <w:numId w:val="0"/>
        </w:numPr>
      </w:pPr>
      <w:r w:rsidRPr="00C70B37">
        <w:rPr>
          <w:u w:val="single"/>
        </w:rPr>
        <w:t>Total cost of stage II of the HPMP</w:t>
      </w:r>
    </w:p>
    <w:p w:rsidR="00AB10DA" w:rsidRPr="00C70B37" w:rsidRDefault="00D576F1" w:rsidP="00473464">
      <w:pPr>
        <w:pStyle w:val="Heading1"/>
        <w:keepNext/>
        <w:rPr>
          <w:lang w:val="en-CA"/>
        </w:rPr>
      </w:pPr>
      <w:r w:rsidRPr="00C70B37">
        <w:t xml:space="preserve">The maximum funding eligibility for the Republic of Moldova is </w:t>
      </w:r>
      <w:r w:rsidR="00AB10DA" w:rsidRPr="00C70B37">
        <w:t>US</w:t>
      </w:r>
      <w:r w:rsidR="00C775EF" w:rsidRPr="00C70B37">
        <w:t> </w:t>
      </w:r>
      <w:r w:rsidR="00AB10DA" w:rsidRPr="00C70B37">
        <w:t>$</w:t>
      </w:r>
      <w:r w:rsidRPr="00C70B37">
        <w:t>262,500 up to 2020</w:t>
      </w:r>
      <w:r w:rsidR="00440E5A" w:rsidRPr="00C70B37">
        <w:t xml:space="preserve"> in line with decision 74/50(c)(</w:t>
      </w:r>
      <w:proofErr w:type="spellStart"/>
      <w:r w:rsidR="00440E5A" w:rsidRPr="00C70B37">
        <w:t>i</w:t>
      </w:r>
      <w:proofErr w:type="spellEnd"/>
      <w:r w:rsidR="00440E5A" w:rsidRPr="00C70B37">
        <w:t>)</w:t>
      </w:r>
      <w:r w:rsidRPr="00C70B37">
        <w:t xml:space="preserve">. </w:t>
      </w:r>
      <w:r w:rsidR="00C775EF" w:rsidRPr="00C70B37">
        <w:t>Taking into account the US $66,000 funded for stage I and the US $22,000 to be deducted in line with</w:t>
      </w:r>
      <w:r w:rsidR="00440E5A" w:rsidRPr="00C70B37">
        <w:t xml:space="preserve"> decision </w:t>
      </w:r>
      <w:r w:rsidR="00AB10DA" w:rsidRPr="00C70B37">
        <w:t>74/47(a</w:t>
      </w:r>
      <w:proofErr w:type="gramStart"/>
      <w:r w:rsidR="00AB10DA" w:rsidRPr="00C70B37">
        <w:t>)(</w:t>
      </w:r>
      <w:proofErr w:type="gramEnd"/>
      <w:r w:rsidR="00AB10DA" w:rsidRPr="00C70B37">
        <w:t xml:space="preserve">iv), </w:t>
      </w:r>
      <w:r w:rsidR="00C775EF" w:rsidRPr="00C70B37">
        <w:t>t</w:t>
      </w:r>
      <w:r w:rsidR="00A03045" w:rsidRPr="00C70B37">
        <w:t xml:space="preserve">he total cost of stage II of the HPMP for </w:t>
      </w:r>
      <w:r w:rsidR="00AB10DA" w:rsidRPr="00C70B37">
        <w:t>t</w:t>
      </w:r>
      <w:r w:rsidR="001637DE" w:rsidRPr="00C70B37">
        <w:t>he Republic of Moldova</w:t>
      </w:r>
      <w:r w:rsidR="00A03045" w:rsidRPr="00C70B37">
        <w:t xml:space="preserve"> </w:t>
      </w:r>
      <w:r w:rsidR="00C775EF" w:rsidRPr="00C70B37">
        <w:t>would be</w:t>
      </w:r>
      <w:r w:rsidR="00A03045" w:rsidRPr="00C70B37">
        <w:t xml:space="preserve"> US $</w:t>
      </w:r>
      <w:r w:rsidR="00723D1D" w:rsidRPr="00C70B37">
        <w:t>174,500</w:t>
      </w:r>
      <w:r w:rsidR="00A03045" w:rsidRPr="00C70B37">
        <w:t xml:space="preserve"> (excluding support costs)</w:t>
      </w:r>
      <w:r w:rsidR="00972C97" w:rsidRPr="00C70B37">
        <w:t xml:space="preserve">. </w:t>
      </w:r>
    </w:p>
    <w:p w:rsidR="00A03045" w:rsidRPr="00C70B37" w:rsidRDefault="00A03045" w:rsidP="00473464">
      <w:pPr>
        <w:pStyle w:val="Heading1"/>
        <w:keepNext/>
        <w:numPr>
          <w:ilvl w:val="0"/>
          <w:numId w:val="0"/>
        </w:numPr>
        <w:jc w:val="center"/>
        <w:rPr>
          <w:b/>
          <w:lang w:val="en-CA"/>
        </w:rPr>
      </w:pPr>
      <w:r w:rsidRPr="00C70B37">
        <w:rPr>
          <w:b/>
          <w:lang w:val="en-CA"/>
        </w:rPr>
        <w:t>SECRETARIAT’S COMMENTS AND RECOMMENDATION</w:t>
      </w:r>
    </w:p>
    <w:p w:rsidR="00A03045" w:rsidRPr="00C70B37" w:rsidRDefault="00A03045" w:rsidP="00473464">
      <w:pPr>
        <w:keepNext/>
        <w:spacing w:after="240"/>
        <w:rPr>
          <w:b/>
        </w:rPr>
      </w:pPr>
      <w:r w:rsidRPr="00C70B37">
        <w:rPr>
          <w:b/>
        </w:rPr>
        <w:t>COMMENTS</w:t>
      </w:r>
    </w:p>
    <w:p w:rsidR="00BD6CAF" w:rsidRPr="00C70B37" w:rsidRDefault="00A03045" w:rsidP="00473464">
      <w:pPr>
        <w:pStyle w:val="Heading1"/>
      </w:pPr>
      <w:r w:rsidRPr="00C70B37">
        <w:t xml:space="preserve">The Secretariat reviewed stage II of the HPMP for </w:t>
      </w:r>
      <w:r w:rsidR="00471578" w:rsidRPr="00C70B37">
        <w:t>t</w:t>
      </w:r>
      <w:r w:rsidR="001637DE" w:rsidRPr="00C70B37">
        <w:t>he Republic of Moldova</w:t>
      </w:r>
      <w:r w:rsidRPr="00C70B37">
        <w:t xml:space="preserve"> in light of stage I, the policies and guidelines of the Multilateral Fund, including the criteria for funding HCFC phase</w:t>
      </w:r>
      <w:r w:rsidRPr="00C70B37">
        <w:noBreakHyphen/>
        <w:t>out in the consumption sector for stage II of HPMPs (decision 74/50), and the 2016</w:t>
      </w:r>
      <w:r w:rsidRPr="00C70B37">
        <w:noBreakHyphen/>
        <w:t>2018 business plan of the Multilateral Fund.</w:t>
      </w:r>
    </w:p>
    <w:p w:rsidR="00F3032E" w:rsidRPr="00C70B37" w:rsidRDefault="00F3032E" w:rsidP="00473464">
      <w:pPr>
        <w:spacing w:after="240"/>
        <w:rPr>
          <w:u w:val="single"/>
        </w:rPr>
      </w:pPr>
      <w:r w:rsidRPr="00C70B37">
        <w:rPr>
          <w:u w:val="single"/>
        </w:rPr>
        <w:t>Progress report on the implementation of stage I of the HPMP</w:t>
      </w:r>
    </w:p>
    <w:p w:rsidR="002C0A63" w:rsidRPr="00C70B37" w:rsidRDefault="00BA4D04" w:rsidP="00473464">
      <w:pPr>
        <w:pStyle w:val="Heading1"/>
      </w:pPr>
      <w:r w:rsidRPr="00C70B37">
        <w:t>The HPMP is progressing and activities so far implemen</w:t>
      </w:r>
      <w:r w:rsidR="00951531" w:rsidRPr="00C70B37">
        <w:t>ted are beyond the targets, a total of 245 technicians were trained instead of the target 75</w:t>
      </w:r>
      <w:r w:rsidR="00351595">
        <w:t>.</w:t>
      </w:r>
      <w:r w:rsidR="00951531" w:rsidRPr="00C70B37">
        <w:t xml:space="preserve"> To ensure the sustainability of technicians’ training, the Government has affiliated with vocational training centres and the RAC association which serve as </w:t>
      </w:r>
      <w:r w:rsidR="00951531" w:rsidRPr="00C9168B">
        <w:t xml:space="preserve">training centres for technicians and manage some of the sets of equipment </w:t>
      </w:r>
      <w:r w:rsidR="00C9168B" w:rsidRPr="00C9168B">
        <w:t xml:space="preserve">for loan to </w:t>
      </w:r>
      <w:r w:rsidR="00951531" w:rsidRPr="00C9168B">
        <w:t>technicians</w:t>
      </w:r>
      <w:r w:rsidR="00C9168B" w:rsidRPr="00C9168B">
        <w:t>,</w:t>
      </w:r>
      <w:r w:rsidR="00951531" w:rsidRPr="00C9168B">
        <w:t xml:space="preserve"> </w:t>
      </w:r>
      <w:r w:rsidR="002C0A63" w:rsidRPr="00C9168B">
        <w:t>and</w:t>
      </w:r>
      <w:r w:rsidR="002C0A63" w:rsidRPr="00C70B37">
        <w:t xml:space="preserve"> with the Technical University of </w:t>
      </w:r>
      <w:r w:rsidR="00C9168B">
        <w:t xml:space="preserve">the Republic of </w:t>
      </w:r>
      <w:r w:rsidR="002C0A63" w:rsidRPr="00C70B37">
        <w:t>Moldova</w:t>
      </w:r>
      <w:r w:rsidR="00951531" w:rsidRPr="00C70B37">
        <w:t xml:space="preserve">. </w:t>
      </w:r>
    </w:p>
    <w:p w:rsidR="00951531" w:rsidRPr="00C70B37" w:rsidRDefault="00951531" w:rsidP="00473464">
      <w:pPr>
        <w:keepNext/>
        <w:spacing w:after="240"/>
        <w:outlineLvl w:val="1"/>
        <w:rPr>
          <w:color w:val="000000" w:themeColor="text1"/>
          <w:u w:val="single"/>
        </w:rPr>
      </w:pPr>
      <w:r w:rsidRPr="00C70B37">
        <w:rPr>
          <w:color w:val="000000" w:themeColor="text1"/>
          <w:u w:val="single"/>
        </w:rPr>
        <w:t>Activities planned for the first tranche</w:t>
      </w:r>
    </w:p>
    <w:p w:rsidR="004B0896" w:rsidRPr="00C70B37" w:rsidRDefault="008A7852" w:rsidP="00473464">
      <w:pPr>
        <w:pStyle w:val="Heading1"/>
        <w:keepNext/>
      </w:pPr>
      <w:r w:rsidRPr="00C70B37">
        <w:rPr>
          <w:lang w:val="en-CA"/>
        </w:rPr>
        <w:t xml:space="preserve">The first funding tranche of stage II of the HPMP </w:t>
      </w:r>
      <w:r w:rsidR="00951531" w:rsidRPr="00C70B37">
        <w:rPr>
          <w:lang w:val="en-CA"/>
        </w:rPr>
        <w:t xml:space="preserve">is </w:t>
      </w:r>
      <w:r w:rsidRPr="00C70B37">
        <w:rPr>
          <w:lang w:val="en-CA"/>
        </w:rPr>
        <w:t>requested at US</w:t>
      </w:r>
      <w:r w:rsidR="004B0896" w:rsidRPr="00C70B37">
        <w:rPr>
          <w:lang w:val="en-CA"/>
        </w:rPr>
        <w:t> </w:t>
      </w:r>
      <w:r w:rsidRPr="00C70B37">
        <w:rPr>
          <w:lang w:val="en-CA"/>
        </w:rPr>
        <w:t>$</w:t>
      </w:r>
      <w:r w:rsidR="000D6023" w:rsidRPr="00C70B37">
        <w:rPr>
          <w:lang w:val="en-CA"/>
        </w:rPr>
        <w:t>130,950</w:t>
      </w:r>
      <w:r w:rsidR="000962E4" w:rsidRPr="00C70B37">
        <w:rPr>
          <w:lang w:val="en-CA"/>
        </w:rPr>
        <w:t>.</w:t>
      </w:r>
      <w:r w:rsidR="00324984">
        <w:rPr>
          <w:lang w:val="en-CA"/>
        </w:rPr>
        <w:t xml:space="preserve"> </w:t>
      </w:r>
      <w:r w:rsidRPr="00C70B37">
        <w:rPr>
          <w:lang w:val="en-CA"/>
        </w:rPr>
        <w:t xml:space="preserve">The following activities will be implemented: </w:t>
      </w:r>
    </w:p>
    <w:p w:rsidR="004B0896" w:rsidRPr="00C70B37" w:rsidRDefault="004B0896" w:rsidP="00473464">
      <w:pPr>
        <w:pStyle w:val="Heading2"/>
      </w:pPr>
      <w:r w:rsidRPr="00C70B37">
        <w:rPr>
          <w:lang w:val="en-CA"/>
        </w:rPr>
        <w:t>U</w:t>
      </w:r>
      <w:r w:rsidR="000D6023" w:rsidRPr="00C70B37">
        <w:rPr>
          <w:lang w:val="en-CA"/>
        </w:rPr>
        <w:t>pdating the regulations to include EU F</w:t>
      </w:r>
      <w:r w:rsidR="00B42FEC" w:rsidRPr="00C70B37">
        <w:rPr>
          <w:lang w:val="en-CA"/>
        </w:rPr>
        <w:noBreakHyphen/>
      </w:r>
      <w:r w:rsidR="000D6023" w:rsidRPr="00C70B37">
        <w:rPr>
          <w:lang w:val="en-CA"/>
        </w:rPr>
        <w:t xml:space="preserve">gas requirements; training of 15 customs and enforcement officers, training programme for 30 service technicians, </w:t>
      </w:r>
      <w:r w:rsidRPr="00C70B37">
        <w:rPr>
          <w:lang w:val="en-CA"/>
        </w:rPr>
        <w:t xml:space="preserve">and </w:t>
      </w:r>
      <w:r w:rsidR="000D6023" w:rsidRPr="00C70B37">
        <w:rPr>
          <w:lang w:val="en-CA"/>
        </w:rPr>
        <w:t>awareness raising (UNEP</w:t>
      </w:r>
      <w:r w:rsidRPr="00C70B37">
        <w:rPr>
          <w:lang w:val="en-CA"/>
        </w:rPr>
        <w:t>)</w:t>
      </w:r>
      <w:r w:rsidR="000D6023" w:rsidRPr="00C70B37">
        <w:rPr>
          <w:lang w:val="en-CA"/>
        </w:rPr>
        <w:t xml:space="preserve"> </w:t>
      </w:r>
      <w:r w:rsidRPr="00C70B37">
        <w:rPr>
          <w:lang w:val="en-CA"/>
        </w:rPr>
        <w:t>(</w:t>
      </w:r>
      <w:r w:rsidR="000D6023" w:rsidRPr="00C70B37">
        <w:rPr>
          <w:lang w:val="en-CA"/>
        </w:rPr>
        <w:t>US $26,100)</w:t>
      </w:r>
      <w:r w:rsidR="003505DF" w:rsidRPr="00C70B37">
        <w:rPr>
          <w:lang w:val="en-CA"/>
        </w:rPr>
        <w:t xml:space="preserve">; </w:t>
      </w:r>
    </w:p>
    <w:p w:rsidR="004B0896" w:rsidRPr="00324984" w:rsidRDefault="004B0896" w:rsidP="00473464">
      <w:pPr>
        <w:pStyle w:val="Heading2"/>
      </w:pPr>
      <w:r w:rsidRPr="00324984">
        <w:rPr>
          <w:lang w:val="en-CA"/>
        </w:rPr>
        <w:t>S</w:t>
      </w:r>
      <w:r w:rsidR="003505DF" w:rsidRPr="00324984">
        <w:rPr>
          <w:lang w:val="en-CA"/>
        </w:rPr>
        <w:t>trengthening</w:t>
      </w:r>
      <w:r w:rsidR="000D6023" w:rsidRPr="00324984">
        <w:rPr>
          <w:lang w:val="en-CA"/>
        </w:rPr>
        <w:t xml:space="preserve"> the capacity of service centres through provision of 14 sets of tools </w:t>
      </w:r>
      <w:r w:rsidRPr="00324984">
        <w:rPr>
          <w:lang w:val="en-CA"/>
        </w:rPr>
        <w:t>(e.g.</w:t>
      </w:r>
      <w:r w:rsidR="00351595" w:rsidRPr="00324984">
        <w:rPr>
          <w:lang w:val="en-CA"/>
        </w:rPr>
        <w:t> </w:t>
      </w:r>
      <w:r w:rsidR="00C9168B" w:rsidRPr="00324984">
        <w:rPr>
          <w:lang w:val="en-CA"/>
        </w:rPr>
        <w:t>hoses with multi-gas manometers, leak detectors, gauges</w:t>
      </w:r>
      <w:r w:rsidRPr="00324984">
        <w:rPr>
          <w:lang w:val="en-CA"/>
        </w:rPr>
        <w:t xml:space="preserve">) </w:t>
      </w:r>
      <w:r w:rsidR="000D6023" w:rsidRPr="00324984">
        <w:rPr>
          <w:lang w:val="en-CA"/>
        </w:rPr>
        <w:t>(UNDP</w:t>
      </w:r>
      <w:r w:rsidRPr="00324984">
        <w:rPr>
          <w:lang w:val="en-CA"/>
        </w:rPr>
        <w:t>)</w:t>
      </w:r>
      <w:r w:rsidR="000D6023" w:rsidRPr="00324984">
        <w:rPr>
          <w:lang w:val="en-CA"/>
        </w:rPr>
        <w:t xml:space="preserve"> </w:t>
      </w:r>
      <w:r w:rsidRPr="00324984">
        <w:rPr>
          <w:lang w:val="en-CA"/>
        </w:rPr>
        <w:t>(</w:t>
      </w:r>
      <w:r w:rsidR="000D6023" w:rsidRPr="00324984">
        <w:rPr>
          <w:lang w:val="en-CA"/>
        </w:rPr>
        <w:t>US</w:t>
      </w:r>
      <w:r w:rsidRPr="00324984">
        <w:rPr>
          <w:lang w:val="en-CA"/>
        </w:rPr>
        <w:t xml:space="preserve"> </w:t>
      </w:r>
      <w:r w:rsidR="000D6023" w:rsidRPr="00324984">
        <w:rPr>
          <w:lang w:val="en-CA"/>
        </w:rPr>
        <w:t>$38,850)</w:t>
      </w:r>
      <w:r w:rsidR="003505DF" w:rsidRPr="00324984">
        <w:rPr>
          <w:lang w:val="en-CA"/>
        </w:rPr>
        <w:t xml:space="preserve">; </w:t>
      </w:r>
      <w:r w:rsidRPr="00324984">
        <w:rPr>
          <w:lang w:val="en-CA"/>
        </w:rPr>
        <w:t xml:space="preserve">and </w:t>
      </w:r>
    </w:p>
    <w:p w:rsidR="00F3032E" w:rsidRPr="00C70B37" w:rsidRDefault="004B0896" w:rsidP="00473464">
      <w:pPr>
        <w:pStyle w:val="Heading2"/>
      </w:pPr>
      <w:proofErr w:type="gramStart"/>
      <w:r w:rsidRPr="00C70B37">
        <w:rPr>
          <w:lang w:val="en-CA"/>
        </w:rPr>
        <w:t>T</w:t>
      </w:r>
      <w:r w:rsidR="003505DF" w:rsidRPr="00C70B37">
        <w:rPr>
          <w:lang w:val="en-CA"/>
        </w:rPr>
        <w:t>echnical</w:t>
      </w:r>
      <w:r w:rsidR="000D6023" w:rsidRPr="00C70B37">
        <w:rPr>
          <w:lang w:val="en-CA"/>
        </w:rPr>
        <w:t xml:space="preserve"> assistance to end-users for adoption of low-GWP refrigerants through pilot demonstration (UNDP</w:t>
      </w:r>
      <w:r w:rsidRPr="00C70B37">
        <w:rPr>
          <w:lang w:val="en-CA"/>
        </w:rPr>
        <w:t>) (</w:t>
      </w:r>
      <w:r w:rsidR="000D6023" w:rsidRPr="00C70B37">
        <w:rPr>
          <w:lang w:val="en-CA"/>
        </w:rPr>
        <w:t>US $</w:t>
      </w:r>
      <w:r w:rsidR="00951531" w:rsidRPr="00C70B37">
        <w:rPr>
          <w:lang w:val="en-CA"/>
        </w:rPr>
        <w:t>66,000)</w:t>
      </w:r>
      <w:r w:rsidR="008A7852" w:rsidRPr="00C70B37">
        <w:rPr>
          <w:lang w:val="en-CA"/>
        </w:rPr>
        <w:t>.</w:t>
      </w:r>
      <w:proofErr w:type="gramEnd"/>
    </w:p>
    <w:p w:rsidR="00F3032E" w:rsidRPr="00C70B37" w:rsidRDefault="00F3032E" w:rsidP="00473464">
      <w:pPr>
        <w:spacing w:after="240"/>
        <w:rPr>
          <w:u w:val="single"/>
        </w:rPr>
      </w:pPr>
      <w:r w:rsidRPr="00C70B37">
        <w:rPr>
          <w:u w:val="single"/>
        </w:rPr>
        <w:t>Impact on the climate</w:t>
      </w:r>
    </w:p>
    <w:p w:rsidR="00F3032E" w:rsidRPr="00C70B37" w:rsidRDefault="00FC24AF" w:rsidP="00473464">
      <w:pPr>
        <w:pStyle w:val="Heading1"/>
      </w:pPr>
      <w:r w:rsidRPr="00C70B37">
        <w:t>The proposed activities in stage II, which include among others the introduction of better servicing practices, the enforcement of HCFC import controls, will reduce the amount of HCFC</w:t>
      </w:r>
      <w:r w:rsidRPr="00C70B37">
        <w:noBreakHyphen/>
        <w:t>22 used for refrigeration servicing. Each kilogramme of HCFC</w:t>
      </w:r>
      <w:r w:rsidRPr="00C70B37">
        <w:noBreakHyphen/>
        <w:t>22 not emitted due to better refrigeration practices results in a savings of approximately 1.8 CO</w:t>
      </w:r>
      <w:r w:rsidRPr="00C70B37">
        <w:rPr>
          <w:vertAlign w:val="subscript"/>
        </w:rPr>
        <w:t>2</w:t>
      </w:r>
      <w:r w:rsidRPr="00C70B37">
        <w:t xml:space="preserve">-equivalent tonnes. Although a calculation of the impact on the climate was not included in the HPMP, the activities planned by </w:t>
      </w:r>
      <w:r w:rsidR="000962E4" w:rsidRPr="00C70B37">
        <w:t>t</w:t>
      </w:r>
      <w:r w:rsidRPr="00C70B37">
        <w:t xml:space="preserve">he Republic of Moldova, including efforts to improve servicing practices and enhance refrigerant recovery and reuse, indicate that the implementation of the HPMP will reduce the emission of refrigerants into the atmosphere therefore resulting in benefits on the climate. </w:t>
      </w:r>
    </w:p>
    <w:p w:rsidR="00F3032E" w:rsidRPr="00C70B37" w:rsidRDefault="00F3032E" w:rsidP="00473464">
      <w:pPr>
        <w:spacing w:after="240"/>
        <w:rPr>
          <w:b/>
        </w:rPr>
      </w:pPr>
      <w:r w:rsidRPr="00C70B37">
        <w:rPr>
          <w:b/>
        </w:rPr>
        <w:t>Co-financing</w:t>
      </w:r>
    </w:p>
    <w:p w:rsidR="002C0A63" w:rsidRPr="00C70B37" w:rsidRDefault="00B13B3E" w:rsidP="00473464">
      <w:pPr>
        <w:pStyle w:val="Heading1"/>
      </w:pPr>
      <w:r w:rsidRPr="00C70B37">
        <w:t xml:space="preserve">Stage II HPMP does not include co-financing other than contributions </w:t>
      </w:r>
      <w:r w:rsidR="00B42FEC" w:rsidRPr="00C70B37">
        <w:t>from participating</w:t>
      </w:r>
      <w:r w:rsidRPr="00C70B37">
        <w:t xml:space="preserve"> companies that </w:t>
      </w:r>
      <w:r w:rsidR="00E464BD" w:rsidRPr="00C70B37">
        <w:t>may</w:t>
      </w:r>
      <w:r w:rsidRPr="00C70B37">
        <w:t xml:space="preserve"> be invited to co-fund the pilot demonstration projects under </w:t>
      </w:r>
      <w:r w:rsidR="00E464BD" w:rsidRPr="00C70B37">
        <w:t>th</w:t>
      </w:r>
      <w:r w:rsidRPr="00C70B37">
        <w:t xml:space="preserve">e demonstration of new technologies </w:t>
      </w:r>
      <w:r w:rsidR="00E464BD" w:rsidRPr="00C70B37">
        <w:t>in</w:t>
      </w:r>
      <w:r w:rsidRPr="00C70B37">
        <w:t xml:space="preserve"> the commercial sector, if needed.</w:t>
      </w:r>
      <w:r w:rsidR="00705B1A" w:rsidRPr="00C70B37">
        <w:t xml:space="preserve"> </w:t>
      </w:r>
    </w:p>
    <w:p w:rsidR="00705B1A" w:rsidRPr="00C70B37" w:rsidRDefault="00705B1A" w:rsidP="00473464">
      <w:pPr>
        <w:spacing w:after="240"/>
        <w:rPr>
          <w:b/>
        </w:rPr>
      </w:pPr>
      <w:r w:rsidRPr="00C70B37">
        <w:rPr>
          <w:b/>
        </w:rPr>
        <w:t>2016-2018 bus</w:t>
      </w:r>
      <w:r w:rsidR="00F3032E" w:rsidRPr="00C70B37">
        <w:rPr>
          <w:b/>
        </w:rPr>
        <w:t>iness plan of the Multilateral Fund</w:t>
      </w:r>
    </w:p>
    <w:p w:rsidR="00F3032E" w:rsidRDefault="00306EA0" w:rsidP="00473464">
      <w:pPr>
        <w:pStyle w:val="Heading1"/>
      </w:pPr>
      <w:r w:rsidRPr="00306EA0">
        <w:t xml:space="preserve">UNDP and UNEP are requesting US $174,500 plus support costs for implementation of stage II of the HPMP in the Republic of Moldova. The total </w:t>
      </w:r>
      <w:r>
        <w:t>funding</w:t>
      </w:r>
      <w:r w:rsidRPr="00306EA0">
        <w:t xml:space="preserve"> requested for the period 2016-2018 of US</w:t>
      </w:r>
      <w:r>
        <w:t> </w:t>
      </w:r>
      <w:r w:rsidRPr="00306EA0">
        <w:t>$</w:t>
      </w:r>
      <w:r>
        <w:t>173,273</w:t>
      </w:r>
      <w:r w:rsidRPr="00306EA0">
        <w:t xml:space="preserve"> including support cost is </w:t>
      </w:r>
      <w:r>
        <w:t>US $97,101 above</w:t>
      </w:r>
      <w:r w:rsidRPr="00306EA0">
        <w:t xml:space="preserve"> the total amount in </w:t>
      </w:r>
      <w:r w:rsidR="00442121">
        <w:t xml:space="preserve">the </w:t>
      </w:r>
      <w:r w:rsidRPr="00306EA0">
        <w:t>business plan</w:t>
      </w:r>
      <w:r>
        <w:t xml:space="preserve"> for this period</w:t>
      </w:r>
      <w:r w:rsidR="00705B1A" w:rsidRPr="00C70B37">
        <w:t xml:space="preserve">. </w:t>
      </w:r>
    </w:p>
    <w:p w:rsidR="00A03045" w:rsidRPr="00C70B37" w:rsidRDefault="00CC3F56" w:rsidP="00473464">
      <w:pPr>
        <w:pStyle w:val="Style1"/>
        <w:keepNext/>
        <w:numPr>
          <w:ilvl w:val="0"/>
          <w:numId w:val="0"/>
        </w:numPr>
        <w:spacing w:after="240" w:line="240" w:lineRule="auto"/>
        <w:rPr>
          <w:b/>
          <w:bCs/>
        </w:rPr>
      </w:pPr>
      <w:r>
        <w:rPr>
          <w:b/>
          <w:bCs/>
        </w:rPr>
        <w:t>D</w:t>
      </w:r>
      <w:r w:rsidR="00A03045" w:rsidRPr="00C70B37">
        <w:rPr>
          <w:b/>
          <w:bCs/>
        </w:rPr>
        <w:t>raft Agreement</w:t>
      </w:r>
    </w:p>
    <w:p w:rsidR="00A03045" w:rsidRPr="00C70B37" w:rsidRDefault="00A03045" w:rsidP="00473464">
      <w:pPr>
        <w:pStyle w:val="Heading1"/>
        <w:keepNext/>
        <w:rPr>
          <w:u w:val="single"/>
        </w:rPr>
      </w:pPr>
      <w:r w:rsidRPr="00C70B37">
        <w:t xml:space="preserve">A draft Agreement between the Government of </w:t>
      </w:r>
      <w:r w:rsidR="006956E4" w:rsidRPr="00C70B37">
        <w:t>t</w:t>
      </w:r>
      <w:r w:rsidR="001637DE" w:rsidRPr="00C70B37">
        <w:t>he Republic of Moldova</w:t>
      </w:r>
      <w:r w:rsidRPr="00C70B37">
        <w:t xml:space="preserve"> and the Executive Committee for the phase</w:t>
      </w:r>
      <w:r w:rsidRPr="00C70B37">
        <w:noBreakHyphen/>
        <w:t>out of HCFCs in stage II of the HPMP is contained in Annex I to the present document.</w:t>
      </w:r>
    </w:p>
    <w:p w:rsidR="00A03045" w:rsidRPr="00C70B37" w:rsidRDefault="00A03045" w:rsidP="00473464">
      <w:pPr>
        <w:keepNext/>
        <w:spacing w:after="240"/>
        <w:contextualSpacing/>
        <w:rPr>
          <w:b/>
          <w:bCs/>
        </w:rPr>
      </w:pPr>
      <w:r w:rsidRPr="00C70B37">
        <w:rPr>
          <w:b/>
          <w:bCs/>
        </w:rPr>
        <w:t>RECOMMENDATION</w:t>
      </w:r>
    </w:p>
    <w:p w:rsidR="00A03045" w:rsidRPr="00C70B37" w:rsidRDefault="00A03045" w:rsidP="00473464">
      <w:pPr>
        <w:pStyle w:val="Heading1"/>
        <w:keepNext/>
        <w:rPr>
          <w:u w:val="single"/>
        </w:rPr>
      </w:pPr>
      <w:r w:rsidRPr="00C70B37">
        <w:t>The Executive Committee may wish to consider:</w:t>
      </w:r>
    </w:p>
    <w:p w:rsidR="00A03045" w:rsidRPr="00C70B37" w:rsidRDefault="00A03045" w:rsidP="00473464">
      <w:pPr>
        <w:keepNext/>
        <w:numPr>
          <w:ilvl w:val="1"/>
          <w:numId w:val="11"/>
        </w:numPr>
        <w:spacing w:after="240"/>
        <w:outlineLvl w:val="1"/>
      </w:pPr>
      <w:r w:rsidRPr="00C70B37">
        <w:t>Approving, in principle, stage II of the HCFC phase</w:t>
      </w:r>
      <w:r w:rsidRPr="00C70B37">
        <w:noBreakHyphen/>
        <w:t xml:space="preserve">out management plan (HPMP) for </w:t>
      </w:r>
      <w:r w:rsidR="000962E4" w:rsidRPr="00C70B37">
        <w:t>t</w:t>
      </w:r>
      <w:r w:rsidR="001637DE" w:rsidRPr="00C70B37">
        <w:t>he Republic of Moldova</w:t>
      </w:r>
      <w:r w:rsidRPr="00C70B37">
        <w:t xml:space="preserve"> for the period 2016 to 2020 to reduce HCFC consumption by </w:t>
      </w:r>
      <w:r w:rsidR="006956E4" w:rsidRPr="00C70B37">
        <w:t>35</w:t>
      </w:r>
      <w:r w:rsidR="00351595">
        <w:t> </w:t>
      </w:r>
      <w:r w:rsidRPr="00C70B37">
        <w:t>per cent of its baseline, in the amount of US $</w:t>
      </w:r>
      <w:r w:rsidR="00471578" w:rsidRPr="00C70B37">
        <w:t>192,293</w:t>
      </w:r>
      <w:r w:rsidRPr="00C70B37">
        <w:t>, consisting of US $</w:t>
      </w:r>
      <w:r w:rsidR="00471578" w:rsidRPr="00C70B37">
        <w:t>122,300</w:t>
      </w:r>
      <w:r w:rsidRPr="00C70B37">
        <w:t xml:space="preserve">, plus agency support costs of </w:t>
      </w:r>
      <w:r w:rsidR="000D0906" w:rsidRPr="00C70B37">
        <w:t>US $</w:t>
      </w:r>
      <w:r w:rsidR="00471578" w:rsidRPr="00C70B37">
        <w:t xml:space="preserve">11,007 </w:t>
      </w:r>
      <w:r w:rsidRPr="00C70B37">
        <w:t xml:space="preserve">for </w:t>
      </w:r>
      <w:r w:rsidR="00763605" w:rsidRPr="00C70B37">
        <w:t>UNDP</w:t>
      </w:r>
      <w:r w:rsidRPr="00C70B37">
        <w:t xml:space="preserve"> and US $</w:t>
      </w:r>
      <w:r w:rsidR="00471578" w:rsidRPr="00C70B37">
        <w:t>52,200</w:t>
      </w:r>
      <w:r w:rsidRPr="00C70B37">
        <w:t>, plus agency support costs of US $</w:t>
      </w:r>
      <w:r w:rsidR="00471578" w:rsidRPr="00C70B37">
        <w:t xml:space="preserve">6,786 </w:t>
      </w:r>
      <w:r w:rsidRPr="00C70B37">
        <w:t>for UNEP</w:t>
      </w:r>
      <w:r w:rsidR="00306EA0">
        <w:t>,</w:t>
      </w:r>
      <w:r w:rsidR="00C9168B">
        <w:t xml:space="preserve"> noting that the amount for approval, in principle, is in line with decision 74/47(a)(iv);</w:t>
      </w:r>
      <w:r w:rsidRPr="00C70B37">
        <w:t xml:space="preserve"> </w:t>
      </w:r>
    </w:p>
    <w:p w:rsidR="00A03045" w:rsidRPr="00C70B37" w:rsidRDefault="00A03045" w:rsidP="00473464">
      <w:pPr>
        <w:widowControl w:val="0"/>
        <w:numPr>
          <w:ilvl w:val="1"/>
          <w:numId w:val="11"/>
        </w:numPr>
        <w:tabs>
          <w:tab w:val="clear" w:pos="0"/>
          <w:tab w:val="num" w:pos="90"/>
        </w:tabs>
        <w:spacing w:after="240"/>
        <w:outlineLvl w:val="1"/>
      </w:pPr>
      <w:r w:rsidRPr="00C70B37">
        <w:t xml:space="preserve">Deducting </w:t>
      </w:r>
      <w:r w:rsidR="002F4FA4" w:rsidRPr="00C70B37">
        <w:t>0.25</w:t>
      </w:r>
      <w:r w:rsidRPr="00C70B37">
        <w:t xml:space="preserve"> ODP tonnes of HCFCs from the remaining HCFC consumption eligible for funding; </w:t>
      </w:r>
    </w:p>
    <w:p w:rsidR="00A03045" w:rsidRPr="00C70B37" w:rsidRDefault="00A03045" w:rsidP="00473464">
      <w:pPr>
        <w:widowControl w:val="0"/>
        <w:numPr>
          <w:ilvl w:val="1"/>
          <w:numId w:val="11"/>
        </w:numPr>
        <w:tabs>
          <w:tab w:val="clear" w:pos="0"/>
          <w:tab w:val="num" w:pos="90"/>
        </w:tabs>
        <w:spacing w:after="240"/>
        <w:outlineLvl w:val="1"/>
      </w:pPr>
      <w:r w:rsidRPr="00C70B37">
        <w:t xml:space="preserve">Approving the draft Agreement between the Government of </w:t>
      </w:r>
      <w:r w:rsidR="006956E4" w:rsidRPr="00C70B37">
        <w:t>t</w:t>
      </w:r>
      <w:r w:rsidR="001637DE" w:rsidRPr="00C70B37">
        <w:t>he Republic of Moldova</w:t>
      </w:r>
      <w:r w:rsidRPr="00C70B37">
        <w:t xml:space="preserve"> and the Executive Committee for the reduction in consumption of HCFCs, in accordance with stage II of the HPMP, contained in Annex I to the present document; </w:t>
      </w:r>
      <w:r w:rsidR="006956E4" w:rsidRPr="00C70B37">
        <w:t>and</w:t>
      </w:r>
    </w:p>
    <w:p w:rsidR="00A03045" w:rsidRPr="00F76E75" w:rsidRDefault="00A03045" w:rsidP="00473464">
      <w:pPr>
        <w:widowControl w:val="0"/>
        <w:numPr>
          <w:ilvl w:val="1"/>
          <w:numId w:val="11"/>
        </w:numPr>
        <w:tabs>
          <w:tab w:val="clear" w:pos="0"/>
          <w:tab w:val="num" w:pos="90"/>
        </w:tabs>
        <w:spacing w:after="240"/>
        <w:contextualSpacing/>
        <w:outlineLvl w:val="1"/>
        <w:rPr>
          <w:lang w:val="en-CA"/>
        </w:rPr>
      </w:pPr>
      <w:r w:rsidRPr="00F76E75">
        <w:t xml:space="preserve">Approving the first tranche of stage II of the HPMP for </w:t>
      </w:r>
      <w:r w:rsidR="002F4FA4" w:rsidRPr="00F76E75">
        <w:t>t</w:t>
      </w:r>
      <w:r w:rsidR="001637DE" w:rsidRPr="00F76E75">
        <w:t>he Republic of Moldova</w:t>
      </w:r>
      <w:r w:rsidRPr="00F76E75">
        <w:t>, and the corresponding tranche implementation plans, at the amount of US $</w:t>
      </w:r>
      <w:r w:rsidR="002F4FA4" w:rsidRPr="00F76E75">
        <w:t>143,7</w:t>
      </w:r>
      <w:r w:rsidR="00C70B37" w:rsidRPr="00F76E75">
        <w:t>80</w:t>
      </w:r>
      <w:r w:rsidRPr="00F76E75">
        <w:t xml:space="preserve">, consisting of </w:t>
      </w:r>
      <w:r w:rsidR="00471578" w:rsidRPr="00F76E75">
        <w:t>US $104,850 plus agency support costs of US $9,43</w:t>
      </w:r>
      <w:r w:rsidR="00C70B37" w:rsidRPr="00F76E75">
        <w:t>7</w:t>
      </w:r>
      <w:r w:rsidR="00471578" w:rsidRPr="00F76E75">
        <w:t xml:space="preserve"> for UNDP and </w:t>
      </w:r>
      <w:r w:rsidRPr="00F76E75">
        <w:t>US $</w:t>
      </w:r>
      <w:r w:rsidR="005C5343" w:rsidRPr="00F76E75">
        <w:t>26,100</w:t>
      </w:r>
      <w:r w:rsidRPr="00F76E75">
        <w:t xml:space="preserve"> pl</w:t>
      </w:r>
      <w:r w:rsidR="002E7302">
        <w:t>us agency support costs of US $</w:t>
      </w:r>
      <w:r w:rsidR="002F4FA4" w:rsidRPr="00F76E75">
        <w:t>3,393</w:t>
      </w:r>
      <w:r w:rsidR="00C70B37" w:rsidRPr="00F76E75">
        <w:t xml:space="preserve"> </w:t>
      </w:r>
      <w:r w:rsidRPr="00F76E75">
        <w:t xml:space="preserve">for </w:t>
      </w:r>
      <w:r w:rsidR="00763605" w:rsidRPr="00F76E75">
        <w:t>UN</w:t>
      </w:r>
      <w:r w:rsidR="005C5343" w:rsidRPr="00F76E75">
        <w:t>EP</w:t>
      </w:r>
      <w:r w:rsidR="006956E4" w:rsidRPr="00F76E75">
        <w:t>.</w:t>
      </w:r>
    </w:p>
    <w:p w:rsidR="00C70B37" w:rsidRDefault="00C70B37" w:rsidP="00C70B37">
      <w:pPr>
        <w:widowControl w:val="0"/>
        <w:spacing w:after="240" w:line="360" w:lineRule="auto"/>
        <w:ind w:left="1440"/>
        <w:contextualSpacing/>
        <w:outlineLvl w:val="1"/>
        <w:rPr>
          <w:sz w:val="28"/>
          <w:szCs w:val="28"/>
          <w:lang w:val="en-CA"/>
        </w:rPr>
        <w:sectPr w:rsidR="00C70B37"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654CD2" w:rsidRDefault="00654CD2" w:rsidP="00654CD2">
      <w:pPr>
        <w:jc w:val="center"/>
        <w:rPr>
          <w:b/>
        </w:rPr>
      </w:pPr>
      <w:r>
        <w:rPr>
          <w:b/>
        </w:rPr>
        <w:t>Annex I</w:t>
      </w:r>
    </w:p>
    <w:p w:rsidR="00654CD2" w:rsidRDefault="00654CD2" w:rsidP="00654CD2">
      <w:pPr>
        <w:jc w:val="center"/>
        <w:rPr>
          <w:b/>
        </w:rPr>
      </w:pPr>
    </w:p>
    <w:p w:rsidR="00654CD2" w:rsidRPr="00AE728E" w:rsidRDefault="00654CD2" w:rsidP="00654CD2">
      <w:pPr>
        <w:jc w:val="center"/>
        <w:rPr>
          <w:b/>
        </w:rPr>
      </w:pPr>
      <w:r>
        <w:rPr>
          <w:b/>
        </w:rPr>
        <w:t xml:space="preserve">DRAFT </w:t>
      </w:r>
      <w:r w:rsidRPr="00AE728E">
        <w:rPr>
          <w:b/>
        </w:rPr>
        <w:t xml:space="preserve">AGREEMENT BETWEEN THE GOVERNMENT OF </w:t>
      </w:r>
      <w:r>
        <w:rPr>
          <w:b/>
        </w:rPr>
        <w:t>THE REPUBLIC OF MOLDOVA</w:t>
      </w:r>
      <w:r w:rsidRPr="00AE728E">
        <w:rPr>
          <w:b/>
        </w:rPr>
        <w:t xml:space="preserve"> AND THE EXECUTIVE COMMITTEE OF THE MULTILATERAL FUND FOR THE REDUCTION IN CONSUMPTION OF HYDROCHLOROFLUOROCARBONS IN ACCORDANCE WITH STAGE II OF THE HCFC PHASE-OUT MANAGEMENT PLAN</w:t>
      </w:r>
    </w:p>
    <w:p w:rsidR="00654CD2" w:rsidRDefault="00654CD2" w:rsidP="00654CD2"/>
    <w:p w:rsidR="00306EA0" w:rsidRPr="00306EA0" w:rsidRDefault="00306EA0" w:rsidP="00654CD2">
      <w:pPr>
        <w:rPr>
          <w:b/>
        </w:rPr>
      </w:pPr>
      <w:r w:rsidRPr="00306EA0">
        <w:rPr>
          <w:b/>
        </w:rPr>
        <w:t>Purpose</w:t>
      </w:r>
    </w:p>
    <w:p w:rsidR="00306EA0" w:rsidRPr="00D96D34" w:rsidRDefault="00306EA0" w:rsidP="00654CD2"/>
    <w:p w:rsidR="00654CD2" w:rsidRPr="00AE728E" w:rsidRDefault="00654CD2" w:rsidP="00654CD2">
      <w:pPr>
        <w:pStyle w:val="Heading1"/>
        <w:numPr>
          <w:ilvl w:val="0"/>
          <w:numId w:val="12"/>
        </w:numPr>
      </w:pPr>
      <w:r w:rsidRPr="00AE728E">
        <w:t xml:space="preserve">This Agreement represents the understanding of the Government </w:t>
      </w:r>
      <w:r w:rsidRPr="004020ED">
        <w:t>of the Republic of Moldova</w:t>
      </w:r>
      <w:r w:rsidRPr="00AE728E">
        <w:t xml:space="preserve"> (the “Country”) and the Executive Committee with respect to the reduction of controlled use of the ozone</w:t>
      </w:r>
      <w:r w:rsidRPr="00AE728E">
        <w:noBreakHyphen/>
      </w:r>
      <w:r w:rsidRPr="00431D5C">
        <w:t>depleting substances (ODS) set out in Appendix 1-A (“The Substances”) to a sustained level of 0.65 ODP tonnes</w:t>
      </w:r>
      <w:r w:rsidRPr="00AE728E">
        <w:t xml:space="preserve"> by 1 </w:t>
      </w:r>
      <w:r w:rsidRPr="004020ED">
        <w:t>January 2020 in</w:t>
      </w:r>
      <w:r w:rsidRPr="00AE728E">
        <w:t xml:space="preserve"> compliance with Montreal Protocol schedule. </w:t>
      </w:r>
    </w:p>
    <w:p w:rsidR="00654CD2" w:rsidRPr="00D96D34" w:rsidRDefault="00654CD2" w:rsidP="00D45C5F">
      <w:pPr>
        <w:pStyle w:val="Heading1"/>
        <w:numPr>
          <w:ilvl w:val="0"/>
          <w:numId w:val="12"/>
        </w:numPr>
      </w:pPr>
      <w:r w:rsidRPr="00AE728E">
        <w:t>The Country agrees to meet the annual consumption limits of the Substances as set out in row 1.2 of Appendix 2</w:t>
      </w:r>
      <w:r w:rsidRPr="00AE728E">
        <w:noBreakHyphen/>
        <w:t xml:space="preserve">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w:t>
      </w:r>
      <w:r w:rsidRPr="00D96D34">
        <w:t>level defined in row  4.1.3 (remaining consumption eligible for funding).</w:t>
      </w:r>
    </w:p>
    <w:p w:rsidR="00654CD2" w:rsidRPr="00AE728E" w:rsidRDefault="00654CD2" w:rsidP="0001614D">
      <w:pPr>
        <w:pStyle w:val="Heading1"/>
        <w:numPr>
          <w:ilvl w:val="0"/>
          <w:numId w:val="12"/>
        </w:numPr>
      </w:pPr>
      <w:r w:rsidRPr="00AE728E">
        <w:t>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w:t>
      </w:r>
    </w:p>
    <w:p w:rsidR="00654CD2" w:rsidRPr="00AE728E" w:rsidRDefault="00654CD2" w:rsidP="0001614D">
      <w:pPr>
        <w:pStyle w:val="Heading1"/>
        <w:numPr>
          <w:ilvl w:val="0"/>
          <w:numId w:val="12"/>
        </w:numPr>
      </w:pPr>
      <w:r w:rsidRPr="00AE728E">
        <w:t>The Country agrees to implement this Agreement in accordance with the stage II of the HCFC phase-out management plan (HPMP) approved (“the Plan”). In accordance with sub-paragraph 5(b) of this Agreement, the Country will accept independent verification of the achievement of the annual consumption limits of the Substances as set out in row 1.2 of Appendix 2-A of this Agreement. The aforementioned verification will be commissioned by the relevant bilateral or implementing agency.</w:t>
      </w:r>
    </w:p>
    <w:p w:rsidR="00654CD2" w:rsidRPr="00B375EA" w:rsidRDefault="00654CD2" w:rsidP="00654CD2">
      <w:pPr>
        <w:rPr>
          <w:b/>
        </w:rPr>
      </w:pPr>
      <w:r w:rsidRPr="00B375EA">
        <w:rPr>
          <w:b/>
        </w:rPr>
        <w:t>Conditions for funding release</w:t>
      </w:r>
    </w:p>
    <w:p w:rsidR="00654CD2" w:rsidRPr="00B375EA" w:rsidRDefault="00654CD2" w:rsidP="00654CD2"/>
    <w:p w:rsidR="00654CD2" w:rsidRPr="00AE728E" w:rsidRDefault="00654CD2" w:rsidP="0001614D">
      <w:pPr>
        <w:pStyle w:val="Heading1"/>
        <w:numPr>
          <w:ilvl w:val="0"/>
          <w:numId w:val="12"/>
        </w:numPr>
      </w:pPr>
      <w:r w:rsidRPr="00AE728E">
        <w:t xml:space="preserve">The Executive Committee will </w:t>
      </w:r>
      <w:r w:rsidRPr="00B375EA">
        <w:t>only</w:t>
      </w:r>
      <w:r w:rsidRPr="00AE728E">
        <w:t xml:space="preserve"> provide the Funding in accordance with the Funding Approval Schedule </w:t>
      </w:r>
      <w:r w:rsidRPr="00B375EA">
        <w:t>when</w:t>
      </w:r>
      <w:r w:rsidRPr="00AE728E">
        <w:t xml:space="preserve"> the Country satisfies the following conditions at least eight weeks in advance of the applicable Executive Committee meeting set out in the Funding Approval Schedule:</w:t>
      </w:r>
    </w:p>
    <w:p w:rsidR="00654CD2" w:rsidRPr="00AE728E" w:rsidRDefault="00654CD2" w:rsidP="00654CD2">
      <w:pPr>
        <w:pStyle w:val="Heading2"/>
      </w:pPr>
      <w:r w:rsidRPr="00AE728E">
        <w:t xml:space="preserve">That the Country has met the Targets set out in row 1.2 of Appendix 2-A for all relevant years. Relevant years are all years since the year in which this Agreement was approved. Years for which there are no due country programme implementation reports at the date of the Executive Committee meeting at which the funding request is being presented are exempted; </w:t>
      </w:r>
    </w:p>
    <w:p w:rsidR="00654CD2" w:rsidRPr="00AE728E" w:rsidRDefault="00654CD2" w:rsidP="00654CD2">
      <w:pPr>
        <w:pStyle w:val="Heading2"/>
      </w:pPr>
      <w:r w:rsidRPr="00AE728E">
        <w:t>That the meeting of these Targets has been independently verified</w:t>
      </w:r>
      <w:r w:rsidRPr="00B375EA">
        <w:t xml:space="preserve"> for all relevant years</w:t>
      </w:r>
      <w:r w:rsidRPr="00AE728E">
        <w:t>, unless the Executive Committee decided that such verification would not be required;</w:t>
      </w:r>
    </w:p>
    <w:p w:rsidR="00654CD2" w:rsidRPr="00AE728E" w:rsidRDefault="00654CD2" w:rsidP="00654CD2">
      <w:pPr>
        <w:pStyle w:val="Heading2"/>
        <w:keepNext/>
        <w:widowControl/>
      </w:pPr>
      <w:r w:rsidRPr="00AE728E">
        <w:t xml:space="preserve">That the Country had submitted </w:t>
      </w:r>
      <w:r>
        <w:t xml:space="preserve">a </w:t>
      </w:r>
      <w:r w:rsidRPr="00AE728E">
        <w:t>Tranche Implementation Report in the form of Appendix 4-A (“Format of Tranche Implementation Reports and Plans”) covering each previous calendar year; that it had achieved a significant level of implementation of activities initiated with previously approved tranches; and that the rate of disbursement of funding available from the previously approved tranche was more than 20 per cent; and</w:t>
      </w:r>
    </w:p>
    <w:p w:rsidR="00654CD2" w:rsidRPr="00AE728E" w:rsidRDefault="00654CD2" w:rsidP="00654CD2">
      <w:pPr>
        <w:pStyle w:val="Heading2"/>
        <w:keepNext/>
        <w:widowControl/>
      </w:pPr>
      <w:r w:rsidRPr="00AE728E">
        <w:t>That the Country has submitted a Tranche Implementation Plan in the form of Appendix 4</w:t>
      </w:r>
      <w:r w:rsidRPr="00AE728E">
        <w:noBreakHyphen/>
        <w:t>A covering each calendar year until and including the year for which the funding schedule foresees the submission of the next tranche or, in case of the final tranche, until completion of all activities foreseen.</w:t>
      </w:r>
    </w:p>
    <w:p w:rsidR="00654CD2" w:rsidRPr="00B375EA" w:rsidRDefault="00654CD2" w:rsidP="00654CD2">
      <w:pPr>
        <w:keepNext/>
        <w:rPr>
          <w:b/>
        </w:rPr>
      </w:pPr>
      <w:r w:rsidRPr="00B375EA">
        <w:rPr>
          <w:b/>
        </w:rPr>
        <w:t>Monitoring</w:t>
      </w:r>
    </w:p>
    <w:p w:rsidR="00654CD2" w:rsidRPr="00B375EA" w:rsidRDefault="00654CD2" w:rsidP="00654CD2">
      <w:pPr>
        <w:keepNext/>
      </w:pPr>
    </w:p>
    <w:p w:rsidR="00654CD2" w:rsidRPr="00AE728E" w:rsidRDefault="00654CD2" w:rsidP="0001614D">
      <w:pPr>
        <w:pStyle w:val="Heading1"/>
        <w:numPr>
          <w:ilvl w:val="0"/>
          <w:numId w:val="12"/>
        </w:numPr>
      </w:pPr>
      <w:r w:rsidRPr="00AE728E">
        <w:t xml:space="preserve">The Country will ensure that it conducts accurate monitoring of its activities under this Agreement. The institutions set out in Appendix 5-A (“Monitoring Institutions and Roles”) will monitor and report on implementation of the activities in the previous Tranche Implementation Plans in accordance with their roles and responsibilities set out in </w:t>
      </w:r>
      <w:r>
        <w:t>the same appendix</w:t>
      </w:r>
      <w:r w:rsidRPr="00AE728E">
        <w:t>.</w:t>
      </w:r>
    </w:p>
    <w:p w:rsidR="00654CD2" w:rsidRPr="00B375EA" w:rsidRDefault="00654CD2" w:rsidP="00654CD2">
      <w:pPr>
        <w:rPr>
          <w:b/>
        </w:rPr>
      </w:pPr>
      <w:r w:rsidRPr="00B375EA">
        <w:rPr>
          <w:b/>
        </w:rPr>
        <w:t>Flexibility in the reallocation of funds</w:t>
      </w:r>
    </w:p>
    <w:p w:rsidR="00654CD2" w:rsidRPr="00B375EA" w:rsidRDefault="00654CD2" w:rsidP="00654CD2"/>
    <w:p w:rsidR="00654CD2" w:rsidRPr="00AE728E" w:rsidRDefault="00654CD2" w:rsidP="0001614D">
      <w:pPr>
        <w:pStyle w:val="Heading1"/>
        <w:numPr>
          <w:ilvl w:val="0"/>
          <w:numId w:val="12"/>
        </w:numPr>
      </w:pPr>
      <w:r w:rsidRPr="00AE728E">
        <w:t>The Executive Committee agrees that the Country may have the flexibility to reallocate</w:t>
      </w:r>
      <w:r>
        <w:t xml:space="preserve"> part or all of the</w:t>
      </w:r>
      <w:r w:rsidRPr="00AE728E">
        <w:t xml:space="preserve"> approved funds, according to the evolving circumstances to achieve the smoothest reduction of consumption and phase-out of the Substances specified in Appendix 1-A:</w:t>
      </w:r>
    </w:p>
    <w:p w:rsidR="00654CD2" w:rsidRPr="00AE728E" w:rsidRDefault="00654CD2" w:rsidP="00654CD2">
      <w:pPr>
        <w:pStyle w:val="Heading2"/>
      </w:pPr>
      <w:r w:rsidRPr="00AE728E">
        <w:t>Reallocations categorized as major changes must be documented in advance either in a Tranche Implementation Plan as foreseen in sub</w:t>
      </w:r>
      <w:r w:rsidRPr="00AE728E">
        <w:noBreakHyphen/>
        <w:t>paragraph 5(d) above, or as a revision to an existing Tranche Implementation Plan to be submitted eight weeks prior to any meeting of the Executive Committee, for its approval. Major changes would relate to:</w:t>
      </w:r>
    </w:p>
    <w:p w:rsidR="00654CD2" w:rsidRPr="00AE728E" w:rsidRDefault="00654CD2" w:rsidP="00654CD2">
      <w:pPr>
        <w:pStyle w:val="Heading3"/>
      </w:pPr>
      <w:r w:rsidRPr="00AE728E">
        <w:t xml:space="preserve">Issues potentially concerning the rules and policies of the Multilateral Fund; </w:t>
      </w:r>
    </w:p>
    <w:p w:rsidR="00654CD2" w:rsidRPr="00AE728E" w:rsidRDefault="00654CD2" w:rsidP="00654CD2">
      <w:pPr>
        <w:pStyle w:val="Heading3"/>
      </w:pPr>
      <w:r w:rsidRPr="00AE728E">
        <w:t xml:space="preserve">Changes which would modify any clause of this Agreement; </w:t>
      </w:r>
    </w:p>
    <w:p w:rsidR="00654CD2" w:rsidRPr="00AE728E" w:rsidRDefault="00654CD2" w:rsidP="00654CD2">
      <w:pPr>
        <w:pStyle w:val="Heading3"/>
      </w:pPr>
      <w:r w:rsidRPr="00AE728E">
        <w:t>Changes in the annual levels of funding allocated to individual bilateral or implementing agencies for the different tranches;</w:t>
      </w:r>
    </w:p>
    <w:p w:rsidR="00654CD2" w:rsidRDefault="00654CD2" w:rsidP="00654CD2">
      <w:pPr>
        <w:pStyle w:val="Heading3"/>
      </w:pPr>
      <w:r w:rsidRPr="00AE728E">
        <w:t>Provision of funding for programmes or activities not included in the current endorsed Tranche Implementation Plan, or removal of an activity in the Tranche Implementation Plan, with a cost greater than 30 per cent of the total cost of the last approved tranche;</w:t>
      </w:r>
      <w:r w:rsidRPr="00B375EA">
        <w:t xml:space="preserve"> and</w:t>
      </w:r>
    </w:p>
    <w:p w:rsidR="00654CD2" w:rsidRPr="00C15D39" w:rsidRDefault="00654CD2" w:rsidP="00654CD2">
      <w:pPr>
        <w:pStyle w:val="Heading3"/>
      </w:pPr>
      <w:r w:rsidRPr="00C15D39">
        <w:t>Changes in alternative technologies, on the understanding that any submission for such a request would identify the associated incremental costs, the potential impact to the climate, and any differences in ODP tonnes to be phased out if applicable, as well as confirm that the Country agrees that potential savings related to the change of technology would decrease the overall funding level under this Agreement accordingly;</w:t>
      </w:r>
    </w:p>
    <w:p w:rsidR="00654CD2" w:rsidRPr="00C15D39" w:rsidRDefault="00654CD2" w:rsidP="00654CD2"/>
    <w:p w:rsidR="00654CD2" w:rsidRPr="00AE728E" w:rsidRDefault="00654CD2" w:rsidP="00654CD2">
      <w:pPr>
        <w:pStyle w:val="Heading2"/>
      </w:pPr>
      <w:r w:rsidRPr="00AE728E">
        <w:t xml:space="preserve">Reallocations not categorized as major changes may be incorporated in the approved Tranche Implementation Plan, under implementation at the time, and reported to the Executive Committee in the subsequent Tranche Implementation Report; </w:t>
      </w:r>
      <w:r w:rsidR="00306EA0">
        <w:t xml:space="preserve">and </w:t>
      </w:r>
    </w:p>
    <w:p w:rsidR="00654CD2" w:rsidRPr="00AE728E" w:rsidRDefault="00654CD2" w:rsidP="0001614D">
      <w:pPr>
        <w:pStyle w:val="Heading2"/>
        <w:keepNext/>
        <w:keepLines/>
        <w:numPr>
          <w:ilvl w:val="1"/>
          <w:numId w:val="33"/>
        </w:numPr>
      </w:pPr>
      <w:r w:rsidRPr="00AE728E">
        <w:t xml:space="preserve">Any remaining funds </w:t>
      </w:r>
      <w:r>
        <w:t>held by the bilateral or implementing agencies or the C</w:t>
      </w:r>
      <w:r w:rsidRPr="00B375EA">
        <w:t>ountry</w:t>
      </w:r>
      <w:r>
        <w:t xml:space="preserve"> </w:t>
      </w:r>
      <w:r w:rsidRPr="00AE728E">
        <w:t xml:space="preserve">under the Plan will be returned to the Multilateral Fund upon completion of the last tranche foreseen under this Agreement. </w:t>
      </w:r>
    </w:p>
    <w:p w:rsidR="00654CD2" w:rsidRPr="00B375EA" w:rsidRDefault="00654CD2" w:rsidP="00654CD2">
      <w:pPr>
        <w:rPr>
          <w:b/>
        </w:rPr>
      </w:pPr>
      <w:r w:rsidRPr="00B375EA">
        <w:rPr>
          <w:b/>
        </w:rPr>
        <w:t>Considerations for the refrigeration servicing sector</w:t>
      </w:r>
    </w:p>
    <w:p w:rsidR="00654CD2" w:rsidRPr="00B375EA" w:rsidRDefault="00654CD2" w:rsidP="00654CD2"/>
    <w:p w:rsidR="00654CD2" w:rsidRPr="00AE728E" w:rsidRDefault="00654CD2" w:rsidP="0001614D">
      <w:pPr>
        <w:pStyle w:val="Heading1"/>
        <w:numPr>
          <w:ilvl w:val="0"/>
          <w:numId w:val="12"/>
        </w:numPr>
      </w:pPr>
      <w:r w:rsidRPr="00AE728E">
        <w:t>Specific attention will be paid to the execution of the activities in the refrigeration servicing sub</w:t>
      </w:r>
      <w:r w:rsidRPr="00AE728E">
        <w:noBreakHyphen/>
        <w:t>sector included in the Plan, in particular:</w:t>
      </w:r>
    </w:p>
    <w:p w:rsidR="00654CD2" w:rsidRPr="00AE728E" w:rsidRDefault="00654CD2" w:rsidP="00654CD2">
      <w:pPr>
        <w:pStyle w:val="Heading2"/>
      </w:pPr>
      <w:r w:rsidRPr="00AE728E">
        <w:t>The Country would use the flexibility available under this Agreement to address specific needs that might arise during project implementation; and</w:t>
      </w:r>
    </w:p>
    <w:p w:rsidR="00654CD2" w:rsidRPr="00AE728E" w:rsidRDefault="00654CD2" w:rsidP="00654CD2">
      <w:pPr>
        <w:pStyle w:val="Heading2"/>
      </w:pPr>
      <w:r w:rsidRPr="00AE728E">
        <w:t xml:space="preserve">The Country and the relevant bilateral and/or implementing agencies </w:t>
      </w:r>
      <w:r w:rsidRPr="00B375EA">
        <w:t>would</w:t>
      </w:r>
      <w:r w:rsidRPr="00AE728E">
        <w:t xml:space="preserve"> take into consideration decision 72/41 during the implementation of the </w:t>
      </w:r>
      <w:r>
        <w:t>P</w:t>
      </w:r>
      <w:r w:rsidRPr="00AE728E">
        <w:t>lan.</w:t>
      </w:r>
    </w:p>
    <w:p w:rsidR="00654CD2" w:rsidRPr="00B375EA" w:rsidRDefault="00654CD2" w:rsidP="00654CD2">
      <w:pPr>
        <w:rPr>
          <w:b/>
        </w:rPr>
      </w:pPr>
      <w:r w:rsidRPr="00B375EA">
        <w:rPr>
          <w:b/>
        </w:rPr>
        <w:t>Bilateral and implementing agencies</w:t>
      </w:r>
    </w:p>
    <w:p w:rsidR="00654CD2" w:rsidRPr="00B375EA" w:rsidRDefault="00654CD2" w:rsidP="00654CD2"/>
    <w:p w:rsidR="00654CD2" w:rsidRPr="00AE728E" w:rsidRDefault="00654CD2" w:rsidP="0001614D">
      <w:pPr>
        <w:pStyle w:val="Heading1"/>
        <w:numPr>
          <w:ilvl w:val="0"/>
          <w:numId w:val="12"/>
        </w:numPr>
      </w:pPr>
      <w:r w:rsidRPr="00AE728E">
        <w:t xml:space="preserve">The Country agrees to assume overall responsibility for the management and implementation of this Agreement and of all activities undertaken by it or on its behalf to fulfil the obligations under this </w:t>
      </w:r>
      <w:r w:rsidRPr="00BF0163">
        <w:t xml:space="preserve">Agreement. UNDP has agreed to be the lead implementing agency (the “Lead IA”) </w:t>
      </w:r>
      <w:r w:rsidRPr="00D96D34">
        <w:t xml:space="preserve">and </w:t>
      </w:r>
      <w:r w:rsidRPr="00BF0163">
        <w:t>UNEP</w:t>
      </w:r>
      <w:r w:rsidRPr="00D96D34">
        <w:t xml:space="preserve"> has agreed to be the cooperating implementing agency (the “Cooperating </w:t>
      </w:r>
      <w:r w:rsidRPr="00BF0163">
        <w:t>IA”)</w:t>
      </w:r>
      <w:r w:rsidRPr="00D96D34">
        <w:t xml:space="preserve"> under the lead of the Lead IA</w:t>
      </w:r>
      <w:r w:rsidRPr="00AE728E">
        <w:t xml:space="preserve"> in respect of the Country’s activities under this Agreement. The Country agrees to evaluations, which might be carried out under the monitoring and evaluation work programmes of the Multilateral Fund or under the evaluation programme of the Lead IA </w:t>
      </w:r>
      <w:r w:rsidRPr="00D96D34">
        <w:t>and/or Cooperating IA</w:t>
      </w:r>
      <w:r w:rsidRPr="00AE728E">
        <w:t xml:space="preserve"> taking part in this Agreement.</w:t>
      </w:r>
    </w:p>
    <w:p w:rsidR="00654CD2" w:rsidRPr="00AE728E" w:rsidRDefault="00654CD2" w:rsidP="0001614D">
      <w:pPr>
        <w:pStyle w:val="Heading1"/>
        <w:numPr>
          <w:ilvl w:val="0"/>
          <w:numId w:val="12"/>
        </w:numPr>
      </w:pPr>
      <w:r w:rsidRPr="00AE728E">
        <w:t>The Lead IA will be responsible for ensuring co-ordinated planning, implementation and reporting of all activities under this Agreement, including but not limited to independent verification as per sub-paragraph 5(b</w:t>
      </w:r>
      <w:r w:rsidRPr="00BF0163">
        <w:t xml:space="preserve">). </w:t>
      </w:r>
      <w:r w:rsidRPr="00D96D34">
        <w:t xml:space="preserve">The Cooperating IA will support the Lead IA by implementing the </w:t>
      </w:r>
      <w:r w:rsidRPr="00BF0163">
        <w:t>activities listed in Appendix 6-B</w:t>
      </w:r>
      <w:r w:rsidRPr="00D96D34">
        <w:t xml:space="preserve"> under the overall co</w:t>
      </w:r>
      <w:r w:rsidRPr="00BF0163">
        <w:noBreakHyphen/>
      </w:r>
      <w:r w:rsidRPr="00D96D34">
        <w:t>ordination of the Lead IA</w:t>
      </w:r>
      <w:r w:rsidRPr="00BF0163">
        <w:t xml:space="preserve">. The Lead IA </w:t>
      </w:r>
      <w:r w:rsidRPr="00D96D34">
        <w:t xml:space="preserve">and </w:t>
      </w:r>
      <w:r w:rsidRPr="00BF0163">
        <w:t xml:space="preserve">Cooperating IA will reach consensus on the arrangements regarding inter-agency planning including regular co-ordination meetings, reporting and responsibilities under this Agreement in order to facilitate a co-ordinated implementation of the Plan. The Executive Committee </w:t>
      </w:r>
      <w:proofErr w:type="gramStart"/>
      <w:r w:rsidRPr="00BF0163">
        <w:t>agrees,</w:t>
      </w:r>
      <w:proofErr w:type="gramEnd"/>
      <w:r w:rsidRPr="00BF0163">
        <w:t xml:space="preserve"> in principle, to provide the Lead IA </w:t>
      </w:r>
      <w:r w:rsidRPr="00D96D34">
        <w:t>and the Cooperating IA</w:t>
      </w:r>
      <w:r w:rsidRPr="00BF0163">
        <w:t xml:space="preserve"> with the fees set out in rows 2.2 </w:t>
      </w:r>
      <w:r w:rsidRPr="00D96D34">
        <w:t>and 2.4</w:t>
      </w:r>
      <w:r w:rsidRPr="00BF0163">
        <w:t xml:space="preserve"> of</w:t>
      </w:r>
      <w:r w:rsidRPr="00AE728E">
        <w:t xml:space="preserve"> Appendix 2</w:t>
      </w:r>
      <w:r w:rsidRPr="00AE728E">
        <w:noBreakHyphen/>
        <w:t>A.</w:t>
      </w:r>
    </w:p>
    <w:p w:rsidR="00654CD2" w:rsidRPr="00B375EA" w:rsidRDefault="00654CD2" w:rsidP="00654CD2">
      <w:pPr>
        <w:keepNext/>
        <w:rPr>
          <w:b/>
        </w:rPr>
      </w:pPr>
      <w:r w:rsidRPr="00B375EA">
        <w:rPr>
          <w:b/>
        </w:rPr>
        <w:t>Non-compliance with the Agreement</w:t>
      </w:r>
    </w:p>
    <w:p w:rsidR="00654CD2" w:rsidRPr="00B375EA" w:rsidRDefault="00654CD2" w:rsidP="00654CD2">
      <w:pPr>
        <w:keepNext/>
      </w:pPr>
    </w:p>
    <w:p w:rsidR="00654CD2" w:rsidRPr="00AE728E" w:rsidRDefault="00654CD2" w:rsidP="00CC3F56">
      <w:pPr>
        <w:pStyle w:val="Heading1"/>
        <w:numPr>
          <w:ilvl w:val="0"/>
          <w:numId w:val="12"/>
        </w:numPr>
      </w:pPr>
      <w:r w:rsidRPr="00AE728E">
        <w:t>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 set out in Appendix 7-A (“Reductions in Funding for Failure to Comply”) in respect of each ODP</w:t>
      </w:r>
      <w:r>
        <w:t> </w:t>
      </w:r>
      <w:r w:rsidRPr="00B375EA">
        <w:t>k</w:t>
      </w:r>
      <w:r>
        <w:t>g</w:t>
      </w:r>
      <w:r w:rsidRPr="00AE728E">
        <w:t xml:space="preserve"> of reductions in consumption not achieved in any one year. The Executive Committee will discuss each specific case in which the Country did not comply with this Agreement, and take related decisions. Once decisions are taken, th</w:t>
      </w:r>
      <w:r>
        <w:t>e</w:t>
      </w:r>
      <w:r w:rsidRPr="00AE728E">
        <w:t xml:space="preserve"> specific case </w:t>
      </w:r>
      <w:r>
        <w:t xml:space="preserve">of </w:t>
      </w:r>
      <w:r w:rsidRPr="00B375EA">
        <w:t>non-</w:t>
      </w:r>
      <w:r>
        <w:t xml:space="preserve">compliance with this Agreement </w:t>
      </w:r>
      <w:r w:rsidRPr="00AE728E">
        <w:t xml:space="preserve">will not be an impediment for </w:t>
      </w:r>
      <w:r>
        <w:t xml:space="preserve">the provision of funding for </w:t>
      </w:r>
      <w:r w:rsidRPr="00AE728E">
        <w:t>future tranches as per paragraph 5 above.</w:t>
      </w:r>
    </w:p>
    <w:p w:rsidR="00654CD2" w:rsidRPr="00AE728E" w:rsidRDefault="00654CD2" w:rsidP="00CC3F56">
      <w:pPr>
        <w:pStyle w:val="Heading1"/>
        <w:numPr>
          <w:ilvl w:val="0"/>
          <w:numId w:val="12"/>
        </w:numPr>
      </w:pPr>
      <w:r w:rsidRPr="00AE728E">
        <w:t xml:space="preserve">The Funding of this Agreement will not be modified on the basis of any future Executive Committee </w:t>
      </w:r>
      <w:r w:rsidRPr="00B375EA">
        <w:t>decisions</w:t>
      </w:r>
      <w:r w:rsidRPr="00AE728E">
        <w:t xml:space="preserve"> that may affect the funding of any other consumption sector projects or any other related activities in the Country.</w:t>
      </w:r>
    </w:p>
    <w:p w:rsidR="00654CD2" w:rsidRPr="00BF0163" w:rsidRDefault="00654CD2" w:rsidP="00CC3F56">
      <w:pPr>
        <w:pStyle w:val="Heading1"/>
        <w:numPr>
          <w:ilvl w:val="0"/>
          <w:numId w:val="12"/>
        </w:numPr>
      </w:pPr>
      <w:r w:rsidRPr="00BF0163">
        <w:t xml:space="preserve">The Country will comply with any reasonable request of the Executive Committee, </w:t>
      </w:r>
      <w:r w:rsidRPr="00D96D34">
        <w:t>and</w:t>
      </w:r>
      <w:r w:rsidRPr="00BF0163">
        <w:t xml:space="preserve"> the Lead IA </w:t>
      </w:r>
      <w:r w:rsidRPr="00D96D34">
        <w:t>and the Cooperating IA</w:t>
      </w:r>
      <w:r w:rsidRPr="00BF0163">
        <w:t xml:space="preserve"> to facilitate implementation of this Agreement. In particular, it will provide the Lead IA </w:t>
      </w:r>
      <w:r w:rsidRPr="00D96D34">
        <w:t xml:space="preserve">and the Cooperating </w:t>
      </w:r>
      <w:r w:rsidRPr="00BF0163">
        <w:t>IAs with access to the information necessary to verify compliance with this Agreement.</w:t>
      </w:r>
    </w:p>
    <w:p w:rsidR="00654CD2" w:rsidRPr="00B375EA" w:rsidRDefault="00654CD2" w:rsidP="00654CD2">
      <w:pPr>
        <w:rPr>
          <w:b/>
        </w:rPr>
      </w:pPr>
      <w:r w:rsidRPr="00B375EA">
        <w:rPr>
          <w:b/>
        </w:rPr>
        <w:t>Date of completion</w:t>
      </w:r>
    </w:p>
    <w:p w:rsidR="00654CD2" w:rsidRPr="00B375EA" w:rsidRDefault="00654CD2" w:rsidP="00654CD2"/>
    <w:p w:rsidR="00654CD2" w:rsidRPr="00AE728E" w:rsidRDefault="00654CD2" w:rsidP="00CC3F56">
      <w:pPr>
        <w:pStyle w:val="Heading1"/>
        <w:numPr>
          <w:ilvl w:val="0"/>
          <w:numId w:val="12"/>
        </w:numPr>
      </w:pPr>
      <w:r w:rsidRPr="00AE728E">
        <w:t>The completion of the Plan and the associated Agreement will take place at the end of the year following the last year for which a maximum allowable total consumption level has been specified in Appendix 2-A. Should at that time there still be activities that are outstanding, and which were foreseen in the last Tranche Implementation Plan and its subsequent revisions as per sub-paragraph 5(d) and paragraph 7, the completion of the Plan will be delayed until the end of the year following the implementation of the remaining activities. The reporting requirements as per sub-paragraphs 1(a), 1(b), 1(d), and 1(e) of Appendix 4-A will continue until the time of the completion of the Plan unless otherwise specified by the Executive Committee.</w:t>
      </w:r>
    </w:p>
    <w:p w:rsidR="00654CD2" w:rsidRPr="00B375EA" w:rsidRDefault="00654CD2" w:rsidP="00654CD2">
      <w:pPr>
        <w:keepNext/>
        <w:rPr>
          <w:b/>
        </w:rPr>
      </w:pPr>
      <w:r w:rsidRPr="00B375EA">
        <w:rPr>
          <w:b/>
        </w:rPr>
        <w:t>Validity</w:t>
      </w:r>
    </w:p>
    <w:p w:rsidR="00654CD2" w:rsidRPr="00B375EA" w:rsidRDefault="00654CD2" w:rsidP="00654CD2">
      <w:pPr>
        <w:keepNext/>
      </w:pPr>
    </w:p>
    <w:p w:rsidR="00654CD2" w:rsidRPr="00AE728E" w:rsidRDefault="00654CD2" w:rsidP="00CC3F56">
      <w:pPr>
        <w:pStyle w:val="Heading1"/>
        <w:numPr>
          <w:ilvl w:val="0"/>
          <w:numId w:val="12"/>
        </w:numPr>
      </w:pPr>
      <w:r w:rsidRPr="00AE728E">
        <w:t xml:space="preserve">All of the conditions set out in this Agreement are undertaken solely within the context of the Montreal Protocol and as specified in this Agreement. All terms used in this Agreement have the meaning ascribed to them in the Montreal Protocol unless otherwise defined herein. </w:t>
      </w:r>
    </w:p>
    <w:p w:rsidR="00C70B37" w:rsidRDefault="00654CD2" w:rsidP="00CC3F56">
      <w:pPr>
        <w:pStyle w:val="Heading1"/>
        <w:numPr>
          <w:ilvl w:val="0"/>
          <w:numId w:val="12"/>
        </w:numPr>
      </w:pPr>
      <w:r w:rsidRPr="00B375EA">
        <w:t>This Agreement may be modified or terminated only by mutual written agreement of the Country and the Executive Committee of the Multilateral Fund.</w:t>
      </w:r>
    </w:p>
    <w:p w:rsidR="00654CD2" w:rsidRPr="00654CD2" w:rsidRDefault="00654CD2" w:rsidP="00654CD2">
      <w:pPr>
        <w:keepNext/>
        <w:rPr>
          <w:b/>
        </w:rPr>
      </w:pPr>
      <w:r w:rsidRPr="00654CD2">
        <w:rPr>
          <w:b/>
        </w:rPr>
        <w:t xml:space="preserve">APPENDICES </w:t>
      </w:r>
    </w:p>
    <w:p w:rsidR="00654CD2" w:rsidRPr="00654CD2" w:rsidRDefault="00654CD2" w:rsidP="00654CD2">
      <w:pPr>
        <w:keepNext/>
        <w:rPr>
          <w:b/>
        </w:rPr>
      </w:pPr>
    </w:p>
    <w:p w:rsidR="00654CD2" w:rsidRPr="00654CD2" w:rsidRDefault="00654CD2" w:rsidP="00654CD2">
      <w:pPr>
        <w:keepNext/>
        <w:rPr>
          <w:b/>
        </w:rPr>
      </w:pPr>
      <w:r w:rsidRPr="00654CD2">
        <w:rPr>
          <w:b/>
        </w:rPr>
        <w:t>APPENDIX 1-A: THE SUBSTANCES</w:t>
      </w:r>
    </w:p>
    <w:p w:rsidR="00654CD2" w:rsidRPr="00654CD2" w:rsidRDefault="00654CD2" w:rsidP="00654CD2">
      <w:pPr>
        <w:keepNext/>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4"/>
        <w:gridCol w:w="1142"/>
        <w:gridCol w:w="1104"/>
        <w:gridCol w:w="2930"/>
      </w:tblGrid>
      <w:tr w:rsidR="00654CD2" w:rsidRPr="00654CD2" w:rsidTr="00910FAC">
        <w:tc>
          <w:tcPr>
            <w:tcW w:w="4274" w:type="dxa"/>
          </w:tcPr>
          <w:p w:rsidR="00654CD2" w:rsidRPr="00654CD2" w:rsidRDefault="00654CD2" w:rsidP="00654CD2">
            <w:pPr>
              <w:keepNext/>
              <w:jc w:val="center"/>
              <w:rPr>
                <w:sz w:val="20"/>
                <w:szCs w:val="20"/>
              </w:rPr>
            </w:pPr>
            <w:r w:rsidRPr="00654CD2">
              <w:rPr>
                <w:sz w:val="20"/>
                <w:szCs w:val="20"/>
              </w:rPr>
              <w:t>Substance</w:t>
            </w:r>
          </w:p>
        </w:tc>
        <w:tc>
          <w:tcPr>
            <w:tcW w:w="1142" w:type="dxa"/>
          </w:tcPr>
          <w:p w:rsidR="00654CD2" w:rsidRPr="00654CD2" w:rsidRDefault="00654CD2" w:rsidP="00654CD2">
            <w:pPr>
              <w:keepNext/>
              <w:jc w:val="center"/>
              <w:rPr>
                <w:sz w:val="20"/>
                <w:szCs w:val="20"/>
              </w:rPr>
            </w:pPr>
            <w:r w:rsidRPr="00654CD2">
              <w:rPr>
                <w:sz w:val="20"/>
                <w:szCs w:val="20"/>
              </w:rPr>
              <w:t>Annex</w:t>
            </w:r>
          </w:p>
        </w:tc>
        <w:tc>
          <w:tcPr>
            <w:tcW w:w="1104" w:type="dxa"/>
          </w:tcPr>
          <w:p w:rsidR="00654CD2" w:rsidRPr="00654CD2" w:rsidRDefault="00654CD2" w:rsidP="00654CD2">
            <w:pPr>
              <w:keepNext/>
              <w:jc w:val="center"/>
              <w:rPr>
                <w:sz w:val="20"/>
                <w:szCs w:val="20"/>
              </w:rPr>
            </w:pPr>
            <w:r w:rsidRPr="00654CD2">
              <w:rPr>
                <w:sz w:val="20"/>
                <w:szCs w:val="20"/>
              </w:rPr>
              <w:t>Group</w:t>
            </w:r>
          </w:p>
        </w:tc>
        <w:tc>
          <w:tcPr>
            <w:tcW w:w="2930" w:type="dxa"/>
            <w:tcBorders>
              <w:bottom w:val="single" w:sz="4" w:space="0" w:color="auto"/>
            </w:tcBorders>
          </w:tcPr>
          <w:p w:rsidR="00654CD2" w:rsidRPr="00654CD2" w:rsidRDefault="00654CD2" w:rsidP="00654CD2">
            <w:pPr>
              <w:keepNext/>
              <w:jc w:val="center"/>
              <w:rPr>
                <w:sz w:val="20"/>
                <w:szCs w:val="20"/>
              </w:rPr>
            </w:pPr>
            <w:r w:rsidRPr="00654CD2">
              <w:rPr>
                <w:sz w:val="20"/>
                <w:szCs w:val="20"/>
              </w:rPr>
              <w:t>Starting point for aggregate reductions in consumption (ODP tonnes)</w:t>
            </w:r>
          </w:p>
        </w:tc>
      </w:tr>
      <w:tr w:rsidR="00654CD2" w:rsidRPr="00654CD2" w:rsidTr="00910FAC">
        <w:tc>
          <w:tcPr>
            <w:tcW w:w="4274" w:type="dxa"/>
          </w:tcPr>
          <w:p w:rsidR="00654CD2" w:rsidRPr="00654CD2" w:rsidRDefault="00654CD2" w:rsidP="00654CD2">
            <w:pPr>
              <w:keepNext/>
              <w:rPr>
                <w:sz w:val="20"/>
                <w:szCs w:val="20"/>
              </w:rPr>
            </w:pPr>
            <w:r w:rsidRPr="00654CD2">
              <w:rPr>
                <w:sz w:val="20"/>
                <w:szCs w:val="20"/>
              </w:rPr>
              <w:t>HCFC-22</w:t>
            </w:r>
          </w:p>
        </w:tc>
        <w:tc>
          <w:tcPr>
            <w:tcW w:w="1142" w:type="dxa"/>
          </w:tcPr>
          <w:p w:rsidR="00654CD2" w:rsidRPr="00654CD2" w:rsidRDefault="00654CD2" w:rsidP="00654CD2">
            <w:pPr>
              <w:keepNext/>
              <w:rPr>
                <w:sz w:val="20"/>
                <w:szCs w:val="20"/>
              </w:rPr>
            </w:pPr>
            <w:r w:rsidRPr="00654CD2">
              <w:rPr>
                <w:sz w:val="20"/>
                <w:szCs w:val="20"/>
              </w:rPr>
              <w:t>C</w:t>
            </w:r>
          </w:p>
        </w:tc>
        <w:tc>
          <w:tcPr>
            <w:tcW w:w="1104" w:type="dxa"/>
          </w:tcPr>
          <w:p w:rsidR="00654CD2" w:rsidRPr="00654CD2" w:rsidRDefault="00654CD2" w:rsidP="00654CD2">
            <w:pPr>
              <w:keepNext/>
              <w:rPr>
                <w:sz w:val="20"/>
                <w:szCs w:val="20"/>
              </w:rPr>
            </w:pPr>
            <w:r w:rsidRPr="00654CD2">
              <w:rPr>
                <w:sz w:val="20"/>
                <w:szCs w:val="20"/>
              </w:rPr>
              <w:t>I</w:t>
            </w:r>
          </w:p>
        </w:tc>
        <w:tc>
          <w:tcPr>
            <w:tcW w:w="2930" w:type="dxa"/>
            <w:tcBorders>
              <w:bottom w:val="single" w:sz="4" w:space="0" w:color="auto"/>
            </w:tcBorders>
            <w:shd w:val="clear" w:color="auto" w:fill="auto"/>
          </w:tcPr>
          <w:p w:rsidR="00654CD2" w:rsidRPr="00654CD2" w:rsidRDefault="00654CD2" w:rsidP="00654CD2">
            <w:pPr>
              <w:keepNext/>
              <w:jc w:val="right"/>
              <w:rPr>
                <w:sz w:val="20"/>
                <w:szCs w:val="20"/>
              </w:rPr>
            </w:pPr>
            <w:r w:rsidRPr="00654CD2">
              <w:rPr>
                <w:sz w:val="20"/>
                <w:szCs w:val="20"/>
              </w:rPr>
              <w:t>1.0</w:t>
            </w:r>
          </w:p>
        </w:tc>
      </w:tr>
    </w:tbl>
    <w:p w:rsidR="00654CD2" w:rsidRPr="00654CD2" w:rsidRDefault="00654CD2" w:rsidP="00654CD2">
      <w:pPr>
        <w:keepNext/>
        <w:keepLines/>
        <w:rPr>
          <w:b/>
        </w:rPr>
      </w:pPr>
    </w:p>
    <w:p w:rsidR="00654CD2" w:rsidRPr="00654CD2" w:rsidRDefault="00654CD2" w:rsidP="00654CD2">
      <w:pPr>
        <w:keepNext/>
        <w:keepLines/>
        <w:rPr>
          <w:b/>
        </w:rPr>
      </w:pPr>
      <w:r w:rsidRPr="00654CD2">
        <w:rPr>
          <w:b/>
        </w:rPr>
        <w:t>APPENDIX 2-A: THE TARGETS, AND FUNDING</w:t>
      </w:r>
    </w:p>
    <w:p w:rsidR="00654CD2" w:rsidRPr="00654CD2" w:rsidRDefault="00654CD2" w:rsidP="00654CD2">
      <w:pPr>
        <w:keepNext/>
        <w:keepLines/>
        <w:rPr>
          <w:b/>
        </w:rPr>
      </w:pPr>
    </w:p>
    <w:tbl>
      <w:tblPr>
        <w:tblW w:w="5000" w:type="pct"/>
        <w:jc w:val="center"/>
        <w:tblLook w:val="04A0" w:firstRow="1" w:lastRow="0" w:firstColumn="1" w:lastColumn="0" w:noHBand="0" w:noVBand="1"/>
      </w:tblPr>
      <w:tblGrid>
        <w:gridCol w:w="617"/>
        <w:gridCol w:w="3824"/>
        <w:gridCol w:w="1016"/>
        <w:gridCol w:w="700"/>
        <w:gridCol w:w="845"/>
        <w:gridCol w:w="700"/>
        <w:gridCol w:w="916"/>
        <w:gridCol w:w="958"/>
      </w:tblGrid>
      <w:tr w:rsidR="00910FAC" w:rsidRPr="00654CD2" w:rsidTr="00910FAC">
        <w:trPr>
          <w:trHeight w:val="98"/>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910FAC" w:rsidRPr="00654CD2" w:rsidRDefault="00910FAC" w:rsidP="00654CD2">
            <w:pPr>
              <w:jc w:val="center"/>
              <w:rPr>
                <w:b/>
                <w:bCs/>
                <w:color w:val="000000"/>
                <w:sz w:val="20"/>
                <w:szCs w:val="20"/>
                <w:lang w:eastAsia="en-CA"/>
              </w:rPr>
            </w:pPr>
            <w:r w:rsidRPr="00654CD2">
              <w:rPr>
                <w:b/>
                <w:bCs/>
                <w:color w:val="000000"/>
                <w:sz w:val="20"/>
                <w:szCs w:val="20"/>
                <w:lang w:eastAsia="en-CA"/>
              </w:rPr>
              <w:t>Row</w:t>
            </w:r>
          </w:p>
        </w:tc>
        <w:tc>
          <w:tcPr>
            <w:tcW w:w="3824"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654CD2">
            <w:pPr>
              <w:jc w:val="center"/>
              <w:rPr>
                <w:b/>
                <w:bCs/>
                <w:color w:val="000000"/>
                <w:sz w:val="20"/>
                <w:szCs w:val="20"/>
                <w:lang w:eastAsia="en-CA"/>
              </w:rPr>
            </w:pPr>
            <w:r w:rsidRPr="00654CD2">
              <w:rPr>
                <w:b/>
                <w:bCs/>
                <w:color w:val="000000"/>
                <w:sz w:val="20"/>
                <w:szCs w:val="20"/>
                <w:lang w:eastAsia="en-CA"/>
              </w:rPr>
              <w:t>Particulars</w:t>
            </w:r>
          </w:p>
        </w:tc>
        <w:tc>
          <w:tcPr>
            <w:tcW w:w="1016"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654CD2">
            <w:pPr>
              <w:jc w:val="center"/>
              <w:rPr>
                <w:b/>
                <w:bCs/>
                <w:color w:val="000000"/>
                <w:sz w:val="20"/>
                <w:szCs w:val="20"/>
                <w:lang w:eastAsia="en-CA"/>
              </w:rPr>
            </w:pPr>
            <w:r w:rsidRPr="00654CD2">
              <w:rPr>
                <w:b/>
                <w:bCs/>
                <w:color w:val="000000"/>
                <w:sz w:val="20"/>
                <w:szCs w:val="20"/>
                <w:lang w:eastAsia="en-CA"/>
              </w:rPr>
              <w:t>2016</w:t>
            </w:r>
          </w:p>
        </w:tc>
        <w:tc>
          <w:tcPr>
            <w:tcW w:w="700"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654CD2">
            <w:pPr>
              <w:jc w:val="center"/>
              <w:rPr>
                <w:b/>
                <w:bCs/>
                <w:color w:val="000000"/>
                <w:sz w:val="20"/>
                <w:szCs w:val="20"/>
                <w:lang w:eastAsia="en-CA"/>
              </w:rPr>
            </w:pPr>
            <w:r w:rsidRPr="00654CD2">
              <w:rPr>
                <w:b/>
                <w:bCs/>
                <w:color w:val="000000"/>
                <w:sz w:val="20"/>
                <w:szCs w:val="20"/>
                <w:lang w:eastAsia="en-CA"/>
              </w:rPr>
              <w:t>2017</w:t>
            </w:r>
          </w:p>
        </w:tc>
        <w:tc>
          <w:tcPr>
            <w:tcW w:w="845"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654CD2">
            <w:pPr>
              <w:jc w:val="center"/>
              <w:rPr>
                <w:b/>
                <w:bCs/>
                <w:color w:val="000000"/>
                <w:sz w:val="20"/>
                <w:szCs w:val="20"/>
                <w:lang w:eastAsia="en-CA"/>
              </w:rPr>
            </w:pPr>
            <w:r w:rsidRPr="00654CD2">
              <w:rPr>
                <w:b/>
                <w:bCs/>
                <w:color w:val="000000"/>
                <w:sz w:val="20"/>
                <w:szCs w:val="20"/>
                <w:lang w:eastAsia="en-CA"/>
              </w:rPr>
              <w:t>2018</w:t>
            </w:r>
          </w:p>
        </w:tc>
        <w:tc>
          <w:tcPr>
            <w:tcW w:w="700"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654CD2">
            <w:pPr>
              <w:jc w:val="center"/>
              <w:rPr>
                <w:b/>
                <w:bCs/>
                <w:color w:val="000000"/>
                <w:sz w:val="20"/>
                <w:szCs w:val="20"/>
                <w:lang w:eastAsia="en-CA"/>
              </w:rPr>
            </w:pPr>
            <w:r w:rsidRPr="00654CD2">
              <w:rPr>
                <w:b/>
                <w:bCs/>
                <w:color w:val="000000"/>
                <w:sz w:val="20"/>
                <w:szCs w:val="20"/>
                <w:lang w:eastAsia="en-CA"/>
              </w:rPr>
              <w:t>2019</w:t>
            </w:r>
          </w:p>
        </w:tc>
        <w:tc>
          <w:tcPr>
            <w:tcW w:w="916"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654CD2">
            <w:pPr>
              <w:jc w:val="center"/>
              <w:rPr>
                <w:b/>
                <w:bCs/>
                <w:color w:val="000000"/>
                <w:sz w:val="20"/>
                <w:szCs w:val="20"/>
                <w:lang w:eastAsia="en-CA"/>
              </w:rPr>
            </w:pPr>
            <w:r w:rsidRPr="00654CD2">
              <w:rPr>
                <w:b/>
                <w:bCs/>
                <w:color w:val="000000"/>
                <w:sz w:val="20"/>
                <w:szCs w:val="20"/>
                <w:lang w:eastAsia="en-CA"/>
              </w:rPr>
              <w:t>2020</w:t>
            </w:r>
          </w:p>
        </w:tc>
        <w:tc>
          <w:tcPr>
            <w:tcW w:w="958"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654CD2">
            <w:pPr>
              <w:jc w:val="center"/>
              <w:rPr>
                <w:b/>
                <w:bCs/>
                <w:color w:val="000000"/>
                <w:sz w:val="20"/>
                <w:szCs w:val="20"/>
                <w:lang w:eastAsia="en-CA"/>
              </w:rPr>
            </w:pPr>
            <w:r w:rsidRPr="00654CD2">
              <w:rPr>
                <w:b/>
                <w:bCs/>
                <w:color w:val="000000"/>
                <w:sz w:val="20"/>
                <w:szCs w:val="20"/>
                <w:lang w:eastAsia="en-CA"/>
              </w:rPr>
              <w:t>Total</w:t>
            </w:r>
          </w:p>
        </w:tc>
      </w:tr>
      <w:tr w:rsidR="00910FAC" w:rsidRPr="00654CD2" w:rsidTr="003F0D05">
        <w:trPr>
          <w:trHeight w:val="408"/>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910FAC" w:rsidRPr="00654CD2" w:rsidRDefault="00910FAC" w:rsidP="00654CD2">
            <w:pPr>
              <w:jc w:val="left"/>
              <w:rPr>
                <w:color w:val="000000"/>
                <w:sz w:val="20"/>
                <w:szCs w:val="20"/>
                <w:lang w:eastAsia="en-CA"/>
              </w:rPr>
            </w:pPr>
            <w:r w:rsidRPr="00654CD2">
              <w:rPr>
                <w:color w:val="000000"/>
                <w:sz w:val="20"/>
                <w:szCs w:val="20"/>
                <w:lang w:eastAsia="en-CA"/>
              </w:rPr>
              <w:t>1.1</w:t>
            </w:r>
          </w:p>
        </w:tc>
        <w:tc>
          <w:tcPr>
            <w:tcW w:w="3824"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910FAC">
            <w:pPr>
              <w:jc w:val="left"/>
              <w:rPr>
                <w:color w:val="000000"/>
                <w:sz w:val="20"/>
                <w:szCs w:val="20"/>
                <w:lang w:eastAsia="en-CA"/>
              </w:rPr>
            </w:pPr>
            <w:r w:rsidRPr="00654CD2">
              <w:rPr>
                <w:color w:val="000000"/>
                <w:sz w:val="20"/>
                <w:szCs w:val="20"/>
                <w:lang w:eastAsia="en-CA"/>
              </w:rPr>
              <w:t>Montreal Protocol reduction schedule of Annex C, Group I substances (ODP tonnes)</w:t>
            </w:r>
          </w:p>
        </w:tc>
        <w:tc>
          <w:tcPr>
            <w:tcW w:w="10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0.9</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0.9</w:t>
            </w:r>
          </w:p>
        </w:tc>
        <w:tc>
          <w:tcPr>
            <w:tcW w:w="845"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0.9</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0.9</w:t>
            </w:r>
          </w:p>
        </w:tc>
        <w:tc>
          <w:tcPr>
            <w:tcW w:w="9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0.65</w:t>
            </w:r>
          </w:p>
        </w:tc>
        <w:tc>
          <w:tcPr>
            <w:tcW w:w="958"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p>
        </w:tc>
      </w:tr>
      <w:tr w:rsidR="00910FAC" w:rsidRPr="00654CD2" w:rsidTr="003F0D05">
        <w:trPr>
          <w:trHeight w:val="408"/>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910FAC" w:rsidRPr="00654CD2" w:rsidRDefault="00910FAC" w:rsidP="00654CD2">
            <w:pPr>
              <w:jc w:val="left"/>
              <w:rPr>
                <w:color w:val="000000"/>
                <w:sz w:val="20"/>
                <w:szCs w:val="20"/>
                <w:lang w:eastAsia="en-CA"/>
              </w:rPr>
            </w:pPr>
            <w:r w:rsidRPr="00654CD2">
              <w:rPr>
                <w:color w:val="000000"/>
                <w:sz w:val="20"/>
                <w:szCs w:val="20"/>
                <w:lang w:eastAsia="en-CA"/>
              </w:rPr>
              <w:t>1.2</w:t>
            </w:r>
          </w:p>
        </w:tc>
        <w:tc>
          <w:tcPr>
            <w:tcW w:w="3824"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910FAC">
            <w:pPr>
              <w:jc w:val="left"/>
              <w:rPr>
                <w:color w:val="000000"/>
                <w:sz w:val="20"/>
                <w:szCs w:val="20"/>
                <w:lang w:eastAsia="en-CA"/>
              </w:rPr>
            </w:pPr>
            <w:r w:rsidRPr="00654CD2">
              <w:rPr>
                <w:color w:val="000000"/>
                <w:sz w:val="20"/>
                <w:szCs w:val="20"/>
                <w:lang w:eastAsia="en-CA"/>
              </w:rPr>
              <w:t>Maximum allowable total consumption of Annex C, Group I substances (ODP tonnes)</w:t>
            </w:r>
          </w:p>
        </w:tc>
        <w:tc>
          <w:tcPr>
            <w:tcW w:w="10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0.9</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0.9</w:t>
            </w:r>
          </w:p>
        </w:tc>
        <w:tc>
          <w:tcPr>
            <w:tcW w:w="845"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0.9</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0.9</w:t>
            </w:r>
          </w:p>
        </w:tc>
        <w:tc>
          <w:tcPr>
            <w:tcW w:w="9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0.65</w:t>
            </w:r>
          </w:p>
        </w:tc>
        <w:tc>
          <w:tcPr>
            <w:tcW w:w="958"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p>
        </w:tc>
      </w:tr>
      <w:tr w:rsidR="00910FAC" w:rsidRPr="00654CD2" w:rsidTr="003F0D05">
        <w:trPr>
          <w:trHeight w:val="116"/>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910FAC" w:rsidRPr="00654CD2" w:rsidRDefault="00910FAC" w:rsidP="00654CD2">
            <w:pPr>
              <w:jc w:val="left"/>
              <w:rPr>
                <w:color w:val="000000"/>
                <w:sz w:val="20"/>
                <w:szCs w:val="20"/>
                <w:lang w:eastAsia="en-CA"/>
              </w:rPr>
            </w:pPr>
            <w:r w:rsidRPr="00654CD2">
              <w:rPr>
                <w:color w:val="000000"/>
                <w:sz w:val="20"/>
                <w:szCs w:val="20"/>
                <w:lang w:eastAsia="en-CA"/>
              </w:rPr>
              <w:t>2.1</w:t>
            </w:r>
          </w:p>
        </w:tc>
        <w:tc>
          <w:tcPr>
            <w:tcW w:w="3824"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910FAC">
            <w:pPr>
              <w:jc w:val="left"/>
              <w:rPr>
                <w:color w:val="000000"/>
                <w:sz w:val="20"/>
                <w:szCs w:val="20"/>
                <w:lang w:eastAsia="en-CA"/>
              </w:rPr>
            </w:pPr>
            <w:r w:rsidRPr="00654CD2">
              <w:rPr>
                <w:color w:val="000000"/>
                <w:sz w:val="20"/>
                <w:szCs w:val="20"/>
                <w:lang w:eastAsia="en-CA"/>
              </w:rPr>
              <w:t>Lead IA (UNDP) agreed funding (US $)</w:t>
            </w:r>
          </w:p>
        </w:tc>
        <w:tc>
          <w:tcPr>
            <w:tcW w:w="10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104,850</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w:t>
            </w:r>
          </w:p>
        </w:tc>
        <w:tc>
          <w:tcPr>
            <w:tcW w:w="845"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w:t>
            </w:r>
          </w:p>
        </w:tc>
        <w:tc>
          <w:tcPr>
            <w:tcW w:w="9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17,450</w:t>
            </w:r>
          </w:p>
        </w:tc>
        <w:tc>
          <w:tcPr>
            <w:tcW w:w="958"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122,300</w:t>
            </w:r>
          </w:p>
        </w:tc>
      </w:tr>
      <w:tr w:rsidR="00910FAC" w:rsidRPr="00654CD2" w:rsidTr="003F0D05">
        <w:trPr>
          <w:trHeight w:val="56"/>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910FAC" w:rsidRPr="00654CD2" w:rsidRDefault="00910FAC" w:rsidP="00654CD2">
            <w:pPr>
              <w:jc w:val="left"/>
              <w:rPr>
                <w:color w:val="000000"/>
                <w:sz w:val="20"/>
                <w:szCs w:val="20"/>
                <w:lang w:eastAsia="en-CA"/>
              </w:rPr>
            </w:pPr>
            <w:r w:rsidRPr="00654CD2">
              <w:rPr>
                <w:color w:val="000000"/>
                <w:sz w:val="20"/>
                <w:szCs w:val="20"/>
                <w:lang w:eastAsia="en-CA"/>
              </w:rPr>
              <w:t>2.2</w:t>
            </w:r>
          </w:p>
        </w:tc>
        <w:tc>
          <w:tcPr>
            <w:tcW w:w="3824"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910FAC">
            <w:pPr>
              <w:jc w:val="left"/>
              <w:rPr>
                <w:color w:val="000000"/>
                <w:sz w:val="20"/>
                <w:szCs w:val="20"/>
                <w:lang w:eastAsia="en-CA"/>
              </w:rPr>
            </w:pPr>
            <w:r w:rsidRPr="00654CD2">
              <w:rPr>
                <w:color w:val="000000"/>
                <w:sz w:val="20"/>
                <w:szCs w:val="20"/>
                <w:lang w:eastAsia="en-CA"/>
              </w:rPr>
              <w:t>Support costs for Lead IA (US $)</w:t>
            </w:r>
          </w:p>
        </w:tc>
        <w:tc>
          <w:tcPr>
            <w:tcW w:w="1016" w:type="dxa"/>
            <w:tcBorders>
              <w:top w:val="single" w:sz="4" w:space="0" w:color="auto"/>
              <w:left w:val="nil"/>
              <w:bottom w:val="single" w:sz="4" w:space="0" w:color="auto"/>
              <w:right w:val="single" w:sz="4" w:space="0" w:color="auto"/>
            </w:tcBorders>
            <w:shd w:val="clear" w:color="auto" w:fill="auto"/>
          </w:tcPr>
          <w:p w:rsidR="00910FAC" w:rsidRPr="00654CD2" w:rsidRDefault="00B6012A" w:rsidP="00654CD2">
            <w:pPr>
              <w:jc w:val="right"/>
              <w:rPr>
                <w:color w:val="000000"/>
                <w:sz w:val="20"/>
                <w:szCs w:val="20"/>
                <w:lang w:eastAsia="en-CA"/>
              </w:rPr>
            </w:pPr>
            <w:r>
              <w:rPr>
                <w:color w:val="000000"/>
                <w:sz w:val="20"/>
                <w:szCs w:val="20"/>
                <w:lang w:eastAsia="en-CA"/>
              </w:rPr>
              <w:t>9,437</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w:t>
            </w:r>
          </w:p>
        </w:tc>
        <w:tc>
          <w:tcPr>
            <w:tcW w:w="845"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w:t>
            </w:r>
          </w:p>
        </w:tc>
        <w:tc>
          <w:tcPr>
            <w:tcW w:w="916" w:type="dxa"/>
            <w:tcBorders>
              <w:top w:val="single" w:sz="4" w:space="0" w:color="auto"/>
              <w:left w:val="nil"/>
              <w:bottom w:val="single" w:sz="4" w:space="0" w:color="auto"/>
              <w:right w:val="single" w:sz="4" w:space="0" w:color="auto"/>
            </w:tcBorders>
            <w:shd w:val="clear" w:color="auto" w:fill="auto"/>
          </w:tcPr>
          <w:p w:rsidR="00910FAC" w:rsidRPr="00654CD2" w:rsidRDefault="00B6012A" w:rsidP="00654CD2">
            <w:pPr>
              <w:jc w:val="right"/>
              <w:rPr>
                <w:color w:val="000000"/>
                <w:sz w:val="20"/>
                <w:szCs w:val="20"/>
                <w:lang w:eastAsia="en-CA"/>
              </w:rPr>
            </w:pPr>
            <w:r>
              <w:rPr>
                <w:color w:val="000000"/>
                <w:sz w:val="20"/>
                <w:szCs w:val="20"/>
                <w:lang w:eastAsia="en-CA"/>
              </w:rPr>
              <w:t>1,570</w:t>
            </w:r>
          </w:p>
        </w:tc>
        <w:tc>
          <w:tcPr>
            <w:tcW w:w="958"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11,007</w:t>
            </w:r>
          </w:p>
        </w:tc>
      </w:tr>
      <w:tr w:rsidR="00910FAC" w:rsidRPr="00654CD2" w:rsidTr="003F0D05">
        <w:trPr>
          <w:trHeight w:val="161"/>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910FAC" w:rsidRPr="00654CD2" w:rsidRDefault="00910FAC" w:rsidP="00654CD2">
            <w:pPr>
              <w:jc w:val="left"/>
              <w:rPr>
                <w:color w:val="000000"/>
                <w:sz w:val="20"/>
                <w:szCs w:val="20"/>
                <w:lang w:eastAsia="en-CA"/>
              </w:rPr>
            </w:pPr>
            <w:r w:rsidRPr="00654CD2">
              <w:rPr>
                <w:color w:val="000000"/>
                <w:sz w:val="20"/>
                <w:szCs w:val="20"/>
                <w:lang w:eastAsia="en-CA"/>
              </w:rPr>
              <w:t>2.3</w:t>
            </w:r>
          </w:p>
        </w:tc>
        <w:tc>
          <w:tcPr>
            <w:tcW w:w="3824"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910FAC">
            <w:pPr>
              <w:jc w:val="left"/>
              <w:rPr>
                <w:color w:val="000000"/>
                <w:sz w:val="20"/>
                <w:szCs w:val="20"/>
                <w:lang w:eastAsia="en-CA"/>
              </w:rPr>
            </w:pPr>
            <w:r w:rsidRPr="00654CD2">
              <w:rPr>
                <w:color w:val="000000"/>
                <w:sz w:val="20"/>
                <w:szCs w:val="20"/>
                <w:lang w:eastAsia="en-CA"/>
              </w:rPr>
              <w:t>Cooperating IA (UNEP) agreed funding (US $)</w:t>
            </w:r>
          </w:p>
        </w:tc>
        <w:tc>
          <w:tcPr>
            <w:tcW w:w="10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26,100</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w:t>
            </w:r>
          </w:p>
        </w:tc>
        <w:tc>
          <w:tcPr>
            <w:tcW w:w="845"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26,100</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w:t>
            </w:r>
          </w:p>
        </w:tc>
        <w:tc>
          <w:tcPr>
            <w:tcW w:w="9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p>
        </w:tc>
        <w:tc>
          <w:tcPr>
            <w:tcW w:w="958"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52,200</w:t>
            </w:r>
          </w:p>
        </w:tc>
      </w:tr>
      <w:tr w:rsidR="00910FAC" w:rsidRPr="00654CD2" w:rsidTr="003F0D05">
        <w:trPr>
          <w:trHeight w:val="60"/>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910FAC" w:rsidRPr="00654CD2" w:rsidRDefault="00910FAC" w:rsidP="00654CD2">
            <w:pPr>
              <w:jc w:val="left"/>
              <w:rPr>
                <w:color w:val="000000"/>
                <w:sz w:val="20"/>
                <w:szCs w:val="20"/>
                <w:lang w:eastAsia="en-CA"/>
              </w:rPr>
            </w:pPr>
            <w:r w:rsidRPr="00654CD2">
              <w:rPr>
                <w:color w:val="000000"/>
                <w:sz w:val="20"/>
                <w:szCs w:val="20"/>
                <w:lang w:eastAsia="en-CA"/>
              </w:rPr>
              <w:t>2.4</w:t>
            </w:r>
          </w:p>
        </w:tc>
        <w:tc>
          <w:tcPr>
            <w:tcW w:w="3824"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910FAC">
            <w:pPr>
              <w:jc w:val="left"/>
              <w:rPr>
                <w:color w:val="000000"/>
                <w:sz w:val="20"/>
                <w:szCs w:val="20"/>
                <w:lang w:eastAsia="en-CA"/>
              </w:rPr>
            </w:pPr>
            <w:r w:rsidRPr="00654CD2">
              <w:rPr>
                <w:color w:val="000000"/>
                <w:sz w:val="20"/>
                <w:szCs w:val="20"/>
                <w:lang w:eastAsia="en-CA"/>
              </w:rPr>
              <w:t>Support costs for Cooperating IA (US $)</w:t>
            </w:r>
          </w:p>
        </w:tc>
        <w:tc>
          <w:tcPr>
            <w:tcW w:w="10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3,393</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w:t>
            </w:r>
          </w:p>
        </w:tc>
        <w:tc>
          <w:tcPr>
            <w:tcW w:w="845"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3,393</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w:t>
            </w:r>
          </w:p>
        </w:tc>
        <w:tc>
          <w:tcPr>
            <w:tcW w:w="9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p>
        </w:tc>
        <w:tc>
          <w:tcPr>
            <w:tcW w:w="958"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6,786</w:t>
            </w:r>
          </w:p>
        </w:tc>
      </w:tr>
      <w:tr w:rsidR="00910FAC" w:rsidRPr="00654CD2" w:rsidTr="003F0D05">
        <w:trPr>
          <w:trHeight w:val="62"/>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910FAC" w:rsidRPr="00654CD2" w:rsidRDefault="00910FAC" w:rsidP="00654CD2">
            <w:pPr>
              <w:jc w:val="left"/>
              <w:rPr>
                <w:color w:val="000000"/>
                <w:sz w:val="20"/>
                <w:szCs w:val="20"/>
                <w:lang w:eastAsia="en-CA"/>
              </w:rPr>
            </w:pPr>
            <w:r w:rsidRPr="00654CD2">
              <w:rPr>
                <w:color w:val="000000"/>
                <w:sz w:val="20"/>
                <w:szCs w:val="20"/>
                <w:lang w:eastAsia="en-CA"/>
              </w:rPr>
              <w:t>3.1</w:t>
            </w:r>
          </w:p>
        </w:tc>
        <w:tc>
          <w:tcPr>
            <w:tcW w:w="3824"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910FAC">
            <w:pPr>
              <w:jc w:val="left"/>
              <w:rPr>
                <w:color w:val="000000"/>
                <w:sz w:val="20"/>
                <w:szCs w:val="20"/>
                <w:lang w:eastAsia="en-CA"/>
              </w:rPr>
            </w:pPr>
            <w:r w:rsidRPr="00654CD2">
              <w:rPr>
                <w:color w:val="000000"/>
                <w:sz w:val="20"/>
                <w:szCs w:val="20"/>
                <w:lang w:eastAsia="en-CA"/>
              </w:rPr>
              <w:t>Total agreed funding (US $)</w:t>
            </w:r>
          </w:p>
        </w:tc>
        <w:tc>
          <w:tcPr>
            <w:tcW w:w="10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130,950</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w:t>
            </w:r>
          </w:p>
        </w:tc>
        <w:tc>
          <w:tcPr>
            <w:tcW w:w="845"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26,100</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w:t>
            </w:r>
          </w:p>
        </w:tc>
        <w:tc>
          <w:tcPr>
            <w:tcW w:w="916"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17,450</w:t>
            </w:r>
          </w:p>
        </w:tc>
        <w:tc>
          <w:tcPr>
            <w:tcW w:w="958"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174,500</w:t>
            </w:r>
          </w:p>
        </w:tc>
      </w:tr>
      <w:tr w:rsidR="00910FAC" w:rsidRPr="00654CD2" w:rsidTr="003F0D05">
        <w:trPr>
          <w:trHeight w:val="62"/>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910FAC" w:rsidRPr="00654CD2" w:rsidRDefault="00910FAC" w:rsidP="00654CD2">
            <w:pPr>
              <w:jc w:val="left"/>
              <w:rPr>
                <w:color w:val="000000"/>
                <w:sz w:val="20"/>
                <w:szCs w:val="20"/>
                <w:lang w:eastAsia="en-CA"/>
              </w:rPr>
            </w:pPr>
            <w:r w:rsidRPr="00654CD2">
              <w:rPr>
                <w:color w:val="000000"/>
                <w:sz w:val="20"/>
                <w:szCs w:val="20"/>
                <w:lang w:eastAsia="en-CA"/>
              </w:rPr>
              <w:t>3.2</w:t>
            </w:r>
          </w:p>
        </w:tc>
        <w:tc>
          <w:tcPr>
            <w:tcW w:w="3824"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910FAC">
            <w:pPr>
              <w:jc w:val="left"/>
              <w:rPr>
                <w:color w:val="000000"/>
                <w:sz w:val="20"/>
                <w:szCs w:val="20"/>
                <w:lang w:eastAsia="en-CA"/>
              </w:rPr>
            </w:pPr>
            <w:r w:rsidRPr="00654CD2">
              <w:rPr>
                <w:color w:val="000000"/>
                <w:sz w:val="20"/>
                <w:szCs w:val="20"/>
                <w:lang w:eastAsia="en-CA"/>
              </w:rPr>
              <w:t>Total support costs (US $)</w:t>
            </w:r>
          </w:p>
        </w:tc>
        <w:tc>
          <w:tcPr>
            <w:tcW w:w="1016" w:type="dxa"/>
            <w:tcBorders>
              <w:top w:val="single" w:sz="4" w:space="0" w:color="auto"/>
              <w:left w:val="nil"/>
              <w:bottom w:val="single" w:sz="4" w:space="0" w:color="auto"/>
              <w:right w:val="single" w:sz="4" w:space="0" w:color="auto"/>
            </w:tcBorders>
            <w:shd w:val="clear" w:color="auto" w:fill="auto"/>
          </w:tcPr>
          <w:p w:rsidR="00910FAC" w:rsidRPr="00654CD2" w:rsidRDefault="00B6012A" w:rsidP="00654CD2">
            <w:pPr>
              <w:jc w:val="right"/>
              <w:rPr>
                <w:color w:val="000000"/>
                <w:sz w:val="20"/>
                <w:szCs w:val="20"/>
                <w:lang w:eastAsia="en-CA"/>
              </w:rPr>
            </w:pPr>
            <w:r>
              <w:rPr>
                <w:color w:val="000000"/>
                <w:sz w:val="20"/>
                <w:szCs w:val="20"/>
                <w:lang w:eastAsia="en-CA"/>
              </w:rPr>
              <w:t>12,830</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w:t>
            </w:r>
          </w:p>
        </w:tc>
        <w:tc>
          <w:tcPr>
            <w:tcW w:w="845"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3,393</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w:t>
            </w:r>
          </w:p>
        </w:tc>
        <w:tc>
          <w:tcPr>
            <w:tcW w:w="916" w:type="dxa"/>
            <w:tcBorders>
              <w:top w:val="single" w:sz="4" w:space="0" w:color="auto"/>
              <w:left w:val="nil"/>
              <w:bottom w:val="single" w:sz="4" w:space="0" w:color="auto"/>
              <w:right w:val="single" w:sz="4" w:space="0" w:color="auto"/>
            </w:tcBorders>
            <w:shd w:val="clear" w:color="auto" w:fill="auto"/>
          </w:tcPr>
          <w:p w:rsidR="00910FAC" w:rsidRPr="00654CD2" w:rsidRDefault="00B6012A" w:rsidP="00654CD2">
            <w:pPr>
              <w:jc w:val="right"/>
              <w:rPr>
                <w:color w:val="000000"/>
                <w:sz w:val="20"/>
                <w:szCs w:val="20"/>
                <w:lang w:eastAsia="en-CA"/>
              </w:rPr>
            </w:pPr>
            <w:r>
              <w:rPr>
                <w:color w:val="000000"/>
                <w:sz w:val="20"/>
                <w:szCs w:val="20"/>
                <w:lang w:eastAsia="en-CA"/>
              </w:rPr>
              <w:t>1,570</w:t>
            </w:r>
          </w:p>
        </w:tc>
        <w:tc>
          <w:tcPr>
            <w:tcW w:w="958"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17,793</w:t>
            </w:r>
          </w:p>
        </w:tc>
      </w:tr>
      <w:tr w:rsidR="00910FAC" w:rsidRPr="00654CD2" w:rsidTr="003F0D05">
        <w:trPr>
          <w:trHeight w:val="53"/>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910FAC" w:rsidRPr="00654CD2" w:rsidRDefault="00910FAC" w:rsidP="00654CD2">
            <w:pPr>
              <w:jc w:val="left"/>
              <w:rPr>
                <w:color w:val="000000"/>
                <w:sz w:val="20"/>
                <w:szCs w:val="20"/>
                <w:lang w:eastAsia="en-CA"/>
              </w:rPr>
            </w:pPr>
            <w:r w:rsidRPr="00654CD2">
              <w:rPr>
                <w:color w:val="000000"/>
                <w:sz w:val="20"/>
                <w:szCs w:val="20"/>
                <w:lang w:eastAsia="en-CA"/>
              </w:rPr>
              <w:t>3.3</w:t>
            </w:r>
          </w:p>
        </w:tc>
        <w:tc>
          <w:tcPr>
            <w:tcW w:w="3824" w:type="dxa"/>
            <w:tcBorders>
              <w:top w:val="single" w:sz="4" w:space="0" w:color="auto"/>
              <w:left w:val="nil"/>
              <w:bottom w:val="single" w:sz="4" w:space="0" w:color="auto"/>
              <w:right w:val="single" w:sz="4" w:space="0" w:color="auto"/>
            </w:tcBorders>
            <w:shd w:val="clear" w:color="auto" w:fill="auto"/>
            <w:hideMark/>
          </w:tcPr>
          <w:p w:rsidR="00910FAC" w:rsidRPr="00654CD2" w:rsidRDefault="00910FAC" w:rsidP="00910FAC">
            <w:pPr>
              <w:jc w:val="left"/>
              <w:rPr>
                <w:color w:val="000000"/>
                <w:sz w:val="20"/>
                <w:szCs w:val="20"/>
                <w:lang w:eastAsia="en-CA"/>
              </w:rPr>
            </w:pPr>
            <w:r w:rsidRPr="00654CD2">
              <w:rPr>
                <w:color w:val="000000"/>
                <w:sz w:val="20"/>
                <w:szCs w:val="20"/>
                <w:lang w:eastAsia="en-CA"/>
              </w:rPr>
              <w:t>Total agreed costs (US $)</w:t>
            </w:r>
          </w:p>
        </w:tc>
        <w:tc>
          <w:tcPr>
            <w:tcW w:w="1016" w:type="dxa"/>
            <w:tcBorders>
              <w:top w:val="single" w:sz="4" w:space="0" w:color="auto"/>
              <w:left w:val="nil"/>
              <w:bottom w:val="single" w:sz="4" w:space="0" w:color="auto"/>
              <w:right w:val="single" w:sz="4" w:space="0" w:color="auto"/>
            </w:tcBorders>
            <w:shd w:val="clear" w:color="auto" w:fill="auto"/>
          </w:tcPr>
          <w:p w:rsidR="00910FAC" w:rsidRPr="00654CD2" w:rsidRDefault="00B6012A" w:rsidP="00654CD2">
            <w:pPr>
              <w:jc w:val="right"/>
              <w:rPr>
                <w:color w:val="000000"/>
                <w:sz w:val="20"/>
                <w:szCs w:val="20"/>
                <w:lang w:eastAsia="en-CA"/>
              </w:rPr>
            </w:pPr>
            <w:r>
              <w:rPr>
                <w:color w:val="000000"/>
                <w:sz w:val="20"/>
                <w:szCs w:val="20"/>
                <w:lang w:eastAsia="en-CA"/>
              </w:rPr>
              <w:t>143,780</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w:t>
            </w:r>
          </w:p>
        </w:tc>
        <w:tc>
          <w:tcPr>
            <w:tcW w:w="845"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29,493</w:t>
            </w:r>
          </w:p>
        </w:tc>
        <w:tc>
          <w:tcPr>
            <w:tcW w:w="700"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0</w:t>
            </w:r>
          </w:p>
        </w:tc>
        <w:tc>
          <w:tcPr>
            <w:tcW w:w="916" w:type="dxa"/>
            <w:tcBorders>
              <w:top w:val="single" w:sz="4" w:space="0" w:color="auto"/>
              <w:left w:val="nil"/>
              <w:bottom w:val="single" w:sz="4" w:space="0" w:color="auto"/>
              <w:right w:val="single" w:sz="4" w:space="0" w:color="auto"/>
            </w:tcBorders>
            <w:shd w:val="clear" w:color="auto" w:fill="auto"/>
          </w:tcPr>
          <w:p w:rsidR="00910FAC" w:rsidRPr="00654CD2" w:rsidRDefault="00B6012A" w:rsidP="00654CD2">
            <w:pPr>
              <w:jc w:val="right"/>
              <w:rPr>
                <w:color w:val="000000"/>
                <w:sz w:val="20"/>
                <w:szCs w:val="20"/>
                <w:lang w:eastAsia="en-CA"/>
              </w:rPr>
            </w:pPr>
            <w:r>
              <w:rPr>
                <w:color w:val="000000"/>
                <w:sz w:val="20"/>
                <w:szCs w:val="20"/>
                <w:lang w:eastAsia="en-CA"/>
              </w:rPr>
              <w:t>19,020</w:t>
            </w:r>
          </w:p>
        </w:tc>
        <w:tc>
          <w:tcPr>
            <w:tcW w:w="958" w:type="dxa"/>
            <w:tcBorders>
              <w:top w:val="single" w:sz="4" w:space="0" w:color="auto"/>
              <w:left w:val="nil"/>
              <w:bottom w:val="single" w:sz="4" w:space="0" w:color="auto"/>
              <w:right w:val="single" w:sz="4" w:space="0" w:color="auto"/>
            </w:tcBorders>
            <w:shd w:val="clear" w:color="auto" w:fill="auto"/>
          </w:tcPr>
          <w:p w:rsidR="00910FAC" w:rsidRPr="00654CD2" w:rsidRDefault="00910FAC" w:rsidP="00654CD2">
            <w:pPr>
              <w:jc w:val="right"/>
              <w:rPr>
                <w:color w:val="000000"/>
                <w:sz w:val="20"/>
                <w:szCs w:val="20"/>
                <w:lang w:eastAsia="en-CA"/>
              </w:rPr>
            </w:pPr>
            <w:r w:rsidRPr="00654CD2">
              <w:rPr>
                <w:color w:val="000000"/>
                <w:sz w:val="20"/>
                <w:szCs w:val="20"/>
                <w:lang w:eastAsia="en-CA"/>
              </w:rPr>
              <w:t>192,293</w:t>
            </w:r>
          </w:p>
        </w:tc>
      </w:tr>
      <w:tr w:rsidR="00654CD2" w:rsidRPr="00654CD2" w:rsidTr="00910FAC">
        <w:trPr>
          <w:trHeight w:val="53"/>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654CD2" w:rsidRPr="00654CD2" w:rsidRDefault="00654CD2" w:rsidP="00654CD2">
            <w:pPr>
              <w:jc w:val="left"/>
              <w:rPr>
                <w:color w:val="000000"/>
                <w:sz w:val="20"/>
                <w:szCs w:val="20"/>
                <w:lang w:eastAsia="en-CA"/>
              </w:rPr>
            </w:pPr>
            <w:r w:rsidRPr="00654CD2">
              <w:rPr>
                <w:color w:val="000000"/>
                <w:sz w:val="20"/>
                <w:szCs w:val="20"/>
                <w:lang w:eastAsia="en-CA"/>
              </w:rPr>
              <w:t>4.1.1</w:t>
            </w:r>
          </w:p>
        </w:tc>
        <w:tc>
          <w:tcPr>
            <w:tcW w:w="8001" w:type="dxa"/>
            <w:gridSpan w:val="6"/>
            <w:tcBorders>
              <w:top w:val="single" w:sz="4" w:space="0" w:color="auto"/>
              <w:left w:val="nil"/>
              <w:bottom w:val="single" w:sz="4" w:space="0" w:color="auto"/>
              <w:right w:val="single" w:sz="4" w:space="0" w:color="000000"/>
            </w:tcBorders>
            <w:shd w:val="clear" w:color="auto" w:fill="auto"/>
            <w:hideMark/>
          </w:tcPr>
          <w:p w:rsidR="00654CD2" w:rsidRPr="00654CD2" w:rsidRDefault="00654CD2" w:rsidP="00654CD2">
            <w:pPr>
              <w:jc w:val="left"/>
              <w:rPr>
                <w:color w:val="000000"/>
                <w:sz w:val="20"/>
                <w:szCs w:val="20"/>
                <w:lang w:eastAsia="en-CA"/>
              </w:rPr>
            </w:pPr>
            <w:r w:rsidRPr="00654CD2">
              <w:rPr>
                <w:color w:val="000000"/>
                <w:sz w:val="20"/>
                <w:szCs w:val="20"/>
                <w:lang w:eastAsia="en-CA"/>
              </w:rPr>
              <w:t>Total phase-out of HCFC-22</w:t>
            </w:r>
            <w:r w:rsidRPr="00654CD2">
              <w:rPr>
                <w:color w:val="000000"/>
                <w:sz w:val="20"/>
                <w:szCs w:val="20"/>
              </w:rPr>
              <w:t xml:space="preserve"> </w:t>
            </w:r>
            <w:r w:rsidRPr="00654CD2">
              <w:rPr>
                <w:color w:val="000000"/>
                <w:sz w:val="20"/>
                <w:szCs w:val="20"/>
                <w:lang w:eastAsia="en-CA"/>
              </w:rPr>
              <w:t>agreed to be achieved under this Agreement (ODP tonnes)</w:t>
            </w:r>
          </w:p>
        </w:tc>
        <w:tc>
          <w:tcPr>
            <w:tcW w:w="958" w:type="dxa"/>
            <w:tcBorders>
              <w:top w:val="single" w:sz="4" w:space="0" w:color="auto"/>
              <w:left w:val="nil"/>
              <w:bottom w:val="single" w:sz="4" w:space="0" w:color="auto"/>
              <w:right w:val="single" w:sz="4" w:space="0" w:color="auto"/>
            </w:tcBorders>
            <w:shd w:val="clear" w:color="auto" w:fill="auto"/>
          </w:tcPr>
          <w:p w:rsidR="00654CD2" w:rsidRPr="00654CD2" w:rsidRDefault="00654CD2" w:rsidP="00654CD2">
            <w:pPr>
              <w:jc w:val="right"/>
              <w:rPr>
                <w:color w:val="000000"/>
                <w:sz w:val="20"/>
                <w:szCs w:val="20"/>
                <w:lang w:eastAsia="en-CA"/>
              </w:rPr>
            </w:pPr>
            <w:r w:rsidRPr="00654CD2">
              <w:rPr>
                <w:color w:val="000000"/>
                <w:sz w:val="20"/>
                <w:szCs w:val="20"/>
                <w:lang w:eastAsia="en-CA"/>
              </w:rPr>
              <w:t>0.25</w:t>
            </w:r>
          </w:p>
        </w:tc>
      </w:tr>
      <w:tr w:rsidR="00654CD2" w:rsidRPr="00654CD2" w:rsidTr="00910FAC">
        <w:trPr>
          <w:trHeight w:val="116"/>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654CD2" w:rsidRPr="00654CD2" w:rsidRDefault="00654CD2" w:rsidP="00654CD2">
            <w:pPr>
              <w:jc w:val="left"/>
              <w:rPr>
                <w:color w:val="000000"/>
                <w:sz w:val="20"/>
                <w:szCs w:val="20"/>
                <w:lang w:eastAsia="en-CA"/>
              </w:rPr>
            </w:pPr>
            <w:r w:rsidRPr="00654CD2">
              <w:rPr>
                <w:color w:val="000000"/>
                <w:sz w:val="20"/>
                <w:szCs w:val="20"/>
                <w:lang w:eastAsia="en-CA"/>
              </w:rPr>
              <w:t>4.1.2</w:t>
            </w:r>
          </w:p>
        </w:tc>
        <w:tc>
          <w:tcPr>
            <w:tcW w:w="8001" w:type="dxa"/>
            <w:gridSpan w:val="6"/>
            <w:tcBorders>
              <w:top w:val="single" w:sz="4" w:space="0" w:color="auto"/>
              <w:left w:val="nil"/>
              <w:bottom w:val="single" w:sz="4" w:space="0" w:color="auto"/>
              <w:right w:val="single" w:sz="4" w:space="0" w:color="000000"/>
            </w:tcBorders>
            <w:shd w:val="clear" w:color="auto" w:fill="auto"/>
            <w:hideMark/>
          </w:tcPr>
          <w:p w:rsidR="00654CD2" w:rsidRPr="00654CD2" w:rsidRDefault="00654CD2" w:rsidP="00654CD2">
            <w:pPr>
              <w:jc w:val="left"/>
              <w:rPr>
                <w:color w:val="000000"/>
                <w:sz w:val="20"/>
                <w:szCs w:val="20"/>
                <w:lang w:eastAsia="en-CA"/>
              </w:rPr>
            </w:pPr>
            <w:r w:rsidRPr="00654CD2">
              <w:rPr>
                <w:color w:val="000000"/>
                <w:sz w:val="20"/>
                <w:szCs w:val="20"/>
                <w:lang w:eastAsia="en-CA"/>
              </w:rPr>
              <w:t>Phase-out of HCFC-22 to be achieved in previously approved projects (ODP tonnes)</w:t>
            </w:r>
          </w:p>
        </w:tc>
        <w:tc>
          <w:tcPr>
            <w:tcW w:w="958" w:type="dxa"/>
            <w:tcBorders>
              <w:top w:val="single" w:sz="4" w:space="0" w:color="auto"/>
              <w:left w:val="nil"/>
              <w:bottom w:val="single" w:sz="4" w:space="0" w:color="auto"/>
              <w:right w:val="single" w:sz="4" w:space="0" w:color="auto"/>
            </w:tcBorders>
            <w:shd w:val="clear" w:color="auto" w:fill="auto"/>
          </w:tcPr>
          <w:p w:rsidR="00654CD2" w:rsidRPr="00654CD2" w:rsidRDefault="00654CD2" w:rsidP="00654CD2">
            <w:pPr>
              <w:jc w:val="right"/>
              <w:rPr>
                <w:color w:val="000000"/>
                <w:sz w:val="20"/>
                <w:szCs w:val="20"/>
                <w:lang w:eastAsia="en-CA"/>
              </w:rPr>
            </w:pPr>
            <w:r w:rsidRPr="00654CD2">
              <w:rPr>
                <w:color w:val="000000"/>
                <w:sz w:val="20"/>
                <w:szCs w:val="20"/>
                <w:lang w:eastAsia="en-CA"/>
              </w:rPr>
              <w:t>0.1</w:t>
            </w:r>
          </w:p>
        </w:tc>
      </w:tr>
      <w:tr w:rsidR="00654CD2" w:rsidRPr="00654CD2" w:rsidTr="00910FAC">
        <w:trPr>
          <w:trHeight w:val="98"/>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654CD2" w:rsidRPr="00654CD2" w:rsidRDefault="00654CD2" w:rsidP="00654CD2">
            <w:pPr>
              <w:jc w:val="left"/>
              <w:rPr>
                <w:color w:val="000000"/>
                <w:sz w:val="20"/>
                <w:szCs w:val="20"/>
                <w:lang w:eastAsia="en-CA"/>
              </w:rPr>
            </w:pPr>
            <w:r w:rsidRPr="00654CD2">
              <w:rPr>
                <w:color w:val="000000"/>
                <w:sz w:val="20"/>
                <w:szCs w:val="20"/>
                <w:lang w:eastAsia="en-CA"/>
              </w:rPr>
              <w:t>4.1.3</w:t>
            </w:r>
          </w:p>
        </w:tc>
        <w:tc>
          <w:tcPr>
            <w:tcW w:w="8001" w:type="dxa"/>
            <w:gridSpan w:val="6"/>
            <w:tcBorders>
              <w:top w:val="single" w:sz="4" w:space="0" w:color="auto"/>
              <w:left w:val="nil"/>
              <w:bottom w:val="single" w:sz="4" w:space="0" w:color="auto"/>
              <w:right w:val="single" w:sz="4" w:space="0" w:color="000000"/>
            </w:tcBorders>
            <w:shd w:val="clear" w:color="auto" w:fill="auto"/>
            <w:hideMark/>
          </w:tcPr>
          <w:p w:rsidR="00654CD2" w:rsidRPr="00654CD2" w:rsidRDefault="00654CD2" w:rsidP="00654CD2">
            <w:pPr>
              <w:jc w:val="left"/>
              <w:rPr>
                <w:color w:val="000000"/>
                <w:sz w:val="20"/>
                <w:szCs w:val="20"/>
                <w:lang w:eastAsia="en-CA"/>
              </w:rPr>
            </w:pPr>
            <w:r w:rsidRPr="00654CD2">
              <w:rPr>
                <w:color w:val="000000"/>
                <w:sz w:val="20"/>
                <w:szCs w:val="20"/>
                <w:lang w:eastAsia="en-CA"/>
              </w:rPr>
              <w:t>Remaining eligible consumption for HCFC-22 (ODP tonnes)</w:t>
            </w:r>
          </w:p>
        </w:tc>
        <w:tc>
          <w:tcPr>
            <w:tcW w:w="958" w:type="dxa"/>
            <w:tcBorders>
              <w:top w:val="single" w:sz="4" w:space="0" w:color="auto"/>
              <w:left w:val="nil"/>
              <w:bottom w:val="single" w:sz="4" w:space="0" w:color="auto"/>
              <w:right w:val="single" w:sz="4" w:space="0" w:color="auto"/>
            </w:tcBorders>
            <w:shd w:val="clear" w:color="auto" w:fill="auto"/>
          </w:tcPr>
          <w:p w:rsidR="00654CD2" w:rsidRPr="00654CD2" w:rsidRDefault="00654CD2" w:rsidP="00654CD2">
            <w:pPr>
              <w:jc w:val="right"/>
              <w:rPr>
                <w:color w:val="000000"/>
                <w:sz w:val="20"/>
                <w:szCs w:val="20"/>
                <w:lang w:eastAsia="en-CA"/>
              </w:rPr>
            </w:pPr>
            <w:r w:rsidRPr="00654CD2">
              <w:rPr>
                <w:color w:val="000000"/>
                <w:sz w:val="20"/>
                <w:szCs w:val="20"/>
                <w:lang w:eastAsia="en-CA"/>
              </w:rPr>
              <w:t>0.65</w:t>
            </w:r>
          </w:p>
        </w:tc>
      </w:tr>
    </w:tbl>
    <w:p w:rsidR="00654CD2" w:rsidRPr="00654CD2" w:rsidRDefault="00654CD2" w:rsidP="00654CD2">
      <w:pPr>
        <w:rPr>
          <w:b/>
        </w:rPr>
      </w:pPr>
    </w:p>
    <w:p w:rsidR="00654CD2" w:rsidRPr="00654CD2" w:rsidRDefault="00654CD2" w:rsidP="00910FAC">
      <w:pPr>
        <w:keepNext/>
        <w:rPr>
          <w:b/>
        </w:rPr>
      </w:pPr>
      <w:r w:rsidRPr="00654CD2">
        <w:rPr>
          <w:b/>
        </w:rPr>
        <w:t>APPENDIX 3-A: FUNDING APPROVAL SCHEDULE</w:t>
      </w:r>
    </w:p>
    <w:p w:rsidR="00654CD2" w:rsidRPr="00654CD2" w:rsidRDefault="00654CD2" w:rsidP="00910FAC">
      <w:pPr>
        <w:keepNext/>
      </w:pPr>
    </w:p>
    <w:p w:rsidR="00654CD2" w:rsidRPr="00654CD2" w:rsidRDefault="00654CD2" w:rsidP="00910FAC">
      <w:pPr>
        <w:keepNext/>
        <w:numPr>
          <w:ilvl w:val="0"/>
          <w:numId w:val="34"/>
        </w:numPr>
        <w:spacing w:after="240"/>
        <w:outlineLvl w:val="0"/>
      </w:pPr>
      <w:r w:rsidRPr="00654CD2">
        <w:t>Funding for the future tranches will be considered for approval at the first meeting of the year specified in Appendix 2-A.</w:t>
      </w:r>
    </w:p>
    <w:p w:rsidR="00654CD2" w:rsidRPr="00654CD2" w:rsidRDefault="00654CD2" w:rsidP="00654CD2">
      <w:pPr>
        <w:keepNext/>
        <w:rPr>
          <w:b/>
        </w:rPr>
      </w:pPr>
      <w:r w:rsidRPr="00654CD2">
        <w:rPr>
          <w:b/>
        </w:rPr>
        <w:t>APPENDIX 4-A: FORMAT OF TRANCHE IMPLEMENTATION REPORTS AND PLANS</w:t>
      </w:r>
    </w:p>
    <w:p w:rsidR="00654CD2" w:rsidRPr="00654CD2" w:rsidRDefault="00654CD2" w:rsidP="00654CD2">
      <w:pPr>
        <w:keepNext/>
      </w:pPr>
    </w:p>
    <w:p w:rsidR="00654CD2" w:rsidRPr="00654CD2" w:rsidRDefault="00654CD2" w:rsidP="00CC3F56">
      <w:pPr>
        <w:numPr>
          <w:ilvl w:val="0"/>
          <w:numId w:val="35"/>
        </w:numPr>
        <w:spacing w:after="240"/>
        <w:outlineLvl w:val="0"/>
      </w:pPr>
      <w:r w:rsidRPr="00654CD2">
        <w:t>The submission of the Tranche Implementation Report and Plans for each tranche request will consist of five parts:</w:t>
      </w:r>
    </w:p>
    <w:p w:rsidR="00910FAC" w:rsidRDefault="00910FAC" w:rsidP="00910FAC">
      <w:pPr>
        <w:pStyle w:val="Heading2"/>
      </w:pPr>
      <w:r w:rsidRPr="00910FAC">
        <w:t>A narrative report, with data provided by tranche, describing the progress achieved since the previous report, reflecting the situation of the Country in regard to phase out of the Substances, how the different activities contribute to it, and how they relate to each other. The report should include the amount of ODS phased out as a direct result from the implementation of activities, by substance, and the alternative technology used and the related phase-in of alternatives, to allow the Secretariat to provide to the Executive Committee 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Tranche Implementation Plan(s), such as delays, uses of the flexibility for reallocation of funds during implementation of a tranche, as provided for in paragraph 7 of this Agreement, or other changes;</w:t>
      </w:r>
    </w:p>
    <w:p w:rsidR="00910FAC" w:rsidRPr="00910FAC" w:rsidRDefault="00910FAC" w:rsidP="00910FAC">
      <w:pPr>
        <w:pStyle w:val="Heading2"/>
      </w:pPr>
      <w:proofErr w:type="gramStart"/>
      <w:r w:rsidRPr="00910FAC">
        <w:t>An independent verification report of the Plan results and the consumption of the Substances, as per sub-paragraph 5(b) of the Agreement.</w:t>
      </w:r>
      <w:proofErr w:type="gramEnd"/>
      <w:r w:rsidRPr="00910FAC">
        <w:t xml:space="preserve">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rsidR="00910FAC" w:rsidRPr="00910FAC" w:rsidRDefault="00910FAC" w:rsidP="00910FAC">
      <w:pPr>
        <w:pStyle w:val="Heading2"/>
      </w:pPr>
      <w:r w:rsidRPr="00910FAC">
        <w:t>A written description of the activities to be undertaken during the period covered by the requested tranche, highlighting implementation milestones, the time of completion and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also specify and explain in detail such changes to the overall plan. This description of future activities can be submitted as a part of the same document as the narrative report under sub-paragraph (b) above;</w:t>
      </w:r>
    </w:p>
    <w:p w:rsidR="00910FAC" w:rsidRPr="00910FAC" w:rsidRDefault="00910FAC" w:rsidP="00910FAC">
      <w:pPr>
        <w:pStyle w:val="Heading2"/>
      </w:pPr>
      <w:r w:rsidRPr="00910FAC">
        <w:t>A set of quantitative information for all Tranche Implementation Reports and Plans, submitted through an online database; and</w:t>
      </w:r>
    </w:p>
    <w:p w:rsidR="00654CD2" w:rsidRPr="00654CD2" w:rsidRDefault="00910FAC" w:rsidP="00910FAC">
      <w:pPr>
        <w:pStyle w:val="Heading2"/>
      </w:pPr>
      <w:r w:rsidRPr="00910FAC">
        <w:t>An Executive Summary of about five paragraphs, summarizing the information of the above sub paragraphs 1(a) to 1(d).</w:t>
      </w:r>
    </w:p>
    <w:p w:rsidR="00654CD2" w:rsidRPr="00654CD2" w:rsidRDefault="00910FAC" w:rsidP="00910FAC">
      <w:pPr>
        <w:pStyle w:val="ListParagraph"/>
        <w:keepNext/>
        <w:keepLines/>
        <w:numPr>
          <w:ilvl w:val="0"/>
          <w:numId w:val="35"/>
        </w:numPr>
        <w:spacing w:after="240"/>
        <w:outlineLvl w:val="0"/>
      </w:pPr>
      <w:r w:rsidRPr="00910FAC">
        <w:t>In the event that in a particular year two stages of the HPMP are being implemented in parallel, the following considerations should be taken in preparing the Tranche Implementation Reports and Plans:</w:t>
      </w:r>
    </w:p>
    <w:p w:rsidR="00654CD2" w:rsidRPr="00654CD2" w:rsidRDefault="00910FAC" w:rsidP="00910FAC">
      <w:pPr>
        <w:keepNext/>
        <w:keepLines/>
        <w:widowControl w:val="0"/>
        <w:numPr>
          <w:ilvl w:val="1"/>
          <w:numId w:val="36"/>
        </w:numPr>
        <w:spacing w:after="240"/>
        <w:outlineLvl w:val="1"/>
      </w:pPr>
      <w:r w:rsidRPr="00910FAC">
        <w:t>The Tranche Implementation Reports and Plans referred to as part of this Agreement, will exclusively refer to activities and funds covered by this Agreement; and</w:t>
      </w:r>
    </w:p>
    <w:p w:rsidR="00654CD2" w:rsidRPr="00654CD2" w:rsidRDefault="00910FAC" w:rsidP="00910FAC">
      <w:pPr>
        <w:widowControl w:val="0"/>
        <w:numPr>
          <w:ilvl w:val="1"/>
          <w:numId w:val="36"/>
        </w:numPr>
        <w:spacing w:after="240"/>
        <w:outlineLvl w:val="1"/>
      </w:pPr>
      <w:r w:rsidRPr="00910FAC">
        <w:t>If the stages under implementation have different HCFC consumption targets under Appendix 2-A of each Agreement in a particular year, the lower HCFC consumption target will be used as reference for compliance with these Agreements and will be the basis for the independent verification.</w:t>
      </w:r>
    </w:p>
    <w:p w:rsidR="00654CD2" w:rsidRPr="00654CD2" w:rsidRDefault="00654CD2" w:rsidP="000D7893">
      <w:pPr>
        <w:keepNext/>
        <w:rPr>
          <w:b/>
        </w:rPr>
      </w:pPr>
      <w:r w:rsidRPr="00654CD2">
        <w:rPr>
          <w:b/>
        </w:rPr>
        <w:t xml:space="preserve">APPENDIX 5-A: MONITORING INSTITUTIONS AND ROLES </w:t>
      </w:r>
    </w:p>
    <w:p w:rsidR="00654CD2" w:rsidRPr="00654CD2" w:rsidRDefault="00654CD2" w:rsidP="000D7893">
      <w:pPr>
        <w:keepNext/>
      </w:pPr>
    </w:p>
    <w:p w:rsidR="00654CD2" w:rsidRPr="00654CD2" w:rsidRDefault="00654CD2" w:rsidP="000D7893">
      <w:pPr>
        <w:keepNext/>
      </w:pPr>
      <w:r w:rsidRPr="00654CD2">
        <w:t>1.</w:t>
      </w:r>
      <w:r w:rsidRPr="00654CD2">
        <w:tab/>
        <w:t xml:space="preserve">The </w:t>
      </w:r>
      <w:r w:rsidR="00910FAC">
        <w:t>Plan</w:t>
      </w:r>
      <w:r w:rsidRPr="00654CD2">
        <w:t xml:space="preserve"> will be implemented by the National Ozone Unit</w:t>
      </w:r>
      <w:r w:rsidR="00910FAC">
        <w:t xml:space="preserve"> (NOU)</w:t>
      </w:r>
      <w:r w:rsidRPr="00654CD2">
        <w:t xml:space="preserve"> of the </w:t>
      </w:r>
      <w:r w:rsidR="00910FAC">
        <w:t>Country</w:t>
      </w:r>
      <w:r w:rsidRPr="00654CD2">
        <w:t xml:space="preserve"> with support from </w:t>
      </w:r>
      <w:r w:rsidR="00910FAC">
        <w:t>the L</w:t>
      </w:r>
      <w:r w:rsidRPr="00654CD2">
        <w:t xml:space="preserve">ead </w:t>
      </w:r>
      <w:r w:rsidR="00910FAC">
        <w:t>IA</w:t>
      </w:r>
      <w:r w:rsidRPr="00654CD2">
        <w:t xml:space="preserve"> and </w:t>
      </w:r>
      <w:r w:rsidR="00910FAC">
        <w:t xml:space="preserve">the Cooperating IA. The </w:t>
      </w:r>
      <w:r w:rsidRPr="00654CD2">
        <w:t xml:space="preserve">NOU will function as the national coordinator of all project activities described in the </w:t>
      </w:r>
      <w:r w:rsidR="00237F57">
        <w:t>Plan</w:t>
      </w:r>
      <w:r w:rsidRPr="00654CD2">
        <w:t xml:space="preserve">. </w:t>
      </w:r>
    </w:p>
    <w:p w:rsidR="00654CD2" w:rsidRPr="00654CD2" w:rsidRDefault="00654CD2" w:rsidP="00654CD2"/>
    <w:p w:rsidR="00654CD2" w:rsidRPr="00654CD2" w:rsidRDefault="00910FAC" w:rsidP="00654CD2">
      <w:pPr>
        <w:numPr>
          <w:ilvl w:val="0"/>
          <w:numId w:val="31"/>
        </w:numPr>
        <w:spacing w:after="240"/>
        <w:outlineLvl w:val="0"/>
      </w:pPr>
      <w:r>
        <w:t xml:space="preserve">The Lead IA and the Cooperating IA </w:t>
      </w:r>
      <w:r w:rsidR="00654CD2" w:rsidRPr="00654CD2">
        <w:t xml:space="preserve">will apply their administrative procedures towards implementation of the </w:t>
      </w:r>
      <w:r>
        <w:t>Plan</w:t>
      </w:r>
      <w:r w:rsidR="00654CD2" w:rsidRPr="00654CD2">
        <w:t xml:space="preserve">. </w:t>
      </w:r>
      <w:r>
        <w:t>The Lead IA</w:t>
      </w:r>
      <w:r w:rsidR="00654CD2" w:rsidRPr="00654CD2">
        <w:t xml:space="preserve"> will use National Implementation Modality (NIM) based on establishment of annual workplans and utilization of </w:t>
      </w:r>
      <w:r>
        <w:t>the Lead IA’s</w:t>
      </w:r>
      <w:r w:rsidR="00654CD2" w:rsidRPr="00654CD2">
        <w:t xml:space="preserve"> procurement functions for the delivery of equipment and tools planned for the project. </w:t>
      </w:r>
      <w:r>
        <w:t>The Cooperating IA</w:t>
      </w:r>
      <w:r w:rsidR="00654CD2" w:rsidRPr="00654CD2">
        <w:t xml:space="preserve"> will utilize its standard operating procedure on SSFA agreements with the NOU. Regular monitoring of compliance with the workplans is ensured by both IAs. </w:t>
      </w:r>
    </w:p>
    <w:p w:rsidR="00654CD2" w:rsidRPr="00654CD2" w:rsidRDefault="00654CD2" w:rsidP="00654CD2">
      <w:pPr>
        <w:keepNext/>
        <w:keepLines/>
        <w:rPr>
          <w:b/>
        </w:rPr>
      </w:pPr>
      <w:r w:rsidRPr="00654CD2">
        <w:rPr>
          <w:b/>
        </w:rPr>
        <w:t xml:space="preserve">APPENDIX 6-A: ROLE OF THE LEAD IMPLEMENTING AGENCY </w:t>
      </w:r>
    </w:p>
    <w:p w:rsidR="00654CD2" w:rsidRPr="00654CD2" w:rsidRDefault="00654CD2" w:rsidP="00654CD2">
      <w:pPr>
        <w:keepNext/>
        <w:keepLines/>
      </w:pPr>
    </w:p>
    <w:p w:rsidR="00654CD2" w:rsidRPr="00654CD2" w:rsidRDefault="00654CD2" w:rsidP="00CC3F56">
      <w:pPr>
        <w:keepNext/>
        <w:keepLines/>
        <w:numPr>
          <w:ilvl w:val="0"/>
          <w:numId w:val="37"/>
        </w:numPr>
        <w:spacing w:after="240"/>
        <w:outlineLvl w:val="0"/>
      </w:pPr>
      <w:r w:rsidRPr="00654CD2">
        <w:t>The Lead IA will be responsible for a range of activities, including at least the following:</w:t>
      </w:r>
    </w:p>
    <w:p w:rsidR="00D23406" w:rsidRDefault="00D23406" w:rsidP="00D23406">
      <w:pPr>
        <w:widowControl w:val="0"/>
        <w:numPr>
          <w:ilvl w:val="1"/>
          <w:numId w:val="30"/>
        </w:numPr>
        <w:spacing w:after="240"/>
        <w:outlineLvl w:val="1"/>
      </w:pPr>
      <w:r>
        <w:t>Ensuring performance and financial verification in accordance with this Agreement and with its specific internal procedures and requirements as set out in the Country’s HPMP;</w:t>
      </w:r>
    </w:p>
    <w:p w:rsidR="00D23406" w:rsidRDefault="00D23406" w:rsidP="00D23406">
      <w:pPr>
        <w:widowControl w:val="0"/>
        <w:numPr>
          <w:ilvl w:val="1"/>
          <w:numId w:val="30"/>
        </w:numPr>
        <w:spacing w:after="240"/>
        <w:outlineLvl w:val="1"/>
      </w:pPr>
      <w:r>
        <w:t>Assisting the Country in preparation of the Tranche Implementation Reports and Plans as per Appendix 4 A;</w:t>
      </w:r>
    </w:p>
    <w:p w:rsidR="00D23406" w:rsidRDefault="00D23406" w:rsidP="00D23406">
      <w:pPr>
        <w:widowControl w:val="0"/>
        <w:numPr>
          <w:ilvl w:val="1"/>
          <w:numId w:val="30"/>
        </w:numPr>
        <w:spacing w:after="240"/>
        <w:outlineLvl w:val="1"/>
      </w:pPr>
      <w:r>
        <w:t>Providing independent verification to the Executive Committee that the Targets have been met and associated tranche activities have been completed as indicated in the Tranche Implementation Plan consistent with Appendix 4-A;</w:t>
      </w:r>
    </w:p>
    <w:p w:rsidR="00D23406" w:rsidRDefault="00D23406" w:rsidP="00D23406">
      <w:pPr>
        <w:widowControl w:val="0"/>
        <w:numPr>
          <w:ilvl w:val="1"/>
          <w:numId w:val="30"/>
        </w:numPr>
        <w:spacing w:after="240"/>
        <w:outlineLvl w:val="1"/>
      </w:pPr>
      <w:r>
        <w:t>Ensuring that the experiences and progress is reflected in updates of the overall plan and in future Tranche Implementation Plans consistent with sub-paragraphs 1(c) and 1(d) of Appendix 4-A;</w:t>
      </w:r>
    </w:p>
    <w:p w:rsidR="00D23406" w:rsidRDefault="00D23406" w:rsidP="00D23406">
      <w:pPr>
        <w:widowControl w:val="0"/>
        <w:numPr>
          <w:ilvl w:val="1"/>
          <w:numId w:val="30"/>
        </w:numPr>
        <w:spacing w:after="240"/>
        <w:outlineLvl w:val="1"/>
      </w:pPr>
      <w:r>
        <w:t>Fulfilling the reporting requirements for the Tranche Implementation Reports and Plans and the overall plan as specified in Appendix 4-A for submission to the Executive Committee, and should include the activities implemented by the Cooperating IA;</w:t>
      </w:r>
    </w:p>
    <w:p w:rsidR="00D23406" w:rsidRDefault="00D23406" w:rsidP="00D23406">
      <w:pPr>
        <w:widowControl w:val="0"/>
        <w:numPr>
          <w:ilvl w:val="1"/>
          <w:numId w:val="30"/>
        </w:numPr>
        <w:spacing w:after="240"/>
        <w:outlineLvl w:val="1"/>
      </w:pPr>
      <w:r>
        <w:t>In the event that the last funding tranche is requested one or more years prior to the last year for which a consumption target had been established, annual tranche implementation reports and, where applicable, verification reports on the current stage of the Plan should be submitted until all activities foreseen had been completed and HCFC consumption targets had been met;</w:t>
      </w:r>
    </w:p>
    <w:p w:rsidR="00D23406" w:rsidRDefault="00D23406" w:rsidP="00D23406">
      <w:pPr>
        <w:widowControl w:val="0"/>
        <w:numPr>
          <w:ilvl w:val="1"/>
          <w:numId w:val="30"/>
        </w:numPr>
        <w:spacing w:after="240"/>
        <w:outlineLvl w:val="1"/>
      </w:pPr>
      <w:r>
        <w:t>Ensuring that appropriate independent technical experts carry out the technical reviews;</w:t>
      </w:r>
    </w:p>
    <w:p w:rsidR="00D23406" w:rsidRDefault="00D23406" w:rsidP="00D23406">
      <w:pPr>
        <w:widowControl w:val="0"/>
        <w:numPr>
          <w:ilvl w:val="1"/>
          <w:numId w:val="30"/>
        </w:numPr>
        <w:spacing w:after="240"/>
        <w:outlineLvl w:val="1"/>
      </w:pPr>
      <w:r>
        <w:t>Carrying out required supervision missions;</w:t>
      </w:r>
    </w:p>
    <w:p w:rsidR="00D23406" w:rsidRDefault="00D23406" w:rsidP="00D23406">
      <w:pPr>
        <w:widowControl w:val="0"/>
        <w:numPr>
          <w:ilvl w:val="1"/>
          <w:numId w:val="30"/>
        </w:numPr>
        <w:spacing w:after="240"/>
        <w:outlineLvl w:val="1"/>
      </w:pPr>
      <w:r>
        <w:t>Ensuring the presence of an operating mechanism to allow effective, transparent implementation of the Tranche Implementation Plan and accurate data reporting;</w:t>
      </w:r>
    </w:p>
    <w:p w:rsidR="00D23406" w:rsidRDefault="00D23406" w:rsidP="00D23406">
      <w:pPr>
        <w:widowControl w:val="0"/>
        <w:numPr>
          <w:ilvl w:val="1"/>
          <w:numId w:val="30"/>
        </w:numPr>
        <w:spacing w:after="240"/>
        <w:outlineLvl w:val="1"/>
      </w:pPr>
      <w:r>
        <w:t>Co-ordinating the activities of the Cooperating IA, and ensuring appropriate sequence of activities;</w:t>
      </w:r>
    </w:p>
    <w:p w:rsidR="00D23406" w:rsidRDefault="00D23406" w:rsidP="00D23406">
      <w:pPr>
        <w:widowControl w:val="0"/>
        <w:numPr>
          <w:ilvl w:val="1"/>
          <w:numId w:val="30"/>
        </w:numPr>
        <w:spacing w:after="240"/>
        <w:outlineLvl w:val="1"/>
      </w:pPr>
      <w:r>
        <w:t xml:space="preserve">In case of reductions in funding for failure to comply in accordance with paragraph 11 of the Agreement, to determine, in consultation with the Country and the Cooperating IA, the allocation of the reductions to the different budget items and to the funding of the Lead IA and the Cooperating IA; </w:t>
      </w:r>
    </w:p>
    <w:p w:rsidR="00D23406" w:rsidRDefault="00D23406" w:rsidP="00D23406">
      <w:pPr>
        <w:widowControl w:val="0"/>
        <w:numPr>
          <w:ilvl w:val="1"/>
          <w:numId w:val="30"/>
        </w:numPr>
        <w:spacing w:after="240"/>
        <w:outlineLvl w:val="1"/>
      </w:pPr>
      <w:r>
        <w:t xml:space="preserve">Ensuring that disbursements made to the Country are based on the use of the indicators; </w:t>
      </w:r>
    </w:p>
    <w:p w:rsidR="00D23406" w:rsidRDefault="00D23406" w:rsidP="00D23406">
      <w:pPr>
        <w:widowControl w:val="0"/>
        <w:numPr>
          <w:ilvl w:val="1"/>
          <w:numId w:val="30"/>
        </w:numPr>
        <w:spacing w:after="240"/>
        <w:outlineLvl w:val="1"/>
      </w:pPr>
      <w:r>
        <w:t xml:space="preserve">Providing assistance with policy, management and technical support when required; </w:t>
      </w:r>
    </w:p>
    <w:p w:rsidR="00D23406" w:rsidRDefault="00D23406" w:rsidP="00D23406">
      <w:pPr>
        <w:widowControl w:val="0"/>
        <w:numPr>
          <w:ilvl w:val="1"/>
          <w:numId w:val="30"/>
        </w:numPr>
        <w:spacing w:after="240"/>
        <w:outlineLvl w:val="1"/>
      </w:pPr>
      <w:r>
        <w:t>Reaching consensus with the Cooperating IA on any planning, co-ordination and reporting arrangements required to facilitate the implementation of the Plan]; and</w:t>
      </w:r>
    </w:p>
    <w:p w:rsidR="00654CD2" w:rsidRPr="00654CD2" w:rsidRDefault="00D23406" w:rsidP="00D23406">
      <w:pPr>
        <w:widowControl w:val="0"/>
        <w:numPr>
          <w:ilvl w:val="1"/>
          <w:numId w:val="30"/>
        </w:numPr>
        <w:spacing w:after="240"/>
        <w:outlineLvl w:val="1"/>
      </w:pPr>
      <w:r>
        <w:t>Timely releasing funds to the Country/participating enterprises for completing the activities related to the project.</w:t>
      </w:r>
    </w:p>
    <w:p w:rsidR="00654CD2" w:rsidRPr="00654CD2" w:rsidRDefault="00654CD2" w:rsidP="00CC3F56">
      <w:pPr>
        <w:numPr>
          <w:ilvl w:val="0"/>
          <w:numId w:val="37"/>
        </w:numPr>
        <w:spacing w:after="240"/>
        <w:outlineLvl w:val="0"/>
      </w:pPr>
      <w:r w:rsidRPr="00654CD2">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rsidR="00654CD2" w:rsidRPr="00654CD2" w:rsidRDefault="00654CD2" w:rsidP="00654CD2">
      <w:pPr>
        <w:keepNext/>
        <w:keepLines/>
        <w:rPr>
          <w:b/>
        </w:rPr>
      </w:pPr>
      <w:r w:rsidRPr="00654CD2">
        <w:rPr>
          <w:b/>
        </w:rPr>
        <w:t>APPENDIX 6-B: ROLE OF THE COOPERATING IMPLEMENTING AGENCIES</w:t>
      </w:r>
    </w:p>
    <w:p w:rsidR="00654CD2" w:rsidRPr="00654CD2" w:rsidRDefault="00654CD2" w:rsidP="00654CD2">
      <w:pPr>
        <w:keepNext/>
        <w:keepLines/>
      </w:pPr>
    </w:p>
    <w:p w:rsidR="00654CD2" w:rsidRPr="00654CD2" w:rsidRDefault="00654CD2" w:rsidP="00CC3F56">
      <w:pPr>
        <w:keepNext/>
        <w:keepLines/>
        <w:numPr>
          <w:ilvl w:val="0"/>
          <w:numId w:val="38"/>
        </w:numPr>
        <w:spacing w:after="240"/>
        <w:outlineLvl w:val="0"/>
      </w:pPr>
      <w:r w:rsidRPr="00654CD2">
        <w:t xml:space="preserve">The Cooperating IAs will be responsible for a range of activities. These activities are specified in the Plan, including at least the following: </w:t>
      </w:r>
    </w:p>
    <w:p w:rsidR="00654CD2" w:rsidRPr="00654CD2" w:rsidRDefault="00654CD2" w:rsidP="00654CD2">
      <w:pPr>
        <w:widowControl w:val="0"/>
        <w:numPr>
          <w:ilvl w:val="1"/>
          <w:numId w:val="32"/>
        </w:numPr>
        <w:spacing w:after="240"/>
        <w:outlineLvl w:val="1"/>
      </w:pPr>
      <w:r w:rsidRPr="00654CD2">
        <w:t xml:space="preserve">Providing assistance for policy development when required; </w:t>
      </w:r>
    </w:p>
    <w:p w:rsidR="00654CD2" w:rsidRPr="00654CD2" w:rsidRDefault="00654CD2" w:rsidP="00654CD2">
      <w:pPr>
        <w:keepNext/>
        <w:numPr>
          <w:ilvl w:val="1"/>
          <w:numId w:val="32"/>
        </w:numPr>
        <w:spacing w:after="240"/>
        <w:ind w:left="1712"/>
        <w:outlineLvl w:val="1"/>
      </w:pPr>
      <w:r w:rsidRPr="00654CD2">
        <w:t>Assisting the Country in the implementation and assessment of the activities funded by the Cooperating IA, and refer to the Lead IA to ensure a co-ordinated sequence in the activities; and</w:t>
      </w:r>
    </w:p>
    <w:p w:rsidR="00654CD2" w:rsidRDefault="00654CD2" w:rsidP="00654CD2">
      <w:pPr>
        <w:widowControl w:val="0"/>
        <w:numPr>
          <w:ilvl w:val="1"/>
          <w:numId w:val="32"/>
        </w:numPr>
        <w:spacing w:after="240"/>
        <w:outlineLvl w:val="1"/>
      </w:pPr>
      <w:r w:rsidRPr="00654CD2">
        <w:t>Providing reports to the Lead IA on these activities, for inclusion in the consolidated reports as per Appendix 4-A</w:t>
      </w:r>
      <w:r w:rsidR="00D23406">
        <w:t>; and</w:t>
      </w:r>
    </w:p>
    <w:p w:rsidR="00D23406" w:rsidRPr="00654CD2" w:rsidRDefault="00D23406" w:rsidP="00D23406">
      <w:pPr>
        <w:widowControl w:val="0"/>
        <w:numPr>
          <w:ilvl w:val="1"/>
          <w:numId w:val="32"/>
        </w:numPr>
        <w:spacing w:after="240"/>
        <w:outlineLvl w:val="1"/>
      </w:pPr>
      <w:r>
        <w:t>Reaching consensus with the Lead IA on any planning, co-ordination and reporting arrangements required to facilitate the implementation of the Plan.</w:t>
      </w:r>
    </w:p>
    <w:p w:rsidR="00654CD2" w:rsidRPr="00654CD2" w:rsidRDefault="00654CD2" w:rsidP="00654CD2">
      <w:pPr>
        <w:keepNext/>
        <w:keepLines/>
        <w:rPr>
          <w:b/>
        </w:rPr>
      </w:pPr>
      <w:r w:rsidRPr="00654CD2">
        <w:rPr>
          <w:b/>
        </w:rPr>
        <w:t>APPENDIX 7-A: REDUCTIONS IN FUNDING FOR FAILURE TO COMPLY</w:t>
      </w:r>
    </w:p>
    <w:p w:rsidR="00654CD2" w:rsidRPr="00654CD2" w:rsidRDefault="00654CD2" w:rsidP="00654CD2">
      <w:pPr>
        <w:keepNext/>
        <w:keepLines/>
      </w:pPr>
    </w:p>
    <w:p w:rsidR="00D23406" w:rsidRDefault="00D23406" w:rsidP="00D23406">
      <w:pPr>
        <w:numPr>
          <w:ilvl w:val="0"/>
          <w:numId w:val="39"/>
        </w:numPr>
        <w:spacing w:after="240"/>
        <w:outlineLvl w:val="0"/>
      </w:pPr>
      <w:r w:rsidRPr="00D23406">
        <w:t>In accordance with paragraph 11 of the Agreement, the amount of funding provided may be reduced by US $180 per ODP kg of consumption beyond the level defined in row 1.2 of Appendix 2-A for each year in which the target specified in row 1.2 of Appendix 2-A has not been met, on the understanding that the maximum funding reduction would not exceed the funding level of the tranche being requested. Additional measures might be considered in cases where non-compliance extends for two consecutive years.</w:t>
      </w:r>
    </w:p>
    <w:p w:rsidR="00D23406" w:rsidRPr="00D23406" w:rsidRDefault="00D23406" w:rsidP="00D23406">
      <w:pPr>
        <w:pStyle w:val="ListParagraph"/>
        <w:numPr>
          <w:ilvl w:val="0"/>
          <w:numId w:val="39"/>
        </w:numPr>
      </w:pPr>
      <w:r w:rsidRPr="00D23406">
        <w:t>In the event that the penalty needs to be applied for a year in which there are two Agreements in force (two stages of the HPMP being implemented in parallel) with different penalty levels, the application of the penalty will be determined on a case-by-case basis taking into consideration the specific sectors that lead to the non-compliance. If it is not possible to determine a sector, or both stages are addressing the same sector, the penalty level to be applied would be the largest.</w:t>
      </w:r>
    </w:p>
    <w:p w:rsidR="00654CD2" w:rsidRDefault="00654CD2" w:rsidP="00D23406">
      <w:pPr>
        <w:spacing w:after="240"/>
        <w:outlineLvl w:val="0"/>
      </w:pPr>
    </w:p>
    <w:p w:rsidR="00A6096D" w:rsidRPr="00654CD2" w:rsidRDefault="00A6096D" w:rsidP="00A6096D">
      <w:pPr>
        <w:spacing w:after="240"/>
        <w:jc w:val="center"/>
        <w:outlineLvl w:val="0"/>
      </w:pPr>
      <w:r>
        <w:t>______________</w:t>
      </w:r>
      <w:bookmarkStart w:id="0" w:name="_GoBack"/>
      <w:bookmarkEnd w:id="0"/>
    </w:p>
    <w:sectPr w:rsidR="00A6096D" w:rsidRPr="00654CD2" w:rsidSect="00654CD2">
      <w:headerReference w:type="even" r:id="rId16"/>
      <w:headerReference w:type="default" r:id="rId17"/>
      <w:headerReference w:type="first" r:id="rId18"/>
      <w:footerReference w:type="first" r:id="rId19"/>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05" w:rsidRDefault="003F0D05" w:rsidP="004A504B">
      <w:r>
        <w:separator/>
      </w:r>
    </w:p>
  </w:endnote>
  <w:endnote w:type="continuationSeparator" w:id="0">
    <w:p w:rsidR="003F0D05" w:rsidRDefault="003F0D0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05" w:rsidRPr="0033525D" w:rsidRDefault="003F0D05">
    <w:pPr>
      <w:jc w:val="center"/>
    </w:pPr>
    <w:r>
      <w:fldChar w:fldCharType="begin"/>
    </w:r>
    <w:r>
      <w:instrText xml:space="preserve"> PAGE </w:instrText>
    </w:r>
    <w:r>
      <w:fldChar w:fldCharType="separate"/>
    </w:r>
    <w:r w:rsidR="005A3440">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05" w:rsidRPr="0033525D" w:rsidRDefault="003F0D05">
    <w:pPr>
      <w:jc w:val="center"/>
    </w:pPr>
    <w:r>
      <w:fldChar w:fldCharType="begin"/>
    </w:r>
    <w:r>
      <w:instrText xml:space="preserve"> PAGE </w:instrText>
    </w:r>
    <w:r>
      <w:fldChar w:fldCharType="separate"/>
    </w:r>
    <w:r w:rsidR="005A3440">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05" w:rsidRDefault="003F0D05"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3F0D05" w:rsidRDefault="003F0D05"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191244"/>
      <w:docPartObj>
        <w:docPartGallery w:val="Page Numbers (Bottom of Page)"/>
        <w:docPartUnique/>
      </w:docPartObj>
    </w:sdtPr>
    <w:sdtEndPr>
      <w:rPr>
        <w:noProof/>
      </w:rPr>
    </w:sdtEndPr>
    <w:sdtContent>
      <w:p w:rsidR="003F0D05" w:rsidRDefault="003F0D05">
        <w:pPr>
          <w:pStyle w:val="Footer"/>
          <w:jc w:val="center"/>
        </w:pPr>
        <w:r>
          <w:fldChar w:fldCharType="begin"/>
        </w:r>
        <w:r>
          <w:instrText xml:space="preserve"> PAGE   \* MERGEFORMAT </w:instrText>
        </w:r>
        <w:r>
          <w:fldChar w:fldCharType="separate"/>
        </w:r>
        <w:r w:rsidR="005A3440">
          <w:rPr>
            <w:noProof/>
          </w:rPr>
          <w:t>1</w:t>
        </w:r>
        <w:r>
          <w:rPr>
            <w:noProof/>
          </w:rPr>
          <w:fldChar w:fldCharType="end"/>
        </w:r>
      </w:p>
    </w:sdtContent>
  </w:sdt>
  <w:p w:rsidR="003F0D05" w:rsidRDefault="003F0D05" w:rsidP="00654CD2">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05" w:rsidRDefault="003F0D05" w:rsidP="004A504B">
      <w:r>
        <w:separator/>
      </w:r>
    </w:p>
  </w:footnote>
  <w:footnote w:type="continuationSeparator" w:id="0">
    <w:p w:rsidR="003F0D05" w:rsidRDefault="003F0D05" w:rsidP="004A504B">
      <w:r>
        <w:continuationSeparator/>
      </w:r>
    </w:p>
  </w:footnote>
  <w:footnote w:id="1">
    <w:p w:rsidR="003F0D05" w:rsidRPr="0008789D" w:rsidRDefault="003F0D05">
      <w:pPr>
        <w:pStyle w:val="FootnoteText"/>
        <w:rPr>
          <w:lang w:val="en-US"/>
        </w:rPr>
      </w:pPr>
      <w:r w:rsidRPr="00F623D1">
        <w:rPr>
          <w:rStyle w:val="FootnoteReference"/>
        </w:rPr>
        <w:footnoteRef/>
      </w:r>
      <w:r w:rsidRPr="00F623D1">
        <w:t xml:space="preserve"> </w:t>
      </w:r>
      <w:proofErr w:type="gramStart"/>
      <w:r w:rsidRPr="00F623D1">
        <w:rPr>
          <w:lang w:val="en-US"/>
        </w:rPr>
        <w:t xml:space="preserve">As per the letter of </w:t>
      </w:r>
      <w:r>
        <w:rPr>
          <w:lang w:val="en-US"/>
        </w:rPr>
        <w:t>19</w:t>
      </w:r>
      <w:r w:rsidRPr="00F623D1">
        <w:rPr>
          <w:lang w:val="en-US"/>
        </w:rPr>
        <w:t xml:space="preserve"> </w:t>
      </w:r>
      <w:r>
        <w:rPr>
          <w:lang w:val="en-US"/>
        </w:rPr>
        <w:t>August</w:t>
      </w:r>
      <w:r w:rsidRPr="00F623D1">
        <w:rPr>
          <w:lang w:val="en-US"/>
        </w:rPr>
        <w:t xml:space="preserve"> 2016 from the Ministry of Environment of </w:t>
      </w:r>
      <w:r>
        <w:rPr>
          <w:lang w:val="en-US"/>
        </w:rPr>
        <w:t>the Republic of Moldova</w:t>
      </w:r>
      <w:r w:rsidRPr="00F623D1">
        <w:rPr>
          <w:lang w:val="en-US"/>
        </w:rPr>
        <w:t xml:space="preserve"> to UNDP.</w:t>
      </w:r>
      <w:proofErr w:type="gramEnd"/>
    </w:p>
  </w:footnote>
  <w:footnote w:id="2">
    <w:p w:rsidR="003F0D05" w:rsidRPr="00C70B37" w:rsidRDefault="003F0D05">
      <w:pPr>
        <w:pStyle w:val="FootnoteText"/>
        <w:rPr>
          <w:lang w:val="en-CA"/>
        </w:rPr>
      </w:pPr>
      <w:r>
        <w:rPr>
          <w:rStyle w:val="FootnoteReference"/>
        </w:rPr>
        <w:footnoteRef/>
      </w:r>
      <w:r>
        <w:t xml:space="preserve"> </w:t>
      </w:r>
      <w:r>
        <w:rPr>
          <w:lang w:val="en-CA"/>
        </w:rPr>
        <w:t>Decision 74/47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05" w:rsidRDefault="003F0D05">
    <w:r>
      <w:fldChar w:fldCharType="begin"/>
    </w:r>
    <w:r>
      <w:instrText xml:space="preserve"> DOCPROPERTY "Document number"  \* MERGEFORMAT </w:instrText>
    </w:r>
    <w:r>
      <w:fldChar w:fldCharType="separate"/>
    </w:r>
    <w:r>
      <w:t>UNEP/</w:t>
    </w:r>
    <w:proofErr w:type="spellStart"/>
    <w:r>
      <w:t>OzL.Pro</w:t>
    </w:r>
    <w:proofErr w:type="spellEnd"/>
    <w:r>
      <w:t>/ExCom/77/58</w:t>
    </w:r>
    <w:r>
      <w:fldChar w:fldCharType="end"/>
    </w:r>
  </w:p>
  <w:p w:rsidR="003F0D05" w:rsidRPr="0033525D" w:rsidRDefault="003F0D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05" w:rsidRDefault="003F0D05">
    <w:pPr>
      <w:jc w:val="right"/>
    </w:pPr>
    <w:r>
      <w:fldChar w:fldCharType="begin"/>
    </w:r>
    <w:r>
      <w:instrText xml:space="preserve"> DOCPROPERTY "Document number"  \* MERGEFORMAT </w:instrText>
    </w:r>
    <w:r>
      <w:fldChar w:fldCharType="separate"/>
    </w:r>
    <w:r>
      <w:t>UNEP/</w:t>
    </w:r>
    <w:proofErr w:type="spellStart"/>
    <w:r>
      <w:t>OzL.Pro</w:t>
    </w:r>
    <w:proofErr w:type="spellEnd"/>
    <w:r>
      <w:t>/ExCom/77/58</w:t>
    </w:r>
    <w:r>
      <w:fldChar w:fldCharType="end"/>
    </w:r>
  </w:p>
  <w:p w:rsidR="003F0D05" w:rsidRPr="0033525D" w:rsidRDefault="003F0D05" w:rsidP="00654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05" w:rsidRDefault="003F0D05">
    <w:r>
      <w:fldChar w:fldCharType="begin"/>
    </w:r>
    <w:r>
      <w:instrText xml:space="preserve"> DOCPROPERTY "Document number"  \* MERGEFORMAT </w:instrText>
    </w:r>
    <w:r>
      <w:fldChar w:fldCharType="separate"/>
    </w:r>
    <w:r>
      <w:t>UNEP/</w:t>
    </w:r>
    <w:proofErr w:type="spellStart"/>
    <w:r>
      <w:t>OzL.Pro</w:t>
    </w:r>
    <w:proofErr w:type="spellEnd"/>
    <w:r>
      <w:t>/ExCom/77/58</w:t>
    </w:r>
    <w:r>
      <w:fldChar w:fldCharType="end"/>
    </w:r>
  </w:p>
  <w:p w:rsidR="003F0D05" w:rsidRPr="0033525D" w:rsidRDefault="003F0D05" w:rsidP="00654CD2">
    <w:r>
      <w:t>Annex I</w:t>
    </w:r>
  </w:p>
  <w:p w:rsidR="003F0D05" w:rsidRPr="0033525D" w:rsidRDefault="003F0D0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05" w:rsidRDefault="003F0D05">
    <w:pPr>
      <w:jc w:val="right"/>
    </w:pPr>
    <w:r>
      <w:fldChar w:fldCharType="begin"/>
    </w:r>
    <w:r>
      <w:instrText xml:space="preserve"> DOCPROPERTY "Document number"  \* MERGEFORMAT </w:instrText>
    </w:r>
    <w:r>
      <w:fldChar w:fldCharType="separate"/>
    </w:r>
    <w:r>
      <w:t>UNEP/</w:t>
    </w:r>
    <w:proofErr w:type="spellStart"/>
    <w:r>
      <w:t>OzL.Pro</w:t>
    </w:r>
    <w:proofErr w:type="spellEnd"/>
    <w:r>
      <w:t>/ExCom/77/58</w:t>
    </w:r>
    <w:r>
      <w:fldChar w:fldCharType="end"/>
    </w:r>
  </w:p>
  <w:p w:rsidR="003F0D05" w:rsidRDefault="003F0D05">
    <w:pPr>
      <w:jc w:val="right"/>
    </w:pPr>
    <w:r>
      <w:t>Annex I</w:t>
    </w:r>
  </w:p>
  <w:p w:rsidR="003F0D05" w:rsidRPr="0033525D" w:rsidRDefault="003F0D05" w:rsidP="00654C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05" w:rsidRDefault="003F0D05" w:rsidP="00654CD2">
    <w:pPr>
      <w:pStyle w:val="Header"/>
      <w:jc w:val="right"/>
    </w:pPr>
    <w:r w:rsidRPr="00654CD2">
      <w:t>UNEP/</w:t>
    </w:r>
    <w:proofErr w:type="spellStart"/>
    <w:r w:rsidRPr="00654CD2">
      <w:t>OzL.Pro</w:t>
    </w:r>
    <w:proofErr w:type="spellEnd"/>
    <w:r w:rsidRPr="00654CD2">
      <w:t>/ExCom/77/58</w:t>
    </w:r>
  </w:p>
  <w:p w:rsidR="003F0D05" w:rsidRDefault="003F0D05" w:rsidP="00654CD2">
    <w:pPr>
      <w:pStyle w:val="Header"/>
      <w:jc w:val="right"/>
    </w:pPr>
    <w:r>
      <w:t>Annex I</w:t>
    </w:r>
  </w:p>
  <w:p w:rsidR="003F0D05" w:rsidRDefault="003F0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nsid w:val="0F346DAF"/>
    <w:multiLevelType w:val="multilevel"/>
    <w:tmpl w:val="5DAC264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
    <w:nsid w:val="103B6C0E"/>
    <w:multiLevelType w:val="hybridMultilevel"/>
    <w:tmpl w:val="75E8A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5B20C1E"/>
    <w:multiLevelType w:val="multilevel"/>
    <w:tmpl w:val="2B9EC21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5">
    <w:nsid w:val="258B7B1B"/>
    <w:multiLevelType w:val="multilevel"/>
    <w:tmpl w:val="47D2B52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6">
    <w:nsid w:val="27C16085"/>
    <w:multiLevelType w:val="hybridMultilevel"/>
    <w:tmpl w:val="5510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8CF3B6C"/>
    <w:multiLevelType w:val="hybridMultilevel"/>
    <w:tmpl w:val="422C141E"/>
    <w:lvl w:ilvl="0" w:tplc="14544A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nsid w:val="3FE44511"/>
    <w:multiLevelType w:val="multilevel"/>
    <w:tmpl w:val="AF6C77FE"/>
    <w:lvl w:ilvl="0">
      <w:start w:val="2016"/>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CB204C"/>
    <w:multiLevelType w:val="multilevel"/>
    <w:tmpl w:val="4634A49C"/>
    <w:lvl w:ilvl="0">
      <w:start w:val="1"/>
      <w:numFmt w:val="lowerRoman"/>
      <w:lvlText w:val="(%1)"/>
      <w:lvlJc w:val="left"/>
      <w:pPr>
        <w:tabs>
          <w:tab w:val="num" w:pos="0"/>
        </w:tabs>
        <w:ind w:left="0" w:firstLine="0"/>
      </w:pPr>
      <w:rPr>
        <w:rFonts w:ascii="Times New Roman" w:eastAsia="Times New Roman" w:hAnsi="Times New Roman" w:cs="Times New Roman" w:hint="default"/>
        <w:b w:val="0"/>
        <w:i w:val="0"/>
        <w:strike w:val="0"/>
      </w:rPr>
    </w:lvl>
    <w:lvl w:ilvl="1">
      <w:start w:val="1"/>
      <w:numFmt w:val="lowerLetter"/>
      <w:lvlText w:val="(%2)"/>
      <w:lvlJc w:val="left"/>
      <w:pPr>
        <w:tabs>
          <w:tab w:val="num" w:pos="273"/>
        </w:tabs>
        <w:ind w:left="1713" w:hanging="720"/>
      </w:pPr>
      <w:rPr>
        <w:rFonts w:hint="default"/>
        <w:b w:val="0"/>
      </w:rPr>
    </w:lvl>
    <w:lvl w:ilvl="2">
      <w:start w:val="1"/>
      <w:numFmt w:val="bullet"/>
      <w:lvlText w:val=""/>
      <w:lvlJc w:val="left"/>
      <w:pPr>
        <w:tabs>
          <w:tab w:val="num" w:pos="-142"/>
        </w:tabs>
        <w:ind w:left="2018" w:hanging="720"/>
      </w:pPr>
      <w:rPr>
        <w:rFonts w:ascii="Symbol" w:hAnsi="Symbol" w:hint="default"/>
      </w:rPr>
    </w:lvl>
    <w:lvl w:ilvl="3">
      <w:start w:val="1"/>
      <w:numFmt w:val="lowerLetter"/>
      <w:lvlText w:val="%4)"/>
      <w:lvlJc w:val="left"/>
      <w:pPr>
        <w:tabs>
          <w:tab w:val="num" w:pos="-232"/>
        </w:tabs>
        <w:ind w:left="2634" w:hanging="706"/>
      </w:pPr>
      <w:rPr>
        <w:rFonts w:hint="default"/>
        <w:b w:val="0"/>
        <w:i w:val="0"/>
      </w:rPr>
    </w:lvl>
    <w:lvl w:ilvl="4">
      <w:start w:val="1"/>
      <w:numFmt w:val="decimal"/>
      <w:lvlText w:val="(%5)"/>
      <w:lvlJc w:val="left"/>
      <w:pPr>
        <w:tabs>
          <w:tab w:val="num" w:pos="-142"/>
        </w:tabs>
        <w:ind w:left="3429" w:hanging="705"/>
      </w:pPr>
      <w:rPr>
        <w:rFonts w:hint="default"/>
      </w:rPr>
    </w:lvl>
    <w:lvl w:ilvl="5">
      <w:start w:val="1"/>
      <w:numFmt w:val="lowerLetter"/>
      <w:lvlText w:val="(%6)"/>
      <w:lvlJc w:val="left"/>
      <w:pPr>
        <w:tabs>
          <w:tab w:val="num" w:pos="-142"/>
        </w:tabs>
        <w:ind w:left="4149" w:hanging="720"/>
      </w:pPr>
      <w:rPr>
        <w:rFonts w:hint="default"/>
      </w:rPr>
    </w:lvl>
    <w:lvl w:ilvl="6">
      <w:start w:val="1"/>
      <w:numFmt w:val="lowerRoman"/>
      <w:lvlText w:val="(%7)"/>
      <w:lvlJc w:val="left"/>
      <w:pPr>
        <w:tabs>
          <w:tab w:val="num" w:pos="-142"/>
        </w:tabs>
        <w:ind w:left="4855" w:hanging="706"/>
      </w:pPr>
      <w:rPr>
        <w:rFonts w:hint="default"/>
      </w:rPr>
    </w:lvl>
    <w:lvl w:ilvl="7">
      <w:start w:val="1"/>
      <w:numFmt w:val="lowerLetter"/>
      <w:lvlText w:val="(%8)"/>
      <w:lvlJc w:val="left"/>
      <w:pPr>
        <w:tabs>
          <w:tab w:val="num" w:pos="-142"/>
        </w:tabs>
        <w:ind w:left="5560" w:hanging="705"/>
      </w:pPr>
      <w:rPr>
        <w:rFonts w:hint="default"/>
      </w:rPr>
    </w:lvl>
    <w:lvl w:ilvl="8">
      <w:start w:val="1"/>
      <w:numFmt w:val="lowerRoman"/>
      <w:lvlText w:val="(%9)"/>
      <w:lvlJc w:val="left"/>
      <w:pPr>
        <w:tabs>
          <w:tab w:val="num" w:pos="-142"/>
        </w:tabs>
        <w:ind w:left="6266" w:hanging="706"/>
      </w:pPr>
      <w:rPr>
        <w:rFonts w:hint="default"/>
      </w:rPr>
    </w:lvl>
  </w:abstractNum>
  <w:abstractNum w:abstractNumId="22">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890104"/>
    <w:multiLevelType w:val="hybridMultilevel"/>
    <w:tmpl w:val="69C66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A0DFD"/>
    <w:multiLevelType w:val="multilevel"/>
    <w:tmpl w:val="E1008256"/>
    <w:lvl w:ilvl="0">
      <w:start w:val="6"/>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6">
    <w:nsid w:val="6F3B711C"/>
    <w:multiLevelType w:val="multilevel"/>
    <w:tmpl w:val="5B9CE35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7">
    <w:nsid w:val="7211420D"/>
    <w:multiLevelType w:val="multilevel"/>
    <w:tmpl w:val="26E22B7A"/>
    <w:lvl w:ilvl="0">
      <w:start w:val="1"/>
      <w:numFmt w:val="lowerRoman"/>
      <w:lvlText w:val="(%1)"/>
      <w:lvlJc w:val="left"/>
      <w:pPr>
        <w:tabs>
          <w:tab w:val="num" w:pos="0"/>
        </w:tabs>
        <w:ind w:left="0" w:firstLine="0"/>
      </w:pPr>
      <w:rPr>
        <w:rFonts w:ascii="Times New Roman" w:eastAsia="Times New Roman" w:hAnsi="Times New Roman" w:cs="Times New Roman"/>
        <w:b w:val="0"/>
        <w:i w:val="0"/>
        <w:strike w:val="0"/>
      </w:rPr>
    </w:lvl>
    <w:lvl w:ilvl="1">
      <w:start w:val="1"/>
      <w:numFmt w:val="lowerLetter"/>
      <w:lvlText w:val="(%2)"/>
      <w:lvlJc w:val="left"/>
      <w:pPr>
        <w:tabs>
          <w:tab w:val="num" w:pos="273"/>
        </w:tabs>
        <w:ind w:left="1713" w:hanging="720"/>
      </w:pPr>
      <w:rPr>
        <w:rFonts w:hint="default"/>
        <w:b w:val="0"/>
      </w:rPr>
    </w:lvl>
    <w:lvl w:ilvl="2">
      <w:start w:val="1"/>
      <w:numFmt w:val="bullet"/>
      <w:lvlText w:val=""/>
      <w:lvlJc w:val="left"/>
      <w:pPr>
        <w:tabs>
          <w:tab w:val="num" w:pos="-142"/>
        </w:tabs>
        <w:ind w:left="2018" w:hanging="720"/>
      </w:pPr>
      <w:rPr>
        <w:rFonts w:ascii="Symbol" w:hAnsi="Symbol" w:hint="default"/>
      </w:rPr>
    </w:lvl>
    <w:lvl w:ilvl="3">
      <w:start w:val="1"/>
      <w:numFmt w:val="lowerLetter"/>
      <w:lvlText w:val="%4)"/>
      <w:lvlJc w:val="left"/>
      <w:pPr>
        <w:tabs>
          <w:tab w:val="num" w:pos="-232"/>
        </w:tabs>
        <w:ind w:left="2634" w:hanging="706"/>
      </w:pPr>
      <w:rPr>
        <w:rFonts w:hint="default"/>
        <w:b w:val="0"/>
        <w:i w:val="0"/>
      </w:rPr>
    </w:lvl>
    <w:lvl w:ilvl="4">
      <w:start w:val="1"/>
      <w:numFmt w:val="decimal"/>
      <w:lvlText w:val="(%5)"/>
      <w:lvlJc w:val="left"/>
      <w:pPr>
        <w:tabs>
          <w:tab w:val="num" w:pos="-142"/>
        </w:tabs>
        <w:ind w:left="3429" w:hanging="705"/>
      </w:pPr>
      <w:rPr>
        <w:rFonts w:hint="default"/>
      </w:rPr>
    </w:lvl>
    <w:lvl w:ilvl="5">
      <w:start w:val="1"/>
      <w:numFmt w:val="lowerLetter"/>
      <w:lvlText w:val="(%6)"/>
      <w:lvlJc w:val="left"/>
      <w:pPr>
        <w:tabs>
          <w:tab w:val="num" w:pos="-142"/>
        </w:tabs>
        <w:ind w:left="4149" w:hanging="720"/>
      </w:pPr>
      <w:rPr>
        <w:rFonts w:hint="default"/>
      </w:rPr>
    </w:lvl>
    <w:lvl w:ilvl="6">
      <w:start w:val="1"/>
      <w:numFmt w:val="lowerRoman"/>
      <w:lvlText w:val="(%7)"/>
      <w:lvlJc w:val="left"/>
      <w:pPr>
        <w:tabs>
          <w:tab w:val="num" w:pos="-142"/>
        </w:tabs>
        <w:ind w:left="4855" w:hanging="706"/>
      </w:pPr>
      <w:rPr>
        <w:rFonts w:hint="default"/>
      </w:rPr>
    </w:lvl>
    <w:lvl w:ilvl="7">
      <w:start w:val="1"/>
      <w:numFmt w:val="lowerLetter"/>
      <w:lvlText w:val="(%8)"/>
      <w:lvlJc w:val="left"/>
      <w:pPr>
        <w:tabs>
          <w:tab w:val="num" w:pos="-142"/>
        </w:tabs>
        <w:ind w:left="5560" w:hanging="705"/>
      </w:pPr>
      <w:rPr>
        <w:rFonts w:hint="default"/>
      </w:rPr>
    </w:lvl>
    <w:lvl w:ilvl="8">
      <w:start w:val="1"/>
      <w:numFmt w:val="lowerRoman"/>
      <w:lvlText w:val="(%9)"/>
      <w:lvlJc w:val="left"/>
      <w:pPr>
        <w:tabs>
          <w:tab w:val="num" w:pos="-142"/>
        </w:tabs>
        <w:ind w:left="6266" w:hanging="706"/>
      </w:pPr>
      <w:rPr>
        <w:rFonts w:hint="default"/>
      </w:rPr>
    </w:lvl>
  </w:abstractNum>
  <w:abstractNum w:abstractNumId="28">
    <w:nsid w:val="777D5A0E"/>
    <w:multiLevelType w:val="multilevel"/>
    <w:tmpl w:val="4DFA010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9">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0">
    <w:nsid w:val="7E8874FA"/>
    <w:multiLevelType w:val="multilevel"/>
    <w:tmpl w:val="5BD458F4"/>
    <w:lvl w:ilvl="0">
      <w:start w:val="16"/>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num w:numId="1">
    <w:abstractNumId w:val="10"/>
  </w:num>
  <w:num w:numId="2">
    <w:abstractNumId w:val="10"/>
  </w:num>
  <w:num w:numId="3">
    <w:abstractNumId w:val="10"/>
  </w:num>
  <w:num w:numId="4">
    <w:abstractNumId w:val="10"/>
  </w:num>
  <w:num w:numId="5">
    <w:abstractNumId w:val="18"/>
  </w:num>
  <w:num w:numId="6">
    <w:abstractNumId w:val="22"/>
  </w:num>
  <w:num w:numId="7">
    <w:abstractNumId w:val="23"/>
  </w:num>
  <w:num w:numId="8">
    <w:abstractNumId w:val="29"/>
  </w:num>
  <w:num w:numId="9">
    <w:abstractNumId w:val="19"/>
  </w:num>
  <w:num w:numId="10">
    <w:abstractNumId w:val="13"/>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10"/>
  </w:num>
  <w:num w:numId="17">
    <w:abstractNumId w:val="20"/>
  </w:num>
  <w:num w:numId="18">
    <w:abstractNumId w:val="10"/>
  </w:num>
  <w:num w:numId="19">
    <w:abstractNumId w:val="10"/>
  </w:num>
  <w:num w:numId="20">
    <w:abstractNumId w:val="10"/>
  </w:num>
  <w:num w:numId="21">
    <w:abstractNumId w:val="17"/>
  </w:num>
  <w:num w:numId="22">
    <w:abstractNumId w:val="10"/>
  </w:num>
  <w:num w:numId="23">
    <w:abstractNumId w:val="10"/>
  </w:num>
  <w:num w:numId="24">
    <w:abstractNumId w:val="10"/>
  </w:num>
  <w:num w:numId="25">
    <w:abstractNumId w:val="16"/>
  </w:num>
  <w:num w:numId="26">
    <w:abstractNumId w:val="10"/>
  </w:num>
  <w:num w:numId="27">
    <w:abstractNumId w:val="25"/>
  </w:num>
  <w:num w:numId="28">
    <w:abstractNumId w:val="10"/>
  </w:num>
  <w:num w:numId="29">
    <w:abstractNumId w:val="10"/>
  </w:num>
  <w:num w:numId="30">
    <w:abstractNumId w:val="27"/>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0"/>
    <w:lvlOverride w:ilvl="0">
      <w:lvl w:ilvl="0">
        <w:start w:val="1"/>
        <w:numFmt w:val="decimal"/>
        <w:pStyle w:val="Heading1"/>
        <w:lvlText w:val="%1."/>
        <w:lvlJc w:val="left"/>
        <w:pPr>
          <w:tabs>
            <w:tab w:val="num" w:pos="0"/>
          </w:tabs>
          <w:ind w:left="0" w:firstLine="0"/>
        </w:pPr>
        <w:rPr>
          <w:rFonts w:hint="default"/>
        </w:rPr>
      </w:lvl>
    </w:lvlOverride>
    <w:lvlOverride w:ilvl="1">
      <w:lvl w:ilvl="1">
        <w:start w:val="1"/>
        <w:numFmt w:val="lowerLetter"/>
        <w:pStyle w:val="Heading2"/>
        <w:lvlText w:val="(%2)"/>
        <w:lvlJc w:val="left"/>
        <w:pPr>
          <w:tabs>
            <w:tab w:val="num" w:pos="0"/>
          </w:tabs>
          <w:ind w:left="1440" w:hanging="720"/>
        </w:pPr>
        <w:rPr>
          <w:rFonts w:hint="default"/>
        </w:rPr>
      </w:lvl>
    </w:lvlOverride>
    <w:lvlOverride w:ilvl="2">
      <w:lvl w:ilvl="2">
        <w:start w:val="1"/>
        <w:numFmt w:val="lowerRoman"/>
        <w:pStyle w:val="Heading3"/>
        <w:lvlText w:val="(%3)"/>
        <w:lvlJc w:val="left"/>
        <w:pPr>
          <w:tabs>
            <w:tab w:val="num" w:pos="0"/>
          </w:tabs>
          <w:ind w:left="2160" w:hanging="720"/>
        </w:pPr>
        <w:rPr>
          <w:rFonts w:hint="default"/>
        </w:rPr>
      </w:lvl>
    </w:lvlOverride>
    <w:lvlOverride w:ilvl="3">
      <w:lvl w:ilvl="3">
        <w:start w:val="1"/>
        <w:numFmt w:val="lowerLetter"/>
        <w:pStyle w:val="Heading4"/>
        <w:lvlText w:val="%4)"/>
        <w:lvlJc w:val="left"/>
        <w:pPr>
          <w:tabs>
            <w:tab w:val="num" w:pos="-90"/>
          </w:tabs>
          <w:ind w:left="2776" w:hanging="706"/>
        </w:pPr>
        <w:rPr>
          <w:rFonts w:hint="default"/>
          <w:b w:val="0"/>
          <w:i w:val="0"/>
        </w:rPr>
      </w:lvl>
    </w:lvlOverride>
    <w:lvlOverride w:ilvl="4">
      <w:lvl w:ilvl="4">
        <w:start w:val="1"/>
        <w:numFmt w:val="decimal"/>
        <w:lvlText w:val="(%5)"/>
        <w:lvlJc w:val="left"/>
        <w:pPr>
          <w:tabs>
            <w:tab w:val="num" w:pos="0"/>
          </w:tabs>
          <w:ind w:left="3571" w:hanging="705"/>
        </w:pPr>
        <w:rPr>
          <w:rFonts w:hint="default"/>
        </w:rPr>
      </w:lvl>
    </w:lvlOverride>
    <w:lvlOverride w:ilvl="5">
      <w:lvl w:ilvl="5">
        <w:start w:val="1"/>
        <w:numFmt w:val="lowerLetter"/>
        <w:pStyle w:val="Heading6"/>
        <w:lvlText w:val="(%6)"/>
        <w:lvlJc w:val="left"/>
        <w:pPr>
          <w:tabs>
            <w:tab w:val="num" w:pos="0"/>
          </w:tabs>
          <w:ind w:left="4291" w:hanging="720"/>
        </w:pPr>
        <w:rPr>
          <w:rFonts w:hint="default"/>
        </w:rPr>
      </w:lvl>
    </w:lvlOverride>
    <w:lvlOverride w:ilvl="6">
      <w:lvl w:ilvl="6">
        <w:start w:val="1"/>
        <w:numFmt w:val="lowerRoman"/>
        <w:pStyle w:val="Heading7"/>
        <w:lvlText w:val="(%7)"/>
        <w:lvlJc w:val="left"/>
        <w:pPr>
          <w:tabs>
            <w:tab w:val="num" w:pos="0"/>
          </w:tabs>
          <w:ind w:left="4997" w:hanging="706"/>
        </w:pPr>
        <w:rPr>
          <w:rFonts w:hint="default"/>
        </w:rPr>
      </w:lvl>
    </w:lvlOverride>
    <w:lvlOverride w:ilvl="7">
      <w:lvl w:ilvl="7">
        <w:start w:val="1"/>
        <w:numFmt w:val="lowerLetter"/>
        <w:lvlText w:val="(%8)"/>
        <w:lvlJc w:val="left"/>
        <w:pPr>
          <w:tabs>
            <w:tab w:val="num" w:pos="0"/>
          </w:tabs>
          <w:ind w:left="5702" w:hanging="705"/>
        </w:pPr>
        <w:rPr>
          <w:rFonts w:hint="default"/>
        </w:rPr>
      </w:lvl>
    </w:lvlOverride>
    <w:lvlOverride w:ilvl="8">
      <w:lvl w:ilvl="8">
        <w:start w:val="1"/>
        <w:numFmt w:val="lowerRoman"/>
        <w:pStyle w:val="Heading9"/>
        <w:lvlText w:val="(%9)"/>
        <w:lvlJc w:val="left"/>
        <w:pPr>
          <w:tabs>
            <w:tab w:val="num" w:pos="0"/>
          </w:tabs>
          <w:ind w:left="6408" w:hanging="706"/>
        </w:pPr>
        <w:rPr>
          <w:rFonts w:hint="default"/>
        </w:rPr>
      </w:lvl>
    </w:lvlOverride>
  </w:num>
  <w:num w:numId="34">
    <w:abstractNumId w:val="28"/>
  </w:num>
  <w:num w:numId="35">
    <w:abstractNumId w:val="12"/>
  </w:num>
  <w:num w:numId="36">
    <w:abstractNumId w:val="30"/>
  </w:num>
  <w:num w:numId="37">
    <w:abstractNumId w:val="14"/>
  </w:num>
  <w:num w:numId="38">
    <w:abstractNumId w:val="15"/>
  </w:num>
  <w:num w:numId="39">
    <w:abstractNumId w:val="26"/>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linkStyle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0FED"/>
    <w:rsid w:val="0000434E"/>
    <w:rsid w:val="00006F20"/>
    <w:rsid w:val="0001614D"/>
    <w:rsid w:val="000211A9"/>
    <w:rsid w:val="00031260"/>
    <w:rsid w:val="0003681A"/>
    <w:rsid w:val="000373DE"/>
    <w:rsid w:val="00070382"/>
    <w:rsid w:val="00080ED0"/>
    <w:rsid w:val="00085B8F"/>
    <w:rsid w:val="000863F0"/>
    <w:rsid w:val="0008789D"/>
    <w:rsid w:val="00090481"/>
    <w:rsid w:val="000962E4"/>
    <w:rsid w:val="000964D5"/>
    <w:rsid w:val="000A2A73"/>
    <w:rsid w:val="000D0906"/>
    <w:rsid w:val="000D6023"/>
    <w:rsid w:val="000D7893"/>
    <w:rsid w:val="000E07BC"/>
    <w:rsid w:val="000F1CD4"/>
    <w:rsid w:val="000F4103"/>
    <w:rsid w:val="000F70A7"/>
    <w:rsid w:val="00135980"/>
    <w:rsid w:val="001601F4"/>
    <w:rsid w:val="00161B42"/>
    <w:rsid w:val="001634C3"/>
    <w:rsid w:val="001637DE"/>
    <w:rsid w:val="00164719"/>
    <w:rsid w:val="00166FC4"/>
    <w:rsid w:val="001677AC"/>
    <w:rsid w:val="00170FFC"/>
    <w:rsid w:val="001804EA"/>
    <w:rsid w:val="00190A61"/>
    <w:rsid w:val="001A3342"/>
    <w:rsid w:val="001A3E3D"/>
    <w:rsid w:val="001A7049"/>
    <w:rsid w:val="001A75C1"/>
    <w:rsid w:val="001B1E40"/>
    <w:rsid w:val="001C764E"/>
    <w:rsid w:val="001E1052"/>
    <w:rsid w:val="001E21B1"/>
    <w:rsid w:val="001E2B3B"/>
    <w:rsid w:val="001E2F93"/>
    <w:rsid w:val="001E34DF"/>
    <w:rsid w:val="001E61E5"/>
    <w:rsid w:val="001F2159"/>
    <w:rsid w:val="00203B4B"/>
    <w:rsid w:val="00213E09"/>
    <w:rsid w:val="002156B4"/>
    <w:rsid w:val="00237F57"/>
    <w:rsid w:val="002430B2"/>
    <w:rsid w:val="00253222"/>
    <w:rsid w:val="002579EF"/>
    <w:rsid w:val="00261B8D"/>
    <w:rsid w:val="00262847"/>
    <w:rsid w:val="00292F42"/>
    <w:rsid w:val="00294328"/>
    <w:rsid w:val="002B72E9"/>
    <w:rsid w:val="002C0A63"/>
    <w:rsid w:val="002C7998"/>
    <w:rsid w:val="002E7302"/>
    <w:rsid w:val="002F1E53"/>
    <w:rsid w:val="002F2CAA"/>
    <w:rsid w:val="002F4FA4"/>
    <w:rsid w:val="002F5F29"/>
    <w:rsid w:val="00306EA0"/>
    <w:rsid w:val="00324984"/>
    <w:rsid w:val="00327959"/>
    <w:rsid w:val="003306E1"/>
    <w:rsid w:val="003320E4"/>
    <w:rsid w:val="0033525D"/>
    <w:rsid w:val="003414F3"/>
    <w:rsid w:val="003505DF"/>
    <w:rsid w:val="00351595"/>
    <w:rsid w:val="0035613E"/>
    <w:rsid w:val="00357EBD"/>
    <w:rsid w:val="00363EE9"/>
    <w:rsid w:val="0037042C"/>
    <w:rsid w:val="00376128"/>
    <w:rsid w:val="0037742E"/>
    <w:rsid w:val="0038245A"/>
    <w:rsid w:val="0039337A"/>
    <w:rsid w:val="00396555"/>
    <w:rsid w:val="003A3189"/>
    <w:rsid w:val="003B569D"/>
    <w:rsid w:val="003C103E"/>
    <w:rsid w:val="003C3C0E"/>
    <w:rsid w:val="003D44E9"/>
    <w:rsid w:val="003D4FAC"/>
    <w:rsid w:val="003E7906"/>
    <w:rsid w:val="003F0D05"/>
    <w:rsid w:val="003F3C50"/>
    <w:rsid w:val="00402AE9"/>
    <w:rsid w:val="0040628C"/>
    <w:rsid w:val="00406A6A"/>
    <w:rsid w:val="00406B22"/>
    <w:rsid w:val="00413F05"/>
    <w:rsid w:val="004328A7"/>
    <w:rsid w:val="00434C74"/>
    <w:rsid w:val="00440E5A"/>
    <w:rsid w:val="00442121"/>
    <w:rsid w:val="00456EB4"/>
    <w:rsid w:val="00471578"/>
    <w:rsid w:val="004718F3"/>
    <w:rsid w:val="00473464"/>
    <w:rsid w:val="00475040"/>
    <w:rsid w:val="00485E0B"/>
    <w:rsid w:val="00491F96"/>
    <w:rsid w:val="00493D40"/>
    <w:rsid w:val="00494A7C"/>
    <w:rsid w:val="004967B6"/>
    <w:rsid w:val="004A504B"/>
    <w:rsid w:val="004A6911"/>
    <w:rsid w:val="004B0896"/>
    <w:rsid w:val="004B54E0"/>
    <w:rsid w:val="004B7384"/>
    <w:rsid w:val="004C4269"/>
    <w:rsid w:val="004D4AE0"/>
    <w:rsid w:val="004D6236"/>
    <w:rsid w:val="004D6F13"/>
    <w:rsid w:val="004E4DBB"/>
    <w:rsid w:val="004E4E41"/>
    <w:rsid w:val="004E7F9C"/>
    <w:rsid w:val="004F3493"/>
    <w:rsid w:val="00502D34"/>
    <w:rsid w:val="005129B0"/>
    <w:rsid w:val="00512B09"/>
    <w:rsid w:val="00530F74"/>
    <w:rsid w:val="005333DD"/>
    <w:rsid w:val="00555D75"/>
    <w:rsid w:val="00560DF0"/>
    <w:rsid w:val="0056759C"/>
    <w:rsid w:val="005729E0"/>
    <w:rsid w:val="00576C6A"/>
    <w:rsid w:val="0059513E"/>
    <w:rsid w:val="005A3440"/>
    <w:rsid w:val="005B48FF"/>
    <w:rsid w:val="005C5343"/>
    <w:rsid w:val="005C5488"/>
    <w:rsid w:val="00604C15"/>
    <w:rsid w:val="006158D5"/>
    <w:rsid w:val="00625D83"/>
    <w:rsid w:val="006328F6"/>
    <w:rsid w:val="00635A9C"/>
    <w:rsid w:val="00652A8C"/>
    <w:rsid w:val="00654CD2"/>
    <w:rsid w:val="006623E7"/>
    <w:rsid w:val="00662B80"/>
    <w:rsid w:val="00667244"/>
    <w:rsid w:val="00683CE0"/>
    <w:rsid w:val="006852C7"/>
    <w:rsid w:val="006956E4"/>
    <w:rsid w:val="006A6AC6"/>
    <w:rsid w:val="006C1727"/>
    <w:rsid w:val="006C32FD"/>
    <w:rsid w:val="006C39CE"/>
    <w:rsid w:val="006D0FCC"/>
    <w:rsid w:val="006D3D83"/>
    <w:rsid w:val="006E2718"/>
    <w:rsid w:val="006E4A75"/>
    <w:rsid w:val="00702F39"/>
    <w:rsid w:val="00705B1A"/>
    <w:rsid w:val="0070616B"/>
    <w:rsid w:val="00706FDA"/>
    <w:rsid w:val="00711F9A"/>
    <w:rsid w:val="00713810"/>
    <w:rsid w:val="00723D1D"/>
    <w:rsid w:val="00725CFD"/>
    <w:rsid w:val="007303A5"/>
    <w:rsid w:val="00730B3E"/>
    <w:rsid w:val="0073420B"/>
    <w:rsid w:val="00736D35"/>
    <w:rsid w:val="0074760E"/>
    <w:rsid w:val="00754ABA"/>
    <w:rsid w:val="0076026A"/>
    <w:rsid w:val="00762EA8"/>
    <w:rsid w:val="00763605"/>
    <w:rsid w:val="007647B6"/>
    <w:rsid w:val="00772A3E"/>
    <w:rsid w:val="00775B66"/>
    <w:rsid w:val="007A1546"/>
    <w:rsid w:val="007A228C"/>
    <w:rsid w:val="007A22FF"/>
    <w:rsid w:val="007A368E"/>
    <w:rsid w:val="007A5868"/>
    <w:rsid w:val="007B04CE"/>
    <w:rsid w:val="007B6871"/>
    <w:rsid w:val="007B7A2F"/>
    <w:rsid w:val="007C3D33"/>
    <w:rsid w:val="007C79D7"/>
    <w:rsid w:val="007D294A"/>
    <w:rsid w:val="007D2DD0"/>
    <w:rsid w:val="007D47D2"/>
    <w:rsid w:val="007D6EC0"/>
    <w:rsid w:val="007D7E1D"/>
    <w:rsid w:val="00814B71"/>
    <w:rsid w:val="00822233"/>
    <w:rsid w:val="0082449E"/>
    <w:rsid w:val="00851352"/>
    <w:rsid w:val="00861C90"/>
    <w:rsid w:val="00863230"/>
    <w:rsid w:val="008717D8"/>
    <w:rsid w:val="0087215C"/>
    <w:rsid w:val="008768B8"/>
    <w:rsid w:val="008843F6"/>
    <w:rsid w:val="008875FE"/>
    <w:rsid w:val="00887F8E"/>
    <w:rsid w:val="00896234"/>
    <w:rsid w:val="00897E43"/>
    <w:rsid w:val="008A0675"/>
    <w:rsid w:val="008A270F"/>
    <w:rsid w:val="008A7852"/>
    <w:rsid w:val="008C5738"/>
    <w:rsid w:val="008C7EAD"/>
    <w:rsid w:val="008D6152"/>
    <w:rsid w:val="008F0F81"/>
    <w:rsid w:val="008F200A"/>
    <w:rsid w:val="008F27BF"/>
    <w:rsid w:val="0090042A"/>
    <w:rsid w:val="00902A96"/>
    <w:rsid w:val="00910FAC"/>
    <w:rsid w:val="00911CE5"/>
    <w:rsid w:val="00923540"/>
    <w:rsid w:val="00926767"/>
    <w:rsid w:val="0093354B"/>
    <w:rsid w:val="009361D5"/>
    <w:rsid w:val="009370D4"/>
    <w:rsid w:val="009428F4"/>
    <w:rsid w:val="00945E37"/>
    <w:rsid w:val="00951531"/>
    <w:rsid w:val="00951B97"/>
    <w:rsid w:val="00953E45"/>
    <w:rsid w:val="009659F4"/>
    <w:rsid w:val="00970D60"/>
    <w:rsid w:val="00972C97"/>
    <w:rsid w:val="009960E5"/>
    <w:rsid w:val="009A7ADC"/>
    <w:rsid w:val="009C19B7"/>
    <w:rsid w:val="009C53C4"/>
    <w:rsid w:val="009D7385"/>
    <w:rsid w:val="009D7C51"/>
    <w:rsid w:val="009F36BF"/>
    <w:rsid w:val="00A03045"/>
    <w:rsid w:val="00A071C9"/>
    <w:rsid w:val="00A07D67"/>
    <w:rsid w:val="00A111B6"/>
    <w:rsid w:val="00A25C74"/>
    <w:rsid w:val="00A316E1"/>
    <w:rsid w:val="00A379BE"/>
    <w:rsid w:val="00A42A99"/>
    <w:rsid w:val="00A5151A"/>
    <w:rsid w:val="00A57E0A"/>
    <w:rsid w:val="00A6096D"/>
    <w:rsid w:val="00A60AEA"/>
    <w:rsid w:val="00A63CC4"/>
    <w:rsid w:val="00A823F6"/>
    <w:rsid w:val="00A9767B"/>
    <w:rsid w:val="00AA0A89"/>
    <w:rsid w:val="00AA6429"/>
    <w:rsid w:val="00AB10DA"/>
    <w:rsid w:val="00AB21B6"/>
    <w:rsid w:val="00AB7F7E"/>
    <w:rsid w:val="00AC01AA"/>
    <w:rsid w:val="00AC4F72"/>
    <w:rsid w:val="00AF0163"/>
    <w:rsid w:val="00AF4522"/>
    <w:rsid w:val="00AF741A"/>
    <w:rsid w:val="00B01ADB"/>
    <w:rsid w:val="00B04161"/>
    <w:rsid w:val="00B056F9"/>
    <w:rsid w:val="00B11E3D"/>
    <w:rsid w:val="00B1224D"/>
    <w:rsid w:val="00B13B3E"/>
    <w:rsid w:val="00B17E82"/>
    <w:rsid w:val="00B23143"/>
    <w:rsid w:val="00B422C0"/>
    <w:rsid w:val="00B42FEC"/>
    <w:rsid w:val="00B4575A"/>
    <w:rsid w:val="00B575BA"/>
    <w:rsid w:val="00B6012A"/>
    <w:rsid w:val="00B62C28"/>
    <w:rsid w:val="00B72D6D"/>
    <w:rsid w:val="00B76429"/>
    <w:rsid w:val="00B956D4"/>
    <w:rsid w:val="00B97446"/>
    <w:rsid w:val="00BA4D04"/>
    <w:rsid w:val="00BA7432"/>
    <w:rsid w:val="00BC1AA0"/>
    <w:rsid w:val="00BC2495"/>
    <w:rsid w:val="00BC7EB9"/>
    <w:rsid w:val="00BD2643"/>
    <w:rsid w:val="00BD56B1"/>
    <w:rsid w:val="00BD6558"/>
    <w:rsid w:val="00BD6C70"/>
    <w:rsid w:val="00BD6CAF"/>
    <w:rsid w:val="00BF3214"/>
    <w:rsid w:val="00C15867"/>
    <w:rsid w:val="00C2296D"/>
    <w:rsid w:val="00C23155"/>
    <w:rsid w:val="00C33CB2"/>
    <w:rsid w:val="00C40C41"/>
    <w:rsid w:val="00C45885"/>
    <w:rsid w:val="00C50F22"/>
    <w:rsid w:val="00C57971"/>
    <w:rsid w:val="00C64375"/>
    <w:rsid w:val="00C70B37"/>
    <w:rsid w:val="00C73023"/>
    <w:rsid w:val="00C73E59"/>
    <w:rsid w:val="00C76BA4"/>
    <w:rsid w:val="00C775EF"/>
    <w:rsid w:val="00C83A48"/>
    <w:rsid w:val="00C85865"/>
    <w:rsid w:val="00C85E85"/>
    <w:rsid w:val="00C85FF8"/>
    <w:rsid w:val="00C8675D"/>
    <w:rsid w:val="00C9168B"/>
    <w:rsid w:val="00C94D4C"/>
    <w:rsid w:val="00CA2EAE"/>
    <w:rsid w:val="00CA4AC1"/>
    <w:rsid w:val="00CA710F"/>
    <w:rsid w:val="00CA7845"/>
    <w:rsid w:val="00CB0316"/>
    <w:rsid w:val="00CB0B11"/>
    <w:rsid w:val="00CB5354"/>
    <w:rsid w:val="00CC3F56"/>
    <w:rsid w:val="00CC6A14"/>
    <w:rsid w:val="00CC70A3"/>
    <w:rsid w:val="00CD0A79"/>
    <w:rsid w:val="00CD41D2"/>
    <w:rsid w:val="00CD4442"/>
    <w:rsid w:val="00CD53C3"/>
    <w:rsid w:val="00CD574E"/>
    <w:rsid w:val="00CE4C22"/>
    <w:rsid w:val="00CE7C58"/>
    <w:rsid w:val="00CF41EC"/>
    <w:rsid w:val="00CF5D04"/>
    <w:rsid w:val="00D04DE4"/>
    <w:rsid w:val="00D063F1"/>
    <w:rsid w:val="00D14F22"/>
    <w:rsid w:val="00D1567F"/>
    <w:rsid w:val="00D23406"/>
    <w:rsid w:val="00D45C5F"/>
    <w:rsid w:val="00D55502"/>
    <w:rsid w:val="00D576F1"/>
    <w:rsid w:val="00D57918"/>
    <w:rsid w:val="00D73DC6"/>
    <w:rsid w:val="00D74C1A"/>
    <w:rsid w:val="00D754C1"/>
    <w:rsid w:val="00D77A35"/>
    <w:rsid w:val="00D81B3E"/>
    <w:rsid w:val="00D90C70"/>
    <w:rsid w:val="00D90E49"/>
    <w:rsid w:val="00DA7378"/>
    <w:rsid w:val="00DA7415"/>
    <w:rsid w:val="00DC1645"/>
    <w:rsid w:val="00DC6A10"/>
    <w:rsid w:val="00DD727D"/>
    <w:rsid w:val="00DE657E"/>
    <w:rsid w:val="00DF4704"/>
    <w:rsid w:val="00DF50D6"/>
    <w:rsid w:val="00DF7559"/>
    <w:rsid w:val="00E024AA"/>
    <w:rsid w:val="00E211F6"/>
    <w:rsid w:val="00E250F1"/>
    <w:rsid w:val="00E3550D"/>
    <w:rsid w:val="00E464BD"/>
    <w:rsid w:val="00E511EE"/>
    <w:rsid w:val="00E614E0"/>
    <w:rsid w:val="00E66A74"/>
    <w:rsid w:val="00E73F7F"/>
    <w:rsid w:val="00E77B25"/>
    <w:rsid w:val="00EA429F"/>
    <w:rsid w:val="00EA4F9E"/>
    <w:rsid w:val="00EA63CA"/>
    <w:rsid w:val="00EA6777"/>
    <w:rsid w:val="00EA6B65"/>
    <w:rsid w:val="00EA6D3B"/>
    <w:rsid w:val="00EB00AD"/>
    <w:rsid w:val="00EB136C"/>
    <w:rsid w:val="00EB480E"/>
    <w:rsid w:val="00EB597D"/>
    <w:rsid w:val="00EB5CEC"/>
    <w:rsid w:val="00EB5EC6"/>
    <w:rsid w:val="00EB7FC9"/>
    <w:rsid w:val="00ED27E8"/>
    <w:rsid w:val="00ED7137"/>
    <w:rsid w:val="00F21088"/>
    <w:rsid w:val="00F3032E"/>
    <w:rsid w:val="00F31E9E"/>
    <w:rsid w:val="00F327E7"/>
    <w:rsid w:val="00F35746"/>
    <w:rsid w:val="00F44131"/>
    <w:rsid w:val="00F447C7"/>
    <w:rsid w:val="00F46E1A"/>
    <w:rsid w:val="00F50A98"/>
    <w:rsid w:val="00F554A9"/>
    <w:rsid w:val="00F623D1"/>
    <w:rsid w:val="00F716FD"/>
    <w:rsid w:val="00F73BEB"/>
    <w:rsid w:val="00F76E75"/>
    <w:rsid w:val="00F80355"/>
    <w:rsid w:val="00F80F0A"/>
    <w:rsid w:val="00FB0C81"/>
    <w:rsid w:val="00FB444A"/>
    <w:rsid w:val="00FC2200"/>
    <w:rsid w:val="00FC24AF"/>
    <w:rsid w:val="00FC2540"/>
    <w:rsid w:val="00FD0D0C"/>
    <w:rsid w:val="00FD354D"/>
    <w:rsid w:val="00FE40C0"/>
    <w:rsid w:val="00FF0204"/>
    <w:rsid w:val="00FF3AED"/>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02"/>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2E7302"/>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2E7302"/>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2E7302"/>
    <w:pPr>
      <w:widowControl w:val="0"/>
      <w:numPr>
        <w:ilvl w:val="2"/>
        <w:numId w:val="1"/>
      </w:numPr>
      <w:spacing w:after="240"/>
      <w:outlineLvl w:val="2"/>
    </w:pPr>
  </w:style>
  <w:style w:type="paragraph" w:styleId="Heading4">
    <w:name w:val="heading 4"/>
    <w:aliases w:val="Heading 11,para 4,Título 41,heading 4,Heading 41"/>
    <w:basedOn w:val="Normal"/>
    <w:next w:val="Heading9"/>
    <w:rsid w:val="002E7302"/>
    <w:pPr>
      <w:keepNext/>
      <w:numPr>
        <w:ilvl w:val="3"/>
        <w:numId w:val="1"/>
      </w:numPr>
      <w:spacing w:before="240" w:after="60"/>
      <w:outlineLvl w:val="3"/>
    </w:pPr>
  </w:style>
  <w:style w:type="paragraph" w:styleId="Heading5">
    <w:name w:val="heading 5"/>
    <w:basedOn w:val="Normal"/>
    <w:next w:val="Normal"/>
    <w:qFormat/>
    <w:rsid w:val="002E7302"/>
    <w:pPr>
      <w:keepNext/>
      <w:numPr>
        <w:numId w:val="9"/>
      </w:numPr>
      <w:spacing w:after="240"/>
      <w:ind w:left="3600" w:hanging="720"/>
      <w:outlineLvl w:val="4"/>
    </w:pPr>
  </w:style>
  <w:style w:type="paragraph" w:styleId="Heading6">
    <w:name w:val="heading 6"/>
    <w:basedOn w:val="Normal"/>
    <w:next w:val="Normal"/>
    <w:qFormat/>
    <w:rsid w:val="002E7302"/>
    <w:pPr>
      <w:numPr>
        <w:ilvl w:val="5"/>
        <w:numId w:val="1"/>
      </w:numPr>
      <w:spacing w:before="240" w:after="60"/>
      <w:outlineLvl w:val="5"/>
    </w:pPr>
    <w:rPr>
      <w:rFonts w:ascii="Arial" w:hAnsi="Arial"/>
      <w:i/>
    </w:rPr>
  </w:style>
  <w:style w:type="paragraph" w:styleId="Heading7">
    <w:name w:val="heading 7"/>
    <w:basedOn w:val="Normal"/>
    <w:next w:val="Normal"/>
    <w:qFormat/>
    <w:rsid w:val="002E7302"/>
    <w:pPr>
      <w:numPr>
        <w:ilvl w:val="6"/>
        <w:numId w:val="1"/>
      </w:numPr>
      <w:spacing w:before="240" w:after="60"/>
      <w:outlineLvl w:val="6"/>
    </w:pPr>
    <w:rPr>
      <w:rFonts w:ascii="Arial" w:hAnsi="Arial"/>
    </w:rPr>
  </w:style>
  <w:style w:type="paragraph" w:styleId="Heading8">
    <w:name w:val="heading 8"/>
    <w:basedOn w:val="Normal"/>
    <w:next w:val="Normal"/>
    <w:qFormat/>
    <w:rsid w:val="002E7302"/>
    <w:pPr>
      <w:outlineLvl w:val="7"/>
    </w:pPr>
    <w:rPr>
      <w:b/>
    </w:rPr>
  </w:style>
  <w:style w:type="paragraph" w:styleId="Heading9">
    <w:name w:val="heading 9"/>
    <w:basedOn w:val="Normal"/>
    <w:next w:val="Normal"/>
    <w:qFormat/>
    <w:rsid w:val="002E730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2E73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7302"/>
  </w:style>
  <w:style w:type="numbering" w:styleId="111111">
    <w:name w:val="Outline List 2"/>
    <w:basedOn w:val="NoList"/>
    <w:semiHidden/>
    <w:rsid w:val="002E7302"/>
    <w:pPr>
      <w:numPr>
        <w:numId w:val="5"/>
      </w:numPr>
    </w:pPr>
  </w:style>
  <w:style w:type="paragraph" w:styleId="Header">
    <w:name w:val="header"/>
    <w:basedOn w:val="Normal"/>
    <w:link w:val="HeaderChar"/>
    <w:rsid w:val="002E7302"/>
    <w:pPr>
      <w:tabs>
        <w:tab w:val="center" w:pos="4320"/>
        <w:tab w:val="right" w:pos="8640"/>
      </w:tabs>
    </w:pPr>
  </w:style>
  <w:style w:type="paragraph" w:customStyle="1" w:styleId="sub-title">
    <w:name w:val="sub-title"/>
    <w:rsid w:val="002E7302"/>
    <w:pPr>
      <w:jc w:val="both"/>
      <w:outlineLvl w:val="0"/>
    </w:pPr>
    <w:rPr>
      <w:b/>
      <w:noProof/>
      <w:sz w:val="22"/>
      <w:szCs w:val="22"/>
    </w:rPr>
  </w:style>
  <w:style w:type="paragraph" w:customStyle="1" w:styleId="Title1">
    <w:name w:val="Title1"/>
    <w:rsid w:val="002E7302"/>
    <w:pPr>
      <w:jc w:val="center"/>
      <w:outlineLvl w:val="0"/>
    </w:pPr>
    <w:rPr>
      <w:b/>
      <w:caps/>
      <w:sz w:val="22"/>
      <w:szCs w:val="22"/>
      <w:lang w:val="en-GB"/>
    </w:rPr>
  </w:style>
  <w:style w:type="paragraph" w:customStyle="1" w:styleId="Decision">
    <w:name w:val="Decision"/>
    <w:basedOn w:val="Normal"/>
    <w:rsid w:val="002E7302"/>
    <w:pPr>
      <w:keepLines/>
      <w:jc w:val="right"/>
    </w:pPr>
    <w:rPr>
      <w:b/>
    </w:rPr>
  </w:style>
  <w:style w:type="paragraph" w:customStyle="1" w:styleId="0Heading0">
    <w:name w:val="0 Heading 0"/>
    <w:rsid w:val="002E7302"/>
    <w:rPr>
      <w:sz w:val="22"/>
      <w:szCs w:val="22"/>
      <w:lang w:val="en-GB"/>
    </w:rPr>
  </w:style>
  <w:style w:type="paragraph" w:styleId="Footer">
    <w:name w:val="footer"/>
    <w:basedOn w:val="Normal"/>
    <w:link w:val="FooterChar"/>
    <w:rsid w:val="002E7302"/>
    <w:pPr>
      <w:tabs>
        <w:tab w:val="center" w:pos="4320"/>
        <w:tab w:val="right" w:pos="8640"/>
      </w:tabs>
    </w:pPr>
  </w:style>
  <w:style w:type="numbering" w:styleId="1ai">
    <w:name w:val="Outline List 1"/>
    <w:basedOn w:val="NoList"/>
    <w:semiHidden/>
    <w:rsid w:val="002E7302"/>
    <w:pPr>
      <w:numPr>
        <w:numId w:val="6"/>
      </w:numPr>
    </w:pPr>
  </w:style>
  <w:style w:type="numbering" w:styleId="ArticleSection">
    <w:name w:val="Outline List 3"/>
    <w:basedOn w:val="NoList"/>
    <w:semiHidden/>
    <w:rsid w:val="002E7302"/>
    <w:pPr>
      <w:numPr>
        <w:numId w:val="7"/>
      </w:numPr>
    </w:pPr>
  </w:style>
  <w:style w:type="paragraph" w:styleId="BlockText">
    <w:name w:val="Block Text"/>
    <w:basedOn w:val="Normal"/>
    <w:semiHidden/>
    <w:rsid w:val="002E7302"/>
    <w:pPr>
      <w:spacing w:after="120"/>
      <w:ind w:left="1440" w:right="1440"/>
    </w:pPr>
  </w:style>
  <w:style w:type="paragraph" w:styleId="BodyText3">
    <w:name w:val="Body Text 3"/>
    <w:basedOn w:val="Normal"/>
    <w:semiHidden/>
    <w:rsid w:val="002E7302"/>
    <w:pPr>
      <w:spacing w:after="120"/>
    </w:pPr>
    <w:rPr>
      <w:sz w:val="16"/>
      <w:szCs w:val="16"/>
    </w:rPr>
  </w:style>
  <w:style w:type="paragraph" w:styleId="BodyTextIndent3">
    <w:name w:val="Body Text Indent 3"/>
    <w:basedOn w:val="Normal"/>
    <w:semiHidden/>
    <w:rsid w:val="002E7302"/>
    <w:pPr>
      <w:spacing w:after="120"/>
      <w:ind w:left="360"/>
    </w:pPr>
    <w:rPr>
      <w:sz w:val="16"/>
      <w:szCs w:val="16"/>
    </w:rPr>
  </w:style>
  <w:style w:type="paragraph" w:styleId="PlainText">
    <w:name w:val="Plain Text"/>
    <w:basedOn w:val="Normal"/>
    <w:semiHidden/>
    <w:rsid w:val="002E7302"/>
    <w:rPr>
      <w:rFonts w:ascii="Courier New" w:hAnsi="Courier New" w:cs="Courier New"/>
      <w:sz w:val="20"/>
    </w:rPr>
  </w:style>
  <w:style w:type="table" w:styleId="Table3Deffects1">
    <w:name w:val="Table 3D effects 1"/>
    <w:basedOn w:val="TableNormal"/>
    <w:semiHidden/>
    <w:rsid w:val="002E73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E73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E73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E73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E73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E73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E73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E73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E73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E73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E73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E73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E73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E73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E73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E73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E73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E73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E73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E73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E73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E73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E73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E73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E73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E73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E73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E73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E73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E73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E73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E73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E73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E73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E73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E73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E73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E73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E73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E73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E73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E73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E73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E73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2E7302"/>
    <w:rPr>
      <w:sz w:val="22"/>
      <w:szCs w:val="22"/>
      <w:lang w:val="en-GB"/>
    </w:rPr>
  </w:style>
  <w:style w:type="paragraph" w:customStyle="1" w:styleId="Header4">
    <w:name w:val="Header4"/>
    <w:aliases w:val="Para 4"/>
    <w:basedOn w:val="Normal"/>
    <w:next w:val="Normal"/>
    <w:rsid w:val="002E7302"/>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2E7302"/>
    <w:rPr>
      <w:sz w:val="16"/>
      <w:szCs w:val="16"/>
    </w:rPr>
  </w:style>
  <w:style w:type="paragraph" w:styleId="Subtitle">
    <w:name w:val="Subtitle"/>
    <w:basedOn w:val="Normal"/>
    <w:qFormat/>
    <w:rsid w:val="002E7302"/>
    <w:pPr>
      <w:spacing w:after="60"/>
      <w:jc w:val="center"/>
      <w:outlineLvl w:val="1"/>
    </w:pPr>
    <w:rPr>
      <w:rFonts w:ascii="Arial" w:hAnsi="Arial" w:cs="Arial"/>
    </w:rPr>
  </w:style>
  <w:style w:type="paragraph" w:styleId="Title">
    <w:name w:val="Title"/>
    <w:basedOn w:val="Normal"/>
    <w:qFormat/>
    <w:rsid w:val="002E7302"/>
    <w:pPr>
      <w:spacing w:before="240" w:after="60"/>
      <w:jc w:val="center"/>
      <w:outlineLvl w:val="0"/>
    </w:pPr>
    <w:rPr>
      <w:rFonts w:ascii="Arial" w:hAnsi="Arial" w:cs="Arial"/>
      <w:b/>
      <w:bCs/>
      <w:kern w:val="28"/>
    </w:rPr>
  </w:style>
  <w:style w:type="paragraph" w:styleId="Date">
    <w:name w:val="Date"/>
    <w:basedOn w:val="Normal"/>
    <w:next w:val="Normal"/>
    <w:rsid w:val="002E7302"/>
  </w:style>
  <w:style w:type="character" w:styleId="PlaceholderText">
    <w:name w:val="Placeholder Text"/>
    <w:basedOn w:val="DefaultParagraphFont"/>
    <w:uiPriority w:val="99"/>
    <w:semiHidden/>
    <w:rsid w:val="002E7302"/>
    <w:rPr>
      <w:color w:val="808080"/>
    </w:rPr>
  </w:style>
  <w:style w:type="paragraph" w:styleId="BalloonText">
    <w:name w:val="Balloon Text"/>
    <w:basedOn w:val="Normal"/>
    <w:link w:val="BalloonTextChar"/>
    <w:uiPriority w:val="99"/>
    <w:semiHidden/>
    <w:unhideWhenUsed/>
    <w:rsid w:val="002E7302"/>
    <w:rPr>
      <w:rFonts w:ascii="Tahoma" w:hAnsi="Tahoma" w:cs="Tahoma"/>
      <w:sz w:val="16"/>
      <w:szCs w:val="16"/>
    </w:rPr>
  </w:style>
  <w:style w:type="character" w:customStyle="1" w:styleId="BalloonTextChar">
    <w:name w:val="Balloon Text Char"/>
    <w:basedOn w:val="DefaultParagraphFont"/>
    <w:link w:val="BalloonText"/>
    <w:uiPriority w:val="99"/>
    <w:semiHidden/>
    <w:rsid w:val="002E7302"/>
    <w:rPr>
      <w:rFonts w:ascii="Tahoma" w:hAnsi="Tahoma" w:cs="Tahoma"/>
      <w:sz w:val="16"/>
      <w:szCs w:val="16"/>
      <w:lang w:val="en-GB"/>
    </w:rPr>
  </w:style>
  <w:style w:type="paragraph" w:styleId="CommentText">
    <w:name w:val="annotation text"/>
    <w:basedOn w:val="Normal"/>
    <w:link w:val="CommentTextChar"/>
    <w:uiPriority w:val="99"/>
    <w:semiHidden/>
    <w:unhideWhenUsed/>
    <w:rsid w:val="002E7302"/>
    <w:rPr>
      <w:sz w:val="20"/>
      <w:szCs w:val="20"/>
    </w:rPr>
  </w:style>
  <w:style w:type="character" w:customStyle="1" w:styleId="CommentTextChar">
    <w:name w:val="Comment Text Char"/>
    <w:basedOn w:val="DefaultParagraphFont"/>
    <w:link w:val="CommentText"/>
    <w:uiPriority w:val="99"/>
    <w:semiHidden/>
    <w:rsid w:val="002E7302"/>
    <w:rPr>
      <w:lang w:val="en-GB"/>
    </w:rPr>
  </w:style>
  <w:style w:type="paragraph" w:styleId="CommentSubject">
    <w:name w:val="annotation subject"/>
    <w:basedOn w:val="CommentText"/>
    <w:next w:val="CommentText"/>
    <w:link w:val="CommentSubjectChar"/>
    <w:uiPriority w:val="99"/>
    <w:semiHidden/>
    <w:unhideWhenUsed/>
    <w:rsid w:val="002E7302"/>
    <w:rPr>
      <w:b/>
      <w:bCs/>
    </w:rPr>
  </w:style>
  <w:style w:type="character" w:customStyle="1" w:styleId="CommentSubjectChar">
    <w:name w:val="Comment Subject Char"/>
    <w:basedOn w:val="CommentTextChar"/>
    <w:link w:val="CommentSubject"/>
    <w:uiPriority w:val="99"/>
    <w:semiHidden/>
    <w:rsid w:val="002E7302"/>
    <w:rPr>
      <w:b/>
      <w:bCs/>
      <w:lang w:val="en-GB"/>
    </w:rPr>
  </w:style>
  <w:style w:type="paragraph" w:customStyle="1" w:styleId="StyleHeader4Para4Left0Firstline0">
    <w:name w:val="Style Header4Para 4 + Left:  0&quot; First line:  0&quot;"/>
    <w:basedOn w:val="Header4"/>
    <w:rsid w:val="002E7302"/>
    <w:pPr>
      <w:ind w:left="0" w:firstLine="0"/>
    </w:pPr>
    <w:rPr>
      <w:sz w:val="20"/>
    </w:rPr>
  </w:style>
  <w:style w:type="paragraph" w:styleId="ListParagraph">
    <w:name w:val="List Paragraph"/>
    <w:basedOn w:val="Normal"/>
    <w:link w:val="ListParagraphChar"/>
    <w:uiPriority w:val="34"/>
    <w:qFormat/>
    <w:rsid w:val="00A03045"/>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03045"/>
    <w:rPr>
      <w:sz w:val="22"/>
      <w:szCs w:val="22"/>
      <w:lang w:val="en-GB"/>
    </w:rPr>
  </w:style>
  <w:style w:type="character" w:customStyle="1" w:styleId="ListParagraphChar">
    <w:name w:val="List Paragraph Char"/>
    <w:basedOn w:val="DefaultParagraphFont"/>
    <w:link w:val="ListParagraph"/>
    <w:uiPriority w:val="34"/>
    <w:rsid w:val="00A03045"/>
    <w:rPr>
      <w:sz w:val="22"/>
      <w:szCs w:val="22"/>
      <w:lang w:val="en-GB"/>
    </w:rPr>
  </w:style>
  <w:style w:type="paragraph" w:customStyle="1" w:styleId="Style1">
    <w:name w:val="Style1"/>
    <w:basedOn w:val="ListParagraph"/>
    <w:link w:val="Style1Char"/>
    <w:qFormat/>
    <w:rsid w:val="00A03045"/>
    <w:pPr>
      <w:numPr>
        <w:numId w:val="11"/>
      </w:numPr>
      <w:spacing w:line="360" w:lineRule="auto"/>
    </w:pPr>
  </w:style>
  <w:style w:type="character" w:customStyle="1" w:styleId="Style1Char">
    <w:name w:val="Style1 Char"/>
    <w:basedOn w:val="ListParagraphChar"/>
    <w:link w:val="Style1"/>
    <w:rsid w:val="00A03045"/>
    <w:rPr>
      <w:sz w:val="22"/>
      <w:szCs w:val="22"/>
      <w:lang w:val="en-GB"/>
    </w:rPr>
  </w:style>
  <w:style w:type="paragraph" w:styleId="FootnoteText">
    <w:name w:val="footnote text"/>
    <w:aliases w:val="Char1,Char1 Char Char,single space,footnote text,Fußnote,Footnote,WB-Fußnotentext,WB-Fußnotentext Char Char,Fußnotentext Char,Footnote Text Char Char Char,Footnote Text Char Char,Geneva 9,Font: Geneva 9,Boston 10,f,fn,FOOTNOTES,otnote Text"/>
    <w:basedOn w:val="Normal"/>
    <w:link w:val="FootnoteTextChar"/>
    <w:uiPriority w:val="99"/>
    <w:unhideWhenUsed/>
    <w:qFormat/>
    <w:rsid w:val="00A03045"/>
    <w:rPr>
      <w:sz w:val="20"/>
      <w:szCs w:val="20"/>
    </w:rPr>
  </w:style>
  <w:style w:type="character" w:customStyle="1" w:styleId="FootnoteTextChar">
    <w:name w:val="Footnote Text Char"/>
    <w:aliases w:val="Char1 Char,Char1 Char Char Char,single space Char,footnote text Char,Fußnote Char,Footnote Char,WB-Fußnotentext Char,WB-Fußnotentext Char Char Char,Fußnotentext Char Char,Footnote Text Char Char Char Char,Footnote Text Char Char Char1"/>
    <w:basedOn w:val="DefaultParagraphFont"/>
    <w:link w:val="FootnoteText"/>
    <w:uiPriority w:val="99"/>
    <w:rsid w:val="00A03045"/>
    <w:rPr>
      <w:lang w:val="en-GB"/>
    </w:rPr>
  </w:style>
  <w:style w:type="character" w:styleId="FootnoteReference">
    <w:name w:val="footnote reference"/>
    <w:aliases w:val="ftref,16 Point,Superscript 6 Point,Superscript 6 Point + 11 pt,BVI fnr,BVI fnr Car Car,BVI fnr Car,BVI fnr Car Car Car Car,Footnote text,Footnotes refss,Footnote Reference1,Footnote Reference Number,Footnote Reference_LVL6,fr,number"/>
    <w:basedOn w:val="DefaultParagraphFont"/>
    <w:uiPriority w:val="99"/>
    <w:unhideWhenUsed/>
    <w:rsid w:val="00A03045"/>
    <w:rPr>
      <w:vertAlign w:val="superscript"/>
    </w:rPr>
  </w:style>
  <w:style w:type="paragraph" w:styleId="Revision">
    <w:name w:val="Revision"/>
    <w:hidden/>
    <w:uiPriority w:val="99"/>
    <w:semiHidden/>
    <w:rsid w:val="00A03045"/>
    <w:rPr>
      <w:sz w:val="22"/>
      <w:szCs w:val="22"/>
      <w:lang w:val="en-GB"/>
    </w:rPr>
  </w:style>
  <w:style w:type="paragraph" w:customStyle="1" w:styleId="ListParagraph1">
    <w:name w:val="List Paragraph1"/>
    <w:aliases w:val="Report Para,List Paragraph11,Bullets,bullets,Heading 2_sj,WinDForce-Letter,List Paragraph (numbered (a)),CORE-1.1.1,Numbered Para 1,Dot pt,No Spacing1,List Paragraph Char Char Char,Indicator Text,Bullet 1,Bullet Points"/>
    <w:basedOn w:val="Normal"/>
    <w:uiPriority w:val="99"/>
    <w:qFormat/>
    <w:rsid w:val="00A03045"/>
    <w:pPr>
      <w:spacing w:after="200" w:line="276" w:lineRule="auto"/>
      <w:ind w:left="720"/>
      <w:jc w:val="left"/>
    </w:pPr>
    <w:rPr>
      <w:rFonts w:ascii="Calibri" w:eastAsia="SimSun" w:hAnsi="Calibri" w:cs="Angsana New"/>
      <w:lang w:val="en-US"/>
    </w:rPr>
  </w:style>
  <w:style w:type="table" w:customStyle="1" w:styleId="TableGrid10">
    <w:name w:val="Table Grid1"/>
    <w:basedOn w:val="TableNormal"/>
    <w:next w:val="TableGrid"/>
    <w:uiPriority w:val="59"/>
    <w:rsid w:val="00A0304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A03045"/>
    <w:rPr>
      <w:sz w:val="22"/>
      <w:szCs w:val="22"/>
      <w:lang w:val="en-GB"/>
    </w:rPr>
  </w:style>
  <w:style w:type="paragraph" w:styleId="EndnoteText">
    <w:name w:val="endnote text"/>
    <w:basedOn w:val="Normal"/>
    <w:link w:val="EndnoteTextChar"/>
    <w:uiPriority w:val="99"/>
    <w:semiHidden/>
    <w:unhideWhenUsed/>
    <w:rsid w:val="00A03045"/>
    <w:rPr>
      <w:sz w:val="20"/>
      <w:szCs w:val="20"/>
    </w:rPr>
  </w:style>
  <w:style w:type="character" w:customStyle="1" w:styleId="EndnoteTextChar">
    <w:name w:val="Endnote Text Char"/>
    <w:basedOn w:val="DefaultParagraphFont"/>
    <w:link w:val="EndnoteText"/>
    <w:uiPriority w:val="99"/>
    <w:semiHidden/>
    <w:rsid w:val="00A03045"/>
    <w:rPr>
      <w:lang w:val="en-GB"/>
    </w:rPr>
  </w:style>
  <w:style w:type="character" w:styleId="EndnoteReference">
    <w:name w:val="endnote reference"/>
    <w:basedOn w:val="DefaultParagraphFont"/>
    <w:uiPriority w:val="99"/>
    <w:semiHidden/>
    <w:unhideWhenUsed/>
    <w:rsid w:val="00A03045"/>
    <w:rPr>
      <w:vertAlign w:val="superscript"/>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A03045"/>
    <w:rPr>
      <w:sz w:val="22"/>
      <w:szCs w:val="22"/>
      <w:lang w:val="en-GB"/>
    </w:rPr>
  </w:style>
  <w:style w:type="paragraph" w:styleId="ListBullet">
    <w:name w:val="List Bullet"/>
    <w:basedOn w:val="Normal"/>
    <w:autoRedefine/>
    <w:semiHidden/>
    <w:rsid w:val="00F3032E"/>
    <w:pPr>
      <w:numPr>
        <w:numId w:val="15"/>
      </w:numPr>
    </w:pPr>
  </w:style>
  <w:style w:type="character" w:styleId="Hyperlink">
    <w:name w:val="Hyperlink"/>
    <w:basedOn w:val="DefaultParagraphFont"/>
    <w:uiPriority w:val="99"/>
    <w:unhideWhenUsed/>
    <w:rsid w:val="00BD6CAF"/>
    <w:rPr>
      <w:color w:val="0000FF" w:themeColor="hyperlink"/>
      <w:u w:val="single"/>
    </w:rPr>
  </w:style>
  <w:style w:type="paragraph" w:styleId="NormalWeb">
    <w:name w:val="Normal (Web)"/>
    <w:basedOn w:val="Normal"/>
    <w:uiPriority w:val="99"/>
    <w:semiHidden/>
    <w:unhideWhenUsed/>
    <w:rsid w:val="00951B97"/>
    <w:pPr>
      <w:spacing w:before="100" w:beforeAutospacing="1" w:after="100" w:afterAutospacing="1"/>
      <w:jc w:val="left"/>
    </w:pPr>
    <w:rPr>
      <w:rFonts w:eastAsiaTheme="minorHAnsi"/>
      <w:sz w:val="24"/>
      <w:szCs w:val="24"/>
      <w:lang w:val="en-US"/>
    </w:rPr>
  </w:style>
  <w:style w:type="character" w:customStyle="1" w:styleId="HeaderChar">
    <w:name w:val="Header Char"/>
    <w:basedOn w:val="DefaultParagraphFont"/>
    <w:link w:val="Header"/>
    <w:rsid w:val="00654CD2"/>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02"/>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2E7302"/>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2E7302"/>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2E7302"/>
    <w:pPr>
      <w:widowControl w:val="0"/>
      <w:numPr>
        <w:ilvl w:val="2"/>
        <w:numId w:val="1"/>
      </w:numPr>
      <w:spacing w:after="240"/>
      <w:outlineLvl w:val="2"/>
    </w:pPr>
  </w:style>
  <w:style w:type="paragraph" w:styleId="Heading4">
    <w:name w:val="heading 4"/>
    <w:aliases w:val="Heading 11,para 4,Título 41,heading 4,Heading 41"/>
    <w:basedOn w:val="Normal"/>
    <w:next w:val="Heading9"/>
    <w:rsid w:val="002E7302"/>
    <w:pPr>
      <w:keepNext/>
      <w:numPr>
        <w:ilvl w:val="3"/>
        <w:numId w:val="1"/>
      </w:numPr>
      <w:spacing w:before="240" w:after="60"/>
      <w:outlineLvl w:val="3"/>
    </w:pPr>
  </w:style>
  <w:style w:type="paragraph" w:styleId="Heading5">
    <w:name w:val="heading 5"/>
    <w:basedOn w:val="Normal"/>
    <w:next w:val="Normal"/>
    <w:qFormat/>
    <w:rsid w:val="002E7302"/>
    <w:pPr>
      <w:keepNext/>
      <w:numPr>
        <w:numId w:val="9"/>
      </w:numPr>
      <w:spacing w:after="240"/>
      <w:ind w:left="3600" w:hanging="720"/>
      <w:outlineLvl w:val="4"/>
    </w:pPr>
  </w:style>
  <w:style w:type="paragraph" w:styleId="Heading6">
    <w:name w:val="heading 6"/>
    <w:basedOn w:val="Normal"/>
    <w:next w:val="Normal"/>
    <w:qFormat/>
    <w:rsid w:val="002E7302"/>
    <w:pPr>
      <w:numPr>
        <w:ilvl w:val="5"/>
        <w:numId w:val="1"/>
      </w:numPr>
      <w:spacing w:before="240" w:after="60"/>
      <w:outlineLvl w:val="5"/>
    </w:pPr>
    <w:rPr>
      <w:rFonts w:ascii="Arial" w:hAnsi="Arial"/>
      <w:i/>
    </w:rPr>
  </w:style>
  <w:style w:type="paragraph" w:styleId="Heading7">
    <w:name w:val="heading 7"/>
    <w:basedOn w:val="Normal"/>
    <w:next w:val="Normal"/>
    <w:qFormat/>
    <w:rsid w:val="002E7302"/>
    <w:pPr>
      <w:numPr>
        <w:ilvl w:val="6"/>
        <w:numId w:val="1"/>
      </w:numPr>
      <w:spacing w:before="240" w:after="60"/>
      <w:outlineLvl w:val="6"/>
    </w:pPr>
    <w:rPr>
      <w:rFonts w:ascii="Arial" w:hAnsi="Arial"/>
    </w:rPr>
  </w:style>
  <w:style w:type="paragraph" w:styleId="Heading8">
    <w:name w:val="heading 8"/>
    <w:basedOn w:val="Normal"/>
    <w:next w:val="Normal"/>
    <w:qFormat/>
    <w:rsid w:val="002E7302"/>
    <w:pPr>
      <w:outlineLvl w:val="7"/>
    </w:pPr>
    <w:rPr>
      <w:b/>
    </w:rPr>
  </w:style>
  <w:style w:type="paragraph" w:styleId="Heading9">
    <w:name w:val="heading 9"/>
    <w:basedOn w:val="Normal"/>
    <w:next w:val="Normal"/>
    <w:qFormat/>
    <w:rsid w:val="002E730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2E73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7302"/>
  </w:style>
  <w:style w:type="numbering" w:styleId="111111">
    <w:name w:val="Outline List 2"/>
    <w:basedOn w:val="NoList"/>
    <w:semiHidden/>
    <w:rsid w:val="002E7302"/>
    <w:pPr>
      <w:numPr>
        <w:numId w:val="5"/>
      </w:numPr>
    </w:pPr>
  </w:style>
  <w:style w:type="paragraph" w:styleId="Header">
    <w:name w:val="header"/>
    <w:basedOn w:val="Normal"/>
    <w:link w:val="HeaderChar"/>
    <w:rsid w:val="002E7302"/>
    <w:pPr>
      <w:tabs>
        <w:tab w:val="center" w:pos="4320"/>
        <w:tab w:val="right" w:pos="8640"/>
      </w:tabs>
    </w:pPr>
  </w:style>
  <w:style w:type="paragraph" w:customStyle="1" w:styleId="sub-title">
    <w:name w:val="sub-title"/>
    <w:rsid w:val="002E7302"/>
    <w:pPr>
      <w:jc w:val="both"/>
      <w:outlineLvl w:val="0"/>
    </w:pPr>
    <w:rPr>
      <w:b/>
      <w:noProof/>
      <w:sz w:val="22"/>
      <w:szCs w:val="22"/>
    </w:rPr>
  </w:style>
  <w:style w:type="paragraph" w:customStyle="1" w:styleId="Title1">
    <w:name w:val="Title1"/>
    <w:rsid w:val="002E7302"/>
    <w:pPr>
      <w:jc w:val="center"/>
      <w:outlineLvl w:val="0"/>
    </w:pPr>
    <w:rPr>
      <w:b/>
      <w:caps/>
      <w:sz w:val="22"/>
      <w:szCs w:val="22"/>
      <w:lang w:val="en-GB"/>
    </w:rPr>
  </w:style>
  <w:style w:type="paragraph" w:customStyle="1" w:styleId="Decision">
    <w:name w:val="Decision"/>
    <w:basedOn w:val="Normal"/>
    <w:rsid w:val="002E7302"/>
    <w:pPr>
      <w:keepLines/>
      <w:jc w:val="right"/>
    </w:pPr>
    <w:rPr>
      <w:b/>
    </w:rPr>
  </w:style>
  <w:style w:type="paragraph" w:customStyle="1" w:styleId="0Heading0">
    <w:name w:val="0 Heading 0"/>
    <w:rsid w:val="002E7302"/>
    <w:rPr>
      <w:sz w:val="22"/>
      <w:szCs w:val="22"/>
      <w:lang w:val="en-GB"/>
    </w:rPr>
  </w:style>
  <w:style w:type="paragraph" w:styleId="Footer">
    <w:name w:val="footer"/>
    <w:basedOn w:val="Normal"/>
    <w:link w:val="FooterChar"/>
    <w:rsid w:val="002E7302"/>
    <w:pPr>
      <w:tabs>
        <w:tab w:val="center" w:pos="4320"/>
        <w:tab w:val="right" w:pos="8640"/>
      </w:tabs>
    </w:pPr>
  </w:style>
  <w:style w:type="numbering" w:styleId="1ai">
    <w:name w:val="Outline List 1"/>
    <w:basedOn w:val="NoList"/>
    <w:semiHidden/>
    <w:rsid w:val="002E7302"/>
    <w:pPr>
      <w:numPr>
        <w:numId w:val="6"/>
      </w:numPr>
    </w:pPr>
  </w:style>
  <w:style w:type="numbering" w:styleId="ArticleSection">
    <w:name w:val="Outline List 3"/>
    <w:basedOn w:val="NoList"/>
    <w:semiHidden/>
    <w:rsid w:val="002E7302"/>
    <w:pPr>
      <w:numPr>
        <w:numId w:val="7"/>
      </w:numPr>
    </w:pPr>
  </w:style>
  <w:style w:type="paragraph" w:styleId="BlockText">
    <w:name w:val="Block Text"/>
    <w:basedOn w:val="Normal"/>
    <w:semiHidden/>
    <w:rsid w:val="002E7302"/>
    <w:pPr>
      <w:spacing w:after="120"/>
      <w:ind w:left="1440" w:right="1440"/>
    </w:pPr>
  </w:style>
  <w:style w:type="paragraph" w:styleId="BodyText3">
    <w:name w:val="Body Text 3"/>
    <w:basedOn w:val="Normal"/>
    <w:semiHidden/>
    <w:rsid w:val="002E7302"/>
    <w:pPr>
      <w:spacing w:after="120"/>
    </w:pPr>
    <w:rPr>
      <w:sz w:val="16"/>
      <w:szCs w:val="16"/>
    </w:rPr>
  </w:style>
  <w:style w:type="paragraph" w:styleId="BodyTextIndent3">
    <w:name w:val="Body Text Indent 3"/>
    <w:basedOn w:val="Normal"/>
    <w:semiHidden/>
    <w:rsid w:val="002E7302"/>
    <w:pPr>
      <w:spacing w:after="120"/>
      <w:ind w:left="360"/>
    </w:pPr>
    <w:rPr>
      <w:sz w:val="16"/>
      <w:szCs w:val="16"/>
    </w:rPr>
  </w:style>
  <w:style w:type="paragraph" w:styleId="PlainText">
    <w:name w:val="Plain Text"/>
    <w:basedOn w:val="Normal"/>
    <w:semiHidden/>
    <w:rsid w:val="002E7302"/>
    <w:rPr>
      <w:rFonts w:ascii="Courier New" w:hAnsi="Courier New" w:cs="Courier New"/>
      <w:sz w:val="20"/>
    </w:rPr>
  </w:style>
  <w:style w:type="table" w:styleId="Table3Deffects1">
    <w:name w:val="Table 3D effects 1"/>
    <w:basedOn w:val="TableNormal"/>
    <w:semiHidden/>
    <w:rsid w:val="002E73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E73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E73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E73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E73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E73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E73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E73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E73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E73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E73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E73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E73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E73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E73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E73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E73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E73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E73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E73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E73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E73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E73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E73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E73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E73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E73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E73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E73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E73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E73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E73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E73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E73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E73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E73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E73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E73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E73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E73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E73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E73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E73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E73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2E7302"/>
    <w:rPr>
      <w:sz w:val="22"/>
      <w:szCs w:val="22"/>
      <w:lang w:val="en-GB"/>
    </w:rPr>
  </w:style>
  <w:style w:type="paragraph" w:customStyle="1" w:styleId="Header4">
    <w:name w:val="Header4"/>
    <w:aliases w:val="Para 4"/>
    <w:basedOn w:val="Normal"/>
    <w:next w:val="Normal"/>
    <w:rsid w:val="002E7302"/>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2E7302"/>
    <w:rPr>
      <w:sz w:val="16"/>
      <w:szCs w:val="16"/>
    </w:rPr>
  </w:style>
  <w:style w:type="paragraph" w:styleId="Subtitle">
    <w:name w:val="Subtitle"/>
    <w:basedOn w:val="Normal"/>
    <w:qFormat/>
    <w:rsid w:val="002E7302"/>
    <w:pPr>
      <w:spacing w:after="60"/>
      <w:jc w:val="center"/>
      <w:outlineLvl w:val="1"/>
    </w:pPr>
    <w:rPr>
      <w:rFonts w:ascii="Arial" w:hAnsi="Arial" w:cs="Arial"/>
    </w:rPr>
  </w:style>
  <w:style w:type="paragraph" w:styleId="Title">
    <w:name w:val="Title"/>
    <w:basedOn w:val="Normal"/>
    <w:qFormat/>
    <w:rsid w:val="002E7302"/>
    <w:pPr>
      <w:spacing w:before="240" w:after="60"/>
      <w:jc w:val="center"/>
      <w:outlineLvl w:val="0"/>
    </w:pPr>
    <w:rPr>
      <w:rFonts w:ascii="Arial" w:hAnsi="Arial" w:cs="Arial"/>
      <w:b/>
      <w:bCs/>
      <w:kern w:val="28"/>
    </w:rPr>
  </w:style>
  <w:style w:type="paragraph" w:styleId="Date">
    <w:name w:val="Date"/>
    <w:basedOn w:val="Normal"/>
    <w:next w:val="Normal"/>
    <w:rsid w:val="002E7302"/>
  </w:style>
  <w:style w:type="character" w:styleId="PlaceholderText">
    <w:name w:val="Placeholder Text"/>
    <w:basedOn w:val="DefaultParagraphFont"/>
    <w:uiPriority w:val="99"/>
    <w:semiHidden/>
    <w:rsid w:val="002E7302"/>
    <w:rPr>
      <w:color w:val="808080"/>
    </w:rPr>
  </w:style>
  <w:style w:type="paragraph" w:styleId="BalloonText">
    <w:name w:val="Balloon Text"/>
    <w:basedOn w:val="Normal"/>
    <w:link w:val="BalloonTextChar"/>
    <w:uiPriority w:val="99"/>
    <w:semiHidden/>
    <w:unhideWhenUsed/>
    <w:rsid w:val="002E7302"/>
    <w:rPr>
      <w:rFonts w:ascii="Tahoma" w:hAnsi="Tahoma" w:cs="Tahoma"/>
      <w:sz w:val="16"/>
      <w:szCs w:val="16"/>
    </w:rPr>
  </w:style>
  <w:style w:type="character" w:customStyle="1" w:styleId="BalloonTextChar">
    <w:name w:val="Balloon Text Char"/>
    <w:basedOn w:val="DefaultParagraphFont"/>
    <w:link w:val="BalloonText"/>
    <w:uiPriority w:val="99"/>
    <w:semiHidden/>
    <w:rsid w:val="002E7302"/>
    <w:rPr>
      <w:rFonts w:ascii="Tahoma" w:hAnsi="Tahoma" w:cs="Tahoma"/>
      <w:sz w:val="16"/>
      <w:szCs w:val="16"/>
      <w:lang w:val="en-GB"/>
    </w:rPr>
  </w:style>
  <w:style w:type="paragraph" w:styleId="CommentText">
    <w:name w:val="annotation text"/>
    <w:basedOn w:val="Normal"/>
    <w:link w:val="CommentTextChar"/>
    <w:uiPriority w:val="99"/>
    <w:semiHidden/>
    <w:unhideWhenUsed/>
    <w:rsid w:val="002E7302"/>
    <w:rPr>
      <w:sz w:val="20"/>
      <w:szCs w:val="20"/>
    </w:rPr>
  </w:style>
  <w:style w:type="character" w:customStyle="1" w:styleId="CommentTextChar">
    <w:name w:val="Comment Text Char"/>
    <w:basedOn w:val="DefaultParagraphFont"/>
    <w:link w:val="CommentText"/>
    <w:uiPriority w:val="99"/>
    <w:semiHidden/>
    <w:rsid w:val="002E7302"/>
    <w:rPr>
      <w:lang w:val="en-GB"/>
    </w:rPr>
  </w:style>
  <w:style w:type="paragraph" w:styleId="CommentSubject">
    <w:name w:val="annotation subject"/>
    <w:basedOn w:val="CommentText"/>
    <w:next w:val="CommentText"/>
    <w:link w:val="CommentSubjectChar"/>
    <w:uiPriority w:val="99"/>
    <w:semiHidden/>
    <w:unhideWhenUsed/>
    <w:rsid w:val="002E7302"/>
    <w:rPr>
      <w:b/>
      <w:bCs/>
    </w:rPr>
  </w:style>
  <w:style w:type="character" w:customStyle="1" w:styleId="CommentSubjectChar">
    <w:name w:val="Comment Subject Char"/>
    <w:basedOn w:val="CommentTextChar"/>
    <w:link w:val="CommentSubject"/>
    <w:uiPriority w:val="99"/>
    <w:semiHidden/>
    <w:rsid w:val="002E7302"/>
    <w:rPr>
      <w:b/>
      <w:bCs/>
      <w:lang w:val="en-GB"/>
    </w:rPr>
  </w:style>
  <w:style w:type="paragraph" w:customStyle="1" w:styleId="StyleHeader4Para4Left0Firstline0">
    <w:name w:val="Style Header4Para 4 + Left:  0&quot; First line:  0&quot;"/>
    <w:basedOn w:val="Header4"/>
    <w:rsid w:val="002E7302"/>
    <w:pPr>
      <w:ind w:left="0" w:firstLine="0"/>
    </w:pPr>
    <w:rPr>
      <w:sz w:val="20"/>
    </w:rPr>
  </w:style>
  <w:style w:type="paragraph" w:styleId="ListParagraph">
    <w:name w:val="List Paragraph"/>
    <w:basedOn w:val="Normal"/>
    <w:link w:val="ListParagraphChar"/>
    <w:uiPriority w:val="34"/>
    <w:qFormat/>
    <w:rsid w:val="00A03045"/>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03045"/>
    <w:rPr>
      <w:sz w:val="22"/>
      <w:szCs w:val="22"/>
      <w:lang w:val="en-GB"/>
    </w:rPr>
  </w:style>
  <w:style w:type="character" w:customStyle="1" w:styleId="ListParagraphChar">
    <w:name w:val="List Paragraph Char"/>
    <w:basedOn w:val="DefaultParagraphFont"/>
    <w:link w:val="ListParagraph"/>
    <w:uiPriority w:val="34"/>
    <w:rsid w:val="00A03045"/>
    <w:rPr>
      <w:sz w:val="22"/>
      <w:szCs w:val="22"/>
      <w:lang w:val="en-GB"/>
    </w:rPr>
  </w:style>
  <w:style w:type="paragraph" w:customStyle="1" w:styleId="Style1">
    <w:name w:val="Style1"/>
    <w:basedOn w:val="ListParagraph"/>
    <w:link w:val="Style1Char"/>
    <w:qFormat/>
    <w:rsid w:val="00A03045"/>
    <w:pPr>
      <w:numPr>
        <w:numId w:val="11"/>
      </w:numPr>
      <w:spacing w:line="360" w:lineRule="auto"/>
    </w:pPr>
  </w:style>
  <w:style w:type="character" w:customStyle="1" w:styleId="Style1Char">
    <w:name w:val="Style1 Char"/>
    <w:basedOn w:val="ListParagraphChar"/>
    <w:link w:val="Style1"/>
    <w:rsid w:val="00A03045"/>
    <w:rPr>
      <w:sz w:val="22"/>
      <w:szCs w:val="22"/>
      <w:lang w:val="en-GB"/>
    </w:rPr>
  </w:style>
  <w:style w:type="paragraph" w:styleId="FootnoteText">
    <w:name w:val="footnote text"/>
    <w:aliases w:val="Char1,Char1 Char Char,single space,footnote text,Fußnote,Footnote,WB-Fußnotentext,WB-Fußnotentext Char Char,Fußnotentext Char,Footnote Text Char Char Char,Footnote Text Char Char,Geneva 9,Font: Geneva 9,Boston 10,f,fn,FOOTNOTES,otnote Text"/>
    <w:basedOn w:val="Normal"/>
    <w:link w:val="FootnoteTextChar"/>
    <w:uiPriority w:val="99"/>
    <w:unhideWhenUsed/>
    <w:qFormat/>
    <w:rsid w:val="00A03045"/>
    <w:rPr>
      <w:sz w:val="20"/>
      <w:szCs w:val="20"/>
    </w:rPr>
  </w:style>
  <w:style w:type="character" w:customStyle="1" w:styleId="FootnoteTextChar">
    <w:name w:val="Footnote Text Char"/>
    <w:aliases w:val="Char1 Char,Char1 Char Char Char,single space Char,footnote text Char,Fußnote Char,Footnote Char,WB-Fußnotentext Char,WB-Fußnotentext Char Char Char,Fußnotentext Char Char,Footnote Text Char Char Char Char,Footnote Text Char Char Char1"/>
    <w:basedOn w:val="DefaultParagraphFont"/>
    <w:link w:val="FootnoteText"/>
    <w:uiPriority w:val="99"/>
    <w:rsid w:val="00A03045"/>
    <w:rPr>
      <w:lang w:val="en-GB"/>
    </w:rPr>
  </w:style>
  <w:style w:type="character" w:styleId="FootnoteReference">
    <w:name w:val="footnote reference"/>
    <w:aliases w:val="ftref,16 Point,Superscript 6 Point,Superscript 6 Point + 11 pt,BVI fnr,BVI fnr Car Car,BVI fnr Car,BVI fnr Car Car Car Car,Footnote text,Footnotes refss,Footnote Reference1,Footnote Reference Number,Footnote Reference_LVL6,fr,number"/>
    <w:basedOn w:val="DefaultParagraphFont"/>
    <w:uiPriority w:val="99"/>
    <w:unhideWhenUsed/>
    <w:rsid w:val="00A03045"/>
    <w:rPr>
      <w:vertAlign w:val="superscript"/>
    </w:rPr>
  </w:style>
  <w:style w:type="paragraph" w:styleId="Revision">
    <w:name w:val="Revision"/>
    <w:hidden/>
    <w:uiPriority w:val="99"/>
    <w:semiHidden/>
    <w:rsid w:val="00A03045"/>
    <w:rPr>
      <w:sz w:val="22"/>
      <w:szCs w:val="22"/>
      <w:lang w:val="en-GB"/>
    </w:rPr>
  </w:style>
  <w:style w:type="paragraph" w:customStyle="1" w:styleId="ListParagraph1">
    <w:name w:val="List Paragraph1"/>
    <w:aliases w:val="Report Para,List Paragraph11,Bullets,bullets,Heading 2_sj,WinDForce-Letter,List Paragraph (numbered (a)),CORE-1.1.1,Numbered Para 1,Dot pt,No Spacing1,List Paragraph Char Char Char,Indicator Text,Bullet 1,Bullet Points"/>
    <w:basedOn w:val="Normal"/>
    <w:uiPriority w:val="99"/>
    <w:qFormat/>
    <w:rsid w:val="00A03045"/>
    <w:pPr>
      <w:spacing w:after="200" w:line="276" w:lineRule="auto"/>
      <w:ind w:left="720"/>
      <w:jc w:val="left"/>
    </w:pPr>
    <w:rPr>
      <w:rFonts w:ascii="Calibri" w:eastAsia="SimSun" w:hAnsi="Calibri" w:cs="Angsana New"/>
      <w:lang w:val="en-US"/>
    </w:rPr>
  </w:style>
  <w:style w:type="table" w:customStyle="1" w:styleId="TableGrid10">
    <w:name w:val="Table Grid1"/>
    <w:basedOn w:val="TableNormal"/>
    <w:next w:val="TableGrid"/>
    <w:uiPriority w:val="59"/>
    <w:rsid w:val="00A0304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A03045"/>
    <w:rPr>
      <w:sz w:val="22"/>
      <w:szCs w:val="22"/>
      <w:lang w:val="en-GB"/>
    </w:rPr>
  </w:style>
  <w:style w:type="paragraph" w:styleId="EndnoteText">
    <w:name w:val="endnote text"/>
    <w:basedOn w:val="Normal"/>
    <w:link w:val="EndnoteTextChar"/>
    <w:uiPriority w:val="99"/>
    <w:semiHidden/>
    <w:unhideWhenUsed/>
    <w:rsid w:val="00A03045"/>
    <w:rPr>
      <w:sz w:val="20"/>
      <w:szCs w:val="20"/>
    </w:rPr>
  </w:style>
  <w:style w:type="character" w:customStyle="1" w:styleId="EndnoteTextChar">
    <w:name w:val="Endnote Text Char"/>
    <w:basedOn w:val="DefaultParagraphFont"/>
    <w:link w:val="EndnoteText"/>
    <w:uiPriority w:val="99"/>
    <w:semiHidden/>
    <w:rsid w:val="00A03045"/>
    <w:rPr>
      <w:lang w:val="en-GB"/>
    </w:rPr>
  </w:style>
  <w:style w:type="character" w:styleId="EndnoteReference">
    <w:name w:val="endnote reference"/>
    <w:basedOn w:val="DefaultParagraphFont"/>
    <w:uiPriority w:val="99"/>
    <w:semiHidden/>
    <w:unhideWhenUsed/>
    <w:rsid w:val="00A03045"/>
    <w:rPr>
      <w:vertAlign w:val="superscript"/>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A03045"/>
    <w:rPr>
      <w:sz w:val="22"/>
      <w:szCs w:val="22"/>
      <w:lang w:val="en-GB"/>
    </w:rPr>
  </w:style>
  <w:style w:type="paragraph" w:styleId="ListBullet">
    <w:name w:val="List Bullet"/>
    <w:basedOn w:val="Normal"/>
    <w:autoRedefine/>
    <w:semiHidden/>
    <w:rsid w:val="00F3032E"/>
    <w:pPr>
      <w:numPr>
        <w:numId w:val="15"/>
      </w:numPr>
    </w:pPr>
  </w:style>
  <w:style w:type="character" w:styleId="Hyperlink">
    <w:name w:val="Hyperlink"/>
    <w:basedOn w:val="DefaultParagraphFont"/>
    <w:uiPriority w:val="99"/>
    <w:unhideWhenUsed/>
    <w:rsid w:val="00BD6CAF"/>
    <w:rPr>
      <w:color w:val="0000FF" w:themeColor="hyperlink"/>
      <w:u w:val="single"/>
    </w:rPr>
  </w:style>
  <w:style w:type="paragraph" w:styleId="NormalWeb">
    <w:name w:val="Normal (Web)"/>
    <w:basedOn w:val="Normal"/>
    <w:uiPriority w:val="99"/>
    <w:semiHidden/>
    <w:unhideWhenUsed/>
    <w:rsid w:val="00951B97"/>
    <w:pPr>
      <w:spacing w:before="100" w:beforeAutospacing="1" w:after="100" w:afterAutospacing="1"/>
      <w:jc w:val="left"/>
    </w:pPr>
    <w:rPr>
      <w:rFonts w:eastAsiaTheme="minorHAnsi"/>
      <w:sz w:val="24"/>
      <w:szCs w:val="24"/>
      <w:lang w:val="en-US"/>
    </w:rPr>
  </w:style>
  <w:style w:type="character" w:customStyle="1" w:styleId="HeaderChar">
    <w:name w:val="Header Char"/>
    <w:basedOn w:val="DefaultParagraphFont"/>
    <w:link w:val="Header"/>
    <w:rsid w:val="00654CD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3952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Yollande\77\77%20HPMP\Stage%20II\Templates\Eec77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UNEP/OzL.Pro/ExCom/77/58</Document_x0020_Number>
    <DocumentType xmlns="64e33b30-101d-41de-b951-961aab25ea29">Pre-session</DocumentType>
  </documentManagement>
</p:properties>
</file>

<file path=customXml/itemProps1.xml><?xml version="1.0" encoding="utf-8"?>
<ds:datastoreItem xmlns:ds="http://schemas.openxmlformats.org/officeDocument/2006/customXml" ds:itemID="{82EF9E46-63F3-442F-94D0-7CCBC732D0E4}"/>
</file>

<file path=customXml/itemProps2.xml><?xml version="1.0" encoding="utf-8"?>
<ds:datastoreItem xmlns:ds="http://schemas.openxmlformats.org/officeDocument/2006/customXml" ds:itemID="{772E35A9-294C-45D0-8FD1-D92FF71DD42B}"/>
</file>

<file path=customXml/itemProps3.xml><?xml version="1.0" encoding="utf-8"?>
<ds:datastoreItem xmlns:ds="http://schemas.openxmlformats.org/officeDocument/2006/customXml" ds:itemID="{0CE71EC6-0626-44EA-AD62-97C259267F29}"/>
</file>

<file path=customXml/itemProps4.xml><?xml version="1.0" encoding="utf-8"?>
<ds:datastoreItem xmlns:ds="http://schemas.openxmlformats.org/officeDocument/2006/customXml" ds:itemID="{ED317F49-634F-4DF2-BC47-ED22172DA993}"/>
</file>

<file path=docProps/app.xml><?xml version="1.0" encoding="utf-8"?>
<Properties xmlns="http://schemas.openxmlformats.org/officeDocument/2006/extended-properties" xmlns:vt="http://schemas.openxmlformats.org/officeDocument/2006/docPropsVTypes">
  <Template>Eec777G</Template>
  <TotalTime>294</TotalTime>
  <Pages>16</Pages>
  <Words>5736</Words>
  <Characters>30716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Project proposal: Republic of Moldova</vt:lpstr>
    </vt:vector>
  </TitlesOfParts>
  <Company/>
  <LinksUpToDate>false</LinksUpToDate>
  <CharactersWithSpaces>36380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Republic of Moldova</dc:title>
  <dc:subject>UNEP/OzL.Pro/ExCom/77/58</dc:subject>
  <dc:creator/>
  <cp:lastModifiedBy>Nanette Guerin</cp:lastModifiedBy>
  <cp:revision>26</cp:revision>
  <cp:lastPrinted>2016-11-05T00:45:00Z</cp:lastPrinted>
  <dcterms:created xsi:type="dcterms:W3CDTF">2016-11-03T21:17:00Z</dcterms:created>
  <dcterms:modified xsi:type="dcterms:W3CDTF">2016-11-05T00:48:00Z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UNEP/OzL.Pro/ExCom/77/58</vt:lpwstr>
  </property>
  <property fmtid="{D5CDD505-2E9C-101B-9397-08002B2CF9AE}" pid="3" name="Revision date">
    <vt:lpwstr>09/22/2016</vt:lpwstr>
  </property>
  <property fmtid="{D5CDD505-2E9C-101B-9397-08002B2CF9AE}" pid="4" name="ContentTypeId">
    <vt:lpwstr>0x010100F409F5B17BF82F4083D32896D3516BC1</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