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RPr="00572436" w:rsidTr="00C43337">
        <w:trPr>
          <w:trHeight w:val="720"/>
        </w:trPr>
        <w:tc>
          <w:tcPr>
            <w:tcW w:w="5490" w:type="dxa"/>
            <w:gridSpan w:val="2"/>
            <w:tcBorders>
              <w:bottom w:val="single" w:sz="18" w:space="0" w:color="auto"/>
            </w:tcBorders>
          </w:tcPr>
          <w:p w:rsidR="00C15867" w:rsidRPr="00572436" w:rsidRDefault="00C15867" w:rsidP="00C4333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572436">
              <w:rPr>
                <w:rFonts w:ascii="Univers" w:hAnsi="Univers"/>
                <w:b/>
                <w:sz w:val="28"/>
                <w:szCs w:val="28"/>
                <w:lang w:val="en-CA"/>
              </w:rPr>
              <w:t>UNITED</w:t>
            </w:r>
            <w:r w:rsidRPr="00572436">
              <w:rPr>
                <w:rFonts w:ascii="Univers" w:hAnsi="Univers"/>
                <w:b/>
                <w:sz w:val="28"/>
                <w:szCs w:val="28"/>
                <w:lang w:val="en-CA"/>
              </w:rPr>
              <w:br/>
              <w:t>NATIONS</w:t>
            </w:r>
          </w:p>
        </w:tc>
        <w:tc>
          <w:tcPr>
            <w:tcW w:w="4590" w:type="dxa"/>
            <w:tcBorders>
              <w:bottom w:val="single" w:sz="18" w:space="0" w:color="auto"/>
            </w:tcBorders>
          </w:tcPr>
          <w:p w:rsidR="00C15867" w:rsidRPr="00572436" w:rsidRDefault="00C15867" w:rsidP="00C43337">
            <w:pPr>
              <w:jc w:val="right"/>
              <w:rPr>
                <w:sz w:val="52"/>
                <w:szCs w:val="52"/>
                <w:lang w:val="en-CA"/>
              </w:rPr>
            </w:pPr>
            <w:r w:rsidRPr="00572436">
              <w:rPr>
                <w:rFonts w:ascii="Univers Bold" w:hAnsi="Univers Bold"/>
                <w:b/>
                <w:sz w:val="72"/>
                <w:lang w:val="en-CA"/>
              </w:rPr>
              <w:t>EP</w:t>
            </w:r>
          </w:p>
        </w:tc>
      </w:tr>
      <w:tr w:rsidR="00C15867" w:rsidRPr="00572436" w:rsidTr="00C43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572436" w:rsidRDefault="00C15867" w:rsidP="00C43337">
            <w:pPr>
              <w:spacing w:before="120"/>
              <w:rPr>
                <w:lang w:val="en-CA"/>
              </w:rPr>
            </w:pPr>
            <w:r w:rsidRPr="00572436">
              <w:rPr>
                <w:noProof/>
                <w:lang w:val="en-CA" w:eastAsia="en-CA"/>
              </w:rPr>
              <w:drawing>
                <wp:anchor distT="0" distB="0" distL="114300" distR="114300" simplePos="0" relativeHeight="251660288" behindDoc="0" locked="0" layoutInCell="1" allowOverlap="1" wp14:anchorId="7F2903AB" wp14:editId="637EBD3E">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572436">
              <w:rPr>
                <w:noProof/>
                <w:lang w:val="en-CA" w:eastAsia="en-CA"/>
              </w:rPr>
              <w:drawing>
                <wp:anchor distT="0" distB="0" distL="114300" distR="114300" simplePos="0" relativeHeight="251661312" behindDoc="1" locked="0" layoutInCell="0" allowOverlap="1" wp14:anchorId="102ED29C" wp14:editId="6F527167">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Pr="00572436" w:rsidRDefault="00C15867" w:rsidP="00C4333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572436">
              <w:rPr>
                <w:rFonts w:ascii="Univers" w:hAnsi="Univers"/>
                <w:b/>
                <w:sz w:val="32"/>
                <w:lang w:val="en-CA"/>
              </w:rPr>
              <w:t>United Nations</w:t>
            </w:r>
          </w:p>
          <w:p w:rsidR="00C15867" w:rsidRPr="00572436" w:rsidRDefault="00C15867" w:rsidP="00C4333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572436">
              <w:rPr>
                <w:rFonts w:ascii="Univers" w:hAnsi="Univers"/>
                <w:b/>
                <w:sz w:val="32"/>
                <w:lang w:val="en-CA"/>
              </w:rPr>
              <w:t>Environment</w:t>
            </w:r>
          </w:p>
          <w:p w:rsidR="00C15867" w:rsidRPr="00572436" w:rsidRDefault="00C15867" w:rsidP="00C4333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572436">
              <w:rPr>
                <w:rFonts w:ascii="Univers" w:hAnsi="Univers"/>
                <w:b/>
                <w:sz w:val="32"/>
                <w:lang w:val="en-CA"/>
              </w:rPr>
              <w:t>Programme</w:t>
            </w:r>
          </w:p>
          <w:p w:rsidR="00C15867" w:rsidRPr="00572436" w:rsidRDefault="00C15867" w:rsidP="00C43337">
            <w:pPr>
              <w:spacing w:before="720"/>
              <w:ind w:left="158"/>
              <w:rPr>
                <w:lang w:val="en-CA"/>
              </w:rPr>
            </w:pPr>
          </w:p>
        </w:tc>
        <w:tc>
          <w:tcPr>
            <w:tcW w:w="4590" w:type="dxa"/>
            <w:tcBorders>
              <w:top w:val="nil"/>
              <w:left w:val="nil"/>
              <w:bottom w:val="single" w:sz="36" w:space="0" w:color="auto"/>
              <w:right w:val="nil"/>
            </w:tcBorders>
          </w:tcPr>
          <w:p w:rsidR="00C15867" w:rsidRPr="00572436" w:rsidRDefault="00C15867" w:rsidP="00C43337">
            <w:pPr>
              <w:rPr>
                <w:lang w:val="en-CA"/>
              </w:rPr>
            </w:pPr>
            <w:r w:rsidRPr="00572436">
              <w:rPr>
                <w:lang w:val="en-CA"/>
              </w:rPr>
              <w:t>Distr.</w:t>
            </w:r>
          </w:p>
          <w:p w:rsidR="00923540" w:rsidRPr="00572436" w:rsidRDefault="00923540" w:rsidP="00923540">
            <w:pPr>
              <w:rPr>
                <w:lang w:val="en-CA"/>
              </w:rPr>
            </w:pPr>
            <w:r w:rsidRPr="00572436">
              <w:rPr>
                <w:lang w:val="en-CA"/>
              </w:rPr>
              <w:t>GENERAL</w:t>
            </w:r>
          </w:p>
          <w:p w:rsidR="00C15867" w:rsidRPr="00572436" w:rsidRDefault="00C15867" w:rsidP="00C43337">
            <w:pPr>
              <w:rPr>
                <w:lang w:val="en-CA"/>
              </w:rPr>
            </w:pPr>
          </w:p>
          <w:p w:rsidR="00C15867" w:rsidRPr="00572436" w:rsidRDefault="00C15867" w:rsidP="00C43337">
            <w:pPr>
              <w:rPr>
                <w:lang w:val="en-CA"/>
              </w:rPr>
            </w:pPr>
          </w:p>
          <w:p w:rsidR="00C15867" w:rsidRPr="00572436" w:rsidRDefault="001804EA" w:rsidP="00C43337">
            <w:pPr>
              <w:rPr>
                <w:lang w:val="en-CA"/>
              </w:rPr>
            </w:pPr>
            <w:r w:rsidRPr="00572436">
              <w:rPr>
                <w:lang w:val="en-CA"/>
              </w:rPr>
              <w:fldChar w:fldCharType="begin"/>
            </w:r>
            <w:r w:rsidRPr="00572436">
              <w:rPr>
                <w:lang w:val="en-CA"/>
              </w:rPr>
              <w:instrText xml:space="preserve"> DOCPROPERTY "Document number"  \* MERGEFORMAT </w:instrText>
            </w:r>
            <w:r w:rsidRPr="00572436">
              <w:rPr>
                <w:lang w:val="en-CA"/>
              </w:rPr>
              <w:fldChar w:fldCharType="separate"/>
            </w:r>
            <w:r w:rsidR="009E3904">
              <w:rPr>
                <w:lang w:val="en-CA"/>
              </w:rPr>
              <w:t>UNEP/</w:t>
            </w:r>
            <w:proofErr w:type="spellStart"/>
            <w:r w:rsidR="009E3904">
              <w:rPr>
                <w:lang w:val="en-CA"/>
              </w:rPr>
              <w:t>OzL.Pro</w:t>
            </w:r>
            <w:proofErr w:type="spellEnd"/>
            <w:r w:rsidR="009E3904">
              <w:rPr>
                <w:lang w:val="en-CA"/>
              </w:rPr>
              <w:t>/ExCom/77/57</w:t>
            </w:r>
            <w:r w:rsidRPr="00572436">
              <w:rPr>
                <w:lang w:val="en-CA"/>
              </w:rPr>
              <w:fldChar w:fldCharType="end"/>
            </w:r>
          </w:p>
          <w:p w:rsidR="00C15867" w:rsidRPr="00572436" w:rsidRDefault="006F4FDC" w:rsidP="00C43337">
            <w:pPr>
              <w:rPr>
                <w:lang w:val="en-CA"/>
              </w:rPr>
            </w:pPr>
            <w:r>
              <w:rPr>
                <w:lang w:val="en-CA"/>
              </w:rPr>
              <w:fldChar w:fldCharType="begin"/>
            </w:r>
            <w:r>
              <w:rPr>
                <w:lang w:val="en-CA"/>
              </w:rPr>
              <w:instrText xml:space="preserve"> DATE  \@ "d MMMM yyyy"  \* MERGEFORMAT </w:instrText>
            </w:r>
            <w:r>
              <w:rPr>
                <w:lang w:val="en-CA"/>
              </w:rPr>
              <w:fldChar w:fldCharType="separate"/>
            </w:r>
            <w:r w:rsidR="00ED5212">
              <w:rPr>
                <w:noProof/>
                <w:lang w:val="en-CA"/>
              </w:rPr>
              <w:t>1 November 2016</w:t>
            </w:r>
            <w:r>
              <w:rPr>
                <w:lang w:val="en-CA"/>
              </w:rPr>
              <w:fldChar w:fldCharType="end"/>
            </w:r>
          </w:p>
          <w:p w:rsidR="00C15867" w:rsidRPr="00572436" w:rsidRDefault="00C15867" w:rsidP="00C43337">
            <w:pPr>
              <w:rPr>
                <w:caps/>
                <w:lang w:val="en-CA"/>
              </w:rPr>
            </w:pPr>
          </w:p>
          <w:p w:rsidR="00C15867" w:rsidRPr="00572436" w:rsidRDefault="00C15867" w:rsidP="00C43337">
            <w:pPr>
              <w:rPr>
                <w:lang w:val="en-CA"/>
              </w:rPr>
            </w:pPr>
            <w:r w:rsidRPr="00572436">
              <w:rPr>
                <w:lang w:val="en-CA"/>
              </w:rPr>
              <w:t>ORIGINAL: ENGLISH</w:t>
            </w:r>
          </w:p>
        </w:tc>
      </w:tr>
    </w:tbl>
    <w:p w:rsidR="00667244" w:rsidRPr="00572436" w:rsidRDefault="00C15867" w:rsidP="00667244">
      <w:pPr>
        <w:jc w:val="left"/>
        <w:rPr>
          <w:lang w:val="en-CA"/>
        </w:rPr>
      </w:pPr>
      <w:r w:rsidRPr="00572436">
        <w:rPr>
          <w:lang w:val="en-CA"/>
        </w:rPr>
        <w:t>EXECUTIVE COMMITTEE OF</w:t>
      </w:r>
      <w:r w:rsidRPr="00572436">
        <w:rPr>
          <w:lang w:val="en-CA"/>
        </w:rPr>
        <w:br/>
        <w:t xml:space="preserve">  THE MULTILATERAL FUND FOR THE</w:t>
      </w:r>
      <w:r w:rsidRPr="00572436">
        <w:rPr>
          <w:lang w:val="en-CA"/>
        </w:rPr>
        <w:br/>
        <w:t xml:space="preserve">  IMPLEMENTATION OF THE MONTREAL PROTOCOL</w:t>
      </w:r>
      <w:r w:rsidRPr="00572436">
        <w:rPr>
          <w:lang w:val="en-CA"/>
        </w:rPr>
        <w:br/>
      </w:r>
      <w:r w:rsidR="00667244" w:rsidRPr="00572436">
        <w:rPr>
          <w:lang w:val="en-CA"/>
        </w:rPr>
        <w:t>Seventy-</w:t>
      </w:r>
      <w:r w:rsidR="00822233" w:rsidRPr="00572436">
        <w:rPr>
          <w:lang w:val="en-CA"/>
        </w:rPr>
        <w:t>seventh</w:t>
      </w:r>
      <w:r w:rsidR="00667244" w:rsidRPr="00572436">
        <w:rPr>
          <w:lang w:val="en-CA"/>
        </w:rPr>
        <w:t xml:space="preserve"> Meeting</w:t>
      </w:r>
    </w:p>
    <w:p w:rsidR="00667244" w:rsidRPr="00572436" w:rsidRDefault="00667244" w:rsidP="00667244">
      <w:pPr>
        <w:jc w:val="left"/>
        <w:rPr>
          <w:lang w:val="en-CA"/>
        </w:rPr>
      </w:pPr>
      <w:r w:rsidRPr="00572436">
        <w:rPr>
          <w:lang w:val="en-CA"/>
        </w:rPr>
        <w:t xml:space="preserve">Montreal, </w:t>
      </w:r>
      <w:r w:rsidR="00822233" w:rsidRPr="00572436">
        <w:rPr>
          <w:lang w:val="en-CA"/>
        </w:rPr>
        <w:t xml:space="preserve">28 November </w:t>
      </w:r>
      <w:r w:rsidR="00CF246A">
        <w:rPr>
          <w:lang w:val="en-CA"/>
        </w:rPr>
        <w:t xml:space="preserve">– </w:t>
      </w:r>
      <w:r w:rsidR="00822233" w:rsidRPr="00572436">
        <w:rPr>
          <w:lang w:val="en-CA"/>
        </w:rPr>
        <w:t>2 December 2016</w:t>
      </w:r>
    </w:p>
    <w:p w:rsidR="00C15867" w:rsidRPr="00572436" w:rsidRDefault="00C15867" w:rsidP="00667244">
      <w:pPr>
        <w:jc w:val="left"/>
        <w:rPr>
          <w:lang w:val="en-CA"/>
        </w:rPr>
      </w:pPr>
    </w:p>
    <w:p w:rsidR="00C15867" w:rsidRPr="00572436" w:rsidRDefault="00C15867" w:rsidP="00C15867">
      <w:pPr>
        <w:pStyle w:val="Heading3"/>
        <w:spacing w:after="0"/>
        <w:rPr>
          <w:lang w:val="en-CA"/>
        </w:rPr>
      </w:pPr>
    </w:p>
    <w:p w:rsidR="004E7F9C" w:rsidRPr="00572436" w:rsidRDefault="004E7F9C" w:rsidP="00572436">
      <w:pPr>
        <w:pStyle w:val="Heading1"/>
        <w:spacing w:after="0"/>
        <w:rPr>
          <w:lang w:val="en-CA"/>
        </w:rPr>
      </w:pPr>
    </w:p>
    <w:p w:rsidR="00572436" w:rsidRPr="00572436" w:rsidRDefault="00572436" w:rsidP="00572436">
      <w:pPr>
        <w:jc w:val="center"/>
        <w:rPr>
          <w:b/>
          <w:lang w:val="en-CA"/>
        </w:rPr>
      </w:pPr>
      <w:r w:rsidRPr="00572436">
        <w:rPr>
          <w:b/>
          <w:lang w:val="en-CA"/>
        </w:rPr>
        <w:t xml:space="preserve">PROJECT PROPOSAL: </w:t>
      </w:r>
      <w:r w:rsidR="00BE716D">
        <w:rPr>
          <w:b/>
          <w:lang w:val="en-CA"/>
        </w:rPr>
        <w:t xml:space="preserve"> </w:t>
      </w:r>
      <w:r w:rsidR="00B92DC1">
        <w:rPr>
          <w:b/>
          <w:lang w:val="en-CA"/>
        </w:rPr>
        <w:t>PAPUA NEW GUINEA</w:t>
      </w:r>
      <w:r w:rsidR="00AA6ACA" w:rsidRPr="009510BF">
        <w:rPr>
          <w:b/>
          <w:lang w:val="en-CA"/>
        </w:rPr>
        <w:t xml:space="preserve"> </w:t>
      </w:r>
    </w:p>
    <w:p w:rsidR="00572436" w:rsidRPr="00572436" w:rsidRDefault="00572436" w:rsidP="00572436">
      <w:pPr>
        <w:rPr>
          <w:lang w:val="en-CA"/>
        </w:rPr>
      </w:pPr>
    </w:p>
    <w:p w:rsidR="00572436" w:rsidRPr="00572436" w:rsidRDefault="00572436" w:rsidP="00572436">
      <w:pPr>
        <w:rPr>
          <w:lang w:val="en-CA"/>
        </w:rPr>
      </w:pPr>
    </w:p>
    <w:p w:rsidR="00572436" w:rsidRPr="00572436" w:rsidRDefault="00572436" w:rsidP="00572436">
      <w:pPr>
        <w:ind w:firstLine="720"/>
        <w:rPr>
          <w:lang w:val="en-CA"/>
        </w:rPr>
      </w:pPr>
      <w:r w:rsidRPr="00572436">
        <w:rPr>
          <w:lang w:val="en-CA"/>
        </w:rPr>
        <w:t xml:space="preserve">This document consists of the comments and recommendation of the Secretariat on the following project proposal: </w:t>
      </w:r>
    </w:p>
    <w:p w:rsidR="00572436" w:rsidRPr="00572436" w:rsidRDefault="00572436" w:rsidP="00572436">
      <w:pPr>
        <w:rPr>
          <w:lang w:val="en-CA"/>
        </w:rPr>
      </w:pPr>
    </w:p>
    <w:p w:rsidR="00572436" w:rsidRPr="00572436" w:rsidRDefault="00572436" w:rsidP="00572436">
      <w:pPr>
        <w:rPr>
          <w:u w:val="single"/>
          <w:lang w:val="en-CA"/>
        </w:rPr>
      </w:pPr>
      <w:r w:rsidRPr="00572436">
        <w:rPr>
          <w:u w:val="single"/>
          <w:lang w:val="en-CA"/>
        </w:rPr>
        <w:t>Phase-out</w:t>
      </w:r>
    </w:p>
    <w:p w:rsidR="00572436" w:rsidRPr="00572436" w:rsidRDefault="00572436" w:rsidP="00572436">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448"/>
      </w:tblGrid>
      <w:tr w:rsidR="00572436" w:rsidRPr="00572436" w:rsidTr="00C43337">
        <w:tc>
          <w:tcPr>
            <w:tcW w:w="7128" w:type="dxa"/>
          </w:tcPr>
          <w:p w:rsidR="00572436" w:rsidRPr="009510BF" w:rsidRDefault="00572436" w:rsidP="009E3904">
            <w:pPr>
              <w:rPr>
                <w:lang w:val="en-CA"/>
              </w:rPr>
            </w:pPr>
            <w:r w:rsidRPr="009510BF">
              <w:rPr>
                <w:lang w:val="en-CA"/>
              </w:rPr>
              <w:t>•</w:t>
            </w:r>
            <w:r w:rsidRPr="009510BF">
              <w:rPr>
                <w:lang w:val="en-CA"/>
              </w:rPr>
              <w:tab/>
              <w:t>HCFC phase-out management plan (</w:t>
            </w:r>
            <w:r w:rsidR="009E3904">
              <w:rPr>
                <w:lang w:val="en-CA"/>
              </w:rPr>
              <w:t>t</w:t>
            </w:r>
            <w:r w:rsidR="00D87E7A">
              <w:rPr>
                <w:lang w:val="en-CA"/>
              </w:rPr>
              <w:t>hird</w:t>
            </w:r>
            <w:r w:rsidRPr="009510BF">
              <w:rPr>
                <w:lang w:val="en-CA"/>
              </w:rPr>
              <w:t xml:space="preserve"> tranche)</w:t>
            </w:r>
          </w:p>
        </w:tc>
        <w:tc>
          <w:tcPr>
            <w:tcW w:w="2448" w:type="dxa"/>
          </w:tcPr>
          <w:p w:rsidR="00572436" w:rsidRPr="009510BF" w:rsidRDefault="00E23C3F" w:rsidP="00BE716D">
            <w:pPr>
              <w:jc w:val="right"/>
              <w:rPr>
                <w:lang w:val="en-CA"/>
              </w:rPr>
            </w:pPr>
            <w:r>
              <w:rPr>
                <w:lang w:val="en-CA"/>
              </w:rPr>
              <w:t>Germany</w:t>
            </w:r>
          </w:p>
        </w:tc>
      </w:tr>
    </w:tbl>
    <w:p w:rsidR="00572436" w:rsidRPr="00572436" w:rsidRDefault="00572436" w:rsidP="00572436">
      <w:pPr>
        <w:pStyle w:val="Title1"/>
        <w:rPr>
          <w:lang w:val="en-CA"/>
        </w:rPr>
      </w:pPr>
    </w:p>
    <w:p w:rsidR="00572436" w:rsidRPr="00572436" w:rsidRDefault="00572436" w:rsidP="00572436">
      <w:pPr>
        <w:pStyle w:val="Heading1"/>
        <w:rPr>
          <w:lang w:val="en-CA"/>
        </w:rPr>
      </w:pPr>
    </w:p>
    <w:p w:rsidR="00572436" w:rsidRPr="00572436" w:rsidRDefault="00572436" w:rsidP="00572436">
      <w:pPr>
        <w:pStyle w:val="StyleHeader4Para4Left0Firstline0"/>
        <w:numPr>
          <w:ilvl w:val="0"/>
          <w:numId w:val="0"/>
        </w:numPr>
        <w:rPr>
          <w:lang w:val="en-CA"/>
        </w:rPr>
      </w:pPr>
    </w:p>
    <w:p w:rsidR="00572436" w:rsidRPr="00572436" w:rsidRDefault="00572436" w:rsidP="00572436">
      <w:pPr>
        <w:pStyle w:val="StyleHeader4Para4Left0Firstline0"/>
        <w:numPr>
          <w:ilvl w:val="0"/>
          <w:numId w:val="0"/>
        </w:numPr>
        <w:rPr>
          <w:lang w:val="en-CA"/>
        </w:rPr>
      </w:pPr>
      <w:r w:rsidRPr="00572436">
        <w:rPr>
          <w:lang w:val="en-CA"/>
        </w:rPr>
        <w:br w:type="page"/>
      </w:r>
    </w:p>
    <w:p w:rsidR="00572436" w:rsidRPr="00572436" w:rsidRDefault="00572436" w:rsidP="00572436">
      <w:pPr>
        <w:jc w:val="center"/>
        <w:rPr>
          <w:b/>
          <w:lang w:val="en-CA"/>
        </w:rPr>
      </w:pPr>
      <w:r w:rsidRPr="00572436">
        <w:rPr>
          <w:b/>
          <w:lang w:val="en-CA"/>
        </w:rPr>
        <w:lastRenderedPageBreak/>
        <w:t>PROJECT EVALUATION SHEET – MULTI-YEAR PROJECTS</w:t>
      </w:r>
    </w:p>
    <w:p w:rsidR="00572436" w:rsidRPr="00572436" w:rsidRDefault="00572436" w:rsidP="00572436">
      <w:pPr>
        <w:jc w:val="center"/>
        <w:rPr>
          <w:b/>
          <w:lang w:val="en-CA"/>
        </w:rPr>
      </w:pPr>
    </w:p>
    <w:p w:rsidR="00572436" w:rsidRPr="00AA6ACA" w:rsidRDefault="00E23C3F" w:rsidP="00572436">
      <w:pPr>
        <w:jc w:val="center"/>
        <w:rPr>
          <w:b/>
          <w:lang w:val="en-CA"/>
        </w:rPr>
      </w:pPr>
      <w:r>
        <w:rPr>
          <w:b/>
          <w:lang w:val="en-CA"/>
        </w:rPr>
        <w:t>Papua New Guinea</w:t>
      </w:r>
    </w:p>
    <w:p w:rsidR="00572436" w:rsidRPr="00572436" w:rsidRDefault="00572436" w:rsidP="00572436">
      <w:pPr>
        <w:jc w:val="center"/>
        <w:rPr>
          <w:lang w:val="en-CA"/>
        </w:rPr>
      </w:pPr>
    </w:p>
    <w:tbl>
      <w:tblPr>
        <w:tblStyle w:val="TableGrid10"/>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380"/>
        <w:gridCol w:w="2360"/>
        <w:gridCol w:w="2434"/>
        <w:gridCol w:w="2402"/>
      </w:tblGrid>
      <w:tr w:rsidR="008A09B9" w:rsidRPr="0000272B" w:rsidTr="00B473DC">
        <w:trPr>
          <w:trHeight w:val="273"/>
        </w:trPr>
        <w:tc>
          <w:tcPr>
            <w:tcW w:w="1243" w:type="pct"/>
            <w:shd w:val="clear" w:color="auto" w:fill="auto"/>
          </w:tcPr>
          <w:p w:rsidR="008A09B9" w:rsidRPr="0000272B" w:rsidRDefault="008A09B9" w:rsidP="00ED28FA">
            <w:pPr>
              <w:spacing w:after="80"/>
              <w:jc w:val="left"/>
              <w:rPr>
                <w:rFonts w:ascii="Times New Roman" w:hAnsi="Times New Roman"/>
                <w:b/>
                <w:sz w:val="16"/>
                <w:szCs w:val="16"/>
                <w:lang w:val="en-CA"/>
              </w:rPr>
            </w:pPr>
            <w:r w:rsidRPr="0000272B">
              <w:rPr>
                <w:rFonts w:ascii="Times New Roman" w:hAnsi="Times New Roman"/>
                <w:b/>
                <w:sz w:val="16"/>
                <w:szCs w:val="16"/>
                <w:lang w:val="en-CA"/>
              </w:rPr>
              <w:t>(I) PROJECT TITLE</w:t>
            </w:r>
          </w:p>
        </w:tc>
        <w:tc>
          <w:tcPr>
            <w:tcW w:w="1232" w:type="pct"/>
            <w:shd w:val="clear" w:color="auto" w:fill="auto"/>
          </w:tcPr>
          <w:p w:rsidR="008A09B9" w:rsidRPr="0000272B" w:rsidRDefault="008A09B9" w:rsidP="00ED28FA">
            <w:pPr>
              <w:spacing w:after="80"/>
              <w:jc w:val="center"/>
              <w:rPr>
                <w:rFonts w:ascii="Times New Roman" w:hAnsi="Times New Roman"/>
                <w:b/>
                <w:sz w:val="16"/>
                <w:szCs w:val="16"/>
                <w:lang w:val="en-CA"/>
              </w:rPr>
            </w:pPr>
            <w:r w:rsidRPr="0000272B">
              <w:rPr>
                <w:rFonts w:ascii="Times New Roman" w:hAnsi="Times New Roman"/>
                <w:b/>
                <w:sz w:val="16"/>
                <w:szCs w:val="16"/>
                <w:lang w:val="en-CA"/>
              </w:rPr>
              <w:t>AGENCY</w:t>
            </w:r>
          </w:p>
        </w:tc>
        <w:tc>
          <w:tcPr>
            <w:tcW w:w="1271" w:type="pct"/>
            <w:shd w:val="clear" w:color="auto" w:fill="auto"/>
          </w:tcPr>
          <w:p w:rsidR="008A09B9" w:rsidRPr="0000272B" w:rsidRDefault="008A09B9" w:rsidP="00ED28FA">
            <w:pPr>
              <w:spacing w:after="80"/>
              <w:jc w:val="center"/>
              <w:rPr>
                <w:rFonts w:ascii="Times New Roman" w:hAnsi="Times New Roman"/>
                <w:b/>
                <w:sz w:val="16"/>
                <w:szCs w:val="16"/>
                <w:lang w:val="en-CA"/>
              </w:rPr>
            </w:pPr>
            <w:r w:rsidRPr="0000272B">
              <w:rPr>
                <w:rFonts w:ascii="Times New Roman" w:hAnsi="Times New Roman"/>
                <w:b/>
                <w:sz w:val="16"/>
                <w:szCs w:val="16"/>
                <w:lang w:val="en-CA"/>
              </w:rPr>
              <w:t>MEETING APPROVED</w:t>
            </w:r>
          </w:p>
        </w:tc>
        <w:tc>
          <w:tcPr>
            <w:tcW w:w="1254" w:type="pct"/>
            <w:shd w:val="clear" w:color="auto" w:fill="auto"/>
          </w:tcPr>
          <w:p w:rsidR="008A09B9" w:rsidRPr="0000272B" w:rsidRDefault="008A09B9" w:rsidP="00ED28FA">
            <w:pPr>
              <w:spacing w:after="80"/>
              <w:jc w:val="center"/>
              <w:rPr>
                <w:rFonts w:ascii="Times New Roman" w:hAnsi="Times New Roman"/>
                <w:b/>
                <w:sz w:val="16"/>
                <w:szCs w:val="16"/>
                <w:lang w:val="en-CA"/>
              </w:rPr>
            </w:pPr>
            <w:r w:rsidRPr="0000272B">
              <w:rPr>
                <w:rFonts w:ascii="Times New Roman" w:hAnsi="Times New Roman"/>
                <w:b/>
                <w:sz w:val="16"/>
                <w:szCs w:val="16"/>
                <w:lang w:val="en-CA"/>
              </w:rPr>
              <w:t>CONTROL MEASURE</w:t>
            </w:r>
          </w:p>
        </w:tc>
      </w:tr>
      <w:tr w:rsidR="008A09B9" w:rsidRPr="0000272B" w:rsidTr="00B473DC">
        <w:trPr>
          <w:trHeight w:val="273"/>
        </w:trPr>
        <w:tc>
          <w:tcPr>
            <w:tcW w:w="1243" w:type="pct"/>
            <w:shd w:val="clear" w:color="auto" w:fill="auto"/>
          </w:tcPr>
          <w:p w:rsidR="008A09B9" w:rsidRPr="0000272B" w:rsidRDefault="008A09B9" w:rsidP="00ED28FA">
            <w:pPr>
              <w:spacing w:after="80"/>
              <w:jc w:val="center"/>
              <w:rPr>
                <w:rFonts w:ascii="Times New Roman" w:hAnsi="Times New Roman"/>
                <w:sz w:val="16"/>
                <w:szCs w:val="16"/>
                <w:lang w:val="en-CA"/>
              </w:rPr>
            </w:pPr>
            <w:r w:rsidRPr="0000272B">
              <w:rPr>
                <w:rFonts w:ascii="Times New Roman" w:hAnsi="Times New Roman"/>
                <w:sz w:val="16"/>
                <w:szCs w:val="16"/>
                <w:lang w:val="en-CA"/>
              </w:rPr>
              <w:t>HCFC phase out plan (Stage I)</w:t>
            </w:r>
          </w:p>
        </w:tc>
        <w:tc>
          <w:tcPr>
            <w:tcW w:w="1232" w:type="pct"/>
            <w:shd w:val="clear" w:color="auto" w:fill="auto"/>
          </w:tcPr>
          <w:p w:rsidR="008A09B9" w:rsidRPr="0000272B" w:rsidRDefault="008A09B9" w:rsidP="00ED28FA">
            <w:pPr>
              <w:spacing w:after="80"/>
              <w:jc w:val="center"/>
              <w:rPr>
                <w:rFonts w:ascii="Times New Roman" w:hAnsi="Times New Roman"/>
                <w:sz w:val="16"/>
                <w:szCs w:val="16"/>
                <w:lang w:val="en-CA"/>
              </w:rPr>
            </w:pPr>
            <w:r w:rsidRPr="0000272B">
              <w:rPr>
                <w:rFonts w:ascii="Times New Roman" w:hAnsi="Times New Roman"/>
                <w:sz w:val="16"/>
                <w:szCs w:val="16"/>
                <w:lang w:val="en-CA"/>
              </w:rPr>
              <w:t>Germany (lead)</w:t>
            </w:r>
          </w:p>
        </w:tc>
        <w:tc>
          <w:tcPr>
            <w:tcW w:w="1271" w:type="pct"/>
            <w:shd w:val="clear" w:color="auto" w:fill="auto"/>
          </w:tcPr>
          <w:p w:rsidR="008A09B9" w:rsidRPr="0000272B" w:rsidRDefault="008A09B9" w:rsidP="00ED28FA">
            <w:pPr>
              <w:spacing w:after="80"/>
              <w:jc w:val="center"/>
              <w:rPr>
                <w:rFonts w:ascii="Times New Roman" w:hAnsi="Times New Roman"/>
                <w:sz w:val="16"/>
                <w:szCs w:val="16"/>
                <w:lang w:val="en-CA"/>
              </w:rPr>
            </w:pPr>
            <w:r w:rsidRPr="0000272B">
              <w:rPr>
                <w:rFonts w:ascii="Times New Roman" w:hAnsi="Times New Roman"/>
                <w:sz w:val="16"/>
                <w:szCs w:val="16"/>
                <w:lang w:val="en-CA"/>
              </w:rPr>
              <w:t>63</w:t>
            </w:r>
            <w:r w:rsidRPr="0000272B">
              <w:rPr>
                <w:rFonts w:ascii="Times New Roman" w:hAnsi="Times New Roman"/>
                <w:sz w:val="16"/>
                <w:szCs w:val="16"/>
                <w:vertAlign w:val="superscript"/>
                <w:lang w:val="en-CA"/>
              </w:rPr>
              <w:t>rd</w:t>
            </w:r>
          </w:p>
        </w:tc>
        <w:tc>
          <w:tcPr>
            <w:tcW w:w="1254" w:type="pct"/>
            <w:shd w:val="clear" w:color="auto" w:fill="auto"/>
          </w:tcPr>
          <w:p w:rsidR="008A09B9" w:rsidRPr="0000272B" w:rsidRDefault="008A09B9" w:rsidP="00ED28FA">
            <w:pPr>
              <w:spacing w:after="80"/>
              <w:jc w:val="center"/>
              <w:rPr>
                <w:rFonts w:ascii="Times New Roman" w:hAnsi="Times New Roman"/>
                <w:sz w:val="16"/>
                <w:szCs w:val="16"/>
                <w:lang w:val="en-CA"/>
              </w:rPr>
            </w:pPr>
            <w:r w:rsidRPr="0000272B">
              <w:rPr>
                <w:rFonts w:ascii="Times New Roman" w:hAnsi="Times New Roman"/>
                <w:sz w:val="16"/>
                <w:szCs w:val="16"/>
                <w:lang w:val="en-CA"/>
              </w:rPr>
              <w:t>Total by 2025</w:t>
            </w:r>
          </w:p>
        </w:tc>
      </w:tr>
    </w:tbl>
    <w:p w:rsidR="008A09B9" w:rsidRPr="00ED3DC2" w:rsidRDefault="008A09B9" w:rsidP="008A09B9">
      <w:pPr>
        <w:spacing w:after="60" w:line="276" w:lineRule="auto"/>
        <w:jc w:val="center"/>
        <w:rPr>
          <w:rFonts w:eastAsia="Calibri"/>
          <w:sz w:val="18"/>
          <w:szCs w:val="18"/>
          <w:lang w:val="en-CA"/>
        </w:rPr>
      </w:pPr>
    </w:p>
    <w:tbl>
      <w:tblPr>
        <w:tblStyle w:val="TableGrid10"/>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980"/>
        <w:gridCol w:w="2298"/>
        <w:gridCol w:w="2298"/>
      </w:tblGrid>
      <w:tr w:rsidR="008A09B9" w:rsidRPr="0000272B" w:rsidTr="0000272B">
        <w:trPr>
          <w:trHeight w:val="269"/>
        </w:trPr>
        <w:tc>
          <w:tcPr>
            <w:tcW w:w="2600" w:type="pct"/>
            <w:shd w:val="clear" w:color="auto" w:fill="auto"/>
          </w:tcPr>
          <w:p w:rsidR="008A09B9" w:rsidRPr="0000272B" w:rsidRDefault="008A09B9" w:rsidP="00ED28FA">
            <w:pPr>
              <w:spacing w:after="60"/>
              <w:jc w:val="left"/>
              <w:rPr>
                <w:rFonts w:ascii="Times New Roman" w:hAnsi="Times New Roman"/>
                <w:b/>
                <w:sz w:val="16"/>
                <w:szCs w:val="16"/>
                <w:lang w:val="en-CA"/>
              </w:rPr>
            </w:pPr>
            <w:r w:rsidRPr="0000272B">
              <w:rPr>
                <w:rFonts w:ascii="Times New Roman" w:hAnsi="Times New Roman"/>
                <w:b/>
                <w:sz w:val="16"/>
                <w:szCs w:val="16"/>
                <w:lang w:val="en-CA"/>
              </w:rPr>
              <w:t>(II) LATEST ARTICLE 7 DATA (Annex C Group l)</w:t>
            </w:r>
          </w:p>
        </w:tc>
        <w:tc>
          <w:tcPr>
            <w:tcW w:w="1200" w:type="pct"/>
            <w:shd w:val="clear" w:color="auto" w:fill="auto"/>
          </w:tcPr>
          <w:p w:rsidR="008A09B9" w:rsidRPr="0000272B" w:rsidRDefault="008A09B9" w:rsidP="00ED28FA">
            <w:pPr>
              <w:spacing w:after="60"/>
              <w:jc w:val="center"/>
              <w:rPr>
                <w:rFonts w:ascii="Times New Roman" w:hAnsi="Times New Roman"/>
                <w:sz w:val="16"/>
                <w:szCs w:val="16"/>
                <w:lang w:val="en-CA"/>
              </w:rPr>
            </w:pPr>
            <w:r w:rsidRPr="0000272B">
              <w:rPr>
                <w:rFonts w:ascii="Times New Roman" w:hAnsi="Times New Roman"/>
                <w:sz w:val="16"/>
                <w:szCs w:val="16"/>
                <w:lang w:val="en-CA"/>
              </w:rPr>
              <w:t>Year: 2015</w:t>
            </w:r>
          </w:p>
        </w:tc>
        <w:tc>
          <w:tcPr>
            <w:tcW w:w="1200" w:type="pct"/>
            <w:shd w:val="clear" w:color="auto" w:fill="auto"/>
          </w:tcPr>
          <w:p w:rsidR="008A09B9" w:rsidRPr="0000272B" w:rsidRDefault="008A09B9"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2.3</w:t>
            </w:r>
            <w:r w:rsidR="009E3904" w:rsidRPr="0000272B">
              <w:rPr>
                <w:rFonts w:ascii="Times New Roman" w:hAnsi="Times New Roman"/>
                <w:sz w:val="16"/>
                <w:szCs w:val="16"/>
                <w:lang w:val="en-CA"/>
              </w:rPr>
              <w:t>2</w:t>
            </w:r>
            <w:r w:rsidRPr="0000272B">
              <w:rPr>
                <w:rFonts w:ascii="Times New Roman" w:hAnsi="Times New Roman"/>
                <w:sz w:val="16"/>
                <w:szCs w:val="16"/>
                <w:lang w:val="en-CA"/>
              </w:rPr>
              <w:t xml:space="preserve"> (ODP tonnes)</w:t>
            </w:r>
          </w:p>
        </w:tc>
      </w:tr>
    </w:tbl>
    <w:p w:rsidR="008A09B9" w:rsidRPr="00ED3DC2" w:rsidRDefault="008A09B9" w:rsidP="008A09B9">
      <w:pPr>
        <w:spacing w:after="60" w:line="276" w:lineRule="auto"/>
        <w:jc w:val="center"/>
        <w:rPr>
          <w:rFonts w:eastAsia="Calibri"/>
          <w:sz w:val="18"/>
          <w:szCs w:val="18"/>
          <w:lang w:val="en-CA"/>
        </w:rPr>
      </w:pPr>
    </w:p>
    <w:tbl>
      <w:tblPr>
        <w:tblStyle w:val="TableGrid10"/>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147"/>
        <w:gridCol w:w="753"/>
        <w:gridCol w:w="601"/>
        <w:gridCol w:w="960"/>
        <w:gridCol w:w="1231"/>
        <w:gridCol w:w="868"/>
        <w:gridCol w:w="735"/>
        <w:gridCol w:w="998"/>
        <w:gridCol w:w="647"/>
        <w:gridCol w:w="1636"/>
      </w:tblGrid>
      <w:tr w:rsidR="008A09B9" w:rsidRPr="0000272B" w:rsidTr="0000272B">
        <w:trPr>
          <w:trHeight w:val="241"/>
        </w:trPr>
        <w:tc>
          <w:tcPr>
            <w:tcW w:w="3808" w:type="pct"/>
            <w:gridSpan w:val="8"/>
            <w:shd w:val="clear" w:color="auto" w:fill="auto"/>
          </w:tcPr>
          <w:p w:rsidR="008A09B9" w:rsidRPr="0000272B" w:rsidRDefault="008A09B9" w:rsidP="00ED28FA">
            <w:pPr>
              <w:spacing w:after="60"/>
              <w:jc w:val="left"/>
              <w:rPr>
                <w:rFonts w:ascii="Times New Roman" w:hAnsi="Times New Roman"/>
                <w:b/>
                <w:sz w:val="16"/>
                <w:szCs w:val="16"/>
                <w:lang w:val="en-CA"/>
              </w:rPr>
            </w:pPr>
            <w:r w:rsidRPr="0000272B">
              <w:rPr>
                <w:rFonts w:ascii="Times New Roman" w:hAnsi="Times New Roman"/>
                <w:b/>
                <w:sz w:val="16"/>
                <w:szCs w:val="16"/>
                <w:lang w:val="en-CA"/>
              </w:rPr>
              <w:t>(III) LATEST COUNTRY PROGRAMME SECTORAL DATA (ODP tonnes)</w:t>
            </w:r>
          </w:p>
        </w:tc>
        <w:tc>
          <w:tcPr>
            <w:tcW w:w="1192" w:type="pct"/>
            <w:gridSpan w:val="2"/>
            <w:shd w:val="clear" w:color="auto" w:fill="auto"/>
          </w:tcPr>
          <w:p w:rsidR="008A09B9" w:rsidRPr="0000272B" w:rsidRDefault="008A09B9" w:rsidP="00ED28FA">
            <w:pPr>
              <w:spacing w:after="60"/>
              <w:jc w:val="right"/>
              <w:rPr>
                <w:rFonts w:ascii="Times New Roman" w:hAnsi="Times New Roman"/>
                <w:b/>
                <w:sz w:val="16"/>
                <w:szCs w:val="16"/>
                <w:lang w:val="en-CA"/>
              </w:rPr>
            </w:pPr>
            <w:r w:rsidRPr="0000272B">
              <w:rPr>
                <w:rFonts w:ascii="Times New Roman" w:hAnsi="Times New Roman"/>
                <w:b/>
                <w:sz w:val="16"/>
                <w:szCs w:val="16"/>
                <w:lang w:val="en-CA"/>
              </w:rPr>
              <w:t>Year: 2015</w:t>
            </w:r>
          </w:p>
        </w:tc>
      </w:tr>
      <w:tr w:rsidR="008A09B9" w:rsidRPr="0000272B" w:rsidTr="0000272B">
        <w:trPr>
          <w:trHeight w:val="241"/>
        </w:trPr>
        <w:tc>
          <w:tcPr>
            <w:tcW w:w="599" w:type="pct"/>
            <w:shd w:val="clear" w:color="auto" w:fill="auto"/>
          </w:tcPr>
          <w:p w:rsidR="008A09B9" w:rsidRPr="0000272B" w:rsidRDefault="008A09B9" w:rsidP="00ED28FA">
            <w:pPr>
              <w:spacing w:after="60"/>
              <w:jc w:val="center"/>
              <w:rPr>
                <w:rFonts w:ascii="Times New Roman" w:hAnsi="Times New Roman"/>
                <w:sz w:val="16"/>
                <w:szCs w:val="16"/>
                <w:lang w:val="en-CA"/>
              </w:rPr>
            </w:pPr>
            <w:r w:rsidRPr="0000272B">
              <w:rPr>
                <w:rFonts w:ascii="Times New Roman" w:hAnsi="Times New Roman"/>
                <w:sz w:val="16"/>
                <w:szCs w:val="16"/>
                <w:lang w:val="en-CA"/>
              </w:rPr>
              <w:t>Chemical</w:t>
            </w:r>
          </w:p>
        </w:tc>
        <w:tc>
          <w:tcPr>
            <w:tcW w:w="393" w:type="pct"/>
            <w:shd w:val="clear" w:color="auto" w:fill="auto"/>
          </w:tcPr>
          <w:p w:rsidR="008A09B9" w:rsidRPr="0000272B" w:rsidRDefault="008A09B9" w:rsidP="00ED28FA">
            <w:pPr>
              <w:spacing w:after="60"/>
              <w:jc w:val="center"/>
              <w:rPr>
                <w:rFonts w:ascii="Times New Roman" w:hAnsi="Times New Roman"/>
                <w:sz w:val="16"/>
                <w:szCs w:val="16"/>
                <w:lang w:val="en-CA"/>
              </w:rPr>
            </w:pPr>
            <w:r w:rsidRPr="0000272B">
              <w:rPr>
                <w:rFonts w:ascii="Times New Roman" w:hAnsi="Times New Roman"/>
                <w:sz w:val="16"/>
                <w:szCs w:val="16"/>
                <w:lang w:val="en-CA"/>
              </w:rPr>
              <w:t>Aerosol</w:t>
            </w:r>
          </w:p>
        </w:tc>
        <w:tc>
          <w:tcPr>
            <w:tcW w:w="314" w:type="pct"/>
            <w:shd w:val="clear" w:color="auto" w:fill="auto"/>
          </w:tcPr>
          <w:p w:rsidR="008A09B9" w:rsidRPr="0000272B" w:rsidRDefault="008A09B9" w:rsidP="00ED28FA">
            <w:pPr>
              <w:spacing w:after="60"/>
              <w:jc w:val="center"/>
              <w:rPr>
                <w:rFonts w:ascii="Times New Roman" w:hAnsi="Times New Roman"/>
                <w:sz w:val="16"/>
                <w:szCs w:val="16"/>
                <w:lang w:val="en-CA"/>
              </w:rPr>
            </w:pPr>
            <w:r w:rsidRPr="0000272B">
              <w:rPr>
                <w:rFonts w:ascii="Times New Roman" w:hAnsi="Times New Roman"/>
                <w:sz w:val="16"/>
                <w:szCs w:val="16"/>
                <w:lang w:val="en-CA"/>
              </w:rPr>
              <w:t>Foam</w:t>
            </w:r>
          </w:p>
        </w:tc>
        <w:tc>
          <w:tcPr>
            <w:tcW w:w="500" w:type="pct"/>
            <w:shd w:val="clear" w:color="auto" w:fill="auto"/>
          </w:tcPr>
          <w:p w:rsidR="008A09B9" w:rsidRPr="0000272B" w:rsidRDefault="008A09B9" w:rsidP="00ED28FA">
            <w:pPr>
              <w:spacing w:after="60"/>
              <w:jc w:val="center"/>
              <w:rPr>
                <w:rFonts w:ascii="Times New Roman" w:hAnsi="Times New Roman"/>
                <w:sz w:val="16"/>
                <w:szCs w:val="16"/>
                <w:lang w:val="en-CA"/>
              </w:rPr>
            </w:pPr>
            <w:r w:rsidRPr="0000272B">
              <w:rPr>
                <w:rFonts w:ascii="Times New Roman" w:hAnsi="Times New Roman"/>
                <w:sz w:val="16"/>
                <w:szCs w:val="16"/>
                <w:lang w:val="en-CA"/>
              </w:rPr>
              <w:t>Fire fighting</w:t>
            </w:r>
          </w:p>
        </w:tc>
        <w:tc>
          <w:tcPr>
            <w:tcW w:w="1096" w:type="pct"/>
            <w:gridSpan w:val="2"/>
            <w:shd w:val="clear" w:color="auto" w:fill="auto"/>
          </w:tcPr>
          <w:p w:rsidR="008A09B9" w:rsidRPr="0000272B" w:rsidRDefault="008A09B9" w:rsidP="00ED28FA">
            <w:pPr>
              <w:spacing w:after="60"/>
              <w:jc w:val="center"/>
              <w:rPr>
                <w:rFonts w:ascii="Times New Roman" w:hAnsi="Times New Roman"/>
                <w:sz w:val="16"/>
                <w:szCs w:val="16"/>
                <w:lang w:val="en-CA"/>
              </w:rPr>
            </w:pPr>
            <w:r w:rsidRPr="0000272B">
              <w:rPr>
                <w:rFonts w:ascii="Times New Roman" w:hAnsi="Times New Roman"/>
                <w:sz w:val="16"/>
                <w:szCs w:val="16"/>
                <w:lang w:val="en-CA"/>
              </w:rPr>
              <w:t>Refrigeration</w:t>
            </w:r>
          </w:p>
        </w:tc>
        <w:tc>
          <w:tcPr>
            <w:tcW w:w="384" w:type="pct"/>
            <w:shd w:val="clear" w:color="auto" w:fill="auto"/>
          </w:tcPr>
          <w:p w:rsidR="008A09B9" w:rsidRPr="0000272B" w:rsidRDefault="008A09B9" w:rsidP="00ED28FA">
            <w:pPr>
              <w:spacing w:after="60"/>
              <w:jc w:val="center"/>
              <w:rPr>
                <w:rFonts w:ascii="Times New Roman" w:hAnsi="Times New Roman"/>
                <w:sz w:val="16"/>
                <w:szCs w:val="16"/>
                <w:lang w:val="en-CA"/>
              </w:rPr>
            </w:pPr>
            <w:r w:rsidRPr="0000272B">
              <w:rPr>
                <w:rFonts w:ascii="Times New Roman" w:hAnsi="Times New Roman"/>
                <w:sz w:val="16"/>
                <w:szCs w:val="16"/>
                <w:lang w:val="en-CA"/>
              </w:rPr>
              <w:t>Solvent</w:t>
            </w:r>
          </w:p>
        </w:tc>
        <w:tc>
          <w:tcPr>
            <w:tcW w:w="521" w:type="pct"/>
            <w:shd w:val="clear" w:color="auto" w:fill="auto"/>
          </w:tcPr>
          <w:p w:rsidR="008A09B9" w:rsidRPr="0000272B" w:rsidRDefault="008A09B9" w:rsidP="00ED28FA">
            <w:pPr>
              <w:spacing w:after="60"/>
              <w:jc w:val="center"/>
              <w:rPr>
                <w:rFonts w:ascii="Times New Roman" w:hAnsi="Times New Roman"/>
                <w:sz w:val="16"/>
                <w:szCs w:val="16"/>
                <w:lang w:val="en-CA"/>
              </w:rPr>
            </w:pPr>
            <w:r w:rsidRPr="0000272B">
              <w:rPr>
                <w:rFonts w:ascii="Times New Roman" w:hAnsi="Times New Roman"/>
                <w:sz w:val="16"/>
                <w:szCs w:val="16"/>
                <w:lang w:val="en-CA"/>
              </w:rPr>
              <w:t>Process agent</w:t>
            </w:r>
          </w:p>
        </w:tc>
        <w:tc>
          <w:tcPr>
            <w:tcW w:w="338" w:type="pct"/>
            <w:shd w:val="clear" w:color="auto" w:fill="auto"/>
          </w:tcPr>
          <w:p w:rsidR="008A09B9" w:rsidRPr="0000272B" w:rsidRDefault="008A09B9" w:rsidP="00ED28FA">
            <w:pPr>
              <w:spacing w:after="60"/>
              <w:jc w:val="center"/>
              <w:rPr>
                <w:rFonts w:ascii="Times New Roman" w:hAnsi="Times New Roman"/>
                <w:sz w:val="16"/>
                <w:szCs w:val="16"/>
                <w:lang w:val="en-CA"/>
              </w:rPr>
            </w:pPr>
            <w:r w:rsidRPr="0000272B">
              <w:rPr>
                <w:rFonts w:ascii="Times New Roman" w:hAnsi="Times New Roman"/>
                <w:sz w:val="16"/>
                <w:szCs w:val="16"/>
                <w:lang w:val="en-CA"/>
              </w:rPr>
              <w:t>Lab use</w:t>
            </w:r>
          </w:p>
        </w:tc>
        <w:tc>
          <w:tcPr>
            <w:tcW w:w="854" w:type="pct"/>
            <w:shd w:val="clear" w:color="auto" w:fill="auto"/>
          </w:tcPr>
          <w:p w:rsidR="008A09B9" w:rsidRPr="0000272B" w:rsidRDefault="008A09B9" w:rsidP="00ED28FA">
            <w:pPr>
              <w:spacing w:after="60"/>
              <w:jc w:val="center"/>
              <w:rPr>
                <w:rFonts w:ascii="Times New Roman" w:hAnsi="Times New Roman"/>
                <w:sz w:val="16"/>
                <w:szCs w:val="16"/>
                <w:lang w:val="en-CA"/>
              </w:rPr>
            </w:pPr>
            <w:r w:rsidRPr="0000272B">
              <w:rPr>
                <w:rFonts w:ascii="Times New Roman" w:hAnsi="Times New Roman"/>
                <w:sz w:val="16"/>
                <w:szCs w:val="16"/>
                <w:lang w:val="en-CA"/>
              </w:rPr>
              <w:t>Total sector consumption</w:t>
            </w:r>
          </w:p>
        </w:tc>
      </w:tr>
      <w:tr w:rsidR="008A09B9" w:rsidRPr="0000272B" w:rsidTr="0000272B">
        <w:trPr>
          <w:trHeight w:val="241"/>
        </w:trPr>
        <w:tc>
          <w:tcPr>
            <w:tcW w:w="1807" w:type="pct"/>
            <w:gridSpan w:val="4"/>
            <w:shd w:val="clear" w:color="auto" w:fill="auto"/>
          </w:tcPr>
          <w:p w:rsidR="008A09B9" w:rsidRPr="0000272B" w:rsidRDefault="008A09B9" w:rsidP="00ED28FA">
            <w:pPr>
              <w:spacing w:after="60"/>
              <w:jc w:val="center"/>
              <w:rPr>
                <w:rFonts w:ascii="Times New Roman" w:hAnsi="Times New Roman"/>
                <w:sz w:val="16"/>
                <w:szCs w:val="16"/>
                <w:lang w:val="en-CA"/>
              </w:rPr>
            </w:pPr>
            <w:r w:rsidRPr="0000272B">
              <w:rPr>
                <w:rFonts w:ascii="Times New Roman" w:hAnsi="Times New Roman"/>
                <w:sz w:val="16"/>
                <w:szCs w:val="16"/>
                <w:lang w:val="en-CA"/>
              </w:rPr>
              <w:t xml:space="preserve"> </w:t>
            </w:r>
          </w:p>
        </w:tc>
        <w:tc>
          <w:tcPr>
            <w:tcW w:w="643" w:type="pct"/>
            <w:shd w:val="clear" w:color="auto" w:fill="auto"/>
          </w:tcPr>
          <w:p w:rsidR="008A09B9" w:rsidRPr="0000272B" w:rsidRDefault="008A09B9" w:rsidP="00ED28FA">
            <w:pPr>
              <w:spacing w:after="60"/>
              <w:jc w:val="center"/>
              <w:rPr>
                <w:rFonts w:ascii="Times New Roman" w:hAnsi="Times New Roman"/>
                <w:sz w:val="16"/>
                <w:szCs w:val="16"/>
                <w:lang w:val="en-CA"/>
              </w:rPr>
            </w:pPr>
            <w:r w:rsidRPr="0000272B">
              <w:rPr>
                <w:rFonts w:ascii="Times New Roman" w:hAnsi="Times New Roman"/>
                <w:sz w:val="16"/>
                <w:szCs w:val="16"/>
                <w:lang w:val="en-CA"/>
              </w:rPr>
              <w:t>Manufacturing</w:t>
            </w:r>
          </w:p>
        </w:tc>
        <w:tc>
          <w:tcPr>
            <w:tcW w:w="453" w:type="pct"/>
            <w:shd w:val="clear" w:color="auto" w:fill="auto"/>
          </w:tcPr>
          <w:p w:rsidR="008A09B9" w:rsidRPr="0000272B" w:rsidRDefault="008A09B9" w:rsidP="00ED28FA">
            <w:pPr>
              <w:spacing w:after="60"/>
              <w:jc w:val="center"/>
              <w:rPr>
                <w:rFonts w:ascii="Times New Roman" w:hAnsi="Times New Roman"/>
                <w:sz w:val="16"/>
                <w:szCs w:val="16"/>
                <w:lang w:val="en-CA"/>
              </w:rPr>
            </w:pPr>
            <w:r w:rsidRPr="0000272B">
              <w:rPr>
                <w:rFonts w:ascii="Times New Roman" w:hAnsi="Times New Roman"/>
                <w:sz w:val="16"/>
                <w:szCs w:val="16"/>
                <w:lang w:val="en-CA"/>
              </w:rPr>
              <w:t>Servicing</w:t>
            </w:r>
          </w:p>
        </w:tc>
        <w:tc>
          <w:tcPr>
            <w:tcW w:w="2097" w:type="pct"/>
            <w:gridSpan w:val="4"/>
            <w:shd w:val="clear" w:color="auto" w:fill="auto"/>
          </w:tcPr>
          <w:p w:rsidR="008A09B9" w:rsidRPr="0000272B" w:rsidRDefault="008A09B9" w:rsidP="00ED28FA">
            <w:pPr>
              <w:spacing w:after="60"/>
              <w:jc w:val="center"/>
              <w:rPr>
                <w:rFonts w:ascii="Times New Roman" w:hAnsi="Times New Roman"/>
                <w:sz w:val="16"/>
                <w:szCs w:val="16"/>
                <w:lang w:val="en-CA"/>
              </w:rPr>
            </w:pPr>
          </w:p>
        </w:tc>
      </w:tr>
      <w:tr w:rsidR="008A09B9" w:rsidRPr="0000272B" w:rsidTr="0000272B">
        <w:trPr>
          <w:trHeight w:val="241"/>
        </w:trPr>
        <w:tc>
          <w:tcPr>
            <w:tcW w:w="599" w:type="pct"/>
            <w:shd w:val="clear" w:color="auto" w:fill="auto"/>
          </w:tcPr>
          <w:p w:rsidR="008A09B9" w:rsidRPr="0000272B" w:rsidRDefault="008A09B9" w:rsidP="00ED28FA">
            <w:pPr>
              <w:spacing w:after="60"/>
              <w:jc w:val="left"/>
              <w:rPr>
                <w:rFonts w:ascii="Times New Roman" w:hAnsi="Times New Roman"/>
                <w:sz w:val="16"/>
                <w:szCs w:val="16"/>
                <w:lang w:val="en-CA"/>
              </w:rPr>
            </w:pPr>
            <w:r w:rsidRPr="0000272B">
              <w:rPr>
                <w:rFonts w:ascii="Times New Roman" w:hAnsi="Times New Roman"/>
                <w:sz w:val="16"/>
                <w:szCs w:val="16"/>
                <w:lang w:val="en-CA"/>
              </w:rPr>
              <w:t>HCFC-123</w:t>
            </w:r>
          </w:p>
        </w:tc>
        <w:tc>
          <w:tcPr>
            <w:tcW w:w="393"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314"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500"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643" w:type="pct"/>
            <w:shd w:val="clear" w:color="auto" w:fill="auto"/>
          </w:tcPr>
          <w:p w:rsidR="008A09B9" w:rsidRPr="0000272B" w:rsidRDefault="00710C3F"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0.0</w:t>
            </w:r>
          </w:p>
        </w:tc>
        <w:tc>
          <w:tcPr>
            <w:tcW w:w="453" w:type="pct"/>
            <w:shd w:val="clear" w:color="auto" w:fill="auto"/>
          </w:tcPr>
          <w:p w:rsidR="008A09B9" w:rsidRPr="0000272B" w:rsidRDefault="00710C3F"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0.0</w:t>
            </w:r>
          </w:p>
        </w:tc>
        <w:tc>
          <w:tcPr>
            <w:tcW w:w="384"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521"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338"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854" w:type="pct"/>
            <w:shd w:val="clear" w:color="auto" w:fill="auto"/>
          </w:tcPr>
          <w:p w:rsidR="008A09B9" w:rsidRPr="0000272B" w:rsidRDefault="00710C3F"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0.0</w:t>
            </w:r>
          </w:p>
        </w:tc>
      </w:tr>
      <w:tr w:rsidR="008A09B9" w:rsidRPr="0000272B" w:rsidTr="0000272B">
        <w:trPr>
          <w:trHeight w:val="241"/>
        </w:trPr>
        <w:tc>
          <w:tcPr>
            <w:tcW w:w="599" w:type="pct"/>
            <w:shd w:val="clear" w:color="auto" w:fill="auto"/>
          </w:tcPr>
          <w:p w:rsidR="008A09B9" w:rsidRPr="0000272B" w:rsidRDefault="008A09B9" w:rsidP="00ED28FA">
            <w:pPr>
              <w:spacing w:after="60"/>
              <w:jc w:val="left"/>
              <w:rPr>
                <w:rFonts w:ascii="Times New Roman" w:hAnsi="Times New Roman"/>
                <w:sz w:val="16"/>
                <w:szCs w:val="16"/>
                <w:lang w:val="en-CA"/>
              </w:rPr>
            </w:pPr>
            <w:r w:rsidRPr="0000272B">
              <w:rPr>
                <w:rFonts w:ascii="Times New Roman" w:hAnsi="Times New Roman"/>
                <w:sz w:val="16"/>
                <w:szCs w:val="16"/>
                <w:lang w:val="en-CA"/>
              </w:rPr>
              <w:t>HCFC-124</w:t>
            </w:r>
          </w:p>
        </w:tc>
        <w:tc>
          <w:tcPr>
            <w:tcW w:w="393"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314"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500"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643" w:type="pct"/>
            <w:shd w:val="clear" w:color="auto" w:fill="auto"/>
          </w:tcPr>
          <w:p w:rsidR="008A09B9" w:rsidRPr="0000272B" w:rsidRDefault="00710C3F"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0.0</w:t>
            </w:r>
          </w:p>
        </w:tc>
        <w:tc>
          <w:tcPr>
            <w:tcW w:w="453" w:type="pct"/>
            <w:shd w:val="clear" w:color="auto" w:fill="auto"/>
          </w:tcPr>
          <w:p w:rsidR="008A09B9" w:rsidRPr="0000272B" w:rsidRDefault="008A09B9"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0.0</w:t>
            </w:r>
          </w:p>
        </w:tc>
        <w:tc>
          <w:tcPr>
            <w:tcW w:w="384"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521"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338"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854" w:type="pct"/>
            <w:shd w:val="clear" w:color="auto" w:fill="auto"/>
          </w:tcPr>
          <w:p w:rsidR="008A09B9" w:rsidRPr="0000272B" w:rsidRDefault="008A09B9"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0.0</w:t>
            </w:r>
          </w:p>
        </w:tc>
      </w:tr>
      <w:tr w:rsidR="008A09B9" w:rsidRPr="0000272B" w:rsidTr="0000272B">
        <w:trPr>
          <w:trHeight w:val="241"/>
        </w:trPr>
        <w:tc>
          <w:tcPr>
            <w:tcW w:w="599" w:type="pct"/>
            <w:shd w:val="clear" w:color="auto" w:fill="auto"/>
          </w:tcPr>
          <w:p w:rsidR="008A09B9" w:rsidRPr="0000272B" w:rsidRDefault="008A09B9" w:rsidP="00ED28FA">
            <w:pPr>
              <w:spacing w:after="60"/>
              <w:jc w:val="left"/>
              <w:rPr>
                <w:rFonts w:ascii="Times New Roman" w:hAnsi="Times New Roman"/>
                <w:sz w:val="16"/>
                <w:szCs w:val="16"/>
                <w:lang w:val="en-CA"/>
              </w:rPr>
            </w:pPr>
            <w:r w:rsidRPr="0000272B">
              <w:rPr>
                <w:rFonts w:ascii="Times New Roman" w:hAnsi="Times New Roman"/>
                <w:sz w:val="16"/>
                <w:szCs w:val="16"/>
                <w:lang w:val="en-CA"/>
              </w:rPr>
              <w:t>HCFC-141b</w:t>
            </w:r>
          </w:p>
        </w:tc>
        <w:tc>
          <w:tcPr>
            <w:tcW w:w="393"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314"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500"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643" w:type="pct"/>
            <w:shd w:val="clear" w:color="auto" w:fill="auto"/>
          </w:tcPr>
          <w:p w:rsidR="008A09B9" w:rsidRPr="0000272B" w:rsidRDefault="00710C3F"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0.0</w:t>
            </w:r>
          </w:p>
        </w:tc>
        <w:tc>
          <w:tcPr>
            <w:tcW w:w="453" w:type="pct"/>
            <w:shd w:val="clear" w:color="auto" w:fill="auto"/>
          </w:tcPr>
          <w:p w:rsidR="008A09B9" w:rsidRPr="0000272B" w:rsidRDefault="00710C3F"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0.0</w:t>
            </w:r>
          </w:p>
        </w:tc>
        <w:tc>
          <w:tcPr>
            <w:tcW w:w="384"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521"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338"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854" w:type="pct"/>
            <w:shd w:val="clear" w:color="auto" w:fill="auto"/>
          </w:tcPr>
          <w:p w:rsidR="008A09B9" w:rsidRPr="0000272B" w:rsidRDefault="00710C3F"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0.0</w:t>
            </w:r>
          </w:p>
        </w:tc>
      </w:tr>
      <w:tr w:rsidR="008A09B9" w:rsidRPr="0000272B" w:rsidTr="0000272B">
        <w:trPr>
          <w:trHeight w:val="241"/>
        </w:trPr>
        <w:tc>
          <w:tcPr>
            <w:tcW w:w="599" w:type="pct"/>
            <w:shd w:val="clear" w:color="auto" w:fill="auto"/>
          </w:tcPr>
          <w:p w:rsidR="008A09B9" w:rsidRPr="0000272B" w:rsidRDefault="008A09B9" w:rsidP="00ED28FA">
            <w:pPr>
              <w:spacing w:after="60"/>
              <w:jc w:val="left"/>
              <w:rPr>
                <w:rFonts w:ascii="Times New Roman" w:hAnsi="Times New Roman"/>
                <w:sz w:val="16"/>
                <w:szCs w:val="16"/>
                <w:lang w:val="en-CA"/>
              </w:rPr>
            </w:pPr>
            <w:r w:rsidRPr="0000272B">
              <w:rPr>
                <w:rFonts w:ascii="Times New Roman" w:hAnsi="Times New Roman"/>
                <w:sz w:val="16"/>
                <w:szCs w:val="16"/>
                <w:lang w:val="en-CA"/>
              </w:rPr>
              <w:t>HCFC-142b</w:t>
            </w:r>
          </w:p>
        </w:tc>
        <w:tc>
          <w:tcPr>
            <w:tcW w:w="393"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314"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500"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643" w:type="pct"/>
            <w:shd w:val="clear" w:color="auto" w:fill="auto"/>
          </w:tcPr>
          <w:p w:rsidR="008A09B9" w:rsidRPr="0000272B" w:rsidRDefault="00710C3F"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0.0</w:t>
            </w:r>
          </w:p>
        </w:tc>
        <w:tc>
          <w:tcPr>
            <w:tcW w:w="453" w:type="pct"/>
            <w:shd w:val="clear" w:color="auto" w:fill="auto"/>
          </w:tcPr>
          <w:p w:rsidR="008A09B9" w:rsidRPr="0000272B" w:rsidRDefault="008A09B9"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0.0</w:t>
            </w:r>
          </w:p>
        </w:tc>
        <w:tc>
          <w:tcPr>
            <w:tcW w:w="384"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521"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338"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854" w:type="pct"/>
            <w:shd w:val="clear" w:color="auto" w:fill="auto"/>
          </w:tcPr>
          <w:p w:rsidR="008A09B9" w:rsidRPr="0000272B" w:rsidRDefault="008A09B9"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0.0</w:t>
            </w:r>
          </w:p>
        </w:tc>
      </w:tr>
      <w:tr w:rsidR="008A09B9" w:rsidRPr="0000272B" w:rsidTr="0000272B">
        <w:trPr>
          <w:trHeight w:val="241"/>
        </w:trPr>
        <w:tc>
          <w:tcPr>
            <w:tcW w:w="599" w:type="pct"/>
            <w:shd w:val="clear" w:color="auto" w:fill="auto"/>
          </w:tcPr>
          <w:p w:rsidR="008A09B9" w:rsidRPr="0000272B" w:rsidRDefault="008A09B9" w:rsidP="00ED28FA">
            <w:pPr>
              <w:spacing w:after="60"/>
              <w:jc w:val="left"/>
              <w:rPr>
                <w:rFonts w:ascii="Times New Roman" w:hAnsi="Times New Roman"/>
                <w:sz w:val="16"/>
                <w:szCs w:val="16"/>
                <w:lang w:val="en-CA"/>
              </w:rPr>
            </w:pPr>
            <w:r w:rsidRPr="0000272B">
              <w:rPr>
                <w:rFonts w:ascii="Times New Roman" w:hAnsi="Times New Roman"/>
                <w:sz w:val="16"/>
                <w:szCs w:val="16"/>
                <w:lang w:val="en-CA"/>
              </w:rPr>
              <w:t>HCFC-22</w:t>
            </w:r>
          </w:p>
        </w:tc>
        <w:tc>
          <w:tcPr>
            <w:tcW w:w="393"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314"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500"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643" w:type="pct"/>
            <w:shd w:val="clear" w:color="auto" w:fill="auto"/>
          </w:tcPr>
          <w:p w:rsidR="008A09B9" w:rsidRPr="0000272B" w:rsidRDefault="00710C3F"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0.0</w:t>
            </w:r>
          </w:p>
        </w:tc>
        <w:tc>
          <w:tcPr>
            <w:tcW w:w="453" w:type="pct"/>
            <w:shd w:val="clear" w:color="auto" w:fill="auto"/>
          </w:tcPr>
          <w:p w:rsidR="008A09B9" w:rsidRPr="0000272B" w:rsidRDefault="008A09B9"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2.3</w:t>
            </w:r>
          </w:p>
        </w:tc>
        <w:tc>
          <w:tcPr>
            <w:tcW w:w="384"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521"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338" w:type="pct"/>
            <w:shd w:val="clear" w:color="auto" w:fill="auto"/>
          </w:tcPr>
          <w:p w:rsidR="008A09B9" w:rsidRPr="0000272B" w:rsidRDefault="008A09B9" w:rsidP="00ED28FA">
            <w:pPr>
              <w:spacing w:after="60"/>
              <w:jc w:val="right"/>
              <w:rPr>
                <w:rFonts w:ascii="Times New Roman" w:hAnsi="Times New Roman"/>
                <w:sz w:val="16"/>
                <w:szCs w:val="16"/>
                <w:lang w:val="en-CA"/>
              </w:rPr>
            </w:pPr>
          </w:p>
        </w:tc>
        <w:tc>
          <w:tcPr>
            <w:tcW w:w="854" w:type="pct"/>
            <w:shd w:val="clear" w:color="auto" w:fill="auto"/>
          </w:tcPr>
          <w:p w:rsidR="008A09B9" w:rsidRPr="0000272B" w:rsidRDefault="008A09B9"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2.3</w:t>
            </w:r>
            <w:r w:rsidR="009E3904" w:rsidRPr="0000272B">
              <w:rPr>
                <w:rFonts w:ascii="Times New Roman" w:hAnsi="Times New Roman"/>
                <w:sz w:val="16"/>
                <w:szCs w:val="16"/>
                <w:lang w:val="en-CA"/>
              </w:rPr>
              <w:t>2</w:t>
            </w:r>
          </w:p>
        </w:tc>
      </w:tr>
    </w:tbl>
    <w:p w:rsidR="008A09B9" w:rsidRPr="00ED3DC2" w:rsidRDefault="008A09B9" w:rsidP="008A09B9">
      <w:pPr>
        <w:spacing w:after="60" w:line="276" w:lineRule="auto"/>
        <w:jc w:val="center"/>
        <w:rPr>
          <w:rFonts w:eastAsia="Calibri"/>
          <w:sz w:val="18"/>
          <w:szCs w:val="18"/>
          <w:lang w:val="en-CA"/>
        </w:rPr>
      </w:pPr>
    </w:p>
    <w:tbl>
      <w:tblPr>
        <w:tblStyle w:val="TableGrid10"/>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639"/>
        <w:gridCol w:w="1153"/>
        <w:gridCol w:w="4842"/>
        <w:gridCol w:w="942"/>
      </w:tblGrid>
      <w:tr w:rsidR="008A09B9" w:rsidRPr="0000272B" w:rsidTr="0000272B">
        <w:trPr>
          <w:trHeight w:val="249"/>
        </w:trPr>
        <w:tc>
          <w:tcPr>
            <w:tcW w:w="5000" w:type="pct"/>
            <w:gridSpan w:val="4"/>
            <w:shd w:val="clear" w:color="auto" w:fill="auto"/>
          </w:tcPr>
          <w:p w:rsidR="008A09B9" w:rsidRPr="0000272B" w:rsidRDefault="008A09B9" w:rsidP="00ED28FA">
            <w:pPr>
              <w:spacing w:after="60"/>
              <w:jc w:val="left"/>
              <w:rPr>
                <w:rFonts w:ascii="Times New Roman" w:hAnsi="Times New Roman"/>
                <w:b/>
                <w:sz w:val="16"/>
                <w:szCs w:val="16"/>
                <w:lang w:val="en-CA"/>
              </w:rPr>
            </w:pPr>
            <w:r w:rsidRPr="0000272B">
              <w:rPr>
                <w:rFonts w:ascii="Times New Roman" w:hAnsi="Times New Roman"/>
                <w:b/>
                <w:sz w:val="16"/>
                <w:szCs w:val="16"/>
                <w:lang w:val="en-CA"/>
              </w:rPr>
              <w:t>(IV) CONSUMPTION DATA (ODP tonnes)</w:t>
            </w:r>
          </w:p>
        </w:tc>
      </w:tr>
      <w:tr w:rsidR="008A09B9" w:rsidRPr="0000272B" w:rsidTr="0000272B">
        <w:trPr>
          <w:trHeight w:val="249"/>
        </w:trPr>
        <w:tc>
          <w:tcPr>
            <w:tcW w:w="1378" w:type="pct"/>
            <w:shd w:val="clear" w:color="auto" w:fill="auto"/>
          </w:tcPr>
          <w:p w:rsidR="008A09B9" w:rsidRPr="0000272B" w:rsidRDefault="008A09B9" w:rsidP="00ED28FA">
            <w:pPr>
              <w:spacing w:after="60"/>
              <w:jc w:val="center"/>
              <w:rPr>
                <w:rFonts w:ascii="Times New Roman" w:hAnsi="Times New Roman"/>
                <w:sz w:val="16"/>
                <w:szCs w:val="16"/>
                <w:lang w:val="en-CA"/>
              </w:rPr>
            </w:pPr>
            <w:r w:rsidRPr="0000272B">
              <w:rPr>
                <w:rFonts w:ascii="Times New Roman" w:hAnsi="Times New Roman"/>
                <w:sz w:val="16"/>
                <w:szCs w:val="16"/>
                <w:lang w:val="en-CA"/>
              </w:rPr>
              <w:t>2009 - 2010 baseline:</w:t>
            </w:r>
          </w:p>
        </w:tc>
        <w:tc>
          <w:tcPr>
            <w:tcW w:w="602" w:type="pct"/>
            <w:shd w:val="clear" w:color="auto" w:fill="auto"/>
          </w:tcPr>
          <w:p w:rsidR="008A09B9" w:rsidRPr="0000272B" w:rsidRDefault="008A09B9"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3.3</w:t>
            </w:r>
          </w:p>
        </w:tc>
        <w:tc>
          <w:tcPr>
            <w:tcW w:w="2528" w:type="pct"/>
            <w:shd w:val="clear" w:color="auto" w:fill="auto"/>
          </w:tcPr>
          <w:p w:rsidR="008A09B9" w:rsidRPr="0000272B" w:rsidRDefault="008A09B9" w:rsidP="00ED28FA">
            <w:pPr>
              <w:spacing w:after="60"/>
              <w:jc w:val="center"/>
              <w:rPr>
                <w:rFonts w:ascii="Times New Roman" w:hAnsi="Times New Roman"/>
                <w:sz w:val="16"/>
                <w:szCs w:val="16"/>
                <w:lang w:val="en-CA"/>
              </w:rPr>
            </w:pPr>
            <w:r w:rsidRPr="0000272B">
              <w:rPr>
                <w:rFonts w:ascii="Times New Roman" w:hAnsi="Times New Roman"/>
                <w:sz w:val="16"/>
                <w:szCs w:val="16"/>
                <w:lang w:val="en-CA"/>
              </w:rPr>
              <w:t>Starting point for sustained aggregate reductions:</w:t>
            </w:r>
          </w:p>
        </w:tc>
        <w:tc>
          <w:tcPr>
            <w:tcW w:w="492" w:type="pct"/>
            <w:shd w:val="clear" w:color="auto" w:fill="auto"/>
          </w:tcPr>
          <w:p w:rsidR="008A09B9" w:rsidRPr="0000272B" w:rsidRDefault="008A6146"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3.4</w:t>
            </w:r>
          </w:p>
        </w:tc>
      </w:tr>
      <w:tr w:rsidR="008A09B9" w:rsidRPr="0000272B" w:rsidTr="0000272B">
        <w:trPr>
          <w:trHeight w:val="249"/>
        </w:trPr>
        <w:tc>
          <w:tcPr>
            <w:tcW w:w="5000" w:type="pct"/>
            <w:gridSpan w:val="4"/>
            <w:shd w:val="clear" w:color="auto" w:fill="auto"/>
          </w:tcPr>
          <w:p w:rsidR="008A09B9" w:rsidRPr="0000272B" w:rsidRDefault="008A09B9" w:rsidP="00ED28FA">
            <w:pPr>
              <w:spacing w:after="60"/>
              <w:jc w:val="center"/>
              <w:rPr>
                <w:rFonts w:ascii="Times New Roman" w:hAnsi="Times New Roman"/>
                <w:b/>
                <w:sz w:val="16"/>
                <w:szCs w:val="16"/>
                <w:lang w:val="en-CA"/>
              </w:rPr>
            </w:pPr>
            <w:r w:rsidRPr="0000272B">
              <w:rPr>
                <w:rFonts w:ascii="Times New Roman" w:hAnsi="Times New Roman"/>
                <w:b/>
                <w:sz w:val="16"/>
                <w:szCs w:val="16"/>
                <w:lang w:val="en-CA"/>
              </w:rPr>
              <w:t>CONSUMPTION ELIGIBLE FOR FUNDING (ODP tonnes)</w:t>
            </w:r>
          </w:p>
        </w:tc>
      </w:tr>
      <w:tr w:rsidR="008A09B9" w:rsidRPr="0000272B" w:rsidTr="0000272B">
        <w:trPr>
          <w:trHeight w:val="249"/>
        </w:trPr>
        <w:tc>
          <w:tcPr>
            <w:tcW w:w="1378" w:type="pct"/>
            <w:shd w:val="clear" w:color="auto" w:fill="auto"/>
          </w:tcPr>
          <w:p w:rsidR="008A09B9" w:rsidRPr="0000272B" w:rsidRDefault="008A09B9" w:rsidP="00ED28FA">
            <w:pPr>
              <w:spacing w:after="60"/>
              <w:jc w:val="center"/>
              <w:rPr>
                <w:rFonts w:ascii="Times New Roman" w:hAnsi="Times New Roman"/>
                <w:sz w:val="16"/>
                <w:szCs w:val="16"/>
                <w:lang w:val="en-CA"/>
              </w:rPr>
            </w:pPr>
            <w:r w:rsidRPr="0000272B">
              <w:rPr>
                <w:rFonts w:ascii="Times New Roman" w:hAnsi="Times New Roman"/>
                <w:sz w:val="16"/>
                <w:szCs w:val="16"/>
                <w:lang w:val="en-CA"/>
              </w:rPr>
              <w:t>Already approved:</w:t>
            </w:r>
          </w:p>
        </w:tc>
        <w:tc>
          <w:tcPr>
            <w:tcW w:w="602" w:type="pct"/>
            <w:shd w:val="clear" w:color="auto" w:fill="auto"/>
          </w:tcPr>
          <w:p w:rsidR="008A09B9" w:rsidRPr="0000272B" w:rsidRDefault="008A6146"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3.4</w:t>
            </w:r>
          </w:p>
        </w:tc>
        <w:tc>
          <w:tcPr>
            <w:tcW w:w="2528" w:type="pct"/>
            <w:shd w:val="clear" w:color="auto" w:fill="auto"/>
          </w:tcPr>
          <w:p w:rsidR="008A09B9" w:rsidRPr="0000272B" w:rsidRDefault="008A09B9" w:rsidP="00ED28FA">
            <w:pPr>
              <w:spacing w:after="60"/>
              <w:jc w:val="center"/>
              <w:rPr>
                <w:rFonts w:ascii="Times New Roman" w:hAnsi="Times New Roman"/>
                <w:sz w:val="16"/>
                <w:szCs w:val="16"/>
                <w:lang w:val="en-CA"/>
              </w:rPr>
            </w:pPr>
            <w:r w:rsidRPr="0000272B">
              <w:rPr>
                <w:rFonts w:ascii="Times New Roman" w:hAnsi="Times New Roman"/>
                <w:sz w:val="16"/>
                <w:szCs w:val="16"/>
                <w:lang w:val="en-CA"/>
              </w:rPr>
              <w:t>Remaining:</w:t>
            </w:r>
          </w:p>
        </w:tc>
        <w:tc>
          <w:tcPr>
            <w:tcW w:w="492" w:type="pct"/>
            <w:shd w:val="clear" w:color="auto" w:fill="auto"/>
          </w:tcPr>
          <w:p w:rsidR="008A09B9" w:rsidRPr="0000272B" w:rsidRDefault="008A6146"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0</w:t>
            </w:r>
          </w:p>
        </w:tc>
      </w:tr>
    </w:tbl>
    <w:p w:rsidR="008A09B9" w:rsidRPr="00ED3DC2" w:rsidRDefault="008A09B9" w:rsidP="008A09B9">
      <w:pPr>
        <w:spacing w:after="60" w:line="276" w:lineRule="auto"/>
        <w:jc w:val="center"/>
        <w:rPr>
          <w:rFonts w:eastAsia="Calibri"/>
          <w:sz w:val="18"/>
          <w:szCs w:val="18"/>
          <w:lang w:val="en-CA"/>
        </w:rPr>
      </w:pPr>
    </w:p>
    <w:tbl>
      <w:tblPr>
        <w:tblStyle w:val="TableGrid10"/>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151"/>
        <w:gridCol w:w="3539"/>
        <w:gridCol w:w="814"/>
        <w:gridCol w:w="814"/>
        <w:gridCol w:w="816"/>
        <w:gridCol w:w="814"/>
        <w:gridCol w:w="814"/>
        <w:gridCol w:w="814"/>
      </w:tblGrid>
      <w:tr w:rsidR="008A6146" w:rsidRPr="0000272B" w:rsidTr="0000272B">
        <w:trPr>
          <w:trHeight w:val="249"/>
        </w:trPr>
        <w:tc>
          <w:tcPr>
            <w:tcW w:w="2449" w:type="pct"/>
            <w:gridSpan w:val="2"/>
            <w:shd w:val="clear" w:color="auto" w:fill="auto"/>
          </w:tcPr>
          <w:p w:rsidR="009E3904" w:rsidRPr="0000272B" w:rsidRDefault="009E3904" w:rsidP="00ED28FA">
            <w:pPr>
              <w:spacing w:after="60"/>
              <w:jc w:val="left"/>
              <w:rPr>
                <w:rFonts w:ascii="Times New Roman" w:hAnsi="Times New Roman"/>
                <w:b/>
                <w:sz w:val="16"/>
                <w:szCs w:val="16"/>
                <w:lang w:val="en-CA"/>
              </w:rPr>
            </w:pPr>
            <w:r w:rsidRPr="0000272B">
              <w:rPr>
                <w:rFonts w:ascii="Times New Roman" w:hAnsi="Times New Roman"/>
                <w:b/>
                <w:sz w:val="16"/>
                <w:szCs w:val="16"/>
                <w:lang w:val="en-CA"/>
              </w:rPr>
              <w:t>(V) BUSINESS PLAN</w:t>
            </w:r>
          </w:p>
        </w:tc>
        <w:tc>
          <w:tcPr>
            <w:tcW w:w="425" w:type="pct"/>
            <w:shd w:val="clear" w:color="auto" w:fill="auto"/>
          </w:tcPr>
          <w:p w:rsidR="009E3904" w:rsidRPr="0000272B" w:rsidRDefault="009E3904" w:rsidP="00ED28FA">
            <w:pPr>
              <w:spacing w:after="60"/>
              <w:jc w:val="center"/>
              <w:rPr>
                <w:rFonts w:ascii="Times New Roman" w:hAnsi="Times New Roman"/>
                <w:b/>
                <w:sz w:val="16"/>
                <w:szCs w:val="16"/>
                <w:lang w:val="en-CA"/>
              </w:rPr>
            </w:pPr>
            <w:r w:rsidRPr="0000272B">
              <w:rPr>
                <w:rFonts w:ascii="Times New Roman" w:hAnsi="Times New Roman"/>
                <w:b/>
                <w:sz w:val="16"/>
                <w:szCs w:val="16"/>
                <w:lang w:val="en-CA"/>
              </w:rPr>
              <w:t>2016</w:t>
            </w:r>
          </w:p>
        </w:tc>
        <w:tc>
          <w:tcPr>
            <w:tcW w:w="425" w:type="pct"/>
            <w:shd w:val="clear" w:color="auto" w:fill="auto"/>
          </w:tcPr>
          <w:p w:rsidR="009E3904" w:rsidRPr="0000272B" w:rsidRDefault="009E3904" w:rsidP="00ED28FA">
            <w:pPr>
              <w:spacing w:after="60"/>
              <w:jc w:val="center"/>
              <w:rPr>
                <w:rFonts w:ascii="Times New Roman" w:hAnsi="Times New Roman"/>
                <w:b/>
                <w:sz w:val="16"/>
                <w:szCs w:val="16"/>
                <w:lang w:val="en-CA"/>
              </w:rPr>
            </w:pPr>
            <w:r w:rsidRPr="0000272B">
              <w:rPr>
                <w:rFonts w:ascii="Times New Roman" w:hAnsi="Times New Roman"/>
                <w:b/>
                <w:sz w:val="16"/>
                <w:szCs w:val="16"/>
                <w:lang w:val="en-CA"/>
              </w:rPr>
              <w:t>2017</w:t>
            </w:r>
          </w:p>
        </w:tc>
        <w:tc>
          <w:tcPr>
            <w:tcW w:w="426" w:type="pct"/>
            <w:shd w:val="clear" w:color="auto" w:fill="auto"/>
          </w:tcPr>
          <w:p w:rsidR="009E3904" w:rsidRPr="0000272B" w:rsidRDefault="009E3904" w:rsidP="00ED28FA">
            <w:pPr>
              <w:spacing w:after="60"/>
              <w:jc w:val="center"/>
              <w:rPr>
                <w:rFonts w:ascii="Times New Roman" w:hAnsi="Times New Roman"/>
                <w:b/>
                <w:sz w:val="16"/>
                <w:szCs w:val="16"/>
                <w:lang w:val="en-CA"/>
              </w:rPr>
            </w:pPr>
            <w:r w:rsidRPr="0000272B">
              <w:rPr>
                <w:rFonts w:ascii="Times New Roman" w:hAnsi="Times New Roman"/>
                <w:b/>
                <w:sz w:val="16"/>
                <w:szCs w:val="16"/>
                <w:lang w:val="en-CA"/>
              </w:rPr>
              <w:t>2018</w:t>
            </w:r>
          </w:p>
        </w:tc>
        <w:tc>
          <w:tcPr>
            <w:tcW w:w="425" w:type="pct"/>
            <w:shd w:val="clear" w:color="auto" w:fill="auto"/>
          </w:tcPr>
          <w:p w:rsidR="009E3904" w:rsidRPr="0000272B" w:rsidRDefault="009E3904" w:rsidP="00ED28FA">
            <w:pPr>
              <w:spacing w:after="60"/>
              <w:jc w:val="center"/>
              <w:rPr>
                <w:rFonts w:ascii="Times New Roman" w:hAnsi="Times New Roman"/>
                <w:b/>
                <w:sz w:val="16"/>
                <w:szCs w:val="16"/>
                <w:lang w:val="en-CA"/>
              </w:rPr>
            </w:pPr>
            <w:r w:rsidRPr="0000272B">
              <w:rPr>
                <w:rFonts w:ascii="Times New Roman" w:hAnsi="Times New Roman"/>
                <w:b/>
                <w:sz w:val="16"/>
                <w:szCs w:val="16"/>
                <w:lang w:val="en-CA"/>
              </w:rPr>
              <w:t>2019</w:t>
            </w:r>
          </w:p>
        </w:tc>
        <w:tc>
          <w:tcPr>
            <w:tcW w:w="425" w:type="pct"/>
            <w:shd w:val="clear" w:color="auto" w:fill="auto"/>
          </w:tcPr>
          <w:p w:rsidR="009E3904" w:rsidRPr="0000272B" w:rsidRDefault="009E3904" w:rsidP="00ED28FA">
            <w:pPr>
              <w:spacing w:after="60"/>
              <w:jc w:val="center"/>
              <w:rPr>
                <w:rFonts w:ascii="Times New Roman" w:hAnsi="Times New Roman"/>
                <w:b/>
                <w:sz w:val="16"/>
                <w:szCs w:val="16"/>
                <w:lang w:val="en-CA"/>
              </w:rPr>
            </w:pPr>
            <w:r w:rsidRPr="0000272B">
              <w:rPr>
                <w:rFonts w:ascii="Times New Roman" w:hAnsi="Times New Roman"/>
                <w:b/>
                <w:sz w:val="16"/>
                <w:szCs w:val="16"/>
                <w:lang w:val="en-CA"/>
              </w:rPr>
              <w:t>2020</w:t>
            </w:r>
          </w:p>
        </w:tc>
        <w:tc>
          <w:tcPr>
            <w:tcW w:w="425" w:type="pct"/>
            <w:shd w:val="clear" w:color="auto" w:fill="auto"/>
          </w:tcPr>
          <w:p w:rsidR="009E3904" w:rsidRPr="0000272B" w:rsidRDefault="009E3904" w:rsidP="00ED28FA">
            <w:pPr>
              <w:spacing w:after="60"/>
              <w:jc w:val="center"/>
              <w:rPr>
                <w:rFonts w:ascii="Times New Roman" w:hAnsi="Times New Roman"/>
                <w:b/>
                <w:sz w:val="16"/>
                <w:szCs w:val="16"/>
                <w:lang w:val="en-CA"/>
              </w:rPr>
            </w:pPr>
            <w:r w:rsidRPr="0000272B">
              <w:rPr>
                <w:rFonts w:ascii="Times New Roman" w:hAnsi="Times New Roman"/>
                <w:b/>
                <w:sz w:val="16"/>
                <w:szCs w:val="16"/>
                <w:lang w:val="en-CA"/>
              </w:rPr>
              <w:t>Total</w:t>
            </w:r>
          </w:p>
        </w:tc>
      </w:tr>
      <w:tr w:rsidR="008A6146" w:rsidRPr="0000272B" w:rsidTr="0000272B">
        <w:trPr>
          <w:trHeight w:val="249"/>
        </w:trPr>
        <w:tc>
          <w:tcPr>
            <w:tcW w:w="601" w:type="pct"/>
            <w:vMerge w:val="restart"/>
            <w:shd w:val="clear" w:color="auto" w:fill="auto"/>
          </w:tcPr>
          <w:p w:rsidR="009E3904" w:rsidRPr="0000272B" w:rsidRDefault="009E3904" w:rsidP="00ED28FA">
            <w:pPr>
              <w:spacing w:after="60"/>
              <w:jc w:val="center"/>
              <w:rPr>
                <w:rFonts w:ascii="Times New Roman" w:hAnsi="Times New Roman"/>
                <w:sz w:val="16"/>
                <w:szCs w:val="16"/>
                <w:lang w:val="en-CA"/>
              </w:rPr>
            </w:pPr>
            <w:r w:rsidRPr="0000272B">
              <w:rPr>
                <w:rFonts w:ascii="Times New Roman" w:hAnsi="Times New Roman"/>
                <w:sz w:val="16"/>
                <w:szCs w:val="16"/>
                <w:lang w:val="en-CA"/>
              </w:rPr>
              <w:t>Germany</w:t>
            </w:r>
          </w:p>
        </w:tc>
        <w:tc>
          <w:tcPr>
            <w:tcW w:w="1847" w:type="pct"/>
            <w:shd w:val="clear" w:color="auto" w:fill="auto"/>
          </w:tcPr>
          <w:p w:rsidR="009E3904" w:rsidRPr="0000272B" w:rsidRDefault="009E3904" w:rsidP="00ED28FA">
            <w:pPr>
              <w:spacing w:after="60"/>
              <w:jc w:val="left"/>
              <w:rPr>
                <w:rFonts w:ascii="Times New Roman" w:hAnsi="Times New Roman"/>
                <w:sz w:val="16"/>
                <w:szCs w:val="16"/>
                <w:lang w:val="en-CA"/>
              </w:rPr>
            </w:pPr>
            <w:r w:rsidRPr="0000272B">
              <w:rPr>
                <w:rFonts w:ascii="Times New Roman" w:hAnsi="Times New Roman"/>
                <w:sz w:val="16"/>
                <w:szCs w:val="16"/>
                <w:lang w:val="en-CA"/>
              </w:rPr>
              <w:t>ODS phase-out (ODP tonnes)</w:t>
            </w:r>
          </w:p>
        </w:tc>
        <w:tc>
          <w:tcPr>
            <w:tcW w:w="425" w:type="pct"/>
            <w:shd w:val="clear" w:color="auto" w:fill="auto"/>
          </w:tcPr>
          <w:p w:rsidR="009E3904" w:rsidRPr="0000272B" w:rsidRDefault="009E3904"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0.8</w:t>
            </w:r>
          </w:p>
        </w:tc>
        <w:tc>
          <w:tcPr>
            <w:tcW w:w="425" w:type="pct"/>
            <w:shd w:val="clear" w:color="auto" w:fill="auto"/>
          </w:tcPr>
          <w:p w:rsidR="009E3904" w:rsidRPr="0000272B" w:rsidRDefault="009E3904"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0.0</w:t>
            </w:r>
          </w:p>
        </w:tc>
        <w:tc>
          <w:tcPr>
            <w:tcW w:w="426" w:type="pct"/>
            <w:shd w:val="clear" w:color="auto" w:fill="auto"/>
          </w:tcPr>
          <w:p w:rsidR="009E3904" w:rsidRPr="0000272B" w:rsidRDefault="009E3904"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0.0</w:t>
            </w:r>
          </w:p>
        </w:tc>
        <w:tc>
          <w:tcPr>
            <w:tcW w:w="425" w:type="pct"/>
            <w:shd w:val="clear" w:color="auto" w:fill="auto"/>
          </w:tcPr>
          <w:p w:rsidR="009E3904" w:rsidRPr="0000272B" w:rsidRDefault="009E3904"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0.0</w:t>
            </w:r>
          </w:p>
        </w:tc>
        <w:tc>
          <w:tcPr>
            <w:tcW w:w="425" w:type="pct"/>
            <w:shd w:val="clear" w:color="auto" w:fill="auto"/>
          </w:tcPr>
          <w:p w:rsidR="009E3904" w:rsidRPr="0000272B" w:rsidRDefault="009E3904"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0.4</w:t>
            </w:r>
          </w:p>
        </w:tc>
        <w:tc>
          <w:tcPr>
            <w:tcW w:w="425" w:type="pct"/>
            <w:shd w:val="clear" w:color="auto" w:fill="auto"/>
          </w:tcPr>
          <w:p w:rsidR="009E3904" w:rsidRPr="0000272B" w:rsidRDefault="009E3904"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1.2</w:t>
            </w:r>
          </w:p>
        </w:tc>
      </w:tr>
      <w:tr w:rsidR="008A6146" w:rsidRPr="0000272B" w:rsidTr="0000272B">
        <w:trPr>
          <w:trHeight w:val="249"/>
        </w:trPr>
        <w:tc>
          <w:tcPr>
            <w:tcW w:w="601" w:type="pct"/>
            <w:vMerge/>
            <w:shd w:val="clear" w:color="auto" w:fill="auto"/>
          </w:tcPr>
          <w:p w:rsidR="009E3904" w:rsidRPr="0000272B" w:rsidRDefault="009E3904" w:rsidP="00ED28FA">
            <w:pPr>
              <w:spacing w:after="60"/>
              <w:jc w:val="center"/>
              <w:rPr>
                <w:rFonts w:ascii="Times New Roman" w:hAnsi="Times New Roman"/>
                <w:sz w:val="16"/>
                <w:szCs w:val="16"/>
                <w:lang w:val="en-CA"/>
              </w:rPr>
            </w:pPr>
          </w:p>
        </w:tc>
        <w:tc>
          <w:tcPr>
            <w:tcW w:w="1847" w:type="pct"/>
            <w:shd w:val="clear" w:color="auto" w:fill="auto"/>
          </w:tcPr>
          <w:p w:rsidR="009E3904" w:rsidRPr="0000272B" w:rsidRDefault="009E3904" w:rsidP="00ED28FA">
            <w:pPr>
              <w:spacing w:after="60"/>
              <w:jc w:val="left"/>
              <w:rPr>
                <w:rFonts w:ascii="Times New Roman" w:hAnsi="Times New Roman"/>
                <w:sz w:val="16"/>
                <w:szCs w:val="16"/>
                <w:lang w:val="en-CA"/>
              </w:rPr>
            </w:pPr>
            <w:r w:rsidRPr="0000272B">
              <w:rPr>
                <w:rFonts w:ascii="Times New Roman" w:hAnsi="Times New Roman"/>
                <w:sz w:val="16"/>
                <w:szCs w:val="16"/>
                <w:lang w:val="en-CA"/>
              </w:rPr>
              <w:t>Funding (US $)</w:t>
            </w:r>
          </w:p>
        </w:tc>
        <w:tc>
          <w:tcPr>
            <w:tcW w:w="425" w:type="pct"/>
            <w:shd w:val="clear" w:color="auto" w:fill="auto"/>
          </w:tcPr>
          <w:p w:rsidR="009E3904" w:rsidRPr="0000272B" w:rsidRDefault="009E3904"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336,518</w:t>
            </w:r>
          </w:p>
        </w:tc>
        <w:tc>
          <w:tcPr>
            <w:tcW w:w="425" w:type="pct"/>
            <w:shd w:val="clear" w:color="auto" w:fill="auto"/>
          </w:tcPr>
          <w:p w:rsidR="009E3904" w:rsidRPr="0000272B" w:rsidRDefault="009E3904"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0</w:t>
            </w:r>
          </w:p>
        </w:tc>
        <w:tc>
          <w:tcPr>
            <w:tcW w:w="426" w:type="pct"/>
            <w:shd w:val="clear" w:color="auto" w:fill="auto"/>
          </w:tcPr>
          <w:p w:rsidR="009E3904" w:rsidRPr="0000272B" w:rsidRDefault="009E3904"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0</w:t>
            </w:r>
          </w:p>
        </w:tc>
        <w:tc>
          <w:tcPr>
            <w:tcW w:w="425" w:type="pct"/>
            <w:shd w:val="clear" w:color="auto" w:fill="auto"/>
          </w:tcPr>
          <w:p w:rsidR="009E3904" w:rsidRPr="0000272B" w:rsidRDefault="009E3904"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0</w:t>
            </w:r>
          </w:p>
        </w:tc>
        <w:tc>
          <w:tcPr>
            <w:tcW w:w="425" w:type="pct"/>
            <w:shd w:val="clear" w:color="auto" w:fill="auto"/>
          </w:tcPr>
          <w:p w:rsidR="009E3904" w:rsidRPr="0000272B" w:rsidRDefault="009E3904"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149,812</w:t>
            </w:r>
          </w:p>
        </w:tc>
        <w:tc>
          <w:tcPr>
            <w:tcW w:w="425" w:type="pct"/>
            <w:shd w:val="clear" w:color="auto" w:fill="auto"/>
          </w:tcPr>
          <w:p w:rsidR="009E3904" w:rsidRPr="0000272B" w:rsidRDefault="009E3904" w:rsidP="00ED28FA">
            <w:pPr>
              <w:spacing w:after="60"/>
              <w:jc w:val="right"/>
              <w:rPr>
                <w:rFonts w:ascii="Times New Roman" w:hAnsi="Times New Roman"/>
                <w:sz w:val="16"/>
                <w:szCs w:val="16"/>
                <w:lang w:val="en-CA"/>
              </w:rPr>
            </w:pPr>
            <w:r w:rsidRPr="0000272B">
              <w:rPr>
                <w:rFonts w:ascii="Times New Roman" w:hAnsi="Times New Roman"/>
                <w:sz w:val="16"/>
                <w:szCs w:val="16"/>
                <w:lang w:val="en-CA"/>
              </w:rPr>
              <w:t>486,330</w:t>
            </w:r>
          </w:p>
        </w:tc>
      </w:tr>
    </w:tbl>
    <w:p w:rsidR="00056E84" w:rsidRDefault="00056E84" w:rsidP="00056E84">
      <w:pPr>
        <w:rPr>
          <w:lang w:val="en-CA"/>
        </w:rPr>
      </w:pPr>
    </w:p>
    <w:tbl>
      <w:tblPr>
        <w:tblStyle w:val="TableGrid"/>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766"/>
        <w:gridCol w:w="820"/>
        <w:gridCol w:w="789"/>
        <w:gridCol w:w="760"/>
        <w:gridCol w:w="760"/>
        <w:gridCol w:w="574"/>
        <w:gridCol w:w="574"/>
        <w:gridCol w:w="760"/>
        <w:gridCol w:w="680"/>
        <w:gridCol w:w="760"/>
        <w:gridCol w:w="680"/>
        <w:gridCol w:w="760"/>
        <w:gridCol w:w="893"/>
      </w:tblGrid>
      <w:tr w:rsidR="008A6146" w:rsidRPr="0000272B" w:rsidTr="0000272B">
        <w:trPr>
          <w:trHeight w:val="117"/>
        </w:trPr>
        <w:tc>
          <w:tcPr>
            <w:tcW w:w="2485" w:type="dxa"/>
            <w:gridSpan w:val="3"/>
            <w:shd w:val="clear" w:color="auto" w:fill="auto"/>
          </w:tcPr>
          <w:p w:rsidR="008A6146" w:rsidRPr="0000272B" w:rsidRDefault="008A6146" w:rsidP="000700EA">
            <w:pPr>
              <w:spacing w:after="60"/>
              <w:jc w:val="left"/>
              <w:rPr>
                <w:b/>
                <w:sz w:val="16"/>
                <w:szCs w:val="16"/>
              </w:rPr>
            </w:pPr>
            <w:r w:rsidRPr="0000272B">
              <w:rPr>
                <w:b/>
                <w:sz w:val="16"/>
                <w:szCs w:val="16"/>
              </w:rPr>
              <w:t>(VI) PROJECT DATA</w:t>
            </w:r>
          </w:p>
        </w:tc>
        <w:tc>
          <w:tcPr>
            <w:tcW w:w="794" w:type="dxa"/>
            <w:shd w:val="clear" w:color="auto" w:fill="auto"/>
          </w:tcPr>
          <w:p w:rsidR="008A6146" w:rsidRPr="0000272B" w:rsidRDefault="008A6146" w:rsidP="002B4E1A">
            <w:pPr>
              <w:spacing w:after="60"/>
              <w:jc w:val="center"/>
              <w:rPr>
                <w:b/>
                <w:sz w:val="16"/>
                <w:szCs w:val="16"/>
              </w:rPr>
            </w:pPr>
            <w:r w:rsidRPr="0000272B">
              <w:rPr>
                <w:b/>
                <w:sz w:val="16"/>
                <w:szCs w:val="16"/>
              </w:rPr>
              <w:t>2011</w:t>
            </w:r>
          </w:p>
        </w:tc>
        <w:tc>
          <w:tcPr>
            <w:tcW w:w="794" w:type="dxa"/>
            <w:shd w:val="clear" w:color="auto" w:fill="auto"/>
          </w:tcPr>
          <w:p w:rsidR="008A6146" w:rsidRPr="0000272B" w:rsidRDefault="008A6146" w:rsidP="002B4E1A">
            <w:pPr>
              <w:spacing w:after="60"/>
              <w:jc w:val="center"/>
              <w:rPr>
                <w:b/>
                <w:sz w:val="16"/>
                <w:szCs w:val="16"/>
              </w:rPr>
            </w:pPr>
            <w:r w:rsidRPr="0000272B">
              <w:rPr>
                <w:b/>
                <w:sz w:val="16"/>
                <w:szCs w:val="16"/>
              </w:rPr>
              <w:t>2013</w:t>
            </w:r>
          </w:p>
        </w:tc>
        <w:tc>
          <w:tcPr>
            <w:tcW w:w="596" w:type="dxa"/>
            <w:shd w:val="clear" w:color="auto" w:fill="auto"/>
          </w:tcPr>
          <w:p w:rsidR="008A6146" w:rsidRPr="0000272B" w:rsidRDefault="008A6146" w:rsidP="002B4E1A">
            <w:pPr>
              <w:spacing w:after="60"/>
              <w:jc w:val="center"/>
              <w:rPr>
                <w:b/>
                <w:sz w:val="16"/>
                <w:szCs w:val="16"/>
              </w:rPr>
            </w:pPr>
            <w:r w:rsidRPr="0000272B">
              <w:rPr>
                <w:b/>
                <w:sz w:val="16"/>
                <w:szCs w:val="16"/>
              </w:rPr>
              <w:t>2014</w:t>
            </w:r>
          </w:p>
        </w:tc>
        <w:tc>
          <w:tcPr>
            <w:tcW w:w="596" w:type="dxa"/>
            <w:shd w:val="clear" w:color="auto" w:fill="auto"/>
          </w:tcPr>
          <w:p w:rsidR="008A6146" w:rsidRPr="0000272B" w:rsidRDefault="008A6146" w:rsidP="002B4E1A">
            <w:pPr>
              <w:spacing w:after="60"/>
              <w:jc w:val="center"/>
              <w:rPr>
                <w:b/>
                <w:sz w:val="16"/>
                <w:szCs w:val="16"/>
              </w:rPr>
            </w:pPr>
            <w:r w:rsidRPr="0000272B">
              <w:rPr>
                <w:b/>
                <w:sz w:val="16"/>
                <w:szCs w:val="16"/>
              </w:rPr>
              <w:t>2015</w:t>
            </w:r>
          </w:p>
        </w:tc>
        <w:tc>
          <w:tcPr>
            <w:tcW w:w="794" w:type="dxa"/>
            <w:shd w:val="clear" w:color="auto" w:fill="auto"/>
          </w:tcPr>
          <w:p w:rsidR="008A6146" w:rsidRPr="0000272B" w:rsidRDefault="008A6146" w:rsidP="002B4E1A">
            <w:pPr>
              <w:spacing w:after="60"/>
              <w:jc w:val="center"/>
              <w:rPr>
                <w:b/>
                <w:sz w:val="16"/>
                <w:szCs w:val="16"/>
              </w:rPr>
            </w:pPr>
            <w:r w:rsidRPr="0000272B">
              <w:rPr>
                <w:b/>
                <w:sz w:val="16"/>
                <w:szCs w:val="16"/>
              </w:rPr>
              <w:t>2016</w:t>
            </w:r>
          </w:p>
        </w:tc>
        <w:tc>
          <w:tcPr>
            <w:tcW w:w="709" w:type="dxa"/>
            <w:shd w:val="clear" w:color="auto" w:fill="auto"/>
          </w:tcPr>
          <w:p w:rsidR="008A6146" w:rsidRPr="0000272B" w:rsidRDefault="008A6146" w:rsidP="002B4E1A">
            <w:pPr>
              <w:spacing w:after="60"/>
              <w:jc w:val="center"/>
              <w:rPr>
                <w:b/>
                <w:sz w:val="16"/>
                <w:szCs w:val="16"/>
              </w:rPr>
            </w:pPr>
            <w:r w:rsidRPr="0000272B">
              <w:rPr>
                <w:b/>
                <w:sz w:val="16"/>
                <w:szCs w:val="16"/>
              </w:rPr>
              <w:t>2017-2019</w:t>
            </w:r>
          </w:p>
        </w:tc>
        <w:tc>
          <w:tcPr>
            <w:tcW w:w="794" w:type="dxa"/>
            <w:shd w:val="clear" w:color="auto" w:fill="auto"/>
          </w:tcPr>
          <w:p w:rsidR="008A6146" w:rsidRPr="0000272B" w:rsidRDefault="008A6146" w:rsidP="002B4E1A">
            <w:pPr>
              <w:spacing w:after="60"/>
              <w:jc w:val="center"/>
              <w:rPr>
                <w:b/>
                <w:sz w:val="16"/>
                <w:szCs w:val="16"/>
              </w:rPr>
            </w:pPr>
            <w:r w:rsidRPr="0000272B">
              <w:rPr>
                <w:b/>
                <w:sz w:val="16"/>
                <w:szCs w:val="16"/>
              </w:rPr>
              <w:t>2020</w:t>
            </w:r>
          </w:p>
        </w:tc>
        <w:tc>
          <w:tcPr>
            <w:tcW w:w="709" w:type="dxa"/>
            <w:shd w:val="clear" w:color="auto" w:fill="auto"/>
          </w:tcPr>
          <w:p w:rsidR="008A6146" w:rsidRPr="0000272B" w:rsidRDefault="008A6146" w:rsidP="002B4E1A">
            <w:pPr>
              <w:spacing w:after="60"/>
              <w:jc w:val="center"/>
              <w:rPr>
                <w:b/>
                <w:sz w:val="16"/>
                <w:szCs w:val="16"/>
              </w:rPr>
            </w:pPr>
            <w:r w:rsidRPr="0000272B">
              <w:rPr>
                <w:b/>
                <w:sz w:val="16"/>
                <w:szCs w:val="16"/>
              </w:rPr>
              <w:t>2021 - 2024</w:t>
            </w:r>
          </w:p>
        </w:tc>
        <w:tc>
          <w:tcPr>
            <w:tcW w:w="794" w:type="dxa"/>
            <w:shd w:val="clear" w:color="auto" w:fill="auto"/>
          </w:tcPr>
          <w:p w:rsidR="008A6146" w:rsidRPr="0000272B" w:rsidRDefault="008A6146" w:rsidP="002B4E1A">
            <w:pPr>
              <w:spacing w:after="60"/>
              <w:jc w:val="center"/>
              <w:rPr>
                <w:b/>
                <w:sz w:val="16"/>
                <w:szCs w:val="16"/>
              </w:rPr>
            </w:pPr>
            <w:r w:rsidRPr="0000272B">
              <w:rPr>
                <w:b/>
                <w:sz w:val="16"/>
                <w:szCs w:val="16"/>
              </w:rPr>
              <w:t>2025</w:t>
            </w:r>
          </w:p>
        </w:tc>
        <w:tc>
          <w:tcPr>
            <w:tcW w:w="936" w:type="dxa"/>
            <w:shd w:val="clear" w:color="auto" w:fill="auto"/>
          </w:tcPr>
          <w:p w:rsidR="008A6146" w:rsidRPr="0000272B" w:rsidRDefault="008A6146" w:rsidP="002B4E1A">
            <w:pPr>
              <w:spacing w:after="60"/>
              <w:jc w:val="center"/>
              <w:rPr>
                <w:b/>
                <w:sz w:val="16"/>
                <w:szCs w:val="16"/>
              </w:rPr>
            </w:pPr>
            <w:r w:rsidRPr="0000272B">
              <w:rPr>
                <w:b/>
                <w:sz w:val="16"/>
                <w:szCs w:val="16"/>
              </w:rPr>
              <w:t>Total</w:t>
            </w:r>
          </w:p>
        </w:tc>
      </w:tr>
      <w:tr w:rsidR="008A6146" w:rsidRPr="0000272B" w:rsidTr="0000272B">
        <w:trPr>
          <w:trHeight w:val="117"/>
        </w:trPr>
        <w:tc>
          <w:tcPr>
            <w:tcW w:w="2485" w:type="dxa"/>
            <w:gridSpan w:val="3"/>
            <w:shd w:val="clear" w:color="auto" w:fill="auto"/>
          </w:tcPr>
          <w:p w:rsidR="008A6146" w:rsidRPr="0000272B" w:rsidRDefault="008A6146" w:rsidP="000700EA">
            <w:pPr>
              <w:spacing w:after="60"/>
              <w:jc w:val="left"/>
              <w:rPr>
                <w:sz w:val="16"/>
                <w:szCs w:val="16"/>
              </w:rPr>
            </w:pPr>
            <w:r w:rsidRPr="0000272B">
              <w:rPr>
                <w:sz w:val="16"/>
                <w:szCs w:val="16"/>
              </w:rPr>
              <w:t>Montreal Protocol consumption limits</w:t>
            </w:r>
          </w:p>
        </w:tc>
        <w:tc>
          <w:tcPr>
            <w:tcW w:w="794" w:type="dxa"/>
            <w:shd w:val="clear" w:color="auto" w:fill="auto"/>
          </w:tcPr>
          <w:p w:rsidR="008A6146" w:rsidRPr="0000272B" w:rsidRDefault="008A6146" w:rsidP="000700EA">
            <w:pPr>
              <w:spacing w:after="60"/>
              <w:jc w:val="center"/>
              <w:rPr>
                <w:sz w:val="16"/>
                <w:szCs w:val="16"/>
              </w:rPr>
            </w:pPr>
            <w:r w:rsidRPr="0000272B">
              <w:rPr>
                <w:sz w:val="16"/>
                <w:szCs w:val="16"/>
              </w:rPr>
              <w:t>n/a</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3.4</w:t>
            </w:r>
          </w:p>
        </w:tc>
        <w:tc>
          <w:tcPr>
            <w:tcW w:w="596" w:type="dxa"/>
            <w:shd w:val="clear" w:color="auto" w:fill="auto"/>
          </w:tcPr>
          <w:p w:rsidR="008A6146" w:rsidRPr="0000272B" w:rsidRDefault="008A6146" w:rsidP="000700EA">
            <w:pPr>
              <w:spacing w:after="60"/>
              <w:jc w:val="right"/>
              <w:rPr>
                <w:sz w:val="16"/>
                <w:szCs w:val="16"/>
              </w:rPr>
            </w:pPr>
            <w:r w:rsidRPr="0000272B">
              <w:rPr>
                <w:sz w:val="16"/>
                <w:szCs w:val="16"/>
              </w:rPr>
              <w:t>3.4</w:t>
            </w:r>
          </w:p>
        </w:tc>
        <w:tc>
          <w:tcPr>
            <w:tcW w:w="596" w:type="dxa"/>
            <w:shd w:val="clear" w:color="auto" w:fill="auto"/>
          </w:tcPr>
          <w:p w:rsidR="008A6146" w:rsidRPr="0000272B" w:rsidRDefault="008A6146" w:rsidP="000700EA">
            <w:pPr>
              <w:spacing w:after="60"/>
              <w:jc w:val="right"/>
              <w:rPr>
                <w:sz w:val="16"/>
                <w:szCs w:val="16"/>
              </w:rPr>
            </w:pPr>
            <w:r w:rsidRPr="0000272B">
              <w:rPr>
                <w:sz w:val="16"/>
                <w:szCs w:val="16"/>
              </w:rPr>
              <w:t>3.1</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3.1</w:t>
            </w:r>
          </w:p>
        </w:tc>
        <w:tc>
          <w:tcPr>
            <w:tcW w:w="709" w:type="dxa"/>
            <w:shd w:val="clear" w:color="auto" w:fill="auto"/>
          </w:tcPr>
          <w:p w:rsidR="008A6146" w:rsidRPr="0000272B" w:rsidRDefault="008A6146" w:rsidP="000700EA">
            <w:pPr>
              <w:spacing w:after="60"/>
              <w:jc w:val="right"/>
              <w:rPr>
                <w:sz w:val="16"/>
                <w:szCs w:val="16"/>
              </w:rPr>
            </w:pPr>
            <w:r w:rsidRPr="0000272B">
              <w:rPr>
                <w:sz w:val="16"/>
                <w:szCs w:val="16"/>
              </w:rPr>
              <w:t>3.1</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2.2</w:t>
            </w:r>
          </w:p>
        </w:tc>
        <w:tc>
          <w:tcPr>
            <w:tcW w:w="709" w:type="dxa"/>
            <w:shd w:val="clear" w:color="auto" w:fill="auto"/>
          </w:tcPr>
          <w:p w:rsidR="008A6146" w:rsidRPr="0000272B" w:rsidRDefault="008A6146" w:rsidP="000700EA">
            <w:pPr>
              <w:spacing w:after="60"/>
              <w:jc w:val="right"/>
              <w:rPr>
                <w:sz w:val="16"/>
                <w:szCs w:val="16"/>
              </w:rPr>
            </w:pPr>
            <w:r w:rsidRPr="0000272B">
              <w:rPr>
                <w:sz w:val="16"/>
                <w:szCs w:val="16"/>
              </w:rPr>
              <w:t>2.2</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1.2</w:t>
            </w:r>
          </w:p>
        </w:tc>
        <w:tc>
          <w:tcPr>
            <w:tcW w:w="936" w:type="dxa"/>
            <w:shd w:val="clear" w:color="auto" w:fill="auto"/>
          </w:tcPr>
          <w:p w:rsidR="008A6146" w:rsidRPr="0000272B" w:rsidRDefault="008A6146" w:rsidP="00BE4A67">
            <w:pPr>
              <w:spacing w:after="60"/>
              <w:jc w:val="right"/>
              <w:rPr>
                <w:sz w:val="16"/>
                <w:szCs w:val="16"/>
              </w:rPr>
            </w:pPr>
            <w:r w:rsidRPr="0000272B">
              <w:rPr>
                <w:sz w:val="16"/>
                <w:szCs w:val="16"/>
              </w:rPr>
              <w:t>n/a</w:t>
            </w:r>
          </w:p>
        </w:tc>
      </w:tr>
      <w:tr w:rsidR="008A6146" w:rsidRPr="0000272B" w:rsidTr="0000272B">
        <w:trPr>
          <w:trHeight w:val="117"/>
        </w:trPr>
        <w:tc>
          <w:tcPr>
            <w:tcW w:w="2485" w:type="dxa"/>
            <w:gridSpan w:val="3"/>
            <w:shd w:val="clear" w:color="auto" w:fill="auto"/>
          </w:tcPr>
          <w:p w:rsidR="008A6146" w:rsidRPr="0000272B" w:rsidRDefault="008A6146" w:rsidP="000700EA">
            <w:pPr>
              <w:spacing w:after="60"/>
              <w:jc w:val="left"/>
              <w:rPr>
                <w:sz w:val="16"/>
                <w:szCs w:val="16"/>
              </w:rPr>
            </w:pPr>
            <w:r w:rsidRPr="0000272B">
              <w:rPr>
                <w:sz w:val="16"/>
                <w:szCs w:val="16"/>
              </w:rPr>
              <w:t>Maximum allowable consumption (ODP tonnes)</w:t>
            </w:r>
          </w:p>
        </w:tc>
        <w:tc>
          <w:tcPr>
            <w:tcW w:w="794" w:type="dxa"/>
            <w:shd w:val="clear" w:color="auto" w:fill="auto"/>
          </w:tcPr>
          <w:p w:rsidR="008A6146" w:rsidRPr="0000272B" w:rsidRDefault="008A6146" w:rsidP="000700EA">
            <w:pPr>
              <w:spacing w:after="60"/>
              <w:jc w:val="center"/>
              <w:rPr>
                <w:sz w:val="16"/>
                <w:szCs w:val="16"/>
              </w:rPr>
            </w:pPr>
            <w:r w:rsidRPr="0000272B">
              <w:rPr>
                <w:sz w:val="16"/>
                <w:szCs w:val="16"/>
              </w:rPr>
              <w:t>n/a</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3.2</w:t>
            </w:r>
          </w:p>
        </w:tc>
        <w:tc>
          <w:tcPr>
            <w:tcW w:w="596" w:type="dxa"/>
            <w:shd w:val="clear" w:color="auto" w:fill="auto"/>
          </w:tcPr>
          <w:p w:rsidR="008A6146" w:rsidRPr="0000272B" w:rsidRDefault="008A6146" w:rsidP="000700EA">
            <w:pPr>
              <w:spacing w:after="60"/>
              <w:jc w:val="right"/>
              <w:rPr>
                <w:sz w:val="16"/>
                <w:szCs w:val="16"/>
              </w:rPr>
            </w:pPr>
            <w:r w:rsidRPr="0000272B">
              <w:rPr>
                <w:sz w:val="16"/>
                <w:szCs w:val="16"/>
              </w:rPr>
              <w:t>3.1</w:t>
            </w:r>
          </w:p>
        </w:tc>
        <w:tc>
          <w:tcPr>
            <w:tcW w:w="596" w:type="dxa"/>
            <w:shd w:val="clear" w:color="auto" w:fill="auto"/>
          </w:tcPr>
          <w:p w:rsidR="008A6146" w:rsidRPr="0000272B" w:rsidRDefault="008A6146" w:rsidP="000700EA">
            <w:pPr>
              <w:spacing w:after="60"/>
              <w:jc w:val="right"/>
              <w:rPr>
                <w:sz w:val="16"/>
                <w:szCs w:val="16"/>
              </w:rPr>
            </w:pPr>
            <w:r w:rsidRPr="0000272B">
              <w:rPr>
                <w:sz w:val="16"/>
                <w:szCs w:val="16"/>
              </w:rPr>
              <w:t>2.9</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2.6</w:t>
            </w:r>
          </w:p>
        </w:tc>
        <w:tc>
          <w:tcPr>
            <w:tcW w:w="709" w:type="dxa"/>
            <w:shd w:val="clear" w:color="auto" w:fill="auto"/>
          </w:tcPr>
          <w:p w:rsidR="008A6146" w:rsidRPr="0000272B" w:rsidRDefault="008A6146" w:rsidP="000700EA">
            <w:pPr>
              <w:spacing w:after="60"/>
              <w:jc w:val="right"/>
              <w:rPr>
                <w:sz w:val="16"/>
                <w:szCs w:val="16"/>
              </w:rPr>
            </w:pPr>
            <w:r w:rsidRPr="0000272B">
              <w:rPr>
                <w:sz w:val="16"/>
                <w:szCs w:val="16"/>
              </w:rPr>
              <w:t>2.3</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1.4</w:t>
            </w:r>
          </w:p>
        </w:tc>
        <w:tc>
          <w:tcPr>
            <w:tcW w:w="709" w:type="dxa"/>
            <w:shd w:val="clear" w:color="auto" w:fill="auto"/>
          </w:tcPr>
          <w:p w:rsidR="008A6146" w:rsidRPr="0000272B" w:rsidRDefault="008A6146" w:rsidP="000700EA">
            <w:pPr>
              <w:spacing w:after="60"/>
              <w:jc w:val="right"/>
              <w:rPr>
                <w:sz w:val="16"/>
                <w:szCs w:val="16"/>
              </w:rPr>
            </w:pPr>
            <w:r w:rsidRPr="0000272B">
              <w:rPr>
                <w:sz w:val="16"/>
                <w:szCs w:val="16"/>
              </w:rPr>
              <w:t>0.9</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0.0</w:t>
            </w:r>
          </w:p>
        </w:tc>
        <w:tc>
          <w:tcPr>
            <w:tcW w:w="936" w:type="dxa"/>
            <w:shd w:val="clear" w:color="auto" w:fill="auto"/>
          </w:tcPr>
          <w:p w:rsidR="008A6146" w:rsidRPr="0000272B" w:rsidRDefault="008A6146" w:rsidP="00BE4A67">
            <w:pPr>
              <w:spacing w:after="60"/>
              <w:jc w:val="right"/>
              <w:rPr>
                <w:sz w:val="16"/>
                <w:szCs w:val="16"/>
              </w:rPr>
            </w:pPr>
            <w:r w:rsidRPr="0000272B">
              <w:rPr>
                <w:sz w:val="16"/>
                <w:szCs w:val="16"/>
              </w:rPr>
              <w:t>n/a</w:t>
            </w:r>
          </w:p>
        </w:tc>
      </w:tr>
      <w:tr w:rsidR="0000272B" w:rsidRPr="0000272B" w:rsidTr="0000272B">
        <w:trPr>
          <w:trHeight w:val="117"/>
        </w:trPr>
        <w:tc>
          <w:tcPr>
            <w:tcW w:w="802" w:type="dxa"/>
            <w:vMerge w:val="restart"/>
            <w:shd w:val="clear" w:color="auto" w:fill="auto"/>
          </w:tcPr>
          <w:p w:rsidR="008A6146" w:rsidRPr="0000272B" w:rsidRDefault="008A6146" w:rsidP="000700EA">
            <w:pPr>
              <w:spacing w:after="60"/>
              <w:jc w:val="left"/>
              <w:rPr>
                <w:sz w:val="16"/>
                <w:szCs w:val="16"/>
              </w:rPr>
            </w:pPr>
            <w:r w:rsidRPr="0000272B">
              <w:rPr>
                <w:sz w:val="16"/>
                <w:szCs w:val="16"/>
              </w:rPr>
              <w:t>Agreed funding (US$)</w:t>
            </w:r>
          </w:p>
        </w:tc>
        <w:tc>
          <w:tcPr>
            <w:tcW w:w="858" w:type="dxa"/>
            <w:vMerge w:val="restart"/>
            <w:shd w:val="clear" w:color="auto" w:fill="auto"/>
          </w:tcPr>
          <w:p w:rsidR="008A6146" w:rsidRPr="0000272B" w:rsidRDefault="008A6146" w:rsidP="000700EA">
            <w:pPr>
              <w:spacing w:after="60"/>
              <w:jc w:val="center"/>
              <w:rPr>
                <w:sz w:val="16"/>
                <w:szCs w:val="16"/>
              </w:rPr>
            </w:pPr>
            <w:r w:rsidRPr="0000272B">
              <w:rPr>
                <w:sz w:val="16"/>
                <w:szCs w:val="16"/>
              </w:rPr>
              <w:t>Germany</w:t>
            </w:r>
          </w:p>
        </w:tc>
        <w:tc>
          <w:tcPr>
            <w:tcW w:w="825" w:type="dxa"/>
            <w:shd w:val="clear" w:color="auto" w:fill="auto"/>
          </w:tcPr>
          <w:p w:rsidR="008A6146" w:rsidRPr="0000272B" w:rsidRDefault="008A6146" w:rsidP="000700EA">
            <w:pPr>
              <w:spacing w:after="60"/>
              <w:jc w:val="left"/>
              <w:rPr>
                <w:sz w:val="16"/>
                <w:szCs w:val="16"/>
              </w:rPr>
            </w:pPr>
            <w:r w:rsidRPr="0000272B">
              <w:rPr>
                <w:sz w:val="16"/>
                <w:szCs w:val="16"/>
              </w:rPr>
              <w:t>Project costs</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350,000</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340,000</w:t>
            </w:r>
          </w:p>
        </w:tc>
        <w:tc>
          <w:tcPr>
            <w:tcW w:w="596" w:type="dxa"/>
            <w:shd w:val="clear" w:color="auto" w:fill="auto"/>
          </w:tcPr>
          <w:p w:rsidR="008A6146" w:rsidRPr="0000272B" w:rsidRDefault="0000272B" w:rsidP="000700EA">
            <w:pPr>
              <w:spacing w:after="60"/>
              <w:jc w:val="right"/>
              <w:rPr>
                <w:sz w:val="16"/>
                <w:szCs w:val="16"/>
              </w:rPr>
            </w:pPr>
            <w:r>
              <w:rPr>
                <w:sz w:val="16"/>
                <w:szCs w:val="16"/>
              </w:rPr>
              <w:t>0</w:t>
            </w:r>
          </w:p>
        </w:tc>
        <w:tc>
          <w:tcPr>
            <w:tcW w:w="596" w:type="dxa"/>
            <w:shd w:val="clear" w:color="auto" w:fill="auto"/>
          </w:tcPr>
          <w:p w:rsidR="008A6146" w:rsidRPr="0000272B" w:rsidRDefault="0000272B" w:rsidP="000700EA">
            <w:pPr>
              <w:spacing w:after="60"/>
              <w:jc w:val="right"/>
              <w:rPr>
                <w:sz w:val="16"/>
                <w:szCs w:val="16"/>
              </w:rPr>
            </w:pPr>
            <w:r>
              <w:rPr>
                <w:sz w:val="16"/>
                <w:szCs w:val="16"/>
              </w:rPr>
              <w:t>0</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301,000</w:t>
            </w:r>
          </w:p>
        </w:tc>
        <w:tc>
          <w:tcPr>
            <w:tcW w:w="709" w:type="dxa"/>
            <w:shd w:val="clear" w:color="auto" w:fill="auto"/>
          </w:tcPr>
          <w:p w:rsidR="008A6146" w:rsidRPr="0000272B" w:rsidRDefault="008A6146" w:rsidP="000700EA">
            <w:pPr>
              <w:spacing w:after="60"/>
              <w:jc w:val="right"/>
              <w:rPr>
                <w:sz w:val="16"/>
                <w:szCs w:val="16"/>
              </w:rPr>
            </w:pP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134,000</w:t>
            </w:r>
          </w:p>
        </w:tc>
        <w:tc>
          <w:tcPr>
            <w:tcW w:w="709" w:type="dxa"/>
            <w:shd w:val="clear" w:color="auto" w:fill="auto"/>
          </w:tcPr>
          <w:p w:rsidR="008A6146" w:rsidRPr="0000272B" w:rsidRDefault="0000272B" w:rsidP="000700EA">
            <w:pPr>
              <w:spacing w:after="60"/>
              <w:jc w:val="right"/>
              <w:rPr>
                <w:sz w:val="16"/>
                <w:szCs w:val="16"/>
              </w:rPr>
            </w:pPr>
            <w:r>
              <w:rPr>
                <w:sz w:val="16"/>
                <w:szCs w:val="16"/>
              </w:rPr>
              <w:t>0.0</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125,000</w:t>
            </w:r>
          </w:p>
        </w:tc>
        <w:tc>
          <w:tcPr>
            <w:tcW w:w="936" w:type="dxa"/>
            <w:shd w:val="clear" w:color="auto" w:fill="auto"/>
          </w:tcPr>
          <w:p w:rsidR="008A6146" w:rsidRPr="0000272B" w:rsidRDefault="008A6146" w:rsidP="000700EA">
            <w:pPr>
              <w:spacing w:after="60"/>
              <w:jc w:val="right"/>
              <w:rPr>
                <w:sz w:val="16"/>
                <w:szCs w:val="16"/>
              </w:rPr>
            </w:pPr>
            <w:r w:rsidRPr="0000272B">
              <w:rPr>
                <w:sz w:val="16"/>
                <w:szCs w:val="16"/>
              </w:rPr>
              <w:t>1,250,000</w:t>
            </w:r>
          </w:p>
        </w:tc>
      </w:tr>
      <w:tr w:rsidR="0000272B" w:rsidRPr="0000272B" w:rsidTr="0000272B">
        <w:trPr>
          <w:trHeight w:val="117"/>
        </w:trPr>
        <w:tc>
          <w:tcPr>
            <w:tcW w:w="802" w:type="dxa"/>
            <w:vMerge/>
            <w:shd w:val="clear" w:color="auto" w:fill="auto"/>
          </w:tcPr>
          <w:p w:rsidR="008A6146" w:rsidRPr="0000272B" w:rsidRDefault="008A6146" w:rsidP="000700EA">
            <w:pPr>
              <w:spacing w:after="60"/>
              <w:jc w:val="center"/>
              <w:rPr>
                <w:sz w:val="16"/>
                <w:szCs w:val="16"/>
              </w:rPr>
            </w:pPr>
          </w:p>
        </w:tc>
        <w:tc>
          <w:tcPr>
            <w:tcW w:w="858" w:type="dxa"/>
            <w:vMerge/>
            <w:shd w:val="clear" w:color="auto" w:fill="auto"/>
          </w:tcPr>
          <w:p w:rsidR="008A6146" w:rsidRPr="0000272B" w:rsidRDefault="008A6146" w:rsidP="000700EA">
            <w:pPr>
              <w:spacing w:after="60"/>
              <w:jc w:val="center"/>
              <w:rPr>
                <w:sz w:val="16"/>
                <w:szCs w:val="16"/>
              </w:rPr>
            </w:pPr>
          </w:p>
        </w:tc>
        <w:tc>
          <w:tcPr>
            <w:tcW w:w="825" w:type="dxa"/>
            <w:shd w:val="clear" w:color="auto" w:fill="auto"/>
          </w:tcPr>
          <w:p w:rsidR="008A6146" w:rsidRPr="0000272B" w:rsidRDefault="008A6146" w:rsidP="000700EA">
            <w:pPr>
              <w:spacing w:after="60"/>
              <w:jc w:val="left"/>
              <w:rPr>
                <w:sz w:val="16"/>
                <w:szCs w:val="16"/>
              </w:rPr>
            </w:pPr>
            <w:r w:rsidRPr="0000272B">
              <w:rPr>
                <w:sz w:val="16"/>
                <w:szCs w:val="16"/>
              </w:rPr>
              <w:t>Support costs</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41,300</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40,120</w:t>
            </w:r>
          </w:p>
        </w:tc>
        <w:tc>
          <w:tcPr>
            <w:tcW w:w="596" w:type="dxa"/>
            <w:shd w:val="clear" w:color="auto" w:fill="auto"/>
          </w:tcPr>
          <w:p w:rsidR="008A6146" w:rsidRPr="0000272B" w:rsidRDefault="0000272B" w:rsidP="000700EA">
            <w:pPr>
              <w:spacing w:after="60"/>
              <w:jc w:val="right"/>
              <w:rPr>
                <w:sz w:val="16"/>
                <w:szCs w:val="16"/>
              </w:rPr>
            </w:pPr>
            <w:r>
              <w:rPr>
                <w:sz w:val="16"/>
                <w:szCs w:val="16"/>
              </w:rPr>
              <w:t>0</w:t>
            </w:r>
          </w:p>
        </w:tc>
        <w:tc>
          <w:tcPr>
            <w:tcW w:w="596" w:type="dxa"/>
            <w:shd w:val="clear" w:color="auto" w:fill="auto"/>
          </w:tcPr>
          <w:p w:rsidR="008A6146" w:rsidRPr="0000272B" w:rsidRDefault="0000272B" w:rsidP="000700EA">
            <w:pPr>
              <w:spacing w:after="60"/>
              <w:jc w:val="right"/>
              <w:rPr>
                <w:sz w:val="16"/>
                <w:szCs w:val="16"/>
              </w:rPr>
            </w:pPr>
            <w:r>
              <w:rPr>
                <w:sz w:val="16"/>
                <w:szCs w:val="16"/>
              </w:rPr>
              <w:t>0</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35,518</w:t>
            </w:r>
          </w:p>
        </w:tc>
        <w:tc>
          <w:tcPr>
            <w:tcW w:w="709" w:type="dxa"/>
            <w:shd w:val="clear" w:color="auto" w:fill="auto"/>
          </w:tcPr>
          <w:p w:rsidR="008A6146" w:rsidRPr="0000272B" w:rsidRDefault="008A6146" w:rsidP="000700EA">
            <w:pPr>
              <w:spacing w:after="60"/>
              <w:jc w:val="right"/>
              <w:rPr>
                <w:sz w:val="16"/>
                <w:szCs w:val="16"/>
              </w:rPr>
            </w:pP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15,812</w:t>
            </w:r>
          </w:p>
        </w:tc>
        <w:tc>
          <w:tcPr>
            <w:tcW w:w="709" w:type="dxa"/>
            <w:shd w:val="clear" w:color="auto" w:fill="auto"/>
          </w:tcPr>
          <w:p w:rsidR="008A6146" w:rsidRPr="0000272B" w:rsidRDefault="0000272B" w:rsidP="000700EA">
            <w:pPr>
              <w:spacing w:after="60"/>
              <w:jc w:val="right"/>
              <w:rPr>
                <w:sz w:val="16"/>
                <w:szCs w:val="16"/>
              </w:rPr>
            </w:pPr>
            <w:r>
              <w:rPr>
                <w:sz w:val="16"/>
                <w:szCs w:val="16"/>
              </w:rPr>
              <w:t>0.0</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14,750</w:t>
            </w:r>
          </w:p>
        </w:tc>
        <w:tc>
          <w:tcPr>
            <w:tcW w:w="936" w:type="dxa"/>
            <w:shd w:val="clear" w:color="auto" w:fill="auto"/>
          </w:tcPr>
          <w:p w:rsidR="008A6146" w:rsidRPr="0000272B" w:rsidRDefault="008A6146" w:rsidP="000700EA">
            <w:pPr>
              <w:spacing w:after="60"/>
              <w:jc w:val="right"/>
              <w:rPr>
                <w:sz w:val="16"/>
                <w:szCs w:val="16"/>
              </w:rPr>
            </w:pPr>
            <w:r w:rsidRPr="0000272B">
              <w:rPr>
                <w:sz w:val="16"/>
                <w:szCs w:val="16"/>
              </w:rPr>
              <w:t>147,500</w:t>
            </w:r>
          </w:p>
        </w:tc>
      </w:tr>
      <w:tr w:rsidR="0000272B" w:rsidRPr="0000272B" w:rsidTr="0000272B">
        <w:trPr>
          <w:trHeight w:val="117"/>
        </w:trPr>
        <w:tc>
          <w:tcPr>
            <w:tcW w:w="1660" w:type="dxa"/>
            <w:gridSpan w:val="2"/>
            <w:vMerge w:val="restart"/>
            <w:shd w:val="clear" w:color="auto" w:fill="auto"/>
          </w:tcPr>
          <w:p w:rsidR="008A6146" w:rsidRPr="0000272B" w:rsidRDefault="008A6146" w:rsidP="000700EA">
            <w:pPr>
              <w:spacing w:after="60"/>
              <w:jc w:val="left"/>
              <w:rPr>
                <w:sz w:val="16"/>
                <w:szCs w:val="16"/>
              </w:rPr>
            </w:pPr>
            <w:r w:rsidRPr="0000272B">
              <w:rPr>
                <w:sz w:val="16"/>
                <w:szCs w:val="16"/>
              </w:rPr>
              <w:t>Funds approved by ExCom (US$)</w:t>
            </w:r>
          </w:p>
        </w:tc>
        <w:tc>
          <w:tcPr>
            <w:tcW w:w="825" w:type="dxa"/>
            <w:shd w:val="clear" w:color="auto" w:fill="auto"/>
          </w:tcPr>
          <w:p w:rsidR="008A6146" w:rsidRPr="0000272B" w:rsidRDefault="008A6146" w:rsidP="000700EA">
            <w:pPr>
              <w:spacing w:after="60"/>
              <w:jc w:val="left"/>
              <w:rPr>
                <w:sz w:val="16"/>
                <w:szCs w:val="16"/>
              </w:rPr>
            </w:pPr>
            <w:r w:rsidRPr="0000272B">
              <w:rPr>
                <w:sz w:val="16"/>
                <w:szCs w:val="16"/>
              </w:rPr>
              <w:t>Project costs</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350,000</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340,000</w:t>
            </w:r>
          </w:p>
        </w:tc>
        <w:tc>
          <w:tcPr>
            <w:tcW w:w="596" w:type="dxa"/>
            <w:shd w:val="clear" w:color="auto" w:fill="auto"/>
          </w:tcPr>
          <w:p w:rsidR="008A6146" w:rsidRPr="0000272B" w:rsidRDefault="008A6146" w:rsidP="000700EA">
            <w:pPr>
              <w:spacing w:after="60"/>
              <w:jc w:val="right"/>
              <w:rPr>
                <w:sz w:val="16"/>
                <w:szCs w:val="16"/>
              </w:rPr>
            </w:pPr>
            <w:r w:rsidRPr="0000272B">
              <w:rPr>
                <w:sz w:val="16"/>
                <w:szCs w:val="16"/>
              </w:rPr>
              <w:t>0</w:t>
            </w:r>
          </w:p>
        </w:tc>
        <w:tc>
          <w:tcPr>
            <w:tcW w:w="596" w:type="dxa"/>
            <w:shd w:val="clear" w:color="auto" w:fill="auto"/>
          </w:tcPr>
          <w:p w:rsidR="008A6146" w:rsidRPr="0000272B" w:rsidRDefault="008A6146" w:rsidP="000700EA">
            <w:pPr>
              <w:spacing w:after="60"/>
              <w:jc w:val="right"/>
              <w:rPr>
                <w:sz w:val="16"/>
                <w:szCs w:val="16"/>
              </w:rPr>
            </w:pPr>
            <w:r w:rsidRPr="0000272B">
              <w:rPr>
                <w:sz w:val="16"/>
                <w:szCs w:val="16"/>
              </w:rPr>
              <w:t>0</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0.0</w:t>
            </w:r>
          </w:p>
        </w:tc>
        <w:tc>
          <w:tcPr>
            <w:tcW w:w="709" w:type="dxa"/>
            <w:shd w:val="clear" w:color="auto" w:fill="auto"/>
          </w:tcPr>
          <w:p w:rsidR="008A6146" w:rsidRPr="0000272B" w:rsidRDefault="008A6146" w:rsidP="000700EA">
            <w:pPr>
              <w:spacing w:after="60"/>
              <w:jc w:val="right"/>
              <w:rPr>
                <w:sz w:val="16"/>
                <w:szCs w:val="16"/>
              </w:rPr>
            </w:pPr>
            <w:r w:rsidRPr="0000272B">
              <w:rPr>
                <w:sz w:val="16"/>
                <w:szCs w:val="16"/>
              </w:rPr>
              <w:t>0.0</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0.0</w:t>
            </w:r>
          </w:p>
        </w:tc>
        <w:tc>
          <w:tcPr>
            <w:tcW w:w="709" w:type="dxa"/>
            <w:shd w:val="clear" w:color="auto" w:fill="auto"/>
          </w:tcPr>
          <w:p w:rsidR="008A6146" w:rsidRPr="0000272B" w:rsidRDefault="008A6146" w:rsidP="000700EA">
            <w:pPr>
              <w:spacing w:after="60"/>
              <w:jc w:val="right"/>
              <w:rPr>
                <w:sz w:val="16"/>
                <w:szCs w:val="16"/>
              </w:rPr>
            </w:pPr>
            <w:r w:rsidRPr="0000272B">
              <w:rPr>
                <w:sz w:val="16"/>
                <w:szCs w:val="16"/>
              </w:rPr>
              <w:t>0.0</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0.0</w:t>
            </w:r>
          </w:p>
        </w:tc>
        <w:tc>
          <w:tcPr>
            <w:tcW w:w="936" w:type="dxa"/>
            <w:shd w:val="clear" w:color="auto" w:fill="auto"/>
          </w:tcPr>
          <w:p w:rsidR="008A6146" w:rsidRPr="0000272B" w:rsidRDefault="008A6146" w:rsidP="000700EA">
            <w:pPr>
              <w:spacing w:after="60"/>
              <w:jc w:val="right"/>
              <w:rPr>
                <w:sz w:val="16"/>
                <w:szCs w:val="16"/>
              </w:rPr>
            </w:pPr>
            <w:r w:rsidRPr="0000272B">
              <w:rPr>
                <w:sz w:val="16"/>
                <w:szCs w:val="16"/>
              </w:rPr>
              <w:t>690,000</w:t>
            </w:r>
          </w:p>
        </w:tc>
      </w:tr>
      <w:tr w:rsidR="0000272B" w:rsidRPr="0000272B" w:rsidTr="0000272B">
        <w:trPr>
          <w:trHeight w:val="117"/>
        </w:trPr>
        <w:tc>
          <w:tcPr>
            <w:tcW w:w="1660" w:type="dxa"/>
            <w:gridSpan w:val="2"/>
            <w:vMerge/>
            <w:shd w:val="clear" w:color="auto" w:fill="auto"/>
          </w:tcPr>
          <w:p w:rsidR="008A6146" w:rsidRPr="0000272B" w:rsidRDefault="008A6146" w:rsidP="000700EA">
            <w:pPr>
              <w:spacing w:after="60"/>
              <w:jc w:val="center"/>
              <w:rPr>
                <w:sz w:val="16"/>
                <w:szCs w:val="16"/>
              </w:rPr>
            </w:pPr>
          </w:p>
        </w:tc>
        <w:tc>
          <w:tcPr>
            <w:tcW w:w="825" w:type="dxa"/>
            <w:shd w:val="clear" w:color="auto" w:fill="auto"/>
          </w:tcPr>
          <w:p w:rsidR="008A6146" w:rsidRPr="0000272B" w:rsidRDefault="008A6146" w:rsidP="000700EA">
            <w:pPr>
              <w:spacing w:after="60"/>
              <w:jc w:val="left"/>
              <w:rPr>
                <w:sz w:val="16"/>
                <w:szCs w:val="16"/>
              </w:rPr>
            </w:pPr>
            <w:r w:rsidRPr="0000272B">
              <w:rPr>
                <w:sz w:val="16"/>
                <w:szCs w:val="16"/>
              </w:rPr>
              <w:t>Support costs</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41,300</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40,120</w:t>
            </w:r>
          </w:p>
        </w:tc>
        <w:tc>
          <w:tcPr>
            <w:tcW w:w="596" w:type="dxa"/>
            <w:shd w:val="clear" w:color="auto" w:fill="auto"/>
          </w:tcPr>
          <w:p w:rsidR="008A6146" w:rsidRPr="0000272B" w:rsidRDefault="008A6146" w:rsidP="000700EA">
            <w:pPr>
              <w:spacing w:after="60"/>
              <w:jc w:val="right"/>
              <w:rPr>
                <w:sz w:val="16"/>
                <w:szCs w:val="16"/>
              </w:rPr>
            </w:pPr>
            <w:r w:rsidRPr="0000272B">
              <w:rPr>
                <w:sz w:val="16"/>
                <w:szCs w:val="16"/>
              </w:rPr>
              <w:t>0</w:t>
            </w:r>
          </w:p>
        </w:tc>
        <w:tc>
          <w:tcPr>
            <w:tcW w:w="596" w:type="dxa"/>
            <w:shd w:val="clear" w:color="auto" w:fill="auto"/>
          </w:tcPr>
          <w:p w:rsidR="008A6146" w:rsidRPr="0000272B" w:rsidRDefault="008A6146" w:rsidP="000700EA">
            <w:pPr>
              <w:spacing w:after="60"/>
              <w:jc w:val="right"/>
              <w:rPr>
                <w:sz w:val="16"/>
                <w:szCs w:val="16"/>
              </w:rPr>
            </w:pPr>
            <w:r w:rsidRPr="0000272B">
              <w:rPr>
                <w:sz w:val="16"/>
                <w:szCs w:val="16"/>
              </w:rPr>
              <w:t>0</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0.0</w:t>
            </w:r>
          </w:p>
        </w:tc>
        <w:tc>
          <w:tcPr>
            <w:tcW w:w="709" w:type="dxa"/>
            <w:shd w:val="clear" w:color="auto" w:fill="auto"/>
          </w:tcPr>
          <w:p w:rsidR="008A6146" w:rsidRPr="0000272B" w:rsidRDefault="008A6146" w:rsidP="000700EA">
            <w:pPr>
              <w:spacing w:after="60"/>
              <w:jc w:val="right"/>
              <w:rPr>
                <w:sz w:val="16"/>
                <w:szCs w:val="16"/>
              </w:rPr>
            </w:pPr>
            <w:r w:rsidRPr="0000272B">
              <w:rPr>
                <w:sz w:val="16"/>
                <w:szCs w:val="16"/>
              </w:rPr>
              <w:t>0.0</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0.0</w:t>
            </w:r>
          </w:p>
        </w:tc>
        <w:tc>
          <w:tcPr>
            <w:tcW w:w="709" w:type="dxa"/>
            <w:shd w:val="clear" w:color="auto" w:fill="auto"/>
          </w:tcPr>
          <w:p w:rsidR="008A6146" w:rsidRPr="0000272B" w:rsidRDefault="008A6146" w:rsidP="000700EA">
            <w:pPr>
              <w:spacing w:after="60"/>
              <w:jc w:val="right"/>
              <w:rPr>
                <w:sz w:val="16"/>
                <w:szCs w:val="16"/>
              </w:rPr>
            </w:pPr>
            <w:r w:rsidRPr="0000272B">
              <w:rPr>
                <w:sz w:val="16"/>
                <w:szCs w:val="16"/>
              </w:rPr>
              <w:t>0.0</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0.0</w:t>
            </w:r>
          </w:p>
        </w:tc>
        <w:tc>
          <w:tcPr>
            <w:tcW w:w="936" w:type="dxa"/>
            <w:shd w:val="clear" w:color="auto" w:fill="auto"/>
          </w:tcPr>
          <w:p w:rsidR="008A6146" w:rsidRPr="0000272B" w:rsidRDefault="008A6146" w:rsidP="000700EA">
            <w:pPr>
              <w:spacing w:after="60"/>
              <w:jc w:val="right"/>
              <w:rPr>
                <w:sz w:val="16"/>
                <w:szCs w:val="16"/>
              </w:rPr>
            </w:pPr>
            <w:r w:rsidRPr="0000272B">
              <w:rPr>
                <w:sz w:val="16"/>
                <w:szCs w:val="16"/>
              </w:rPr>
              <w:t>81,420</w:t>
            </w:r>
          </w:p>
        </w:tc>
      </w:tr>
      <w:tr w:rsidR="0000272B" w:rsidRPr="0000272B" w:rsidTr="0000272B">
        <w:trPr>
          <w:trHeight w:val="117"/>
        </w:trPr>
        <w:tc>
          <w:tcPr>
            <w:tcW w:w="1660" w:type="dxa"/>
            <w:gridSpan w:val="2"/>
            <w:vMerge w:val="restart"/>
            <w:shd w:val="clear" w:color="auto" w:fill="auto"/>
          </w:tcPr>
          <w:p w:rsidR="008A6146" w:rsidRPr="0000272B" w:rsidRDefault="008A6146" w:rsidP="000700EA">
            <w:pPr>
              <w:spacing w:after="60"/>
              <w:jc w:val="left"/>
              <w:rPr>
                <w:sz w:val="16"/>
                <w:szCs w:val="16"/>
              </w:rPr>
            </w:pPr>
            <w:r w:rsidRPr="0000272B">
              <w:rPr>
                <w:sz w:val="16"/>
                <w:szCs w:val="16"/>
              </w:rPr>
              <w:t>Total funds requested for approval at this meeting (US$)</w:t>
            </w:r>
          </w:p>
        </w:tc>
        <w:tc>
          <w:tcPr>
            <w:tcW w:w="825" w:type="dxa"/>
            <w:shd w:val="clear" w:color="auto" w:fill="auto"/>
          </w:tcPr>
          <w:p w:rsidR="008A6146" w:rsidRPr="0000272B" w:rsidRDefault="008A6146" w:rsidP="000700EA">
            <w:pPr>
              <w:spacing w:after="60"/>
              <w:jc w:val="left"/>
              <w:rPr>
                <w:sz w:val="16"/>
                <w:szCs w:val="16"/>
              </w:rPr>
            </w:pPr>
            <w:r w:rsidRPr="0000272B">
              <w:rPr>
                <w:sz w:val="16"/>
                <w:szCs w:val="16"/>
              </w:rPr>
              <w:t>Project costs</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0</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0</w:t>
            </w:r>
          </w:p>
        </w:tc>
        <w:tc>
          <w:tcPr>
            <w:tcW w:w="596" w:type="dxa"/>
            <w:shd w:val="clear" w:color="auto" w:fill="auto"/>
          </w:tcPr>
          <w:p w:rsidR="008A6146" w:rsidRPr="0000272B" w:rsidRDefault="008A6146" w:rsidP="000700EA">
            <w:pPr>
              <w:spacing w:after="60"/>
              <w:jc w:val="right"/>
              <w:rPr>
                <w:sz w:val="16"/>
                <w:szCs w:val="16"/>
              </w:rPr>
            </w:pPr>
            <w:r w:rsidRPr="0000272B">
              <w:rPr>
                <w:sz w:val="16"/>
                <w:szCs w:val="16"/>
              </w:rPr>
              <w:t>0</w:t>
            </w:r>
          </w:p>
        </w:tc>
        <w:tc>
          <w:tcPr>
            <w:tcW w:w="596" w:type="dxa"/>
            <w:shd w:val="clear" w:color="auto" w:fill="auto"/>
          </w:tcPr>
          <w:p w:rsidR="008A6146" w:rsidRPr="0000272B" w:rsidRDefault="008A6146" w:rsidP="000700EA">
            <w:pPr>
              <w:spacing w:after="60"/>
              <w:jc w:val="right"/>
              <w:rPr>
                <w:sz w:val="16"/>
                <w:szCs w:val="16"/>
              </w:rPr>
            </w:pPr>
            <w:r w:rsidRPr="0000272B">
              <w:rPr>
                <w:sz w:val="16"/>
                <w:szCs w:val="16"/>
              </w:rPr>
              <w:t>0</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301,000</w:t>
            </w:r>
          </w:p>
        </w:tc>
        <w:tc>
          <w:tcPr>
            <w:tcW w:w="709" w:type="dxa"/>
            <w:shd w:val="clear" w:color="auto" w:fill="auto"/>
          </w:tcPr>
          <w:p w:rsidR="008A6146" w:rsidRPr="0000272B" w:rsidRDefault="008A6146" w:rsidP="000700EA">
            <w:pPr>
              <w:spacing w:after="60"/>
              <w:jc w:val="right"/>
              <w:rPr>
                <w:sz w:val="16"/>
                <w:szCs w:val="16"/>
              </w:rPr>
            </w:pPr>
            <w:r w:rsidRPr="0000272B">
              <w:rPr>
                <w:sz w:val="16"/>
                <w:szCs w:val="16"/>
              </w:rPr>
              <w:t>0</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0</w:t>
            </w:r>
          </w:p>
        </w:tc>
        <w:tc>
          <w:tcPr>
            <w:tcW w:w="709" w:type="dxa"/>
            <w:shd w:val="clear" w:color="auto" w:fill="auto"/>
          </w:tcPr>
          <w:p w:rsidR="008A6146" w:rsidRPr="0000272B" w:rsidRDefault="008A6146" w:rsidP="000700EA">
            <w:pPr>
              <w:spacing w:after="60"/>
              <w:jc w:val="right"/>
              <w:rPr>
                <w:sz w:val="16"/>
                <w:szCs w:val="16"/>
              </w:rPr>
            </w:pPr>
            <w:r w:rsidRPr="0000272B">
              <w:rPr>
                <w:sz w:val="16"/>
                <w:szCs w:val="16"/>
              </w:rPr>
              <w:t>0</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0</w:t>
            </w:r>
          </w:p>
        </w:tc>
        <w:tc>
          <w:tcPr>
            <w:tcW w:w="936" w:type="dxa"/>
            <w:shd w:val="clear" w:color="auto" w:fill="auto"/>
          </w:tcPr>
          <w:p w:rsidR="008A6146" w:rsidRPr="0000272B" w:rsidRDefault="008A6146" w:rsidP="000700EA">
            <w:pPr>
              <w:spacing w:after="60"/>
              <w:jc w:val="right"/>
              <w:rPr>
                <w:sz w:val="16"/>
                <w:szCs w:val="16"/>
              </w:rPr>
            </w:pPr>
            <w:r w:rsidRPr="0000272B">
              <w:rPr>
                <w:sz w:val="16"/>
                <w:szCs w:val="16"/>
              </w:rPr>
              <w:t>301,000</w:t>
            </w:r>
          </w:p>
        </w:tc>
      </w:tr>
      <w:tr w:rsidR="0000272B" w:rsidRPr="0000272B" w:rsidTr="0000272B">
        <w:trPr>
          <w:trHeight w:val="117"/>
        </w:trPr>
        <w:tc>
          <w:tcPr>
            <w:tcW w:w="1660" w:type="dxa"/>
            <w:gridSpan w:val="2"/>
            <w:vMerge/>
            <w:shd w:val="clear" w:color="auto" w:fill="auto"/>
          </w:tcPr>
          <w:p w:rsidR="008A6146" w:rsidRPr="0000272B" w:rsidRDefault="008A6146" w:rsidP="000700EA">
            <w:pPr>
              <w:spacing w:after="60"/>
              <w:jc w:val="center"/>
              <w:rPr>
                <w:sz w:val="16"/>
                <w:szCs w:val="16"/>
              </w:rPr>
            </w:pPr>
          </w:p>
        </w:tc>
        <w:tc>
          <w:tcPr>
            <w:tcW w:w="825" w:type="dxa"/>
            <w:shd w:val="clear" w:color="auto" w:fill="auto"/>
          </w:tcPr>
          <w:p w:rsidR="008A6146" w:rsidRPr="0000272B" w:rsidRDefault="008A6146" w:rsidP="000700EA">
            <w:pPr>
              <w:spacing w:after="60"/>
              <w:jc w:val="left"/>
              <w:rPr>
                <w:sz w:val="16"/>
                <w:szCs w:val="16"/>
              </w:rPr>
            </w:pPr>
            <w:r w:rsidRPr="0000272B">
              <w:rPr>
                <w:sz w:val="16"/>
                <w:szCs w:val="16"/>
              </w:rPr>
              <w:t>Support costs</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0</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0</w:t>
            </w:r>
          </w:p>
        </w:tc>
        <w:tc>
          <w:tcPr>
            <w:tcW w:w="596" w:type="dxa"/>
            <w:shd w:val="clear" w:color="auto" w:fill="auto"/>
          </w:tcPr>
          <w:p w:rsidR="008A6146" w:rsidRPr="0000272B" w:rsidRDefault="008A6146" w:rsidP="000700EA">
            <w:pPr>
              <w:spacing w:after="60"/>
              <w:jc w:val="right"/>
              <w:rPr>
                <w:sz w:val="16"/>
                <w:szCs w:val="16"/>
              </w:rPr>
            </w:pPr>
            <w:r w:rsidRPr="0000272B">
              <w:rPr>
                <w:sz w:val="16"/>
                <w:szCs w:val="16"/>
              </w:rPr>
              <w:t>0</w:t>
            </w:r>
          </w:p>
        </w:tc>
        <w:tc>
          <w:tcPr>
            <w:tcW w:w="596" w:type="dxa"/>
            <w:shd w:val="clear" w:color="auto" w:fill="auto"/>
          </w:tcPr>
          <w:p w:rsidR="008A6146" w:rsidRPr="0000272B" w:rsidRDefault="008A6146" w:rsidP="000700EA">
            <w:pPr>
              <w:spacing w:after="60"/>
              <w:jc w:val="right"/>
              <w:rPr>
                <w:sz w:val="16"/>
                <w:szCs w:val="16"/>
              </w:rPr>
            </w:pPr>
            <w:r w:rsidRPr="0000272B">
              <w:rPr>
                <w:sz w:val="16"/>
                <w:szCs w:val="16"/>
              </w:rPr>
              <w:t>0</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35,518</w:t>
            </w:r>
          </w:p>
        </w:tc>
        <w:tc>
          <w:tcPr>
            <w:tcW w:w="709" w:type="dxa"/>
            <w:shd w:val="clear" w:color="auto" w:fill="auto"/>
          </w:tcPr>
          <w:p w:rsidR="008A6146" w:rsidRPr="0000272B" w:rsidRDefault="008A6146" w:rsidP="000700EA">
            <w:pPr>
              <w:spacing w:after="60"/>
              <w:jc w:val="right"/>
              <w:rPr>
                <w:sz w:val="16"/>
                <w:szCs w:val="16"/>
              </w:rPr>
            </w:pPr>
            <w:r w:rsidRPr="0000272B">
              <w:rPr>
                <w:sz w:val="16"/>
                <w:szCs w:val="16"/>
              </w:rPr>
              <w:t>0</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0</w:t>
            </w:r>
          </w:p>
        </w:tc>
        <w:tc>
          <w:tcPr>
            <w:tcW w:w="709" w:type="dxa"/>
            <w:shd w:val="clear" w:color="auto" w:fill="auto"/>
          </w:tcPr>
          <w:p w:rsidR="008A6146" w:rsidRPr="0000272B" w:rsidRDefault="008A6146" w:rsidP="000700EA">
            <w:pPr>
              <w:spacing w:after="60"/>
              <w:jc w:val="right"/>
              <w:rPr>
                <w:sz w:val="16"/>
                <w:szCs w:val="16"/>
              </w:rPr>
            </w:pPr>
            <w:r w:rsidRPr="0000272B">
              <w:rPr>
                <w:sz w:val="16"/>
                <w:szCs w:val="16"/>
              </w:rPr>
              <w:t>0</w:t>
            </w:r>
          </w:p>
        </w:tc>
        <w:tc>
          <w:tcPr>
            <w:tcW w:w="794" w:type="dxa"/>
            <w:shd w:val="clear" w:color="auto" w:fill="auto"/>
          </w:tcPr>
          <w:p w:rsidR="008A6146" w:rsidRPr="0000272B" w:rsidRDefault="008A6146" w:rsidP="000700EA">
            <w:pPr>
              <w:spacing w:after="60"/>
              <w:jc w:val="right"/>
              <w:rPr>
                <w:sz w:val="16"/>
                <w:szCs w:val="16"/>
              </w:rPr>
            </w:pPr>
            <w:r w:rsidRPr="0000272B">
              <w:rPr>
                <w:sz w:val="16"/>
                <w:szCs w:val="16"/>
              </w:rPr>
              <w:t>0</w:t>
            </w:r>
          </w:p>
        </w:tc>
        <w:tc>
          <w:tcPr>
            <w:tcW w:w="936" w:type="dxa"/>
            <w:shd w:val="clear" w:color="auto" w:fill="auto"/>
          </w:tcPr>
          <w:p w:rsidR="008A6146" w:rsidRPr="0000272B" w:rsidRDefault="008A6146" w:rsidP="000700EA">
            <w:pPr>
              <w:spacing w:after="60"/>
              <w:jc w:val="right"/>
              <w:rPr>
                <w:sz w:val="16"/>
                <w:szCs w:val="16"/>
              </w:rPr>
            </w:pPr>
            <w:r w:rsidRPr="0000272B">
              <w:rPr>
                <w:sz w:val="16"/>
                <w:szCs w:val="16"/>
              </w:rPr>
              <w:t>35,518</w:t>
            </w:r>
          </w:p>
        </w:tc>
      </w:tr>
    </w:tbl>
    <w:p w:rsidR="00056E84" w:rsidRDefault="00056E84" w:rsidP="00056E84">
      <w:pPr>
        <w:rPr>
          <w:lang w:val="en-CA"/>
        </w:rPr>
      </w:pPr>
    </w:p>
    <w:tbl>
      <w:tblPr>
        <w:tblStyle w:val="TableGrid20"/>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873"/>
        <w:gridCol w:w="6703"/>
      </w:tblGrid>
      <w:tr w:rsidR="00B70CEE" w:rsidRPr="0000272B" w:rsidTr="0000272B">
        <w:trPr>
          <w:trHeight w:val="249"/>
        </w:trPr>
        <w:tc>
          <w:tcPr>
            <w:tcW w:w="1500" w:type="pct"/>
            <w:shd w:val="clear" w:color="auto" w:fill="auto"/>
          </w:tcPr>
          <w:p w:rsidR="00B70CEE" w:rsidRPr="0000272B" w:rsidRDefault="00B70CEE" w:rsidP="00B70CEE">
            <w:pPr>
              <w:spacing w:after="60"/>
              <w:jc w:val="left"/>
              <w:rPr>
                <w:rFonts w:ascii="Times New Roman" w:hAnsi="Times New Roman"/>
                <w:b/>
                <w:sz w:val="16"/>
                <w:szCs w:val="16"/>
                <w:lang w:val="en-CA"/>
              </w:rPr>
            </w:pPr>
            <w:r w:rsidRPr="0000272B">
              <w:rPr>
                <w:rFonts w:ascii="Times New Roman" w:hAnsi="Times New Roman"/>
                <w:b/>
                <w:sz w:val="16"/>
                <w:szCs w:val="16"/>
                <w:lang w:val="en-CA"/>
              </w:rPr>
              <w:t>Secretariat's recommendation:</w:t>
            </w:r>
          </w:p>
        </w:tc>
        <w:tc>
          <w:tcPr>
            <w:tcW w:w="3500" w:type="pct"/>
            <w:shd w:val="clear" w:color="auto" w:fill="auto"/>
          </w:tcPr>
          <w:p w:rsidR="00B70CEE" w:rsidRPr="0000272B" w:rsidRDefault="00B70CEE" w:rsidP="00B70CEE">
            <w:pPr>
              <w:spacing w:after="60"/>
              <w:jc w:val="center"/>
              <w:rPr>
                <w:rFonts w:ascii="Times New Roman" w:hAnsi="Times New Roman"/>
                <w:sz w:val="16"/>
                <w:szCs w:val="16"/>
                <w:lang w:val="en-CA"/>
              </w:rPr>
            </w:pPr>
            <w:r w:rsidRPr="0000272B">
              <w:rPr>
                <w:rFonts w:ascii="Times New Roman" w:hAnsi="Times New Roman"/>
                <w:sz w:val="16"/>
                <w:szCs w:val="16"/>
                <w:lang w:val="en-CA"/>
              </w:rPr>
              <w:t>Blanket approval</w:t>
            </w:r>
          </w:p>
        </w:tc>
      </w:tr>
    </w:tbl>
    <w:p w:rsidR="00056E84" w:rsidRDefault="00056E84" w:rsidP="00056E84">
      <w:pPr>
        <w:rPr>
          <w:lang w:val="en-CA"/>
        </w:rPr>
      </w:pPr>
    </w:p>
    <w:p w:rsidR="00572436" w:rsidRPr="00572436" w:rsidRDefault="00572436" w:rsidP="00572436">
      <w:pPr>
        <w:pStyle w:val="StyleHeader4Para4Left0Firstline0"/>
        <w:numPr>
          <w:ilvl w:val="0"/>
          <w:numId w:val="0"/>
        </w:numPr>
        <w:rPr>
          <w:lang w:val="en-CA"/>
        </w:rPr>
      </w:pPr>
      <w:r w:rsidRPr="00572436">
        <w:rPr>
          <w:lang w:val="en-CA"/>
        </w:rPr>
        <w:br w:type="page"/>
      </w:r>
    </w:p>
    <w:p w:rsidR="00572436" w:rsidRPr="003B0C6A" w:rsidRDefault="00572436" w:rsidP="003B0C6A">
      <w:pPr>
        <w:jc w:val="center"/>
        <w:rPr>
          <w:b/>
          <w:lang w:val="en-CA"/>
        </w:rPr>
      </w:pPr>
      <w:r w:rsidRPr="003B0C6A">
        <w:rPr>
          <w:b/>
          <w:lang w:val="en-CA"/>
        </w:rPr>
        <w:lastRenderedPageBreak/>
        <w:t>PROJECT DESCRIPTION</w:t>
      </w:r>
    </w:p>
    <w:p w:rsidR="00572436" w:rsidRPr="003B0C6A" w:rsidRDefault="00572436" w:rsidP="003B0C6A"/>
    <w:p w:rsidR="00572436" w:rsidRPr="003B0C6A" w:rsidRDefault="00120A0B" w:rsidP="003B0C6A">
      <w:pPr>
        <w:pStyle w:val="Heading1"/>
        <w:numPr>
          <w:ilvl w:val="0"/>
          <w:numId w:val="24"/>
        </w:numPr>
        <w:ind w:left="0" w:firstLine="0"/>
      </w:pPr>
      <w:r w:rsidRPr="003B0C6A">
        <w:t xml:space="preserve">On behalf of the Government of </w:t>
      </w:r>
      <w:r w:rsidR="00E23C3F" w:rsidRPr="003B0C6A">
        <w:t>Papua New Guinea</w:t>
      </w:r>
      <w:r w:rsidR="00884D06" w:rsidRPr="003B0C6A">
        <w:t xml:space="preserve">, </w:t>
      </w:r>
      <w:r w:rsidR="0000272B" w:rsidRPr="003B0C6A">
        <w:t xml:space="preserve">the Government of </w:t>
      </w:r>
      <w:r w:rsidR="0091273F" w:rsidRPr="003B0C6A">
        <w:t>Germany</w:t>
      </w:r>
      <w:r w:rsidRPr="003B0C6A">
        <w:t xml:space="preserve"> as the designated implementing agency, has submitted to the 77</w:t>
      </w:r>
      <w:r w:rsidRPr="003B0C6A">
        <w:rPr>
          <w:vertAlign w:val="superscript"/>
        </w:rPr>
        <w:t>th</w:t>
      </w:r>
      <w:r w:rsidR="00710C3F" w:rsidRPr="003B0C6A">
        <w:t xml:space="preserve"> </w:t>
      </w:r>
      <w:r w:rsidRPr="003B0C6A">
        <w:t xml:space="preserve">meeting a request for funding for the </w:t>
      </w:r>
      <w:r w:rsidR="00332AEE" w:rsidRPr="003B0C6A">
        <w:t>third</w:t>
      </w:r>
      <w:r w:rsidRPr="003B0C6A">
        <w:t xml:space="preserve"> tranche</w:t>
      </w:r>
      <w:r w:rsidR="00E86D8D" w:rsidRPr="003B0C6A">
        <w:t xml:space="preserve"> </w:t>
      </w:r>
      <w:r w:rsidRPr="003B0C6A">
        <w:t>of the HCFC phase-out management plan (HPMP)</w:t>
      </w:r>
      <w:r w:rsidR="00243167" w:rsidRPr="003B0C6A">
        <w:rPr>
          <w:vertAlign w:val="superscript"/>
        </w:rPr>
        <w:footnoteReference w:id="1"/>
      </w:r>
      <w:r w:rsidRPr="003B0C6A">
        <w:t>, at the amount of US $</w:t>
      </w:r>
      <w:r w:rsidR="00D82717" w:rsidRPr="003B0C6A">
        <w:t>301,000</w:t>
      </w:r>
      <w:r w:rsidRPr="003B0C6A">
        <w:t>, plus agency support costs of US </w:t>
      </w:r>
      <w:r w:rsidR="005B6F5A" w:rsidRPr="003B0C6A">
        <w:t xml:space="preserve">$35,518. </w:t>
      </w:r>
      <w:r w:rsidRPr="003B0C6A">
        <w:t xml:space="preserve">The submission includes a progress report on the implementation of the second tranche, the verification report on HCFC consumption and the tranche implementation plan for </w:t>
      </w:r>
      <w:r w:rsidR="00572436" w:rsidRPr="003B0C6A">
        <w:t>201</w:t>
      </w:r>
      <w:r w:rsidR="00BD0DEF" w:rsidRPr="003B0C6A">
        <w:t>7</w:t>
      </w:r>
      <w:r w:rsidR="00572436" w:rsidRPr="003B0C6A">
        <w:t xml:space="preserve"> to </w:t>
      </w:r>
      <w:r w:rsidR="00AA6ACA" w:rsidRPr="003B0C6A">
        <w:t>20</w:t>
      </w:r>
      <w:r w:rsidR="00647013" w:rsidRPr="003B0C6A">
        <w:t>20</w:t>
      </w:r>
      <w:r w:rsidR="00572436" w:rsidRPr="003B0C6A">
        <w:t>.</w:t>
      </w:r>
    </w:p>
    <w:p w:rsidR="00572436" w:rsidRPr="003B0C6A" w:rsidRDefault="00572436" w:rsidP="003B0C6A">
      <w:pPr>
        <w:rPr>
          <w:u w:val="single"/>
          <w:lang w:val="en-CA"/>
        </w:rPr>
      </w:pPr>
      <w:r w:rsidRPr="003B0C6A">
        <w:rPr>
          <w:u w:val="single"/>
          <w:lang w:val="en-CA"/>
        </w:rPr>
        <w:t>Report on HCFC consumption</w:t>
      </w:r>
    </w:p>
    <w:p w:rsidR="00572436" w:rsidRPr="003B0C6A" w:rsidRDefault="00572436" w:rsidP="003B0C6A">
      <w:pPr>
        <w:rPr>
          <w:lang w:val="en-CA"/>
        </w:rPr>
      </w:pPr>
    </w:p>
    <w:p w:rsidR="00572436" w:rsidRPr="003B0C6A" w:rsidRDefault="00572436" w:rsidP="003B0C6A">
      <w:pPr>
        <w:pStyle w:val="Heading1"/>
        <w:numPr>
          <w:ilvl w:val="0"/>
          <w:numId w:val="24"/>
        </w:numPr>
        <w:ind w:left="0" w:firstLine="0"/>
      </w:pPr>
      <w:r w:rsidRPr="003B0C6A">
        <w:t xml:space="preserve">The Government of </w:t>
      </w:r>
      <w:r w:rsidR="00E23C3F" w:rsidRPr="003B0C6A">
        <w:t xml:space="preserve">Papua New Guinea </w:t>
      </w:r>
      <w:r w:rsidRPr="003B0C6A">
        <w:t xml:space="preserve">reported a consumption of </w:t>
      </w:r>
      <w:r w:rsidR="007A05E0" w:rsidRPr="003B0C6A">
        <w:t>2.32</w:t>
      </w:r>
      <w:r w:rsidRPr="003B0C6A">
        <w:t> ODP tonnes of HCFC in 2015. The 2011-2015 HCFC consumption is shown in Table</w:t>
      </w:r>
      <w:r w:rsidR="00710C3F" w:rsidRPr="003B0C6A">
        <w:t xml:space="preserve"> </w:t>
      </w:r>
      <w:r w:rsidRPr="003B0C6A">
        <w:t>1.</w:t>
      </w:r>
    </w:p>
    <w:p w:rsidR="00572436" w:rsidRPr="003B0C6A" w:rsidRDefault="00572436" w:rsidP="003B0C6A">
      <w:pPr>
        <w:rPr>
          <w:b/>
          <w:lang w:val="en-CA"/>
        </w:rPr>
      </w:pPr>
      <w:proofErr w:type="gramStart"/>
      <w:r w:rsidRPr="003B0C6A">
        <w:rPr>
          <w:b/>
          <w:lang w:val="en-CA"/>
        </w:rPr>
        <w:t>Table 1.</w:t>
      </w:r>
      <w:proofErr w:type="gramEnd"/>
      <w:r w:rsidRPr="003B0C6A">
        <w:rPr>
          <w:b/>
          <w:lang w:val="en-CA"/>
        </w:rPr>
        <w:t xml:space="preserve"> HCFC consumption in </w:t>
      </w:r>
      <w:r w:rsidR="00E23C3F" w:rsidRPr="003B0C6A">
        <w:rPr>
          <w:b/>
          <w:lang w:val="en-CA"/>
        </w:rPr>
        <w:t xml:space="preserve">Papua New Guinea </w:t>
      </w:r>
      <w:r w:rsidRPr="003B0C6A">
        <w:rPr>
          <w:b/>
          <w:lang w:val="en-CA"/>
        </w:rPr>
        <w:t>(2011-2015 Article 7 data)</w:t>
      </w:r>
    </w:p>
    <w:tbl>
      <w:tblPr>
        <w:tblW w:w="5000" w:type="pct"/>
        <w:tblLook w:val="04A0" w:firstRow="1" w:lastRow="0" w:firstColumn="1" w:lastColumn="0" w:noHBand="0" w:noVBand="1"/>
      </w:tblPr>
      <w:tblGrid>
        <w:gridCol w:w="3027"/>
        <w:gridCol w:w="1081"/>
        <w:gridCol w:w="1081"/>
        <w:gridCol w:w="1081"/>
        <w:gridCol w:w="1081"/>
        <w:gridCol w:w="1080"/>
        <w:gridCol w:w="1080"/>
      </w:tblGrid>
      <w:tr w:rsidR="00FA363B" w:rsidRPr="003B0C6A" w:rsidTr="00D33DE3">
        <w:trPr>
          <w:tblHeader/>
        </w:trPr>
        <w:tc>
          <w:tcPr>
            <w:tcW w:w="159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A363B" w:rsidRPr="003B0C6A" w:rsidRDefault="00FA363B" w:rsidP="003B0C6A">
            <w:pPr>
              <w:widowControl w:val="0"/>
              <w:jc w:val="left"/>
              <w:rPr>
                <w:b/>
                <w:bCs/>
                <w:color w:val="000000"/>
                <w:sz w:val="20"/>
                <w:szCs w:val="20"/>
                <w:lang w:val="en-CA"/>
              </w:rPr>
            </w:pPr>
            <w:r w:rsidRPr="003B0C6A">
              <w:rPr>
                <w:b/>
                <w:bCs/>
                <w:color w:val="000000"/>
                <w:sz w:val="20"/>
                <w:szCs w:val="20"/>
                <w:lang w:val="en-CA"/>
              </w:rPr>
              <w:t>HCFC-22</w:t>
            </w: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rsidR="00FA363B" w:rsidRPr="003B0C6A" w:rsidRDefault="00FA363B" w:rsidP="003B0C6A">
            <w:pPr>
              <w:widowControl w:val="0"/>
              <w:jc w:val="center"/>
              <w:rPr>
                <w:b/>
                <w:bCs/>
                <w:color w:val="000000"/>
                <w:sz w:val="20"/>
                <w:szCs w:val="20"/>
                <w:lang w:val="en-CA"/>
              </w:rPr>
            </w:pPr>
            <w:r w:rsidRPr="003B0C6A">
              <w:rPr>
                <w:b/>
                <w:bCs/>
                <w:color w:val="000000"/>
                <w:sz w:val="20"/>
                <w:szCs w:val="20"/>
                <w:lang w:val="en-CA"/>
              </w:rPr>
              <w:t>2011</w:t>
            </w: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rsidR="00FA363B" w:rsidRPr="003B0C6A" w:rsidRDefault="00FA363B" w:rsidP="003B0C6A">
            <w:pPr>
              <w:widowControl w:val="0"/>
              <w:jc w:val="center"/>
              <w:rPr>
                <w:b/>
                <w:bCs/>
                <w:color w:val="000000"/>
                <w:sz w:val="20"/>
                <w:szCs w:val="20"/>
                <w:lang w:val="en-CA"/>
              </w:rPr>
            </w:pPr>
            <w:r w:rsidRPr="003B0C6A">
              <w:rPr>
                <w:b/>
                <w:bCs/>
                <w:color w:val="000000"/>
                <w:sz w:val="20"/>
                <w:szCs w:val="20"/>
                <w:lang w:val="en-CA"/>
              </w:rPr>
              <w:t>2012</w:t>
            </w:r>
          </w:p>
        </w:tc>
        <w:tc>
          <w:tcPr>
            <w:tcW w:w="568" w:type="pct"/>
            <w:tcBorders>
              <w:top w:val="single" w:sz="4" w:space="0" w:color="auto"/>
              <w:left w:val="nil"/>
              <w:bottom w:val="single" w:sz="4" w:space="0" w:color="auto"/>
              <w:right w:val="single" w:sz="4" w:space="0" w:color="auto"/>
            </w:tcBorders>
          </w:tcPr>
          <w:p w:rsidR="00FA363B" w:rsidRPr="003B0C6A" w:rsidRDefault="00FA363B" w:rsidP="003B0C6A">
            <w:pPr>
              <w:widowControl w:val="0"/>
              <w:jc w:val="center"/>
              <w:rPr>
                <w:b/>
                <w:bCs/>
                <w:color w:val="000000"/>
                <w:sz w:val="20"/>
                <w:szCs w:val="20"/>
                <w:lang w:val="en-CA"/>
              </w:rPr>
            </w:pPr>
            <w:r w:rsidRPr="003B0C6A">
              <w:rPr>
                <w:b/>
                <w:bCs/>
                <w:color w:val="000000"/>
                <w:sz w:val="20"/>
                <w:szCs w:val="20"/>
                <w:lang w:val="en-CA"/>
              </w:rPr>
              <w:t>2013</w:t>
            </w:r>
          </w:p>
        </w:tc>
        <w:tc>
          <w:tcPr>
            <w:tcW w:w="568" w:type="pct"/>
            <w:tcBorders>
              <w:top w:val="single" w:sz="4" w:space="0" w:color="auto"/>
              <w:left w:val="single" w:sz="4" w:space="0" w:color="auto"/>
              <w:bottom w:val="single" w:sz="4" w:space="0" w:color="auto"/>
              <w:right w:val="single" w:sz="4" w:space="0" w:color="auto"/>
            </w:tcBorders>
          </w:tcPr>
          <w:p w:rsidR="00FA363B" w:rsidRPr="003B0C6A" w:rsidRDefault="00FA363B" w:rsidP="003B0C6A">
            <w:pPr>
              <w:widowControl w:val="0"/>
              <w:jc w:val="center"/>
              <w:rPr>
                <w:b/>
                <w:bCs/>
                <w:color w:val="000000"/>
                <w:sz w:val="20"/>
                <w:szCs w:val="20"/>
                <w:lang w:val="en-CA"/>
              </w:rPr>
            </w:pPr>
            <w:r w:rsidRPr="003B0C6A">
              <w:rPr>
                <w:b/>
                <w:bCs/>
                <w:color w:val="000000"/>
                <w:sz w:val="20"/>
                <w:szCs w:val="20"/>
                <w:lang w:val="en-CA"/>
              </w:rPr>
              <w:t>2014</w:t>
            </w:r>
          </w:p>
        </w:tc>
        <w:tc>
          <w:tcPr>
            <w:tcW w:w="568" w:type="pct"/>
            <w:tcBorders>
              <w:top w:val="single" w:sz="4" w:space="0" w:color="auto"/>
              <w:left w:val="single" w:sz="4" w:space="0" w:color="auto"/>
              <w:bottom w:val="single" w:sz="4" w:space="0" w:color="auto"/>
              <w:right w:val="single" w:sz="4" w:space="0" w:color="auto"/>
            </w:tcBorders>
          </w:tcPr>
          <w:p w:rsidR="00FA363B" w:rsidRPr="003B0C6A" w:rsidRDefault="00FA363B" w:rsidP="003B0C6A">
            <w:pPr>
              <w:widowControl w:val="0"/>
              <w:jc w:val="center"/>
              <w:rPr>
                <w:b/>
                <w:bCs/>
                <w:color w:val="000000"/>
                <w:sz w:val="20"/>
                <w:szCs w:val="20"/>
                <w:lang w:val="en-CA"/>
              </w:rPr>
            </w:pPr>
            <w:r w:rsidRPr="003B0C6A">
              <w:rPr>
                <w:b/>
                <w:bCs/>
                <w:color w:val="000000"/>
                <w:sz w:val="20"/>
                <w:szCs w:val="20"/>
                <w:lang w:val="en-CA"/>
              </w:rPr>
              <w:t>2015</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363B" w:rsidRPr="003B0C6A" w:rsidRDefault="00FA363B" w:rsidP="003B0C6A">
            <w:pPr>
              <w:widowControl w:val="0"/>
              <w:jc w:val="center"/>
              <w:rPr>
                <w:b/>
                <w:bCs/>
                <w:color w:val="000000"/>
                <w:sz w:val="20"/>
                <w:szCs w:val="20"/>
                <w:lang w:val="en-CA"/>
              </w:rPr>
            </w:pPr>
            <w:r w:rsidRPr="003B0C6A">
              <w:rPr>
                <w:b/>
                <w:bCs/>
                <w:color w:val="000000"/>
                <w:sz w:val="20"/>
                <w:szCs w:val="20"/>
                <w:lang w:val="en-CA"/>
              </w:rPr>
              <w:t>Baseline</w:t>
            </w:r>
          </w:p>
        </w:tc>
      </w:tr>
      <w:tr w:rsidR="0021507E" w:rsidRPr="003B0C6A" w:rsidTr="00D33DE3">
        <w:tc>
          <w:tcPr>
            <w:tcW w:w="159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rsidR="00FA363B" w:rsidRPr="003B0C6A" w:rsidRDefault="00FA363B" w:rsidP="003B0C6A">
            <w:pPr>
              <w:widowControl w:val="0"/>
              <w:jc w:val="left"/>
              <w:rPr>
                <w:color w:val="000000"/>
                <w:sz w:val="20"/>
                <w:szCs w:val="20"/>
                <w:lang w:val="en-CA"/>
              </w:rPr>
            </w:pPr>
            <w:r w:rsidRPr="003B0C6A">
              <w:rPr>
                <w:color w:val="000000"/>
                <w:sz w:val="20"/>
                <w:szCs w:val="20"/>
                <w:lang w:val="en-CA"/>
              </w:rPr>
              <w:t>Metric tonnes</w:t>
            </w:r>
          </w:p>
        </w:tc>
        <w:tc>
          <w:tcPr>
            <w:tcW w:w="568" w:type="pct"/>
            <w:tcBorders>
              <w:top w:val="nil"/>
              <w:left w:val="nil"/>
              <w:bottom w:val="single" w:sz="4" w:space="0" w:color="auto"/>
              <w:right w:val="single" w:sz="4" w:space="0" w:color="auto"/>
            </w:tcBorders>
            <w:shd w:val="clear" w:color="auto" w:fill="FFFFFF" w:themeFill="background1"/>
            <w:noWrap/>
          </w:tcPr>
          <w:p w:rsidR="00FA363B" w:rsidRPr="003B0C6A" w:rsidRDefault="00FA363B" w:rsidP="003B0C6A">
            <w:pPr>
              <w:jc w:val="right"/>
              <w:rPr>
                <w:sz w:val="20"/>
                <w:szCs w:val="20"/>
              </w:rPr>
            </w:pPr>
            <w:r w:rsidRPr="003B0C6A">
              <w:rPr>
                <w:color w:val="000000"/>
                <w:sz w:val="20"/>
                <w:szCs w:val="20"/>
              </w:rPr>
              <w:t>30.81</w:t>
            </w:r>
          </w:p>
        </w:tc>
        <w:tc>
          <w:tcPr>
            <w:tcW w:w="568" w:type="pct"/>
            <w:tcBorders>
              <w:top w:val="nil"/>
              <w:left w:val="nil"/>
              <w:bottom w:val="single" w:sz="4" w:space="0" w:color="auto"/>
              <w:right w:val="single" w:sz="4" w:space="0" w:color="auto"/>
            </w:tcBorders>
            <w:shd w:val="clear" w:color="auto" w:fill="FFFFFF" w:themeFill="background1"/>
            <w:noWrap/>
          </w:tcPr>
          <w:p w:rsidR="00FA363B" w:rsidRPr="003B0C6A" w:rsidRDefault="00FA363B" w:rsidP="003B0C6A">
            <w:pPr>
              <w:jc w:val="right"/>
              <w:rPr>
                <w:color w:val="000000"/>
                <w:sz w:val="20"/>
                <w:szCs w:val="20"/>
              </w:rPr>
            </w:pPr>
            <w:r w:rsidRPr="003B0C6A">
              <w:rPr>
                <w:color w:val="000000"/>
                <w:sz w:val="20"/>
                <w:szCs w:val="20"/>
              </w:rPr>
              <w:t>55.71</w:t>
            </w:r>
          </w:p>
        </w:tc>
        <w:tc>
          <w:tcPr>
            <w:tcW w:w="568" w:type="pct"/>
            <w:tcBorders>
              <w:top w:val="single" w:sz="4" w:space="0" w:color="auto"/>
              <w:left w:val="nil"/>
              <w:bottom w:val="single" w:sz="4" w:space="0" w:color="auto"/>
              <w:right w:val="single" w:sz="4" w:space="0" w:color="auto"/>
            </w:tcBorders>
            <w:shd w:val="clear" w:color="auto" w:fill="FFFFFF" w:themeFill="background1"/>
          </w:tcPr>
          <w:p w:rsidR="00FA363B" w:rsidRPr="003B0C6A" w:rsidRDefault="00D15DB5" w:rsidP="003B0C6A">
            <w:pPr>
              <w:jc w:val="right"/>
              <w:rPr>
                <w:color w:val="000000"/>
                <w:sz w:val="20"/>
                <w:szCs w:val="20"/>
              </w:rPr>
            </w:pPr>
            <w:r w:rsidRPr="003B0C6A">
              <w:rPr>
                <w:color w:val="000000"/>
                <w:sz w:val="20"/>
                <w:szCs w:val="20"/>
              </w:rPr>
              <w:t>54.95</w:t>
            </w:r>
          </w:p>
        </w:tc>
        <w:tc>
          <w:tcPr>
            <w:tcW w:w="568" w:type="pct"/>
            <w:tcBorders>
              <w:top w:val="nil"/>
              <w:left w:val="single" w:sz="4" w:space="0" w:color="auto"/>
              <w:bottom w:val="single" w:sz="4" w:space="0" w:color="auto"/>
              <w:right w:val="single" w:sz="4" w:space="0" w:color="auto"/>
            </w:tcBorders>
            <w:shd w:val="clear" w:color="auto" w:fill="FFFFFF" w:themeFill="background1"/>
          </w:tcPr>
          <w:p w:rsidR="00FA363B" w:rsidRPr="003B0C6A" w:rsidRDefault="004039AD" w:rsidP="003B0C6A">
            <w:pPr>
              <w:jc w:val="right"/>
              <w:rPr>
                <w:color w:val="000000"/>
                <w:sz w:val="20"/>
                <w:szCs w:val="20"/>
              </w:rPr>
            </w:pPr>
            <w:r w:rsidRPr="003B0C6A">
              <w:rPr>
                <w:color w:val="000000"/>
                <w:sz w:val="20"/>
                <w:szCs w:val="20"/>
              </w:rPr>
              <w:t>52.2</w:t>
            </w:r>
          </w:p>
        </w:tc>
        <w:tc>
          <w:tcPr>
            <w:tcW w:w="568" w:type="pct"/>
            <w:tcBorders>
              <w:top w:val="nil"/>
              <w:left w:val="single" w:sz="4" w:space="0" w:color="auto"/>
              <w:bottom w:val="single" w:sz="4" w:space="0" w:color="auto"/>
              <w:right w:val="single" w:sz="4" w:space="0" w:color="auto"/>
            </w:tcBorders>
            <w:shd w:val="clear" w:color="auto" w:fill="FFFFFF" w:themeFill="background1"/>
          </w:tcPr>
          <w:p w:rsidR="00FA363B" w:rsidRPr="003B0C6A" w:rsidRDefault="00033302" w:rsidP="003B0C6A">
            <w:pPr>
              <w:widowControl w:val="0"/>
              <w:jc w:val="right"/>
              <w:rPr>
                <w:color w:val="000000"/>
                <w:sz w:val="20"/>
                <w:szCs w:val="20"/>
                <w:lang w:val="en-CA"/>
              </w:rPr>
            </w:pPr>
            <w:r w:rsidRPr="003B0C6A">
              <w:rPr>
                <w:color w:val="000000"/>
                <w:sz w:val="20"/>
                <w:szCs w:val="20"/>
                <w:lang w:val="en-CA"/>
              </w:rPr>
              <w:t>42.2</w:t>
            </w:r>
          </w:p>
        </w:tc>
        <w:tc>
          <w:tcPr>
            <w:tcW w:w="568" w:type="pct"/>
            <w:tcBorders>
              <w:top w:val="nil"/>
              <w:left w:val="single" w:sz="4" w:space="0" w:color="auto"/>
              <w:bottom w:val="single" w:sz="4" w:space="0" w:color="auto"/>
              <w:right w:val="single" w:sz="4" w:space="0" w:color="auto"/>
            </w:tcBorders>
            <w:shd w:val="clear" w:color="auto" w:fill="FFFFFF" w:themeFill="background1"/>
            <w:noWrap/>
          </w:tcPr>
          <w:p w:rsidR="00FA363B" w:rsidRPr="003B0C6A" w:rsidRDefault="00D60CCA" w:rsidP="003B0C6A">
            <w:pPr>
              <w:jc w:val="right"/>
              <w:rPr>
                <w:sz w:val="20"/>
                <w:szCs w:val="20"/>
              </w:rPr>
            </w:pPr>
            <w:r w:rsidRPr="003B0C6A">
              <w:rPr>
                <w:sz w:val="20"/>
                <w:szCs w:val="20"/>
              </w:rPr>
              <w:t>60</w:t>
            </w:r>
          </w:p>
        </w:tc>
      </w:tr>
      <w:tr w:rsidR="0021507E" w:rsidRPr="003B0C6A" w:rsidTr="00D33DE3">
        <w:tc>
          <w:tcPr>
            <w:tcW w:w="159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A363B" w:rsidRPr="003B0C6A" w:rsidRDefault="00FA363B" w:rsidP="003B0C6A">
            <w:pPr>
              <w:widowControl w:val="0"/>
              <w:jc w:val="left"/>
              <w:rPr>
                <w:bCs/>
                <w:color w:val="000000"/>
                <w:sz w:val="20"/>
                <w:szCs w:val="20"/>
                <w:lang w:val="en-CA"/>
              </w:rPr>
            </w:pPr>
            <w:r w:rsidRPr="003B0C6A">
              <w:rPr>
                <w:bCs/>
                <w:color w:val="000000"/>
                <w:sz w:val="20"/>
                <w:szCs w:val="20"/>
                <w:lang w:val="en-CA"/>
              </w:rPr>
              <w:t>ODP tonnes</w:t>
            </w:r>
          </w:p>
        </w:tc>
        <w:tc>
          <w:tcPr>
            <w:tcW w:w="568" w:type="pct"/>
            <w:tcBorders>
              <w:top w:val="nil"/>
              <w:left w:val="nil"/>
              <w:bottom w:val="single" w:sz="4" w:space="0" w:color="auto"/>
              <w:right w:val="single" w:sz="4" w:space="0" w:color="auto"/>
            </w:tcBorders>
            <w:shd w:val="clear" w:color="auto" w:fill="FFFFFF" w:themeFill="background1"/>
            <w:noWrap/>
            <w:vAlign w:val="center"/>
            <w:hideMark/>
          </w:tcPr>
          <w:p w:rsidR="00FA363B" w:rsidRPr="003B0C6A" w:rsidRDefault="00FA363B" w:rsidP="003B0C6A">
            <w:pPr>
              <w:widowControl w:val="0"/>
              <w:jc w:val="right"/>
              <w:rPr>
                <w:color w:val="000000"/>
                <w:sz w:val="20"/>
                <w:szCs w:val="20"/>
              </w:rPr>
            </w:pPr>
            <w:r w:rsidRPr="003B0C6A">
              <w:rPr>
                <w:sz w:val="20"/>
                <w:szCs w:val="20"/>
              </w:rPr>
              <w:t>1.69</w:t>
            </w:r>
          </w:p>
        </w:tc>
        <w:tc>
          <w:tcPr>
            <w:tcW w:w="568" w:type="pct"/>
            <w:tcBorders>
              <w:top w:val="nil"/>
              <w:left w:val="nil"/>
              <w:bottom w:val="single" w:sz="4" w:space="0" w:color="auto"/>
              <w:right w:val="single" w:sz="4" w:space="0" w:color="auto"/>
            </w:tcBorders>
            <w:shd w:val="clear" w:color="auto" w:fill="FFFFFF" w:themeFill="background1"/>
            <w:noWrap/>
            <w:vAlign w:val="center"/>
          </w:tcPr>
          <w:p w:rsidR="00FA363B" w:rsidRPr="003B0C6A" w:rsidRDefault="00FA363B" w:rsidP="003B0C6A">
            <w:pPr>
              <w:widowControl w:val="0"/>
              <w:jc w:val="right"/>
              <w:rPr>
                <w:color w:val="000000"/>
                <w:sz w:val="20"/>
                <w:szCs w:val="20"/>
              </w:rPr>
            </w:pPr>
            <w:r w:rsidRPr="003B0C6A">
              <w:rPr>
                <w:color w:val="000000"/>
                <w:sz w:val="20"/>
                <w:szCs w:val="20"/>
              </w:rPr>
              <w:t>3.06</w:t>
            </w:r>
          </w:p>
        </w:tc>
        <w:tc>
          <w:tcPr>
            <w:tcW w:w="568" w:type="pct"/>
            <w:tcBorders>
              <w:top w:val="single" w:sz="4" w:space="0" w:color="auto"/>
              <w:left w:val="nil"/>
              <w:bottom w:val="single" w:sz="4" w:space="0" w:color="auto"/>
              <w:right w:val="single" w:sz="4" w:space="0" w:color="auto"/>
            </w:tcBorders>
            <w:shd w:val="clear" w:color="auto" w:fill="FFFFFF" w:themeFill="background1"/>
          </w:tcPr>
          <w:p w:rsidR="00FA363B" w:rsidRPr="003B0C6A" w:rsidRDefault="00FA363B" w:rsidP="003B0C6A">
            <w:pPr>
              <w:widowControl w:val="0"/>
              <w:jc w:val="right"/>
              <w:rPr>
                <w:color w:val="000000"/>
                <w:sz w:val="20"/>
                <w:szCs w:val="20"/>
              </w:rPr>
            </w:pPr>
            <w:r w:rsidRPr="003B0C6A">
              <w:rPr>
                <w:color w:val="000000"/>
                <w:sz w:val="20"/>
                <w:szCs w:val="20"/>
              </w:rPr>
              <w:t>3.02</w:t>
            </w:r>
          </w:p>
        </w:tc>
        <w:tc>
          <w:tcPr>
            <w:tcW w:w="568" w:type="pct"/>
            <w:tcBorders>
              <w:top w:val="nil"/>
              <w:left w:val="single" w:sz="4" w:space="0" w:color="auto"/>
              <w:bottom w:val="single" w:sz="4" w:space="0" w:color="auto"/>
              <w:right w:val="single" w:sz="4" w:space="0" w:color="auto"/>
            </w:tcBorders>
            <w:shd w:val="clear" w:color="auto" w:fill="FFFFFF" w:themeFill="background1"/>
          </w:tcPr>
          <w:p w:rsidR="00FA363B" w:rsidRPr="003B0C6A" w:rsidRDefault="00D82717" w:rsidP="003B0C6A">
            <w:pPr>
              <w:widowControl w:val="0"/>
              <w:jc w:val="right"/>
              <w:rPr>
                <w:sz w:val="20"/>
                <w:szCs w:val="20"/>
              </w:rPr>
            </w:pPr>
            <w:r w:rsidRPr="003B0C6A">
              <w:rPr>
                <w:sz w:val="20"/>
                <w:szCs w:val="20"/>
              </w:rPr>
              <w:t>2.87</w:t>
            </w:r>
          </w:p>
        </w:tc>
        <w:tc>
          <w:tcPr>
            <w:tcW w:w="568" w:type="pct"/>
            <w:tcBorders>
              <w:top w:val="nil"/>
              <w:left w:val="single" w:sz="4" w:space="0" w:color="auto"/>
              <w:bottom w:val="single" w:sz="4" w:space="0" w:color="auto"/>
              <w:right w:val="single" w:sz="4" w:space="0" w:color="auto"/>
            </w:tcBorders>
            <w:shd w:val="clear" w:color="auto" w:fill="FFFFFF" w:themeFill="background1"/>
          </w:tcPr>
          <w:p w:rsidR="00FA363B" w:rsidRPr="003B0C6A" w:rsidRDefault="00963825" w:rsidP="003B0C6A">
            <w:pPr>
              <w:widowControl w:val="0"/>
              <w:jc w:val="right"/>
              <w:rPr>
                <w:color w:val="000000"/>
                <w:sz w:val="20"/>
                <w:szCs w:val="20"/>
                <w:lang w:val="en-CA"/>
              </w:rPr>
            </w:pPr>
            <w:r w:rsidRPr="003B0C6A">
              <w:rPr>
                <w:color w:val="000000"/>
                <w:sz w:val="20"/>
                <w:szCs w:val="20"/>
                <w:lang w:val="en-CA"/>
              </w:rPr>
              <w:t>2.32</w:t>
            </w:r>
          </w:p>
        </w:tc>
        <w:tc>
          <w:tcPr>
            <w:tcW w:w="568" w:type="pct"/>
            <w:tcBorders>
              <w:top w:val="nil"/>
              <w:left w:val="single" w:sz="4" w:space="0" w:color="auto"/>
              <w:bottom w:val="single" w:sz="4" w:space="0" w:color="auto"/>
              <w:right w:val="single" w:sz="4" w:space="0" w:color="auto"/>
            </w:tcBorders>
            <w:shd w:val="clear" w:color="auto" w:fill="FFFFFF" w:themeFill="background1"/>
            <w:noWrap/>
            <w:vAlign w:val="center"/>
          </w:tcPr>
          <w:p w:rsidR="00FA363B" w:rsidRPr="003B0C6A" w:rsidRDefault="00A02312" w:rsidP="003B0C6A">
            <w:pPr>
              <w:widowControl w:val="0"/>
              <w:jc w:val="right"/>
              <w:rPr>
                <w:color w:val="000000"/>
                <w:sz w:val="20"/>
                <w:szCs w:val="20"/>
                <w:highlight w:val="yellow"/>
              </w:rPr>
            </w:pPr>
            <w:r w:rsidRPr="003B0C6A">
              <w:rPr>
                <w:color w:val="000000"/>
                <w:sz w:val="20"/>
                <w:szCs w:val="20"/>
              </w:rPr>
              <w:t>3.3</w:t>
            </w:r>
          </w:p>
        </w:tc>
      </w:tr>
    </w:tbl>
    <w:p w:rsidR="00572436" w:rsidRPr="003B0C6A" w:rsidRDefault="00572436" w:rsidP="003B0C6A">
      <w:pPr>
        <w:rPr>
          <w:lang w:val="en-CA"/>
        </w:rPr>
      </w:pPr>
    </w:p>
    <w:p w:rsidR="009C1AA3" w:rsidRPr="003B0C6A" w:rsidRDefault="0000272B" w:rsidP="003B0C6A">
      <w:pPr>
        <w:pStyle w:val="Heading1"/>
        <w:numPr>
          <w:ilvl w:val="0"/>
          <w:numId w:val="24"/>
        </w:numPr>
        <w:ind w:left="0" w:firstLine="0"/>
      </w:pPr>
      <w:r w:rsidRPr="003B0C6A">
        <w:t xml:space="preserve">The country’s HCFC consumption consists primarily of HCFC-22 used solely in the servicing sector. </w:t>
      </w:r>
      <w:r w:rsidR="009C1AA3" w:rsidRPr="003B0C6A">
        <w:t xml:space="preserve">HCFC consumption in Papua New Guinea has been decreasing since 2013 as a result of the activities </w:t>
      </w:r>
      <w:r w:rsidRPr="003B0C6A">
        <w:t xml:space="preserve">in the refrigeration servicing sector </w:t>
      </w:r>
      <w:r w:rsidR="009C1AA3" w:rsidRPr="003B0C6A">
        <w:t xml:space="preserve">implemented in the HPMP, </w:t>
      </w:r>
      <w:r w:rsidRPr="003B0C6A">
        <w:t xml:space="preserve">and the implementation of the import/export </w:t>
      </w:r>
      <w:r w:rsidR="009C1AA3" w:rsidRPr="003B0C6A">
        <w:t xml:space="preserve">quota system </w:t>
      </w:r>
      <w:r w:rsidRPr="003B0C6A">
        <w:t>by the Government</w:t>
      </w:r>
      <w:r w:rsidR="009C1AA3" w:rsidRPr="003B0C6A">
        <w:t>.</w:t>
      </w:r>
    </w:p>
    <w:p w:rsidR="00572436" w:rsidRPr="003B0C6A" w:rsidRDefault="00572436" w:rsidP="003B0C6A">
      <w:pPr>
        <w:rPr>
          <w:i/>
          <w:lang w:val="en-CA"/>
        </w:rPr>
      </w:pPr>
      <w:r w:rsidRPr="003B0C6A">
        <w:rPr>
          <w:i/>
          <w:lang w:val="en-CA"/>
        </w:rPr>
        <w:t>Verification report</w:t>
      </w:r>
    </w:p>
    <w:p w:rsidR="009C1AA3" w:rsidRPr="003B0C6A" w:rsidRDefault="009C1AA3" w:rsidP="003B0C6A">
      <w:pPr>
        <w:rPr>
          <w:lang w:val="en-CA"/>
        </w:rPr>
      </w:pPr>
    </w:p>
    <w:p w:rsidR="009C1AA3" w:rsidRPr="003B0C6A" w:rsidRDefault="009F07A1" w:rsidP="003B0C6A">
      <w:pPr>
        <w:pStyle w:val="Heading1"/>
        <w:numPr>
          <w:ilvl w:val="0"/>
          <w:numId w:val="24"/>
        </w:numPr>
        <w:ind w:left="0" w:firstLine="0"/>
        <w:rPr>
          <w:lang w:val="en-CA"/>
        </w:rPr>
      </w:pPr>
      <w:r w:rsidRPr="003B0C6A">
        <w:rPr>
          <w:lang w:val="en-CA"/>
        </w:rPr>
        <w:t xml:space="preserve">The verification report confirmed that the Government is implementing a licensing and quota system for HCFC imports and exports and that the consumption of HCFCs for 2015 </w:t>
      </w:r>
      <w:r w:rsidR="00F35758" w:rsidRPr="003B0C6A">
        <w:rPr>
          <w:lang w:val="en-CA"/>
        </w:rPr>
        <w:t xml:space="preserve">of </w:t>
      </w:r>
      <w:r w:rsidR="00A07D2E" w:rsidRPr="003B0C6A">
        <w:rPr>
          <w:lang w:val="en-CA"/>
        </w:rPr>
        <w:t>2.32</w:t>
      </w:r>
      <w:r w:rsidRPr="003B0C6A">
        <w:rPr>
          <w:lang w:val="en-CA"/>
        </w:rPr>
        <w:t> ODP tonnes</w:t>
      </w:r>
      <w:r w:rsidR="009C1AA3" w:rsidRPr="003B0C6A">
        <w:rPr>
          <w:lang w:val="en-CA"/>
        </w:rPr>
        <w:t xml:space="preserve"> was in compliance with the Montreal Protocol and with the targets established in the Agreement between the Government of Papua New Guinea and the Executive Committee.</w:t>
      </w:r>
    </w:p>
    <w:p w:rsidR="00572436" w:rsidRPr="003B0C6A" w:rsidRDefault="00572436" w:rsidP="003B0C6A">
      <w:pPr>
        <w:rPr>
          <w:i/>
          <w:lang w:val="en-CA"/>
        </w:rPr>
      </w:pPr>
      <w:r w:rsidRPr="003B0C6A">
        <w:rPr>
          <w:i/>
          <w:lang w:val="en-CA"/>
        </w:rPr>
        <w:t>Country programme (CP) implementation report</w:t>
      </w:r>
    </w:p>
    <w:p w:rsidR="00572436" w:rsidRPr="003B0C6A" w:rsidRDefault="00572436" w:rsidP="003B0C6A">
      <w:pPr>
        <w:rPr>
          <w:lang w:val="en-CA"/>
        </w:rPr>
      </w:pPr>
    </w:p>
    <w:p w:rsidR="00572436" w:rsidRPr="003B0C6A" w:rsidRDefault="00572436" w:rsidP="003B0C6A">
      <w:pPr>
        <w:pStyle w:val="Heading1"/>
        <w:numPr>
          <w:ilvl w:val="0"/>
          <w:numId w:val="24"/>
        </w:numPr>
        <w:ind w:left="0" w:firstLine="0"/>
        <w:rPr>
          <w:lang w:val="en-CA"/>
        </w:rPr>
      </w:pPr>
      <w:r w:rsidRPr="003B0C6A">
        <w:rPr>
          <w:lang w:val="en-CA"/>
        </w:rPr>
        <w:t xml:space="preserve">The Government of </w:t>
      </w:r>
      <w:r w:rsidR="00E23C3F" w:rsidRPr="003B0C6A">
        <w:rPr>
          <w:lang w:val="en-CA"/>
        </w:rPr>
        <w:t xml:space="preserve">Papua New Guinea </w:t>
      </w:r>
      <w:r w:rsidRPr="003B0C6A">
        <w:rPr>
          <w:lang w:val="en-CA"/>
        </w:rPr>
        <w:t>reported HCFC sector consumption data under the 201</w:t>
      </w:r>
      <w:r w:rsidR="001A2FBE" w:rsidRPr="003B0C6A">
        <w:rPr>
          <w:lang w:val="en-CA"/>
        </w:rPr>
        <w:t>5</w:t>
      </w:r>
      <w:r w:rsidRPr="003B0C6A">
        <w:rPr>
          <w:lang w:val="en-CA"/>
        </w:rPr>
        <w:t> CP implementation report which is consistent with the data reported under Article 7</w:t>
      </w:r>
      <w:r w:rsidR="00F35758" w:rsidRPr="003B0C6A">
        <w:rPr>
          <w:lang w:val="en-CA"/>
        </w:rPr>
        <w:t xml:space="preserve"> of the Montreal Protocol</w:t>
      </w:r>
      <w:r w:rsidRPr="003B0C6A">
        <w:rPr>
          <w:lang w:val="en-CA"/>
        </w:rPr>
        <w:t>.</w:t>
      </w:r>
    </w:p>
    <w:p w:rsidR="0083048C" w:rsidRPr="003B0C6A" w:rsidRDefault="0083048C" w:rsidP="003B0C6A">
      <w:pPr>
        <w:rPr>
          <w:u w:val="single"/>
          <w:lang w:val="en-CA"/>
        </w:rPr>
      </w:pPr>
      <w:r w:rsidRPr="003B0C6A">
        <w:rPr>
          <w:u w:val="single"/>
          <w:lang w:val="en-CA"/>
        </w:rPr>
        <w:t xml:space="preserve">Progress report on the implementation of the </w:t>
      </w:r>
      <w:r w:rsidR="00A615CE" w:rsidRPr="003B0C6A">
        <w:rPr>
          <w:u w:val="single"/>
          <w:lang w:val="en-CA"/>
        </w:rPr>
        <w:t>second</w:t>
      </w:r>
      <w:r w:rsidRPr="003B0C6A">
        <w:rPr>
          <w:u w:val="single"/>
          <w:lang w:val="en-CA"/>
        </w:rPr>
        <w:t xml:space="preserve"> tranche of the HPMP</w:t>
      </w:r>
    </w:p>
    <w:p w:rsidR="00E00108" w:rsidRPr="003B0C6A" w:rsidRDefault="00E00108" w:rsidP="003B0C6A">
      <w:pPr>
        <w:rPr>
          <w:u w:val="single"/>
          <w:lang w:val="en-CA"/>
        </w:rPr>
      </w:pPr>
    </w:p>
    <w:p w:rsidR="009957E1" w:rsidRPr="003B0C6A" w:rsidRDefault="009957E1" w:rsidP="003B0C6A">
      <w:pPr>
        <w:rPr>
          <w:i/>
        </w:rPr>
      </w:pPr>
      <w:r w:rsidRPr="003B0C6A">
        <w:rPr>
          <w:i/>
        </w:rPr>
        <w:t>Legal framework</w:t>
      </w:r>
      <w:r w:rsidR="009C5BFC" w:rsidRPr="003B0C6A">
        <w:rPr>
          <w:i/>
        </w:rPr>
        <w:t xml:space="preserve"> and institutional strengthening</w:t>
      </w:r>
    </w:p>
    <w:p w:rsidR="009957E1" w:rsidRPr="003B0C6A" w:rsidRDefault="009957E1" w:rsidP="003B0C6A">
      <w:pPr>
        <w:rPr>
          <w:i/>
        </w:rPr>
      </w:pPr>
    </w:p>
    <w:p w:rsidR="009957E1" w:rsidRPr="003B0C6A" w:rsidRDefault="009957E1" w:rsidP="003B0C6A">
      <w:pPr>
        <w:pStyle w:val="Heading1"/>
        <w:numPr>
          <w:ilvl w:val="0"/>
          <w:numId w:val="24"/>
        </w:numPr>
        <w:ind w:left="0" w:firstLine="0"/>
      </w:pPr>
      <w:r w:rsidRPr="003B0C6A">
        <w:t xml:space="preserve">The Government of Papua New Guinea is </w:t>
      </w:r>
      <w:r w:rsidR="00CF246A" w:rsidRPr="003B0C6A">
        <w:t>amending</w:t>
      </w:r>
      <w:r w:rsidRPr="003B0C6A">
        <w:t xml:space="preserve"> their current ozone regulation to include a ban on the import of </w:t>
      </w:r>
      <w:r w:rsidR="00DA15AC" w:rsidRPr="003B0C6A">
        <w:t xml:space="preserve">HCFC-based </w:t>
      </w:r>
      <w:r w:rsidRPr="003B0C6A">
        <w:t>equipment</w:t>
      </w:r>
      <w:r w:rsidR="004E4DB2" w:rsidRPr="003B0C6A">
        <w:t xml:space="preserve"> (by mid-2017)</w:t>
      </w:r>
      <w:r w:rsidRPr="003B0C6A">
        <w:t xml:space="preserve"> and the inclusion of </w:t>
      </w:r>
      <w:r w:rsidR="006A10F4" w:rsidRPr="003B0C6A">
        <w:t>hydrofluorocarbons (</w:t>
      </w:r>
      <w:r w:rsidRPr="003B0C6A">
        <w:t>HFC</w:t>
      </w:r>
      <w:r w:rsidR="006A10F4" w:rsidRPr="003B0C6A">
        <w:t>)</w:t>
      </w:r>
      <w:r w:rsidRPr="003B0C6A">
        <w:t xml:space="preserve"> in the country’s licensing system</w:t>
      </w:r>
      <w:r w:rsidR="004E4DB2" w:rsidRPr="003B0C6A">
        <w:t xml:space="preserve"> (by beginning of 2018)</w:t>
      </w:r>
      <w:r w:rsidRPr="003B0C6A">
        <w:t xml:space="preserve">. </w:t>
      </w:r>
      <w:r w:rsidR="002B4E1A" w:rsidRPr="003B0C6A">
        <w:t xml:space="preserve">The revised </w:t>
      </w:r>
      <w:r w:rsidRPr="003B0C6A">
        <w:t xml:space="preserve">regulation </w:t>
      </w:r>
      <w:r w:rsidR="009D7E50" w:rsidRPr="003B0C6A">
        <w:t xml:space="preserve">will be published </w:t>
      </w:r>
      <w:r w:rsidR="004451C3" w:rsidRPr="003B0C6A">
        <w:t xml:space="preserve">in </w:t>
      </w:r>
      <w:r w:rsidR="009D7E50" w:rsidRPr="003B0C6A">
        <w:t xml:space="preserve">the National Gazette once approved. </w:t>
      </w:r>
    </w:p>
    <w:p w:rsidR="002B4E1A" w:rsidRPr="003B0C6A" w:rsidRDefault="00760EF3" w:rsidP="003B0C6A">
      <w:pPr>
        <w:pStyle w:val="Heading1"/>
        <w:numPr>
          <w:ilvl w:val="0"/>
          <w:numId w:val="24"/>
        </w:numPr>
        <w:ind w:left="0" w:firstLine="0"/>
      </w:pPr>
      <w:r w:rsidRPr="003B0C6A">
        <w:t>The</w:t>
      </w:r>
      <w:r w:rsidR="009D7E50" w:rsidRPr="003B0C6A">
        <w:t xml:space="preserve"> influx of domestic refrigeration equipment using HC-600a</w:t>
      </w:r>
      <w:r w:rsidRPr="003B0C6A">
        <w:t xml:space="preserve"> prompted the </w:t>
      </w:r>
      <w:r w:rsidR="009D7E50" w:rsidRPr="003B0C6A">
        <w:t xml:space="preserve">Government </w:t>
      </w:r>
      <w:r w:rsidRPr="003B0C6A">
        <w:t xml:space="preserve">to develop </w:t>
      </w:r>
      <w:r w:rsidR="009D7E50" w:rsidRPr="003B0C6A">
        <w:t xml:space="preserve">a legal framework to adopt, implement and enforce regulations, codes of practices and standards for the use of flammable/toxic </w:t>
      </w:r>
      <w:r w:rsidR="004E4DB2" w:rsidRPr="003B0C6A">
        <w:t xml:space="preserve">refrigerants </w:t>
      </w:r>
      <w:r w:rsidR="009D7E50" w:rsidRPr="003B0C6A">
        <w:t xml:space="preserve">for all equipment that may use </w:t>
      </w:r>
      <w:r w:rsidR="004E4DB2" w:rsidRPr="003B0C6A">
        <w:t>those refrigerants.</w:t>
      </w:r>
      <w:r w:rsidR="002B4E1A" w:rsidRPr="003B0C6A">
        <w:t xml:space="preserve"> </w:t>
      </w:r>
      <w:r w:rsidR="004E4DB2" w:rsidRPr="003B0C6A">
        <w:t>This process is ongoing.</w:t>
      </w:r>
      <w:r w:rsidR="009C5BFC" w:rsidRPr="003B0C6A">
        <w:t xml:space="preserve"> Sixty-two customs and enforcement officers were trained on enforcement of ODS-related regulations.</w:t>
      </w:r>
    </w:p>
    <w:p w:rsidR="00256E22" w:rsidRPr="003B0C6A" w:rsidRDefault="00256E22" w:rsidP="003B0C6A">
      <w:pPr>
        <w:pStyle w:val="Heading1"/>
        <w:numPr>
          <w:ilvl w:val="0"/>
          <w:numId w:val="24"/>
        </w:numPr>
        <w:ind w:left="0" w:firstLine="0"/>
      </w:pPr>
      <w:r w:rsidRPr="003B0C6A">
        <w:t xml:space="preserve">Activities related to institutional strengthening such as data collection and reporting, awareness </w:t>
      </w:r>
      <w:proofErr w:type="gramStart"/>
      <w:r w:rsidRPr="003B0C6A">
        <w:t>raising</w:t>
      </w:r>
      <w:proofErr w:type="gramEnd"/>
      <w:r w:rsidRPr="003B0C6A">
        <w:t>, and coordination with various stakeholders in Papua New Guinea continue to be implemented.</w:t>
      </w:r>
    </w:p>
    <w:p w:rsidR="009957E1" w:rsidRDefault="009957E1" w:rsidP="003B0C6A">
      <w:pPr>
        <w:pStyle w:val="Heading1"/>
        <w:rPr>
          <w:i/>
        </w:rPr>
      </w:pPr>
      <w:r w:rsidRPr="003B0C6A">
        <w:rPr>
          <w:i/>
        </w:rPr>
        <w:t>Refrigeration servicing sector</w:t>
      </w:r>
    </w:p>
    <w:p w:rsidR="00760EF3" w:rsidRPr="003B0C6A" w:rsidRDefault="004E4DB2" w:rsidP="003B0C6A">
      <w:pPr>
        <w:pStyle w:val="Heading1"/>
        <w:numPr>
          <w:ilvl w:val="0"/>
          <w:numId w:val="24"/>
        </w:numPr>
        <w:ind w:left="0" w:firstLine="0"/>
        <w:rPr>
          <w:lang w:val="en-CA"/>
        </w:rPr>
      </w:pPr>
      <w:r w:rsidRPr="003B0C6A">
        <w:rPr>
          <w:lang w:val="en-CA"/>
        </w:rPr>
        <w:t>Ten recovery units, 40 recovery cylinders and 10 manifold sets were purchased and distributed to refrigeration and air-conditioning (RAC</w:t>
      </w:r>
      <w:r w:rsidR="002B4E1A" w:rsidRPr="003B0C6A">
        <w:rPr>
          <w:lang w:val="en-CA"/>
        </w:rPr>
        <w:t>) technicians</w:t>
      </w:r>
      <w:r w:rsidRPr="003B0C6A">
        <w:rPr>
          <w:lang w:val="en-CA"/>
        </w:rPr>
        <w:t xml:space="preserve">; and equipment </w:t>
      </w:r>
      <w:r w:rsidR="002B4E1A" w:rsidRPr="003B0C6A">
        <w:rPr>
          <w:lang w:val="en-CA"/>
        </w:rPr>
        <w:t>(e.g., HC-based refrigerators and air-conditioners</w:t>
      </w:r>
      <w:r w:rsidR="00256B0E">
        <w:rPr>
          <w:lang w:val="en-CA"/>
        </w:rPr>
        <w:t xml:space="preserve"> (AC)</w:t>
      </w:r>
      <w:r w:rsidR="002B4E1A" w:rsidRPr="003B0C6A">
        <w:rPr>
          <w:lang w:val="en-CA"/>
        </w:rPr>
        <w:t>, manifold sets, leak detector, recovery unit, and vacuum pump) was</w:t>
      </w:r>
      <w:r w:rsidRPr="003B0C6A">
        <w:rPr>
          <w:lang w:val="en-CA"/>
        </w:rPr>
        <w:t xml:space="preserve"> provided for training centres for the conduct of HC refrigerants training</w:t>
      </w:r>
      <w:r w:rsidR="00270149" w:rsidRPr="003B0C6A">
        <w:rPr>
          <w:lang w:val="en-CA"/>
        </w:rPr>
        <w:t>; 52</w:t>
      </w:r>
      <w:r w:rsidR="00760EF3" w:rsidRPr="003B0C6A">
        <w:rPr>
          <w:lang w:val="en-CA"/>
        </w:rPr>
        <w:t xml:space="preserve"> technicians were trained on good refrigeration practices; </w:t>
      </w:r>
      <w:r w:rsidR="00536225" w:rsidRPr="003B0C6A">
        <w:rPr>
          <w:lang w:val="en-CA"/>
        </w:rPr>
        <w:t xml:space="preserve">and </w:t>
      </w:r>
      <w:r w:rsidR="00760EF3" w:rsidRPr="003B0C6A">
        <w:rPr>
          <w:lang w:val="en-CA"/>
        </w:rPr>
        <w:t xml:space="preserve">the training manual/curriculum was </w:t>
      </w:r>
      <w:r w:rsidR="00536225" w:rsidRPr="003B0C6A">
        <w:rPr>
          <w:lang w:val="en-CA"/>
        </w:rPr>
        <w:t>upgraded. Fifteen</w:t>
      </w:r>
      <w:r w:rsidR="00760EF3" w:rsidRPr="003B0C6A">
        <w:rPr>
          <w:lang w:val="en-CA"/>
        </w:rPr>
        <w:t xml:space="preserve"> trainers were trained on safe handling of HC refrigerants</w:t>
      </w:r>
      <w:r w:rsidR="00536225" w:rsidRPr="003B0C6A">
        <w:rPr>
          <w:lang w:val="en-CA"/>
        </w:rPr>
        <w:t xml:space="preserve"> and additional three </w:t>
      </w:r>
      <w:r w:rsidR="00760EF3" w:rsidRPr="003B0C6A">
        <w:rPr>
          <w:lang w:val="en-CA"/>
        </w:rPr>
        <w:t xml:space="preserve">trainers were trained in Germany on safe handling of </w:t>
      </w:r>
      <w:r w:rsidR="0040149B" w:rsidRPr="003B0C6A">
        <w:rPr>
          <w:lang w:val="en-CA"/>
        </w:rPr>
        <w:t>HCs</w:t>
      </w:r>
      <w:r w:rsidR="00760EF3" w:rsidRPr="003B0C6A">
        <w:rPr>
          <w:lang w:val="en-CA"/>
        </w:rPr>
        <w:t>, HCFC alternatives, and natural refrigerants</w:t>
      </w:r>
      <w:r w:rsidR="00536225" w:rsidRPr="003B0C6A">
        <w:rPr>
          <w:lang w:val="en-CA"/>
        </w:rPr>
        <w:t>.</w:t>
      </w:r>
    </w:p>
    <w:p w:rsidR="00760EF3" w:rsidRPr="003B0C6A" w:rsidRDefault="00760EF3" w:rsidP="003B0C6A">
      <w:pPr>
        <w:rPr>
          <w:lang w:val="en-CA"/>
        </w:rPr>
      </w:pPr>
      <w:r w:rsidRPr="003B0C6A">
        <w:rPr>
          <w:i/>
          <w:lang w:val="en-CA"/>
        </w:rPr>
        <w:t>Awareness and communication</w:t>
      </w:r>
    </w:p>
    <w:p w:rsidR="00760EF3" w:rsidRPr="003B0C6A" w:rsidRDefault="00760EF3" w:rsidP="003B0C6A"/>
    <w:p w:rsidR="005E54BE" w:rsidRPr="003B0C6A" w:rsidRDefault="00760EF3" w:rsidP="00CB5AC4">
      <w:pPr>
        <w:pStyle w:val="Heading1"/>
        <w:numPr>
          <w:ilvl w:val="0"/>
          <w:numId w:val="24"/>
        </w:numPr>
        <w:ind w:left="0" w:firstLine="0"/>
      </w:pPr>
      <w:r w:rsidRPr="003B0C6A">
        <w:t xml:space="preserve">Three stakeholder workshops </w:t>
      </w:r>
      <w:r w:rsidR="00256E22" w:rsidRPr="003B0C6A">
        <w:t xml:space="preserve">to provide information on </w:t>
      </w:r>
      <w:r w:rsidRPr="003B0C6A">
        <w:t>HFC</w:t>
      </w:r>
      <w:r w:rsidR="003565ED" w:rsidRPr="003B0C6A">
        <w:t>s</w:t>
      </w:r>
      <w:r w:rsidRPr="003B0C6A">
        <w:t xml:space="preserve">, conversion </w:t>
      </w:r>
      <w:r w:rsidR="00256E22" w:rsidRPr="003B0C6A">
        <w:t>of HC</w:t>
      </w:r>
      <w:r w:rsidR="00256B0E">
        <w:t>F</w:t>
      </w:r>
      <w:r w:rsidR="00256E22" w:rsidRPr="003B0C6A">
        <w:t>C</w:t>
      </w:r>
      <w:r w:rsidR="00AD4F26">
        <w:t>-</w:t>
      </w:r>
      <w:r w:rsidR="00256E22" w:rsidRPr="003B0C6A">
        <w:t xml:space="preserve"> and</w:t>
      </w:r>
      <w:r w:rsidR="00CB5AC4">
        <w:t xml:space="preserve"> </w:t>
      </w:r>
      <w:r w:rsidR="00B40397">
        <w:br/>
      </w:r>
      <w:r w:rsidR="002268DC" w:rsidRPr="00CB5AC4">
        <w:t>HFC</w:t>
      </w:r>
      <w:r w:rsidR="00CB5AC4" w:rsidRPr="00CB5AC4">
        <w:t>-</w:t>
      </w:r>
      <w:r w:rsidR="00CB5AC4" w:rsidRPr="00CB5AC4">
        <w:rPr>
          <w:lang w:val="en-CA"/>
        </w:rPr>
        <w:t>based</w:t>
      </w:r>
      <w:r w:rsidR="00256E22" w:rsidRPr="003B0C6A">
        <w:t xml:space="preserve"> equipment</w:t>
      </w:r>
      <w:r w:rsidRPr="003B0C6A">
        <w:t xml:space="preserve"> </w:t>
      </w:r>
      <w:r w:rsidR="00256E22" w:rsidRPr="003B0C6A">
        <w:t xml:space="preserve">to ozone- </w:t>
      </w:r>
      <w:r w:rsidRPr="003B0C6A">
        <w:t>and climate</w:t>
      </w:r>
      <w:r w:rsidR="00256E22" w:rsidRPr="003B0C6A">
        <w:t>-</w:t>
      </w:r>
      <w:r w:rsidRPr="003B0C6A">
        <w:t xml:space="preserve">friendly technology, relevant regulations and Customs requirements, were conducted with 90 participants; information materials were distributed to the RAC industry and the </w:t>
      </w:r>
      <w:r w:rsidR="0040149B" w:rsidRPr="003B0C6A">
        <w:t xml:space="preserve">Customs </w:t>
      </w:r>
      <w:r w:rsidRPr="003B0C6A">
        <w:t xml:space="preserve">office; </w:t>
      </w:r>
      <w:r w:rsidR="00F31845" w:rsidRPr="003B0C6A">
        <w:t xml:space="preserve">and </w:t>
      </w:r>
      <w:r w:rsidRPr="003B0C6A">
        <w:t xml:space="preserve">Ozone day celebrations </w:t>
      </w:r>
      <w:r w:rsidR="00F31845" w:rsidRPr="003B0C6A">
        <w:t xml:space="preserve">were conducted (e.g., </w:t>
      </w:r>
      <w:r w:rsidRPr="003B0C6A">
        <w:t>poster design competitions for schools</w:t>
      </w:r>
      <w:r w:rsidR="00F31845" w:rsidRPr="003B0C6A">
        <w:t>;</w:t>
      </w:r>
      <w:r w:rsidRPr="003B0C6A">
        <w:t xml:space="preserve"> information on the ODS licensing system, </w:t>
      </w:r>
      <w:r w:rsidR="00F31845" w:rsidRPr="003B0C6A">
        <w:t xml:space="preserve">and </w:t>
      </w:r>
      <w:r w:rsidRPr="003B0C6A">
        <w:t>new alternatives to ODS</w:t>
      </w:r>
      <w:r w:rsidR="00F31845" w:rsidRPr="003B0C6A">
        <w:t>).</w:t>
      </w:r>
    </w:p>
    <w:p w:rsidR="008A0414" w:rsidRPr="003B0C6A" w:rsidRDefault="0083048C" w:rsidP="003B0C6A">
      <w:pPr>
        <w:spacing w:after="240"/>
        <w:rPr>
          <w:i/>
          <w:lang w:val="en-CA"/>
        </w:rPr>
      </w:pPr>
      <w:r w:rsidRPr="003B0C6A">
        <w:rPr>
          <w:i/>
          <w:lang w:val="en-CA"/>
        </w:rPr>
        <w:t>Project implementation and monitoring unit (PMU)</w:t>
      </w:r>
    </w:p>
    <w:p w:rsidR="005E54BE" w:rsidRPr="003B0C6A" w:rsidRDefault="00760EF3" w:rsidP="003B0C6A">
      <w:pPr>
        <w:pStyle w:val="Heading1"/>
        <w:numPr>
          <w:ilvl w:val="0"/>
          <w:numId w:val="24"/>
        </w:numPr>
        <w:ind w:left="0" w:firstLine="0"/>
      </w:pPr>
      <w:r w:rsidRPr="003B0C6A">
        <w:t xml:space="preserve">The </w:t>
      </w:r>
      <w:r w:rsidR="00243167" w:rsidRPr="003B0C6A">
        <w:t xml:space="preserve">National Ozone Unit (NOU) located with the </w:t>
      </w:r>
      <w:r w:rsidRPr="003B0C6A">
        <w:t>Conservation Environment Protection Authority (CEPA)</w:t>
      </w:r>
      <w:r w:rsidR="00243167" w:rsidRPr="003B0C6A">
        <w:t xml:space="preserve"> continues to be responsible for coordinating the implementation of activities </w:t>
      </w:r>
      <w:r w:rsidR="0040149B" w:rsidRPr="003B0C6A">
        <w:t>o</w:t>
      </w:r>
      <w:r w:rsidR="00243167" w:rsidRPr="003B0C6A">
        <w:t>f the HPMP.</w:t>
      </w:r>
      <w:r w:rsidR="008A0414" w:rsidRPr="003B0C6A">
        <w:t xml:space="preserve"> </w:t>
      </w:r>
      <w:r w:rsidR="00CB075D" w:rsidRPr="003B0C6A">
        <w:t>In</w:t>
      </w:r>
      <w:r w:rsidR="00322BC9" w:rsidRPr="003B0C6A">
        <w:t xml:space="preserve"> 2017, the NOU </w:t>
      </w:r>
      <w:r w:rsidR="00CB075D" w:rsidRPr="003B0C6A">
        <w:t xml:space="preserve">will </w:t>
      </w:r>
      <w:r w:rsidR="00322BC9" w:rsidRPr="003B0C6A">
        <w:t xml:space="preserve">assign a </w:t>
      </w:r>
      <w:r w:rsidR="00CF246A" w:rsidRPr="003B0C6A">
        <w:t xml:space="preserve">dedicated </w:t>
      </w:r>
      <w:r w:rsidR="00322BC9" w:rsidRPr="003B0C6A">
        <w:t xml:space="preserve">PMU officer who will be responsible for </w:t>
      </w:r>
      <w:r w:rsidR="00CF246A" w:rsidRPr="003B0C6A">
        <w:t xml:space="preserve">monitoring </w:t>
      </w:r>
      <w:r w:rsidR="00322BC9" w:rsidRPr="003B0C6A">
        <w:t>activities to be implemented and support the NOU officer when required.</w:t>
      </w:r>
    </w:p>
    <w:p w:rsidR="0083048C" w:rsidRPr="003B0C6A" w:rsidRDefault="0083048C" w:rsidP="003B0C6A">
      <w:pPr>
        <w:rPr>
          <w:u w:val="single"/>
          <w:lang w:val="en-CA"/>
        </w:rPr>
      </w:pPr>
      <w:r w:rsidRPr="003B0C6A">
        <w:rPr>
          <w:u w:val="single"/>
          <w:lang w:val="en-CA"/>
        </w:rPr>
        <w:t>Level of fund disbursement</w:t>
      </w:r>
    </w:p>
    <w:p w:rsidR="0083048C" w:rsidRPr="003B0C6A" w:rsidRDefault="0083048C" w:rsidP="003B0C6A">
      <w:pPr>
        <w:rPr>
          <w:lang w:val="en-CA"/>
        </w:rPr>
      </w:pPr>
    </w:p>
    <w:p w:rsidR="000821CD" w:rsidRPr="003B0C6A" w:rsidRDefault="00A75A42" w:rsidP="003B0C6A">
      <w:pPr>
        <w:pStyle w:val="Heading1"/>
        <w:numPr>
          <w:ilvl w:val="0"/>
          <w:numId w:val="24"/>
        </w:numPr>
        <w:tabs>
          <w:tab w:val="num" w:pos="0"/>
        </w:tabs>
        <w:ind w:left="0" w:firstLine="0"/>
        <w:rPr>
          <w:lang w:val="en-CA"/>
        </w:rPr>
      </w:pPr>
      <w:r w:rsidRPr="003B0C6A">
        <w:t>As</w:t>
      </w:r>
      <w:r w:rsidRPr="003B0C6A">
        <w:rPr>
          <w:lang w:val="en-CA"/>
        </w:rPr>
        <w:t xml:space="preserve"> of </w:t>
      </w:r>
      <w:r w:rsidR="00DC6429" w:rsidRPr="003B0C6A">
        <w:rPr>
          <w:lang w:val="en-CA"/>
        </w:rPr>
        <w:t>September 2016</w:t>
      </w:r>
      <w:r w:rsidRPr="003B0C6A">
        <w:rPr>
          <w:lang w:val="en-CA"/>
        </w:rPr>
        <w:t>, of the US $</w:t>
      </w:r>
      <w:r w:rsidR="00DC6429" w:rsidRPr="003B0C6A">
        <w:rPr>
          <w:lang w:val="en-CA"/>
        </w:rPr>
        <w:t>690,000</w:t>
      </w:r>
      <w:r w:rsidRPr="003B0C6A">
        <w:rPr>
          <w:lang w:val="en-CA"/>
        </w:rPr>
        <w:t xml:space="preserve"> so far approved, US $</w:t>
      </w:r>
      <w:r w:rsidR="00DC6429" w:rsidRPr="003B0C6A">
        <w:rPr>
          <w:lang w:val="en-CA"/>
        </w:rPr>
        <w:t>433,534</w:t>
      </w:r>
      <w:r w:rsidRPr="003B0C6A">
        <w:rPr>
          <w:lang w:val="en-CA"/>
        </w:rPr>
        <w:t xml:space="preserve"> had been disbursed</w:t>
      </w:r>
      <w:r w:rsidR="00EC446F" w:rsidRPr="003B0C6A">
        <w:rPr>
          <w:lang w:val="en-CA"/>
        </w:rPr>
        <w:t xml:space="preserve"> (Table 2)</w:t>
      </w:r>
      <w:r w:rsidRPr="003B0C6A">
        <w:rPr>
          <w:lang w:val="en-CA"/>
        </w:rPr>
        <w:t>. The balance of US $</w:t>
      </w:r>
      <w:r w:rsidR="00DC6429" w:rsidRPr="003B0C6A">
        <w:rPr>
          <w:lang w:val="en-CA"/>
        </w:rPr>
        <w:t>256,466</w:t>
      </w:r>
      <w:r w:rsidRPr="003B0C6A">
        <w:rPr>
          <w:lang w:val="en-CA"/>
        </w:rPr>
        <w:t xml:space="preserve"> will be disbursed </w:t>
      </w:r>
      <w:r w:rsidR="00CF246A" w:rsidRPr="003B0C6A">
        <w:rPr>
          <w:lang w:val="en-CA"/>
        </w:rPr>
        <w:t xml:space="preserve">by </w:t>
      </w:r>
      <w:r w:rsidR="00243167" w:rsidRPr="003B0C6A">
        <w:rPr>
          <w:lang w:val="en-CA"/>
        </w:rPr>
        <w:t>2017</w:t>
      </w:r>
      <w:r w:rsidRPr="003B0C6A">
        <w:rPr>
          <w:lang w:val="en-CA"/>
        </w:rPr>
        <w:t>.</w:t>
      </w:r>
    </w:p>
    <w:p w:rsidR="00270149" w:rsidRPr="003B0C6A" w:rsidRDefault="00270149" w:rsidP="003B0C6A">
      <w:pPr>
        <w:rPr>
          <w:b/>
        </w:rPr>
      </w:pPr>
      <w:proofErr w:type="gramStart"/>
      <w:r w:rsidRPr="003B0C6A">
        <w:rPr>
          <w:b/>
        </w:rPr>
        <w:t>Table 2.</w:t>
      </w:r>
      <w:proofErr w:type="gramEnd"/>
      <w:r w:rsidRPr="003B0C6A">
        <w:rPr>
          <w:b/>
        </w:rPr>
        <w:t xml:space="preserve"> Financial report of stage I of the HPMP for Papua New Guinea (US $690,000)</w:t>
      </w:r>
    </w:p>
    <w:tbl>
      <w:tblPr>
        <w:tblStyle w:val="TableGrid"/>
        <w:tblW w:w="5000" w:type="pct"/>
        <w:tblLook w:val="04A0" w:firstRow="1" w:lastRow="0" w:firstColumn="1" w:lastColumn="0" w:noHBand="0" w:noVBand="1"/>
      </w:tblPr>
      <w:tblGrid>
        <w:gridCol w:w="2337"/>
        <w:gridCol w:w="1201"/>
        <w:gridCol w:w="1212"/>
        <w:gridCol w:w="1201"/>
        <w:gridCol w:w="1212"/>
        <w:gridCol w:w="1201"/>
        <w:gridCol w:w="1212"/>
      </w:tblGrid>
      <w:tr w:rsidR="00EC446F" w:rsidRPr="003B0C6A" w:rsidTr="00D33DE3">
        <w:tc>
          <w:tcPr>
            <w:tcW w:w="1220" w:type="pct"/>
            <w:vMerge w:val="restart"/>
          </w:tcPr>
          <w:p w:rsidR="00EC446F" w:rsidRPr="003B0C6A" w:rsidRDefault="00EC446F" w:rsidP="003B0C6A">
            <w:pPr>
              <w:rPr>
                <w:b/>
                <w:sz w:val="20"/>
                <w:szCs w:val="20"/>
              </w:rPr>
            </w:pPr>
            <w:r w:rsidRPr="003B0C6A">
              <w:rPr>
                <w:b/>
                <w:sz w:val="20"/>
                <w:szCs w:val="20"/>
              </w:rPr>
              <w:t>Agency</w:t>
            </w:r>
          </w:p>
        </w:tc>
        <w:tc>
          <w:tcPr>
            <w:tcW w:w="1260" w:type="pct"/>
            <w:gridSpan w:val="2"/>
          </w:tcPr>
          <w:p w:rsidR="00EC446F" w:rsidRPr="003B0C6A" w:rsidRDefault="00EC446F" w:rsidP="003B0C6A">
            <w:pPr>
              <w:rPr>
                <w:b/>
                <w:sz w:val="20"/>
                <w:szCs w:val="20"/>
              </w:rPr>
            </w:pPr>
            <w:r w:rsidRPr="003B0C6A">
              <w:rPr>
                <w:b/>
                <w:sz w:val="20"/>
                <w:szCs w:val="20"/>
              </w:rPr>
              <w:t>First tranche (US $)</w:t>
            </w:r>
          </w:p>
        </w:tc>
        <w:tc>
          <w:tcPr>
            <w:tcW w:w="1260" w:type="pct"/>
            <w:gridSpan w:val="2"/>
          </w:tcPr>
          <w:p w:rsidR="00EC446F" w:rsidRPr="003B0C6A" w:rsidRDefault="00EC446F" w:rsidP="003B0C6A">
            <w:pPr>
              <w:rPr>
                <w:b/>
                <w:sz w:val="20"/>
                <w:szCs w:val="20"/>
              </w:rPr>
            </w:pPr>
            <w:r w:rsidRPr="003B0C6A">
              <w:rPr>
                <w:b/>
                <w:sz w:val="20"/>
                <w:szCs w:val="20"/>
              </w:rPr>
              <w:t>Second tranche (US $)</w:t>
            </w:r>
          </w:p>
        </w:tc>
        <w:tc>
          <w:tcPr>
            <w:tcW w:w="1260" w:type="pct"/>
            <w:gridSpan w:val="2"/>
          </w:tcPr>
          <w:p w:rsidR="00EC446F" w:rsidRPr="003B0C6A" w:rsidRDefault="00EC446F" w:rsidP="003B0C6A">
            <w:pPr>
              <w:rPr>
                <w:b/>
                <w:sz w:val="20"/>
                <w:szCs w:val="20"/>
              </w:rPr>
            </w:pPr>
            <w:r w:rsidRPr="003B0C6A">
              <w:rPr>
                <w:b/>
                <w:sz w:val="20"/>
                <w:szCs w:val="20"/>
              </w:rPr>
              <w:t>Total approved (US $)</w:t>
            </w:r>
          </w:p>
        </w:tc>
      </w:tr>
      <w:tr w:rsidR="00270149" w:rsidRPr="003B0C6A" w:rsidTr="00D33DE3">
        <w:tc>
          <w:tcPr>
            <w:tcW w:w="1220" w:type="pct"/>
            <w:vMerge/>
          </w:tcPr>
          <w:p w:rsidR="00EC446F" w:rsidRPr="003B0C6A" w:rsidRDefault="00EC446F" w:rsidP="003B0C6A">
            <w:pPr>
              <w:rPr>
                <w:b/>
                <w:sz w:val="20"/>
                <w:szCs w:val="20"/>
              </w:rPr>
            </w:pPr>
          </w:p>
        </w:tc>
        <w:tc>
          <w:tcPr>
            <w:tcW w:w="627" w:type="pct"/>
          </w:tcPr>
          <w:p w:rsidR="00EC446F" w:rsidRPr="003B0C6A" w:rsidRDefault="00EC446F" w:rsidP="003B0C6A">
            <w:pPr>
              <w:rPr>
                <w:b/>
                <w:sz w:val="20"/>
                <w:szCs w:val="20"/>
              </w:rPr>
            </w:pPr>
            <w:r w:rsidRPr="003B0C6A">
              <w:rPr>
                <w:b/>
                <w:sz w:val="20"/>
                <w:szCs w:val="20"/>
              </w:rPr>
              <w:t>Approved</w:t>
            </w:r>
          </w:p>
        </w:tc>
        <w:tc>
          <w:tcPr>
            <w:tcW w:w="633" w:type="pct"/>
          </w:tcPr>
          <w:p w:rsidR="00EC446F" w:rsidRPr="003B0C6A" w:rsidRDefault="00EC446F" w:rsidP="003B0C6A">
            <w:pPr>
              <w:rPr>
                <w:b/>
                <w:sz w:val="20"/>
                <w:szCs w:val="20"/>
              </w:rPr>
            </w:pPr>
            <w:r w:rsidRPr="003B0C6A">
              <w:rPr>
                <w:b/>
                <w:sz w:val="20"/>
                <w:szCs w:val="20"/>
              </w:rPr>
              <w:t>Disbursed</w:t>
            </w:r>
          </w:p>
        </w:tc>
        <w:tc>
          <w:tcPr>
            <w:tcW w:w="627" w:type="pct"/>
          </w:tcPr>
          <w:p w:rsidR="00EC446F" w:rsidRPr="003B0C6A" w:rsidRDefault="00EC446F" w:rsidP="003B0C6A">
            <w:pPr>
              <w:rPr>
                <w:b/>
                <w:sz w:val="20"/>
                <w:szCs w:val="20"/>
              </w:rPr>
            </w:pPr>
            <w:r w:rsidRPr="003B0C6A">
              <w:rPr>
                <w:b/>
                <w:sz w:val="20"/>
                <w:szCs w:val="20"/>
              </w:rPr>
              <w:t>Approved</w:t>
            </w:r>
          </w:p>
        </w:tc>
        <w:tc>
          <w:tcPr>
            <w:tcW w:w="633" w:type="pct"/>
          </w:tcPr>
          <w:p w:rsidR="00EC446F" w:rsidRPr="003B0C6A" w:rsidRDefault="00EC446F" w:rsidP="003B0C6A">
            <w:pPr>
              <w:rPr>
                <w:b/>
                <w:sz w:val="20"/>
                <w:szCs w:val="20"/>
              </w:rPr>
            </w:pPr>
            <w:r w:rsidRPr="003B0C6A">
              <w:rPr>
                <w:b/>
                <w:sz w:val="20"/>
                <w:szCs w:val="20"/>
              </w:rPr>
              <w:t>Disbursed</w:t>
            </w:r>
          </w:p>
        </w:tc>
        <w:tc>
          <w:tcPr>
            <w:tcW w:w="627" w:type="pct"/>
          </w:tcPr>
          <w:p w:rsidR="00EC446F" w:rsidRPr="003B0C6A" w:rsidRDefault="00EC446F" w:rsidP="003B0C6A">
            <w:pPr>
              <w:rPr>
                <w:b/>
                <w:sz w:val="20"/>
                <w:szCs w:val="20"/>
              </w:rPr>
            </w:pPr>
            <w:r w:rsidRPr="003B0C6A">
              <w:rPr>
                <w:b/>
                <w:sz w:val="20"/>
                <w:szCs w:val="20"/>
              </w:rPr>
              <w:t>Approved</w:t>
            </w:r>
          </w:p>
        </w:tc>
        <w:tc>
          <w:tcPr>
            <w:tcW w:w="633" w:type="pct"/>
          </w:tcPr>
          <w:p w:rsidR="00EC446F" w:rsidRPr="003B0C6A" w:rsidRDefault="00EC446F" w:rsidP="003B0C6A">
            <w:pPr>
              <w:jc w:val="center"/>
              <w:rPr>
                <w:b/>
                <w:sz w:val="20"/>
                <w:szCs w:val="20"/>
                <w:lang w:val="en-CA"/>
              </w:rPr>
            </w:pPr>
            <w:r w:rsidRPr="003B0C6A">
              <w:rPr>
                <w:b/>
                <w:sz w:val="20"/>
                <w:szCs w:val="20"/>
                <w:lang w:val="en-CA"/>
              </w:rPr>
              <w:t>Disbursed</w:t>
            </w:r>
          </w:p>
        </w:tc>
      </w:tr>
      <w:tr w:rsidR="00270149" w:rsidRPr="003B0C6A" w:rsidTr="00D33DE3">
        <w:tc>
          <w:tcPr>
            <w:tcW w:w="1220" w:type="pct"/>
          </w:tcPr>
          <w:p w:rsidR="00EC446F" w:rsidRPr="003B0C6A" w:rsidRDefault="00EC446F" w:rsidP="003B0C6A">
            <w:pPr>
              <w:rPr>
                <w:sz w:val="20"/>
                <w:szCs w:val="20"/>
                <w:lang w:val="en-CA"/>
              </w:rPr>
            </w:pPr>
            <w:r w:rsidRPr="003B0C6A">
              <w:rPr>
                <w:sz w:val="20"/>
                <w:szCs w:val="20"/>
                <w:lang w:val="en-CA"/>
              </w:rPr>
              <w:t>Germany</w:t>
            </w:r>
          </w:p>
        </w:tc>
        <w:tc>
          <w:tcPr>
            <w:tcW w:w="627" w:type="pct"/>
          </w:tcPr>
          <w:p w:rsidR="00EC446F" w:rsidRPr="003B0C6A" w:rsidRDefault="00EC446F" w:rsidP="003B0C6A">
            <w:pPr>
              <w:jc w:val="right"/>
              <w:rPr>
                <w:sz w:val="20"/>
                <w:szCs w:val="20"/>
                <w:lang w:val="en-CA"/>
              </w:rPr>
            </w:pPr>
            <w:r w:rsidRPr="003B0C6A">
              <w:rPr>
                <w:sz w:val="20"/>
                <w:szCs w:val="20"/>
                <w:lang w:val="en-CA"/>
              </w:rPr>
              <w:t>350,000</w:t>
            </w:r>
          </w:p>
        </w:tc>
        <w:tc>
          <w:tcPr>
            <w:tcW w:w="633" w:type="pct"/>
          </w:tcPr>
          <w:p w:rsidR="00EC446F" w:rsidRPr="003B0C6A" w:rsidRDefault="00EC446F" w:rsidP="003B0C6A">
            <w:pPr>
              <w:jc w:val="right"/>
              <w:rPr>
                <w:sz w:val="20"/>
                <w:szCs w:val="20"/>
                <w:lang w:val="en-CA"/>
              </w:rPr>
            </w:pPr>
            <w:r w:rsidRPr="003B0C6A">
              <w:rPr>
                <w:sz w:val="20"/>
                <w:szCs w:val="20"/>
                <w:lang w:val="en-CA"/>
              </w:rPr>
              <w:t>350,000</w:t>
            </w:r>
          </w:p>
        </w:tc>
        <w:tc>
          <w:tcPr>
            <w:tcW w:w="627" w:type="pct"/>
          </w:tcPr>
          <w:p w:rsidR="00EC446F" w:rsidRPr="003B0C6A" w:rsidRDefault="00EC446F" w:rsidP="003B0C6A">
            <w:pPr>
              <w:jc w:val="right"/>
              <w:rPr>
                <w:sz w:val="20"/>
                <w:szCs w:val="20"/>
                <w:lang w:val="en-CA"/>
              </w:rPr>
            </w:pPr>
            <w:r w:rsidRPr="003B0C6A">
              <w:rPr>
                <w:sz w:val="20"/>
                <w:szCs w:val="20"/>
                <w:lang w:val="en-CA"/>
              </w:rPr>
              <w:t>340,000</w:t>
            </w:r>
          </w:p>
        </w:tc>
        <w:tc>
          <w:tcPr>
            <w:tcW w:w="633" w:type="pct"/>
          </w:tcPr>
          <w:p w:rsidR="00EC446F" w:rsidRPr="003B0C6A" w:rsidRDefault="00EC446F" w:rsidP="003B0C6A">
            <w:pPr>
              <w:jc w:val="right"/>
              <w:rPr>
                <w:sz w:val="20"/>
                <w:szCs w:val="20"/>
                <w:lang w:val="en-CA"/>
              </w:rPr>
            </w:pPr>
            <w:r w:rsidRPr="003B0C6A">
              <w:rPr>
                <w:sz w:val="20"/>
                <w:szCs w:val="20"/>
                <w:lang w:val="en-CA"/>
              </w:rPr>
              <w:t>83,534</w:t>
            </w:r>
          </w:p>
        </w:tc>
        <w:tc>
          <w:tcPr>
            <w:tcW w:w="627" w:type="pct"/>
          </w:tcPr>
          <w:p w:rsidR="00EC446F" w:rsidRPr="003B0C6A" w:rsidRDefault="00EC446F" w:rsidP="003B0C6A">
            <w:pPr>
              <w:jc w:val="right"/>
              <w:rPr>
                <w:sz w:val="20"/>
                <w:szCs w:val="20"/>
                <w:lang w:val="en-CA"/>
              </w:rPr>
            </w:pPr>
            <w:r w:rsidRPr="003B0C6A">
              <w:rPr>
                <w:sz w:val="20"/>
                <w:szCs w:val="20"/>
                <w:lang w:val="en-CA"/>
              </w:rPr>
              <w:t>690,000</w:t>
            </w:r>
          </w:p>
        </w:tc>
        <w:tc>
          <w:tcPr>
            <w:tcW w:w="633" w:type="pct"/>
          </w:tcPr>
          <w:p w:rsidR="00EC446F" w:rsidRPr="003B0C6A" w:rsidRDefault="00EC446F" w:rsidP="003B0C6A">
            <w:pPr>
              <w:jc w:val="right"/>
              <w:rPr>
                <w:sz w:val="20"/>
                <w:szCs w:val="20"/>
                <w:lang w:val="en-CA"/>
              </w:rPr>
            </w:pPr>
            <w:r w:rsidRPr="003B0C6A">
              <w:rPr>
                <w:sz w:val="20"/>
                <w:szCs w:val="20"/>
                <w:lang w:val="en-CA"/>
              </w:rPr>
              <w:t>433,534</w:t>
            </w:r>
          </w:p>
        </w:tc>
      </w:tr>
      <w:tr w:rsidR="00EC446F" w:rsidRPr="003B0C6A" w:rsidTr="00D33DE3">
        <w:tc>
          <w:tcPr>
            <w:tcW w:w="1220" w:type="pct"/>
          </w:tcPr>
          <w:p w:rsidR="00EC446F" w:rsidRPr="003B0C6A" w:rsidRDefault="00EC446F" w:rsidP="003B0C6A">
            <w:pPr>
              <w:rPr>
                <w:b/>
                <w:sz w:val="20"/>
                <w:szCs w:val="20"/>
                <w:lang w:val="en-CA"/>
              </w:rPr>
            </w:pPr>
            <w:r w:rsidRPr="003B0C6A">
              <w:rPr>
                <w:b/>
                <w:sz w:val="20"/>
                <w:szCs w:val="20"/>
                <w:lang w:val="en-CA"/>
              </w:rPr>
              <w:t>Disbursement rate (%)</w:t>
            </w:r>
          </w:p>
        </w:tc>
        <w:tc>
          <w:tcPr>
            <w:tcW w:w="1260" w:type="pct"/>
            <w:gridSpan w:val="2"/>
          </w:tcPr>
          <w:p w:rsidR="00EC446F" w:rsidRPr="003B0C6A" w:rsidRDefault="00EC446F" w:rsidP="003B0C6A">
            <w:pPr>
              <w:jc w:val="right"/>
              <w:rPr>
                <w:sz w:val="20"/>
                <w:szCs w:val="20"/>
                <w:lang w:val="en-CA"/>
              </w:rPr>
            </w:pPr>
            <w:r w:rsidRPr="003B0C6A">
              <w:rPr>
                <w:sz w:val="20"/>
                <w:szCs w:val="20"/>
                <w:lang w:val="en-CA"/>
              </w:rPr>
              <w:t>100%</w:t>
            </w:r>
          </w:p>
        </w:tc>
        <w:tc>
          <w:tcPr>
            <w:tcW w:w="1260" w:type="pct"/>
            <w:gridSpan w:val="2"/>
          </w:tcPr>
          <w:p w:rsidR="00EC446F" w:rsidRPr="003B0C6A" w:rsidRDefault="00EC446F" w:rsidP="003B0C6A">
            <w:pPr>
              <w:jc w:val="right"/>
              <w:rPr>
                <w:sz w:val="20"/>
                <w:szCs w:val="20"/>
                <w:lang w:val="en-CA"/>
              </w:rPr>
            </w:pPr>
            <w:r w:rsidRPr="003B0C6A">
              <w:rPr>
                <w:sz w:val="20"/>
                <w:szCs w:val="20"/>
                <w:lang w:val="en-CA"/>
              </w:rPr>
              <w:t>24.6%</w:t>
            </w:r>
          </w:p>
        </w:tc>
        <w:tc>
          <w:tcPr>
            <w:tcW w:w="1260" w:type="pct"/>
            <w:gridSpan w:val="2"/>
          </w:tcPr>
          <w:p w:rsidR="00EC446F" w:rsidRPr="003B0C6A" w:rsidRDefault="00EC446F" w:rsidP="003B0C6A">
            <w:pPr>
              <w:jc w:val="right"/>
              <w:rPr>
                <w:sz w:val="20"/>
                <w:szCs w:val="20"/>
                <w:lang w:val="en-CA"/>
              </w:rPr>
            </w:pPr>
            <w:r w:rsidRPr="003B0C6A">
              <w:rPr>
                <w:sz w:val="20"/>
                <w:szCs w:val="20"/>
                <w:lang w:val="en-CA"/>
              </w:rPr>
              <w:t>62.8%</w:t>
            </w:r>
          </w:p>
        </w:tc>
      </w:tr>
    </w:tbl>
    <w:p w:rsidR="0040149B" w:rsidRPr="003B0C6A" w:rsidRDefault="0040149B" w:rsidP="003B0C6A">
      <w:pPr>
        <w:spacing w:before="240"/>
        <w:rPr>
          <w:u w:val="single"/>
          <w:lang w:val="en-CA"/>
        </w:rPr>
      </w:pPr>
      <w:r w:rsidRPr="003B0C6A">
        <w:rPr>
          <w:u w:val="single"/>
          <w:lang w:val="en-CA"/>
        </w:rPr>
        <w:t>Implementation plan for the third tranche of the HPMP</w:t>
      </w:r>
    </w:p>
    <w:p w:rsidR="0040149B" w:rsidRPr="003B0C6A" w:rsidRDefault="0040149B" w:rsidP="003B0C6A">
      <w:pPr>
        <w:rPr>
          <w:u w:val="single"/>
          <w:lang w:val="en-CA"/>
        </w:rPr>
      </w:pPr>
    </w:p>
    <w:p w:rsidR="0040149B" w:rsidRPr="003B0C6A" w:rsidRDefault="0040149B" w:rsidP="003B0C6A">
      <w:pPr>
        <w:pStyle w:val="Heading1"/>
        <w:numPr>
          <w:ilvl w:val="0"/>
          <w:numId w:val="24"/>
        </w:numPr>
        <w:tabs>
          <w:tab w:val="num" w:pos="0"/>
        </w:tabs>
        <w:ind w:left="0" w:firstLine="0"/>
      </w:pPr>
      <w:r w:rsidRPr="003B0C6A">
        <w:t>The following activities will be:</w:t>
      </w:r>
    </w:p>
    <w:p w:rsidR="0083048C" w:rsidRPr="003B0C6A" w:rsidRDefault="00CF246A" w:rsidP="003B0C6A">
      <w:pPr>
        <w:pStyle w:val="Heading2"/>
        <w:numPr>
          <w:ilvl w:val="1"/>
          <w:numId w:val="1"/>
        </w:numPr>
        <w:rPr>
          <w:lang w:val="en-CA"/>
        </w:rPr>
      </w:pPr>
      <w:r w:rsidRPr="003B0C6A">
        <w:rPr>
          <w:lang w:val="en-CA"/>
        </w:rPr>
        <w:t>T</w:t>
      </w:r>
      <w:r w:rsidR="00151E90" w:rsidRPr="003B0C6A">
        <w:rPr>
          <w:lang w:val="en-CA"/>
        </w:rPr>
        <w:t>wo</w:t>
      </w:r>
      <w:r w:rsidR="00F4391D" w:rsidRPr="003B0C6A">
        <w:rPr>
          <w:lang w:val="en-CA"/>
        </w:rPr>
        <w:t xml:space="preserve"> training courses for </w:t>
      </w:r>
      <w:r w:rsidR="00742DEC" w:rsidRPr="003B0C6A">
        <w:rPr>
          <w:lang w:val="en-CA"/>
        </w:rPr>
        <w:t>50</w:t>
      </w:r>
      <w:r w:rsidR="00243167" w:rsidRPr="003B0C6A">
        <w:rPr>
          <w:lang w:val="en-CA"/>
        </w:rPr>
        <w:t xml:space="preserve"> </w:t>
      </w:r>
      <w:r w:rsidR="00F4391D" w:rsidRPr="003B0C6A">
        <w:rPr>
          <w:lang w:val="en-CA"/>
        </w:rPr>
        <w:t>Customs officers</w:t>
      </w:r>
      <w:r w:rsidR="007B4A00" w:rsidRPr="003B0C6A">
        <w:rPr>
          <w:lang w:val="en-CA"/>
        </w:rPr>
        <w:t xml:space="preserve"> on enforcement of ODS regulations</w:t>
      </w:r>
      <w:r w:rsidR="007F5B85" w:rsidRPr="003B0C6A">
        <w:rPr>
          <w:lang w:val="en-CA"/>
        </w:rPr>
        <w:t xml:space="preserve">, and finalizing </w:t>
      </w:r>
      <w:r w:rsidR="00243167" w:rsidRPr="003B0C6A">
        <w:rPr>
          <w:lang w:val="en-CA"/>
        </w:rPr>
        <w:t>standards and guidelines for the use of flammable refrigerants</w:t>
      </w:r>
      <w:r w:rsidR="00AD4F26">
        <w:rPr>
          <w:lang w:val="en-CA"/>
        </w:rPr>
        <w:t xml:space="preserve"> in equipment</w:t>
      </w:r>
      <w:r w:rsidR="0040149B" w:rsidRPr="003B0C6A">
        <w:rPr>
          <w:lang w:val="en-CA"/>
        </w:rPr>
        <w:t xml:space="preserve"> (US $11,000)</w:t>
      </w:r>
      <w:r w:rsidR="00243167" w:rsidRPr="003B0C6A">
        <w:rPr>
          <w:lang w:val="en-CA"/>
        </w:rPr>
        <w:t>;</w:t>
      </w:r>
    </w:p>
    <w:p w:rsidR="00C362B8" w:rsidRPr="003B0C6A" w:rsidRDefault="00CF246A" w:rsidP="003B0C6A">
      <w:pPr>
        <w:pStyle w:val="Heading2"/>
        <w:numPr>
          <w:ilvl w:val="1"/>
          <w:numId w:val="1"/>
        </w:numPr>
        <w:rPr>
          <w:lang w:val="en-CA"/>
        </w:rPr>
      </w:pPr>
      <w:r w:rsidRPr="003B0C6A">
        <w:rPr>
          <w:lang w:val="en-CA"/>
        </w:rPr>
        <w:t>T</w:t>
      </w:r>
      <w:r w:rsidR="00215EB1" w:rsidRPr="003B0C6A">
        <w:rPr>
          <w:lang w:val="en-CA"/>
        </w:rPr>
        <w:t xml:space="preserve">hree training courses for </w:t>
      </w:r>
      <w:r w:rsidR="00742DEC" w:rsidRPr="003B0C6A">
        <w:rPr>
          <w:lang w:val="en-CA"/>
        </w:rPr>
        <w:t>100</w:t>
      </w:r>
      <w:r w:rsidR="00215EB1" w:rsidRPr="003B0C6A">
        <w:rPr>
          <w:lang w:val="en-CA"/>
        </w:rPr>
        <w:t xml:space="preserve"> </w:t>
      </w:r>
      <w:r w:rsidR="00243167" w:rsidRPr="003B0C6A">
        <w:rPr>
          <w:lang w:val="en-CA"/>
        </w:rPr>
        <w:t>technicians</w:t>
      </w:r>
      <w:r w:rsidR="00C362B8" w:rsidRPr="003B0C6A">
        <w:rPr>
          <w:lang w:val="en-CA"/>
        </w:rPr>
        <w:t xml:space="preserve"> on recovery </w:t>
      </w:r>
      <w:r w:rsidR="007B4A00" w:rsidRPr="003B0C6A">
        <w:rPr>
          <w:lang w:val="en-CA"/>
        </w:rPr>
        <w:t xml:space="preserve">of refrigerants during service </w:t>
      </w:r>
      <w:r w:rsidR="00C362B8" w:rsidRPr="003B0C6A">
        <w:rPr>
          <w:lang w:val="en-CA"/>
        </w:rPr>
        <w:t>practices</w:t>
      </w:r>
      <w:r w:rsidR="007B4A00" w:rsidRPr="003B0C6A">
        <w:rPr>
          <w:lang w:val="en-CA"/>
        </w:rPr>
        <w:t xml:space="preserve">; hands-on </w:t>
      </w:r>
      <w:r w:rsidR="00C362B8" w:rsidRPr="003B0C6A">
        <w:rPr>
          <w:lang w:val="en-CA"/>
        </w:rPr>
        <w:t xml:space="preserve">brazing techniques </w:t>
      </w:r>
      <w:r w:rsidR="007B4A00" w:rsidRPr="003B0C6A">
        <w:rPr>
          <w:lang w:val="en-CA"/>
        </w:rPr>
        <w:t>to reduce leakage of refrigerants; theory</w:t>
      </w:r>
      <w:r w:rsidR="00C362B8" w:rsidRPr="003B0C6A">
        <w:rPr>
          <w:lang w:val="en-CA"/>
        </w:rPr>
        <w:t xml:space="preserve"> on solder free technology</w:t>
      </w:r>
      <w:r w:rsidR="00AD4F26">
        <w:rPr>
          <w:lang w:val="en-CA"/>
        </w:rPr>
        <w:t>; and</w:t>
      </w:r>
      <w:r w:rsidR="00C362B8" w:rsidRPr="003B0C6A">
        <w:rPr>
          <w:lang w:val="en-CA"/>
        </w:rPr>
        <w:t xml:space="preserve"> safe handling of </w:t>
      </w:r>
      <w:r w:rsidR="007B4A00" w:rsidRPr="003B0C6A">
        <w:rPr>
          <w:lang w:val="en-CA"/>
        </w:rPr>
        <w:t xml:space="preserve">flammable </w:t>
      </w:r>
      <w:r w:rsidR="00C362B8" w:rsidRPr="003B0C6A">
        <w:rPr>
          <w:lang w:val="en-CA"/>
        </w:rPr>
        <w:t>refrigerants</w:t>
      </w:r>
      <w:r w:rsidR="003A40D1" w:rsidRPr="003B0C6A">
        <w:rPr>
          <w:lang w:val="en-CA"/>
        </w:rPr>
        <w:t xml:space="preserve"> and their use in</w:t>
      </w:r>
      <w:r w:rsidR="00C362B8" w:rsidRPr="003B0C6A">
        <w:rPr>
          <w:lang w:val="en-CA"/>
        </w:rPr>
        <w:t xml:space="preserve"> equipment</w:t>
      </w:r>
      <w:r w:rsidR="007F5B85" w:rsidRPr="003B0C6A">
        <w:rPr>
          <w:lang w:val="en-CA"/>
        </w:rPr>
        <w:t xml:space="preserve"> (US $15,500)</w:t>
      </w:r>
      <w:r w:rsidR="00C362B8" w:rsidRPr="003B0C6A">
        <w:rPr>
          <w:lang w:val="en-CA"/>
        </w:rPr>
        <w:t>;</w:t>
      </w:r>
    </w:p>
    <w:p w:rsidR="00434155" w:rsidRDefault="00CF246A" w:rsidP="003B0C6A">
      <w:pPr>
        <w:pStyle w:val="Heading2"/>
        <w:numPr>
          <w:ilvl w:val="1"/>
          <w:numId w:val="1"/>
        </w:numPr>
        <w:rPr>
          <w:lang w:val="en-CA"/>
        </w:rPr>
      </w:pPr>
      <w:r w:rsidRPr="003B0C6A">
        <w:rPr>
          <w:lang w:val="en-CA"/>
        </w:rPr>
        <w:t>A</w:t>
      </w:r>
      <w:r w:rsidR="007F5B85" w:rsidRPr="003B0C6A">
        <w:rPr>
          <w:lang w:val="en-CA"/>
        </w:rPr>
        <w:t xml:space="preserve">n end-user incentive pilot project </w:t>
      </w:r>
      <w:r w:rsidR="007B4A00" w:rsidRPr="003B0C6A">
        <w:rPr>
          <w:lang w:val="en-CA"/>
        </w:rPr>
        <w:t>(</w:t>
      </w:r>
      <w:r w:rsidR="00AD1156" w:rsidRPr="003B0C6A">
        <w:rPr>
          <w:lang w:val="en-CA"/>
        </w:rPr>
        <w:t>in 2019</w:t>
      </w:r>
      <w:r w:rsidR="007B4A00" w:rsidRPr="003B0C6A">
        <w:rPr>
          <w:lang w:val="en-CA"/>
        </w:rPr>
        <w:t>)</w:t>
      </w:r>
      <w:r w:rsidR="00AD1156" w:rsidRPr="003B0C6A">
        <w:rPr>
          <w:lang w:val="en-CA"/>
        </w:rPr>
        <w:t xml:space="preserve"> to promote the use of </w:t>
      </w:r>
      <w:r w:rsidR="007B4A00" w:rsidRPr="003B0C6A">
        <w:rPr>
          <w:lang w:val="en-CA"/>
        </w:rPr>
        <w:t xml:space="preserve">HC-290 </w:t>
      </w:r>
      <w:r w:rsidR="00B40397">
        <w:rPr>
          <w:lang w:val="en-CA"/>
        </w:rPr>
        <w:br/>
      </w:r>
      <w:r w:rsidR="00AD1156" w:rsidRPr="003B0C6A">
        <w:rPr>
          <w:lang w:val="en-CA"/>
        </w:rPr>
        <w:t>air</w:t>
      </w:r>
      <w:r w:rsidR="004266D9">
        <w:rPr>
          <w:lang w:val="en-CA"/>
        </w:rPr>
        <w:t>-</w:t>
      </w:r>
      <w:r w:rsidR="00AD1156" w:rsidRPr="003B0C6A">
        <w:rPr>
          <w:lang w:val="en-CA"/>
        </w:rPr>
        <w:t xml:space="preserve">conditioning (AC) </w:t>
      </w:r>
      <w:r w:rsidR="00243167" w:rsidRPr="003B0C6A">
        <w:rPr>
          <w:lang w:val="en-CA"/>
        </w:rPr>
        <w:t>in Port Moresby</w:t>
      </w:r>
      <w:r w:rsidR="00270149" w:rsidRPr="003B0C6A">
        <w:rPr>
          <w:lang w:val="en-CA"/>
        </w:rPr>
        <w:t>;</w:t>
      </w:r>
      <w:r w:rsidR="00243167" w:rsidRPr="003B0C6A">
        <w:rPr>
          <w:lang w:val="en-CA"/>
        </w:rPr>
        <w:t xml:space="preserve"> </w:t>
      </w:r>
      <w:r w:rsidR="003A40D1" w:rsidRPr="003B0C6A">
        <w:rPr>
          <w:lang w:val="en-CA"/>
        </w:rPr>
        <w:t xml:space="preserve">another pilot project </w:t>
      </w:r>
      <w:r w:rsidR="00373673" w:rsidRPr="003B0C6A">
        <w:rPr>
          <w:lang w:val="en-CA"/>
        </w:rPr>
        <w:t>to</w:t>
      </w:r>
      <w:r w:rsidR="00AD1156" w:rsidRPr="003B0C6A">
        <w:rPr>
          <w:lang w:val="en-CA"/>
        </w:rPr>
        <w:t xml:space="preserve"> demonstrate the use of CO</w:t>
      </w:r>
      <w:r w:rsidR="00AD1156" w:rsidRPr="003B0C6A">
        <w:rPr>
          <w:vertAlign w:val="subscript"/>
          <w:lang w:val="en-CA"/>
        </w:rPr>
        <w:t>2</w:t>
      </w:r>
      <w:r w:rsidR="00AD1156" w:rsidRPr="003B0C6A">
        <w:rPr>
          <w:lang w:val="en-CA"/>
        </w:rPr>
        <w:t xml:space="preserve"> in the commercial refrigeration sector </w:t>
      </w:r>
      <w:r w:rsidR="00373673" w:rsidRPr="003B0C6A">
        <w:rPr>
          <w:lang w:val="en-CA"/>
        </w:rPr>
        <w:t>and</w:t>
      </w:r>
      <w:r w:rsidR="00AD1156" w:rsidRPr="003B0C6A">
        <w:rPr>
          <w:lang w:val="en-CA"/>
        </w:rPr>
        <w:t xml:space="preserve"> </w:t>
      </w:r>
      <w:r w:rsidR="00434155" w:rsidRPr="003B0C6A">
        <w:rPr>
          <w:lang w:val="en-CA"/>
        </w:rPr>
        <w:t xml:space="preserve">the use of </w:t>
      </w:r>
      <w:r w:rsidR="00373673" w:rsidRPr="003B0C6A">
        <w:rPr>
          <w:lang w:val="en-CA"/>
        </w:rPr>
        <w:t xml:space="preserve">HC-290 </w:t>
      </w:r>
      <w:r w:rsidR="00434155" w:rsidRPr="003B0C6A">
        <w:rPr>
          <w:lang w:val="en-CA"/>
        </w:rPr>
        <w:t xml:space="preserve">in </w:t>
      </w:r>
      <w:r w:rsidR="00373673" w:rsidRPr="003B0C6A">
        <w:rPr>
          <w:lang w:val="en-CA"/>
        </w:rPr>
        <w:t xml:space="preserve">a </w:t>
      </w:r>
      <w:r w:rsidR="00434155" w:rsidRPr="003B0C6A">
        <w:rPr>
          <w:lang w:val="en-CA"/>
        </w:rPr>
        <w:t>cold room system for the fisheries and food processing sectors</w:t>
      </w:r>
      <w:r w:rsidR="007F5B85" w:rsidRPr="003B0C6A">
        <w:rPr>
          <w:lang w:val="en-CA"/>
        </w:rPr>
        <w:t xml:space="preserve"> (US $134,500)</w:t>
      </w:r>
      <w:r w:rsidR="00434155" w:rsidRPr="003B0C6A">
        <w:rPr>
          <w:lang w:val="en-CA"/>
        </w:rPr>
        <w:t>;</w:t>
      </w:r>
    </w:p>
    <w:p w:rsidR="00AD4F26" w:rsidRPr="00256B0E" w:rsidRDefault="00AD4F26" w:rsidP="002952A5">
      <w:pPr>
        <w:pStyle w:val="Heading2"/>
        <w:numPr>
          <w:ilvl w:val="1"/>
          <w:numId w:val="1"/>
        </w:numPr>
        <w:rPr>
          <w:lang w:val="en-CA"/>
        </w:rPr>
      </w:pPr>
      <w:r w:rsidRPr="00256B0E">
        <w:rPr>
          <w:lang w:val="en-CA"/>
        </w:rPr>
        <w:t xml:space="preserve">An end-user incentive programme </w:t>
      </w:r>
      <w:r w:rsidR="002952A5" w:rsidRPr="00256B0E">
        <w:rPr>
          <w:lang w:val="en-CA"/>
        </w:rPr>
        <w:t xml:space="preserve">for the import </w:t>
      </w:r>
      <w:r w:rsidR="00256B0E" w:rsidRPr="00256B0E">
        <w:rPr>
          <w:lang w:val="en-CA"/>
        </w:rPr>
        <w:t xml:space="preserve">and installation </w:t>
      </w:r>
      <w:r w:rsidR="002952A5" w:rsidRPr="00256B0E">
        <w:rPr>
          <w:lang w:val="en-CA"/>
        </w:rPr>
        <w:t xml:space="preserve">of R-290-based </w:t>
      </w:r>
      <w:r w:rsidR="00256B0E" w:rsidRPr="00256B0E">
        <w:rPr>
          <w:lang w:val="en-CA"/>
        </w:rPr>
        <w:br/>
      </w:r>
      <w:r w:rsidR="002952A5" w:rsidRPr="00256B0E">
        <w:rPr>
          <w:lang w:val="en-CA"/>
        </w:rPr>
        <w:t>AC</w:t>
      </w:r>
      <w:r w:rsidR="00B473DC">
        <w:rPr>
          <w:lang w:val="en-CA"/>
        </w:rPr>
        <w:t xml:space="preserve"> units</w:t>
      </w:r>
      <w:r w:rsidR="002952A5" w:rsidRPr="00256B0E">
        <w:rPr>
          <w:lang w:val="en-CA"/>
        </w:rPr>
        <w:t xml:space="preserve"> </w:t>
      </w:r>
      <w:r w:rsidR="00256B0E" w:rsidRPr="00256B0E">
        <w:rPr>
          <w:lang w:val="en-CA"/>
        </w:rPr>
        <w:t>to demonstrate successful</w:t>
      </w:r>
      <w:r w:rsidR="002952A5" w:rsidRPr="00256B0E">
        <w:rPr>
          <w:lang w:val="en-CA"/>
        </w:rPr>
        <w:t xml:space="preserve"> </w:t>
      </w:r>
      <w:r w:rsidR="00256B0E" w:rsidRPr="00256B0E">
        <w:rPr>
          <w:lang w:val="en-CA"/>
        </w:rPr>
        <w:t xml:space="preserve">conversion/retrofitting of HCFC-based equipment </w:t>
      </w:r>
      <w:r w:rsidR="002952A5" w:rsidRPr="00256B0E">
        <w:rPr>
          <w:lang w:val="en-CA"/>
        </w:rPr>
        <w:t>with low-GWP refrigerants (funding from second tranche);</w:t>
      </w:r>
    </w:p>
    <w:p w:rsidR="00434155" w:rsidRPr="003B0C6A" w:rsidRDefault="00CF246A" w:rsidP="003B0C6A">
      <w:pPr>
        <w:pStyle w:val="Heading2"/>
        <w:numPr>
          <w:ilvl w:val="1"/>
          <w:numId w:val="1"/>
        </w:numPr>
        <w:rPr>
          <w:lang w:val="en-CA"/>
        </w:rPr>
      </w:pPr>
      <w:r w:rsidRPr="003B0C6A">
        <w:rPr>
          <w:lang w:val="en-CA"/>
        </w:rPr>
        <w:t>A</w:t>
      </w:r>
      <w:r w:rsidR="00434155" w:rsidRPr="003B0C6A">
        <w:rPr>
          <w:lang w:val="en-CA"/>
        </w:rPr>
        <w:t xml:space="preserve">wareness activities </w:t>
      </w:r>
      <w:r w:rsidR="00373673" w:rsidRPr="003B0C6A">
        <w:rPr>
          <w:lang w:val="en-CA"/>
        </w:rPr>
        <w:t>including</w:t>
      </w:r>
      <w:r w:rsidR="00434155" w:rsidRPr="003B0C6A">
        <w:rPr>
          <w:lang w:val="en-CA"/>
        </w:rPr>
        <w:t xml:space="preserve"> two stakeholder workshops </w:t>
      </w:r>
      <w:r w:rsidR="003A40D1" w:rsidRPr="003B0C6A">
        <w:rPr>
          <w:lang w:val="en-CA"/>
        </w:rPr>
        <w:t xml:space="preserve">for 100 participants </w:t>
      </w:r>
      <w:r w:rsidR="00373673" w:rsidRPr="003B0C6A">
        <w:rPr>
          <w:lang w:val="en-CA"/>
        </w:rPr>
        <w:t xml:space="preserve">about the HPMP </w:t>
      </w:r>
      <w:r w:rsidR="00434155" w:rsidRPr="003B0C6A">
        <w:rPr>
          <w:lang w:val="en-CA"/>
        </w:rPr>
        <w:t xml:space="preserve">and </w:t>
      </w:r>
      <w:r w:rsidR="00243167" w:rsidRPr="003B0C6A">
        <w:rPr>
          <w:lang w:val="en-CA"/>
        </w:rPr>
        <w:t>development of awareness materials</w:t>
      </w:r>
      <w:r w:rsidR="007F5B85" w:rsidRPr="003B0C6A">
        <w:rPr>
          <w:lang w:val="en-CA"/>
        </w:rPr>
        <w:t xml:space="preserve"> (US $12,000)</w:t>
      </w:r>
      <w:r w:rsidR="00434155" w:rsidRPr="003B0C6A">
        <w:rPr>
          <w:lang w:val="en-CA"/>
        </w:rPr>
        <w:t>;</w:t>
      </w:r>
    </w:p>
    <w:p w:rsidR="00434155" w:rsidRPr="003B0C6A" w:rsidRDefault="00CF246A" w:rsidP="003B0C6A">
      <w:pPr>
        <w:pStyle w:val="Heading2"/>
        <w:numPr>
          <w:ilvl w:val="1"/>
          <w:numId w:val="1"/>
        </w:numPr>
        <w:rPr>
          <w:lang w:val="en-CA"/>
        </w:rPr>
      </w:pPr>
      <w:r w:rsidRPr="003B0C6A">
        <w:rPr>
          <w:lang w:val="en-CA"/>
        </w:rPr>
        <w:t>C</w:t>
      </w:r>
      <w:r w:rsidR="007F5B85" w:rsidRPr="003B0C6A">
        <w:rPr>
          <w:lang w:val="en-CA"/>
        </w:rPr>
        <w:t xml:space="preserve">oordination, assessment, evaluation, and reporting of the implementation of all the HPMP activities (US $58,000); </w:t>
      </w:r>
      <w:r w:rsidR="003565ED" w:rsidRPr="003B0C6A">
        <w:rPr>
          <w:lang w:val="en-CA"/>
        </w:rPr>
        <w:t>and</w:t>
      </w:r>
    </w:p>
    <w:p w:rsidR="0083048C" w:rsidRPr="003B0C6A" w:rsidRDefault="00CF246A" w:rsidP="003B0C6A">
      <w:pPr>
        <w:pStyle w:val="Heading2"/>
        <w:numPr>
          <w:ilvl w:val="1"/>
          <w:numId w:val="1"/>
        </w:numPr>
        <w:rPr>
          <w:lang w:val="en-CA"/>
        </w:rPr>
      </w:pPr>
      <w:r w:rsidRPr="003B0C6A">
        <w:rPr>
          <w:lang w:val="en-CA"/>
        </w:rPr>
        <w:t>Activities related to institutional strengthening including collection, analysis an</w:t>
      </w:r>
      <w:r w:rsidR="006A10F4" w:rsidRPr="003B0C6A">
        <w:rPr>
          <w:lang w:val="en-CA"/>
        </w:rPr>
        <w:t>d reporting of consumption data;</w:t>
      </w:r>
      <w:r w:rsidRPr="003B0C6A">
        <w:rPr>
          <w:lang w:val="en-CA"/>
        </w:rPr>
        <w:t xml:space="preserve"> </w:t>
      </w:r>
      <w:r w:rsidR="006A10F4" w:rsidRPr="003B0C6A">
        <w:rPr>
          <w:lang w:val="en-CA"/>
        </w:rPr>
        <w:t xml:space="preserve">this budget will also include </w:t>
      </w:r>
      <w:r w:rsidR="00E00108" w:rsidRPr="003B0C6A">
        <w:rPr>
          <w:lang w:val="en-CA"/>
        </w:rPr>
        <w:t xml:space="preserve">running costs related to NOU </w:t>
      </w:r>
      <w:r w:rsidR="006A10F4" w:rsidRPr="003B0C6A">
        <w:rPr>
          <w:lang w:val="en-CA"/>
        </w:rPr>
        <w:t xml:space="preserve">as well as </w:t>
      </w:r>
      <w:r w:rsidR="00E00108" w:rsidRPr="003B0C6A">
        <w:rPr>
          <w:lang w:val="en-CA"/>
        </w:rPr>
        <w:t>office equipment requirements and Ozone day celebrations and other awareness activities</w:t>
      </w:r>
      <w:r w:rsidR="007F5B85" w:rsidRPr="003B0C6A">
        <w:rPr>
          <w:lang w:val="en-CA"/>
        </w:rPr>
        <w:t xml:space="preserve"> (US $70,000)</w:t>
      </w:r>
      <w:r w:rsidR="00E00108" w:rsidRPr="003B0C6A">
        <w:rPr>
          <w:lang w:val="en-CA"/>
        </w:rPr>
        <w:t>.</w:t>
      </w:r>
    </w:p>
    <w:p w:rsidR="00572436" w:rsidRPr="003B0C6A" w:rsidRDefault="00572436" w:rsidP="003B0C6A">
      <w:pPr>
        <w:jc w:val="center"/>
        <w:rPr>
          <w:b/>
          <w:lang w:val="en-CA"/>
        </w:rPr>
      </w:pPr>
      <w:r w:rsidRPr="003B0C6A">
        <w:rPr>
          <w:b/>
          <w:lang w:val="en-CA"/>
        </w:rPr>
        <w:t>SECRETARIAT’S COMMENTS AND RECOMMENDATION</w:t>
      </w:r>
    </w:p>
    <w:p w:rsidR="00572436" w:rsidRPr="003B0C6A" w:rsidRDefault="00572436" w:rsidP="003B0C6A">
      <w:pPr>
        <w:jc w:val="center"/>
        <w:rPr>
          <w:b/>
          <w:lang w:val="en-CA"/>
        </w:rPr>
      </w:pPr>
    </w:p>
    <w:p w:rsidR="00572436" w:rsidRPr="003B0C6A" w:rsidRDefault="00572436" w:rsidP="003B0C6A">
      <w:pPr>
        <w:rPr>
          <w:b/>
          <w:lang w:val="en-CA"/>
        </w:rPr>
      </w:pPr>
      <w:r w:rsidRPr="003B0C6A">
        <w:rPr>
          <w:b/>
          <w:lang w:val="en-CA"/>
        </w:rPr>
        <w:t>COMMENTS</w:t>
      </w:r>
    </w:p>
    <w:p w:rsidR="00572436" w:rsidRPr="003B0C6A" w:rsidRDefault="00572436" w:rsidP="003B0C6A">
      <w:pPr>
        <w:rPr>
          <w:lang w:val="en-CA"/>
        </w:rPr>
      </w:pPr>
    </w:p>
    <w:p w:rsidR="00572436" w:rsidRPr="003B0C6A" w:rsidRDefault="00572436" w:rsidP="003B0C6A">
      <w:pPr>
        <w:rPr>
          <w:i/>
          <w:lang w:val="en-CA"/>
        </w:rPr>
      </w:pPr>
      <w:r w:rsidRPr="003B0C6A">
        <w:rPr>
          <w:i/>
          <w:lang w:val="en-CA"/>
        </w:rPr>
        <w:t>Legal framework</w:t>
      </w:r>
    </w:p>
    <w:p w:rsidR="006B745D" w:rsidRPr="003B0C6A" w:rsidRDefault="006B745D" w:rsidP="003B0C6A">
      <w:pPr>
        <w:rPr>
          <w:highlight w:val="magenta"/>
          <w:lang w:val="en-CA"/>
        </w:rPr>
      </w:pPr>
    </w:p>
    <w:p w:rsidR="00572436" w:rsidRPr="003B0C6A" w:rsidRDefault="00572436" w:rsidP="003B0C6A">
      <w:pPr>
        <w:pStyle w:val="Heading1"/>
        <w:numPr>
          <w:ilvl w:val="0"/>
          <w:numId w:val="24"/>
        </w:numPr>
        <w:tabs>
          <w:tab w:val="num" w:pos="0"/>
        </w:tabs>
        <w:ind w:left="0" w:firstLine="0"/>
      </w:pPr>
      <w:r w:rsidRPr="003B0C6A">
        <w:t xml:space="preserve">The Government of </w:t>
      </w:r>
      <w:r w:rsidR="00EF07F3" w:rsidRPr="003B0C6A">
        <w:t>Papua New Guinea</w:t>
      </w:r>
      <w:r w:rsidR="001B5589" w:rsidRPr="003B0C6A">
        <w:t xml:space="preserve"> </w:t>
      </w:r>
      <w:r w:rsidRPr="003B0C6A">
        <w:t>has already issued HCFC import quotas for 201</w:t>
      </w:r>
      <w:r w:rsidR="00A67751" w:rsidRPr="003B0C6A">
        <w:t>7</w:t>
      </w:r>
      <w:r w:rsidRPr="003B0C6A">
        <w:t xml:space="preserve"> </w:t>
      </w:r>
      <w:r w:rsidR="009E4CC8" w:rsidRPr="003B0C6A">
        <w:t xml:space="preserve">at </w:t>
      </w:r>
      <w:r w:rsidR="00256B0E">
        <w:br/>
      </w:r>
      <w:r w:rsidR="009E4CC8" w:rsidRPr="003B0C6A">
        <w:t>2.26 ODP tonnes, which is consistent with its Agreement with the Executive Committee.</w:t>
      </w:r>
    </w:p>
    <w:p w:rsidR="00572436" w:rsidRPr="003B0C6A" w:rsidRDefault="00572436" w:rsidP="003B0C6A">
      <w:pPr>
        <w:rPr>
          <w:i/>
          <w:lang w:val="en-CA"/>
        </w:rPr>
      </w:pPr>
      <w:r w:rsidRPr="003B0C6A">
        <w:rPr>
          <w:i/>
          <w:lang w:val="en-CA"/>
        </w:rPr>
        <w:t>Refrigeration servicing sector</w:t>
      </w:r>
    </w:p>
    <w:p w:rsidR="00572436" w:rsidRPr="003B0C6A" w:rsidRDefault="00572436" w:rsidP="003B0C6A">
      <w:pPr>
        <w:rPr>
          <w:lang w:val="en-CA"/>
        </w:rPr>
      </w:pPr>
    </w:p>
    <w:p w:rsidR="009E4CC8" w:rsidRPr="003B0C6A" w:rsidRDefault="009E4CC8" w:rsidP="003B0C6A">
      <w:pPr>
        <w:pStyle w:val="Heading1"/>
        <w:numPr>
          <w:ilvl w:val="0"/>
          <w:numId w:val="24"/>
        </w:numPr>
        <w:tabs>
          <w:tab w:val="num" w:pos="0"/>
        </w:tabs>
        <w:ind w:left="0" w:firstLine="0"/>
      </w:pPr>
      <w:r w:rsidRPr="003B0C6A">
        <w:t>The Government of Germany confirmed that training activities for service technicians will be made sustainable through collaboration with academic institutions, in particular, Port Moresby Technical College</w:t>
      </w:r>
      <w:r w:rsidR="007F5B85" w:rsidRPr="003B0C6A">
        <w:t>, the</w:t>
      </w:r>
      <w:r w:rsidRPr="003B0C6A">
        <w:t xml:space="preserve"> </w:t>
      </w:r>
      <w:r w:rsidR="00373673" w:rsidRPr="003B0C6A">
        <w:t>Government-</w:t>
      </w:r>
      <w:r w:rsidRPr="003B0C6A">
        <w:t xml:space="preserve">recognised institute that </w:t>
      </w:r>
      <w:r w:rsidR="00373673" w:rsidRPr="003B0C6A">
        <w:t xml:space="preserve">conducts </w:t>
      </w:r>
      <w:r w:rsidRPr="003B0C6A">
        <w:t xml:space="preserve">RAC </w:t>
      </w:r>
      <w:r w:rsidR="00373673" w:rsidRPr="003B0C6A">
        <w:t xml:space="preserve">training </w:t>
      </w:r>
      <w:r w:rsidRPr="003B0C6A">
        <w:t>courses.</w:t>
      </w:r>
      <w:r w:rsidR="00373673" w:rsidRPr="003B0C6A">
        <w:t xml:space="preserve"> Training e</w:t>
      </w:r>
      <w:r w:rsidRPr="003B0C6A">
        <w:t xml:space="preserve">quipment will also be provided to two other colleges (i.e., Australia Pacific Technical College and Don Bosco Technical Institute) in order to </w:t>
      </w:r>
      <w:r w:rsidR="007F5B85" w:rsidRPr="003B0C6A">
        <w:t>promote good</w:t>
      </w:r>
      <w:r w:rsidRPr="003B0C6A">
        <w:t xml:space="preserve"> practices in refrigeration training programmes.</w:t>
      </w:r>
    </w:p>
    <w:p w:rsidR="009E4CC8" w:rsidRPr="003B0C6A" w:rsidRDefault="00373673" w:rsidP="00B473DC">
      <w:pPr>
        <w:pStyle w:val="Heading1"/>
        <w:numPr>
          <w:ilvl w:val="0"/>
          <w:numId w:val="24"/>
        </w:numPr>
        <w:tabs>
          <w:tab w:val="num" w:pos="0"/>
        </w:tabs>
        <w:ind w:left="0" w:firstLine="0"/>
      </w:pPr>
      <w:r w:rsidRPr="003B0C6A">
        <w:t>I</w:t>
      </w:r>
      <w:r w:rsidR="009E4CC8" w:rsidRPr="003B0C6A">
        <w:t xml:space="preserve">mplementation of the end-user incentive programme </w:t>
      </w:r>
      <w:r w:rsidR="003A40D1" w:rsidRPr="003B0C6A">
        <w:t xml:space="preserve">which aimed to demonstrate cases of successful conversion/retrofitting of HCFC-based RAC equipment </w:t>
      </w:r>
      <w:r w:rsidRPr="003B0C6A">
        <w:t xml:space="preserve">was </w:t>
      </w:r>
      <w:r w:rsidR="009E4CC8" w:rsidRPr="003B0C6A">
        <w:t>included as part of the second tranche</w:t>
      </w:r>
      <w:r w:rsidRPr="003B0C6A">
        <w:t>.</w:t>
      </w:r>
      <w:r w:rsidR="009E4CC8" w:rsidRPr="003B0C6A">
        <w:t xml:space="preserve"> </w:t>
      </w:r>
      <w:r w:rsidRPr="003B0C6A">
        <w:t>T</w:t>
      </w:r>
      <w:r w:rsidR="009F6036" w:rsidRPr="003B0C6A">
        <w:t xml:space="preserve">he Government of Germany indicated that as the initial alternative considered for this programme was an HFC </w:t>
      </w:r>
      <w:r w:rsidRPr="003B0C6A">
        <w:t xml:space="preserve">which </w:t>
      </w:r>
      <w:r w:rsidR="009F6036" w:rsidRPr="003B0C6A">
        <w:t xml:space="preserve">was not consistent with the country’s carbon-neutral policy, this has been postponed for 2017 </w:t>
      </w:r>
      <w:r w:rsidR="00710C3F" w:rsidRPr="003B0C6A">
        <w:t xml:space="preserve">when </w:t>
      </w:r>
      <w:r w:rsidR="009F6036" w:rsidRPr="003B0C6A">
        <w:t>it is expected that safety considerations for the use of HC would be in place.</w:t>
      </w:r>
      <w:r w:rsidR="00B473DC">
        <w:t xml:space="preserve"> </w:t>
      </w:r>
      <w:r w:rsidR="00B473DC" w:rsidRPr="00B473DC">
        <w:t xml:space="preserve">It also indicated that the </w:t>
      </w:r>
      <w:r w:rsidR="00ED5212" w:rsidRPr="003B0C6A">
        <w:t>Government of Papua New Guinea</w:t>
      </w:r>
      <w:bookmarkStart w:id="0" w:name="_GoBack"/>
      <w:bookmarkEnd w:id="0"/>
      <w:r w:rsidR="00B473DC" w:rsidRPr="00B473DC">
        <w:t xml:space="preserve"> and the refrigeration association are aware of the decisions</w:t>
      </w:r>
      <w:r w:rsidR="00B473DC" w:rsidRPr="00B473DC">
        <w:rPr>
          <w:vertAlign w:val="superscript"/>
        </w:rPr>
        <w:footnoteReference w:id="2"/>
      </w:r>
      <w:r w:rsidR="00B473DC" w:rsidRPr="00B473DC">
        <w:t xml:space="preserve"> of the Executive Committee regarding retrofits, and are fully committed to ensuring that all safety considerations are taken into account if and when retrofitting is done.</w:t>
      </w:r>
    </w:p>
    <w:p w:rsidR="009F6036" w:rsidRPr="003B0C6A" w:rsidRDefault="00572436" w:rsidP="003B0C6A">
      <w:pPr>
        <w:rPr>
          <w:u w:val="single"/>
          <w:lang w:val="en-CA"/>
        </w:rPr>
      </w:pPr>
      <w:r w:rsidRPr="003B0C6A">
        <w:rPr>
          <w:u w:val="single"/>
          <w:lang w:val="en-CA"/>
        </w:rPr>
        <w:t xml:space="preserve">Conclusion </w:t>
      </w:r>
    </w:p>
    <w:p w:rsidR="009F6036" w:rsidRPr="003B0C6A" w:rsidRDefault="009F6036" w:rsidP="003B0C6A">
      <w:pPr>
        <w:rPr>
          <w:u w:val="single"/>
          <w:lang w:val="en-CA"/>
        </w:rPr>
      </w:pPr>
    </w:p>
    <w:p w:rsidR="00EE2A71" w:rsidRPr="003B0C6A" w:rsidRDefault="002B4E1A" w:rsidP="003B0C6A">
      <w:pPr>
        <w:pStyle w:val="Heading1"/>
        <w:numPr>
          <w:ilvl w:val="0"/>
          <w:numId w:val="24"/>
        </w:numPr>
        <w:tabs>
          <w:tab w:val="num" w:pos="0"/>
        </w:tabs>
        <w:ind w:left="0" w:firstLine="0"/>
      </w:pPr>
      <w:r w:rsidRPr="003B0C6A">
        <w:t>I</w:t>
      </w:r>
      <w:r w:rsidR="009F6036" w:rsidRPr="003B0C6A">
        <w:t>mplementation of the HPMP in Papua New Guinea is progressing</w:t>
      </w:r>
      <w:r w:rsidR="00710C3F" w:rsidRPr="003B0C6A">
        <w:t>.</w:t>
      </w:r>
      <w:r w:rsidR="009F6036" w:rsidRPr="003B0C6A">
        <w:t xml:space="preserve"> </w:t>
      </w:r>
      <w:r w:rsidR="00710C3F" w:rsidRPr="003B0C6A">
        <w:t xml:space="preserve">HCFC </w:t>
      </w:r>
      <w:r w:rsidR="009F6036" w:rsidRPr="003B0C6A">
        <w:t xml:space="preserve">consumption in 2015 </w:t>
      </w:r>
      <w:r w:rsidRPr="003B0C6A">
        <w:t xml:space="preserve">was 30 </w:t>
      </w:r>
      <w:r w:rsidR="00EE2A71" w:rsidRPr="003B0C6A">
        <w:t xml:space="preserve">per cent </w:t>
      </w:r>
      <w:r w:rsidRPr="003B0C6A">
        <w:t xml:space="preserve">below </w:t>
      </w:r>
      <w:r w:rsidR="00EE2A71" w:rsidRPr="003B0C6A">
        <w:t>the baseline</w:t>
      </w:r>
      <w:r w:rsidRPr="003B0C6A">
        <w:t>,</w:t>
      </w:r>
      <w:r w:rsidR="00EE2A71" w:rsidRPr="003B0C6A">
        <w:t xml:space="preserve"> </w:t>
      </w:r>
      <w:r w:rsidRPr="003B0C6A">
        <w:t xml:space="preserve">which </w:t>
      </w:r>
      <w:r w:rsidR="00EE2A71" w:rsidRPr="003B0C6A">
        <w:t xml:space="preserve">demonstrates compliance with the accelerated reduction schedules committed by the Government. The activities in the servicing sector will be sustainable through capacity built with academic institutions and the participation of </w:t>
      </w:r>
      <w:r w:rsidR="002952A5">
        <w:t>the</w:t>
      </w:r>
      <w:r w:rsidR="003A40D1" w:rsidRPr="003B0C6A">
        <w:t xml:space="preserve"> refrigeration </w:t>
      </w:r>
      <w:r w:rsidR="003B0C6A" w:rsidRPr="003B0C6A">
        <w:t>association</w:t>
      </w:r>
      <w:r w:rsidR="00EE2A71" w:rsidRPr="003B0C6A">
        <w:t xml:space="preserve">. It is also expected </w:t>
      </w:r>
      <w:r w:rsidR="003B0C6A" w:rsidRPr="003B0C6A">
        <w:t xml:space="preserve">that </w:t>
      </w:r>
      <w:r w:rsidR="00EE2A71" w:rsidRPr="003B0C6A">
        <w:t xml:space="preserve">the import </w:t>
      </w:r>
      <w:r w:rsidR="00710C3F" w:rsidRPr="003B0C6A">
        <w:t>of equipment</w:t>
      </w:r>
      <w:r w:rsidR="00EE2A71" w:rsidRPr="003B0C6A">
        <w:t xml:space="preserve"> using or containing HCFC will be banned by mid-2017.</w:t>
      </w:r>
    </w:p>
    <w:p w:rsidR="00572436" w:rsidRPr="003B0C6A" w:rsidRDefault="00572436" w:rsidP="003B0C6A">
      <w:pPr>
        <w:pStyle w:val="ListParagraph"/>
        <w:ind w:left="0"/>
        <w:rPr>
          <w:lang w:val="en-CA"/>
        </w:rPr>
      </w:pPr>
      <w:r w:rsidRPr="003B0C6A">
        <w:rPr>
          <w:b/>
          <w:lang w:val="en-CA"/>
        </w:rPr>
        <w:t>RECOMMENDATION</w:t>
      </w:r>
    </w:p>
    <w:p w:rsidR="00DD07EE" w:rsidRPr="003B0C6A" w:rsidRDefault="00DD07EE" w:rsidP="003B0C6A">
      <w:pPr>
        <w:rPr>
          <w:lang w:val="en-CA"/>
        </w:rPr>
      </w:pPr>
    </w:p>
    <w:p w:rsidR="00DD07EE" w:rsidRPr="003B0C6A" w:rsidRDefault="009F6036" w:rsidP="003B0C6A">
      <w:pPr>
        <w:pStyle w:val="Heading1"/>
        <w:numPr>
          <w:ilvl w:val="0"/>
          <w:numId w:val="24"/>
        </w:numPr>
        <w:tabs>
          <w:tab w:val="num" w:pos="0"/>
        </w:tabs>
        <w:ind w:left="0" w:firstLine="0"/>
      </w:pPr>
      <w:r w:rsidRPr="003B0C6A">
        <w:t xml:space="preserve">The Fund Secretariat recommends that the Executive Committee takes note of the progress report on the implementation of the second tranche of stage I of the HCFC phase-out management plan of (HPMP) for Papua New Guinea; and further recommends blanket approval of the third tranche of stage I of the HPMP for Papua New Guinea, and the corresponding 2017-2020 tranche implementation plan at the funding levels shown in the table below, on the understanding that if </w:t>
      </w:r>
      <w:r w:rsidR="008174F5">
        <w:t xml:space="preserve">and when </w:t>
      </w:r>
      <w:r w:rsidRPr="003B0C6A">
        <w:t>Papua New Guinea were to decide to proceed with retrofits and associated servicing to flammable and toxic refrigerants in refrigeration and air-conditioning equipment originally designed for non-flammable substances, it would do so assuming all associated responsibilities and risks and only in accordance with the relevant standards and protocols: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620"/>
        <w:gridCol w:w="1380"/>
        <w:gridCol w:w="1590"/>
      </w:tblGrid>
      <w:tr w:rsidR="00DD07EE" w:rsidRPr="003B0C6A" w:rsidTr="0094303B">
        <w:tc>
          <w:tcPr>
            <w:tcW w:w="540" w:type="dxa"/>
          </w:tcPr>
          <w:p w:rsidR="00DD07EE" w:rsidRPr="003B0C6A" w:rsidRDefault="00DD07EE" w:rsidP="003B0C6A">
            <w:pPr>
              <w:jc w:val="center"/>
              <w:rPr>
                <w:b/>
                <w:bCs/>
                <w:sz w:val="20"/>
                <w:szCs w:val="20"/>
                <w:lang w:val="en-CA"/>
              </w:rPr>
            </w:pPr>
          </w:p>
        </w:tc>
        <w:tc>
          <w:tcPr>
            <w:tcW w:w="4320" w:type="dxa"/>
          </w:tcPr>
          <w:p w:rsidR="00DD07EE" w:rsidRPr="003B0C6A" w:rsidRDefault="00DD07EE" w:rsidP="003B0C6A">
            <w:pPr>
              <w:jc w:val="center"/>
              <w:rPr>
                <w:b/>
                <w:bCs/>
                <w:sz w:val="20"/>
                <w:szCs w:val="20"/>
                <w:lang w:val="en-CA"/>
              </w:rPr>
            </w:pPr>
            <w:r w:rsidRPr="003B0C6A">
              <w:rPr>
                <w:b/>
                <w:bCs/>
                <w:sz w:val="20"/>
                <w:szCs w:val="20"/>
                <w:lang w:val="en-CA"/>
              </w:rPr>
              <w:t>Project title</w:t>
            </w:r>
          </w:p>
        </w:tc>
        <w:tc>
          <w:tcPr>
            <w:tcW w:w="1620" w:type="dxa"/>
            <w:tcMar>
              <w:left w:w="29" w:type="dxa"/>
              <w:right w:w="29" w:type="dxa"/>
            </w:tcMar>
          </w:tcPr>
          <w:p w:rsidR="00DD07EE" w:rsidRPr="003B0C6A" w:rsidRDefault="00DD07EE" w:rsidP="003B0C6A">
            <w:pPr>
              <w:jc w:val="center"/>
              <w:rPr>
                <w:b/>
                <w:bCs/>
                <w:sz w:val="20"/>
                <w:szCs w:val="20"/>
                <w:lang w:val="en-CA"/>
              </w:rPr>
            </w:pPr>
            <w:r w:rsidRPr="003B0C6A">
              <w:rPr>
                <w:b/>
                <w:bCs/>
                <w:sz w:val="20"/>
                <w:szCs w:val="20"/>
                <w:lang w:val="en-CA"/>
              </w:rPr>
              <w:t>Project funding (US $)</w:t>
            </w:r>
          </w:p>
        </w:tc>
        <w:tc>
          <w:tcPr>
            <w:tcW w:w="1380" w:type="dxa"/>
            <w:tcMar>
              <w:left w:w="29" w:type="dxa"/>
              <w:right w:w="29" w:type="dxa"/>
            </w:tcMar>
          </w:tcPr>
          <w:p w:rsidR="00DD07EE" w:rsidRPr="003B0C6A" w:rsidRDefault="00DD07EE" w:rsidP="003B0C6A">
            <w:pPr>
              <w:jc w:val="center"/>
              <w:rPr>
                <w:b/>
                <w:bCs/>
                <w:sz w:val="20"/>
                <w:szCs w:val="20"/>
                <w:lang w:val="en-CA"/>
              </w:rPr>
            </w:pPr>
            <w:r w:rsidRPr="003B0C6A">
              <w:rPr>
                <w:b/>
                <w:bCs/>
                <w:sz w:val="20"/>
                <w:szCs w:val="20"/>
                <w:lang w:val="en-CA"/>
              </w:rPr>
              <w:t>Support cost (US $)</w:t>
            </w:r>
          </w:p>
        </w:tc>
        <w:tc>
          <w:tcPr>
            <w:tcW w:w="1590" w:type="dxa"/>
            <w:tcMar>
              <w:left w:w="29" w:type="dxa"/>
              <w:right w:w="29" w:type="dxa"/>
            </w:tcMar>
          </w:tcPr>
          <w:p w:rsidR="00DD07EE" w:rsidRPr="003B0C6A" w:rsidRDefault="00DD07EE" w:rsidP="003B0C6A">
            <w:pPr>
              <w:jc w:val="center"/>
              <w:rPr>
                <w:b/>
                <w:bCs/>
                <w:sz w:val="20"/>
                <w:szCs w:val="20"/>
                <w:lang w:val="en-CA"/>
              </w:rPr>
            </w:pPr>
            <w:r w:rsidRPr="003B0C6A">
              <w:rPr>
                <w:b/>
                <w:bCs/>
                <w:sz w:val="20"/>
                <w:szCs w:val="20"/>
                <w:lang w:val="en-CA"/>
              </w:rPr>
              <w:t>Implementing agency</w:t>
            </w:r>
          </w:p>
        </w:tc>
      </w:tr>
      <w:tr w:rsidR="00DD07EE" w:rsidRPr="003B0C6A" w:rsidTr="0094303B">
        <w:tc>
          <w:tcPr>
            <w:tcW w:w="540" w:type="dxa"/>
          </w:tcPr>
          <w:p w:rsidR="00DD07EE" w:rsidRPr="003B0C6A" w:rsidRDefault="00DD07EE" w:rsidP="003B0C6A">
            <w:pPr>
              <w:rPr>
                <w:sz w:val="20"/>
                <w:szCs w:val="20"/>
                <w:lang w:val="en-CA"/>
              </w:rPr>
            </w:pPr>
            <w:r w:rsidRPr="003B0C6A">
              <w:rPr>
                <w:sz w:val="20"/>
                <w:szCs w:val="20"/>
                <w:lang w:val="en-CA"/>
              </w:rPr>
              <w:t>(a)</w:t>
            </w:r>
          </w:p>
        </w:tc>
        <w:tc>
          <w:tcPr>
            <w:tcW w:w="4320" w:type="dxa"/>
          </w:tcPr>
          <w:p w:rsidR="00DD07EE" w:rsidRPr="003B0C6A" w:rsidRDefault="00DD07EE" w:rsidP="00992BF2">
            <w:pPr>
              <w:rPr>
                <w:sz w:val="20"/>
                <w:szCs w:val="20"/>
                <w:lang w:val="en-CA"/>
              </w:rPr>
            </w:pPr>
            <w:r w:rsidRPr="003B0C6A">
              <w:rPr>
                <w:sz w:val="20"/>
                <w:szCs w:val="20"/>
                <w:lang w:val="en-CA"/>
              </w:rPr>
              <w:t xml:space="preserve">HCFC phase-out management plan (stage I, </w:t>
            </w:r>
            <w:r w:rsidR="00950BCA" w:rsidRPr="003B0C6A">
              <w:rPr>
                <w:sz w:val="20"/>
                <w:szCs w:val="20"/>
                <w:lang w:val="en-CA"/>
              </w:rPr>
              <w:t xml:space="preserve">third </w:t>
            </w:r>
            <w:r w:rsidRPr="003B0C6A">
              <w:rPr>
                <w:sz w:val="20"/>
                <w:szCs w:val="20"/>
                <w:lang w:val="en-CA"/>
              </w:rPr>
              <w:t>tranche)</w:t>
            </w:r>
          </w:p>
        </w:tc>
        <w:tc>
          <w:tcPr>
            <w:tcW w:w="1620" w:type="dxa"/>
          </w:tcPr>
          <w:p w:rsidR="00DD07EE" w:rsidRPr="003B0C6A" w:rsidRDefault="009F6036" w:rsidP="003B0C6A">
            <w:pPr>
              <w:jc w:val="right"/>
              <w:rPr>
                <w:sz w:val="20"/>
                <w:szCs w:val="20"/>
                <w:lang w:val="en-CA"/>
              </w:rPr>
            </w:pPr>
            <w:r w:rsidRPr="003B0C6A">
              <w:rPr>
                <w:sz w:val="20"/>
                <w:szCs w:val="20"/>
                <w:lang w:val="en-CA"/>
              </w:rPr>
              <w:t>301,000</w:t>
            </w:r>
          </w:p>
        </w:tc>
        <w:tc>
          <w:tcPr>
            <w:tcW w:w="1380" w:type="dxa"/>
          </w:tcPr>
          <w:p w:rsidR="00DD07EE" w:rsidRPr="003B0C6A" w:rsidRDefault="009F6036" w:rsidP="003B0C6A">
            <w:pPr>
              <w:jc w:val="right"/>
              <w:rPr>
                <w:sz w:val="20"/>
                <w:szCs w:val="20"/>
                <w:lang w:val="en-CA"/>
              </w:rPr>
            </w:pPr>
            <w:r w:rsidRPr="003B0C6A">
              <w:rPr>
                <w:sz w:val="20"/>
                <w:szCs w:val="20"/>
                <w:lang w:val="en-CA"/>
              </w:rPr>
              <w:t>35,518</w:t>
            </w:r>
          </w:p>
        </w:tc>
        <w:tc>
          <w:tcPr>
            <w:tcW w:w="1590" w:type="dxa"/>
          </w:tcPr>
          <w:p w:rsidR="00DD07EE" w:rsidRPr="003B0C6A" w:rsidRDefault="00950BCA" w:rsidP="003B0C6A">
            <w:pPr>
              <w:jc w:val="center"/>
              <w:rPr>
                <w:sz w:val="20"/>
                <w:szCs w:val="20"/>
                <w:lang w:val="en-CA"/>
              </w:rPr>
            </w:pPr>
            <w:r w:rsidRPr="003B0C6A">
              <w:rPr>
                <w:sz w:val="20"/>
                <w:szCs w:val="20"/>
                <w:lang w:val="en-CA"/>
              </w:rPr>
              <w:t>Germany</w:t>
            </w:r>
          </w:p>
        </w:tc>
      </w:tr>
    </w:tbl>
    <w:p w:rsidR="00DD07EE" w:rsidRPr="00572436" w:rsidRDefault="00DD07EE" w:rsidP="00DD07EE">
      <w:pPr>
        <w:rPr>
          <w:lang w:val="en-CA"/>
        </w:rPr>
      </w:pPr>
    </w:p>
    <w:p w:rsidR="00AF0163" w:rsidRDefault="00AF0163" w:rsidP="00B473DC">
      <w:pPr>
        <w:jc w:val="center"/>
      </w:pPr>
    </w:p>
    <w:p w:rsidR="00B473DC" w:rsidRPr="00DD07EE" w:rsidRDefault="00B473DC" w:rsidP="00B473DC">
      <w:pPr>
        <w:jc w:val="center"/>
      </w:pPr>
      <w:r>
        <w:t>_______________</w:t>
      </w:r>
    </w:p>
    <w:sectPr w:rsidR="00B473DC" w:rsidRPr="00DD07EE" w:rsidSect="00896234">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CD8" w:rsidRDefault="00031CD8" w:rsidP="004A504B">
      <w:r>
        <w:separator/>
      </w:r>
    </w:p>
  </w:endnote>
  <w:endnote w:type="continuationSeparator" w:id="0">
    <w:p w:rsidR="00031CD8" w:rsidRDefault="00031CD8"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37" w:rsidRPr="0033525D" w:rsidRDefault="00C43337">
    <w:pPr>
      <w:jc w:val="center"/>
    </w:pPr>
    <w:r>
      <w:fldChar w:fldCharType="begin"/>
    </w:r>
    <w:r>
      <w:instrText xml:space="preserve"> PAGE </w:instrText>
    </w:r>
    <w:r>
      <w:fldChar w:fldCharType="separate"/>
    </w:r>
    <w:r w:rsidR="00ED5212">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37" w:rsidRPr="0033525D" w:rsidRDefault="00C43337">
    <w:pPr>
      <w:jc w:val="center"/>
    </w:pPr>
    <w:r>
      <w:fldChar w:fldCharType="begin"/>
    </w:r>
    <w:r>
      <w:instrText xml:space="preserve"> PAGE </w:instrText>
    </w:r>
    <w:r>
      <w:fldChar w:fldCharType="separate"/>
    </w:r>
    <w:r w:rsidR="00ED5212">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37" w:rsidRDefault="00C43337"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C43337" w:rsidRDefault="00C43337"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CD8" w:rsidRDefault="00031CD8" w:rsidP="004A504B">
      <w:r>
        <w:separator/>
      </w:r>
    </w:p>
  </w:footnote>
  <w:footnote w:type="continuationSeparator" w:id="0">
    <w:p w:rsidR="00031CD8" w:rsidRDefault="00031CD8" w:rsidP="004A504B">
      <w:r>
        <w:continuationSeparator/>
      </w:r>
    </w:p>
  </w:footnote>
  <w:footnote w:id="1">
    <w:p w:rsidR="00243167" w:rsidRPr="00243167" w:rsidRDefault="00243167">
      <w:pPr>
        <w:pStyle w:val="FootnoteText"/>
        <w:rPr>
          <w:lang w:val="en-US"/>
        </w:rPr>
      </w:pPr>
      <w:r w:rsidRPr="00B70CEE">
        <w:rPr>
          <w:rStyle w:val="FootnoteReference"/>
        </w:rPr>
        <w:footnoteRef/>
      </w:r>
      <w:r w:rsidRPr="00B70CEE">
        <w:t xml:space="preserve"> </w:t>
      </w:r>
      <w:proofErr w:type="gramStart"/>
      <w:r w:rsidR="00B70CEE" w:rsidRPr="00B70CEE">
        <w:rPr>
          <w:lang w:val="en-US"/>
        </w:rPr>
        <w:t>As per the letter of 30 September 2016 from the Conservation and Environment Protection Authority of Papua New Guinea to the Secretariat.</w:t>
      </w:r>
      <w:proofErr w:type="gramEnd"/>
    </w:p>
  </w:footnote>
  <w:footnote w:id="2">
    <w:p w:rsidR="00B473DC" w:rsidRPr="00B473DC" w:rsidRDefault="00B473DC">
      <w:pPr>
        <w:pStyle w:val="FootnoteText"/>
        <w:rPr>
          <w:lang w:val="en-CA"/>
        </w:rPr>
      </w:pPr>
      <w:r>
        <w:rPr>
          <w:rStyle w:val="FootnoteReference"/>
        </w:rPr>
        <w:footnoteRef/>
      </w:r>
      <w:r>
        <w:t xml:space="preserve"> </w:t>
      </w:r>
      <w:proofErr w:type="gramStart"/>
      <w:r>
        <w:t>Decisions 72/17 and 73/34.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37" w:rsidRPr="0033525D" w:rsidRDefault="00B70CEE">
    <w:r w:rsidRPr="00B70CEE">
      <w:t>UNEP/</w:t>
    </w:r>
    <w:proofErr w:type="spellStart"/>
    <w:r w:rsidRPr="00B70CEE">
      <w:t>OzL.Pro</w:t>
    </w:r>
    <w:proofErr w:type="spellEnd"/>
    <w:r w:rsidRPr="00B70CEE">
      <w:t>/ExCom/77/</w:t>
    </w:r>
    <w:r w:rsidR="008A6146">
      <w:t>57</w:t>
    </w:r>
  </w:p>
  <w:p w:rsidR="00C43337" w:rsidRPr="0033525D" w:rsidRDefault="00C433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37" w:rsidRPr="0033525D" w:rsidRDefault="00B70CEE">
    <w:pPr>
      <w:jc w:val="right"/>
    </w:pPr>
    <w:r w:rsidRPr="00B70CEE">
      <w:t>UNEP/</w:t>
    </w:r>
    <w:proofErr w:type="spellStart"/>
    <w:r w:rsidRPr="00B70CEE">
      <w:t>OzL.Pro</w:t>
    </w:r>
    <w:proofErr w:type="spellEnd"/>
    <w:r w:rsidRPr="00B70CEE">
      <w:t>/ExCom/77/</w:t>
    </w:r>
    <w:r w:rsidR="008A6146">
      <w:t>57</w:t>
    </w:r>
  </w:p>
  <w:p w:rsidR="00C43337" w:rsidRPr="0033525D" w:rsidRDefault="00C43337"/>
  <w:p w:rsidR="00C43337" w:rsidRPr="0033525D" w:rsidRDefault="00C433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8DC2EB32"/>
    <w:lvl w:ilvl="0">
      <w:start w:val="10"/>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1">
    <w:nsid w:val="0322625E"/>
    <w:multiLevelType w:val="hybridMultilevel"/>
    <w:tmpl w:val="12F4739E"/>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nsid w:val="13A60236"/>
    <w:multiLevelType w:val="multilevel"/>
    <w:tmpl w:val="8DC2EB32"/>
    <w:lvl w:ilvl="0">
      <w:start w:val="10"/>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3">
    <w:nsid w:val="1ADA50BF"/>
    <w:multiLevelType w:val="hybridMultilevel"/>
    <w:tmpl w:val="E15C2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E10766"/>
    <w:multiLevelType w:val="hybridMultilevel"/>
    <w:tmpl w:val="16E84372"/>
    <w:lvl w:ilvl="0" w:tplc="AC1E84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6F1675"/>
    <w:multiLevelType w:val="hybridMultilevel"/>
    <w:tmpl w:val="7D9C54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BDA795A"/>
    <w:multiLevelType w:val="hybridMultilevel"/>
    <w:tmpl w:val="9034C3A2"/>
    <w:lvl w:ilvl="0" w:tplc="E4BE0B9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9">
    <w:nsid w:val="339C3546"/>
    <w:multiLevelType w:val="hybridMultilevel"/>
    <w:tmpl w:val="1E562CC2"/>
    <w:lvl w:ilvl="0" w:tplc="C0841A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DC619D9"/>
    <w:multiLevelType w:val="hybridMultilevel"/>
    <w:tmpl w:val="A2E490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D156D5F"/>
    <w:multiLevelType w:val="hybridMultilevel"/>
    <w:tmpl w:val="86A4C540"/>
    <w:lvl w:ilvl="0" w:tplc="AC1E84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1544A28"/>
    <w:multiLevelType w:val="hybridMultilevel"/>
    <w:tmpl w:val="593CD786"/>
    <w:lvl w:ilvl="0" w:tplc="1009000F">
      <w:start w:val="1"/>
      <w:numFmt w:val="decimal"/>
      <w:lvlText w:val="%1."/>
      <w:lvlJc w:val="left"/>
      <w:pPr>
        <w:ind w:left="1500" w:hanging="360"/>
      </w:p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24">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72912F0"/>
    <w:multiLevelType w:val="hybridMultilevel"/>
    <w:tmpl w:val="44167DCE"/>
    <w:lvl w:ilvl="0" w:tplc="799A842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AC1788C"/>
    <w:multiLevelType w:val="multilevel"/>
    <w:tmpl w:val="8DC2EB32"/>
    <w:lvl w:ilvl="0">
      <w:start w:val="10"/>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7">
    <w:nsid w:val="5B744CE7"/>
    <w:multiLevelType w:val="multilevel"/>
    <w:tmpl w:val="8DC2EB32"/>
    <w:lvl w:ilvl="0">
      <w:start w:val="10"/>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8">
    <w:nsid w:val="5ED85DD5"/>
    <w:multiLevelType w:val="hybridMultilevel"/>
    <w:tmpl w:val="F274F79C"/>
    <w:lvl w:ilvl="0" w:tplc="752A46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8E094A"/>
    <w:multiLevelType w:val="hybridMultilevel"/>
    <w:tmpl w:val="87183C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271576C"/>
    <w:multiLevelType w:val="hybridMultilevel"/>
    <w:tmpl w:val="2CC62CD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69D4FFC"/>
    <w:multiLevelType w:val="hybridMultilevel"/>
    <w:tmpl w:val="A27872BE"/>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D7359F"/>
    <w:multiLevelType w:val="multilevel"/>
    <w:tmpl w:val="8DC2EB32"/>
    <w:lvl w:ilvl="0">
      <w:start w:val="10"/>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33">
    <w:nsid w:val="7B6C3B86"/>
    <w:multiLevelType w:val="hybridMultilevel"/>
    <w:tmpl w:val="6EA06D84"/>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2"/>
  </w:num>
  <w:num w:numId="18">
    <w:abstractNumId w:val="24"/>
  </w:num>
  <w:num w:numId="19">
    <w:abstractNumId w:val="34"/>
  </w:num>
  <w:num w:numId="20">
    <w:abstractNumId w:val="18"/>
  </w:num>
  <w:num w:numId="21">
    <w:abstractNumId w:val="10"/>
  </w:num>
  <w:num w:numId="22">
    <w:abstractNumId w:val="10"/>
  </w:num>
  <w:num w:numId="23">
    <w:abstractNumId w:val="10"/>
  </w:num>
  <w:num w:numId="24">
    <w:abstractNumId w:val="31"/>
  </w:num>
  <w:num w:numId="25">
    <w:abstractNumId w:val="21"/>
  </w:num>
  <w:num w:numId="26">
    <w:abstractNumId w:val="17"/>
  </w:num>
  <w:num w:numId="27">
    <w:abstractNumId w:val="14"/>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2"/>
  </w:num>
  <w:num w:numId="32">
    <w:abstractNumId w:val="32"/>
  </w:num>
  <w:num w:numId="33">
    <w:abstractNumId w:val="27"/>
  </w:num>
  <w:num w:numId="34">
    <w:abstractNumId w:val="13"/>
  </w:num>
  <w:num w:numId="35">
    <w:abstractNumId w:val="29"/>
  </w:num>
  <w:num w:numId="36">
    <w:abstractNumId w:val="20"/>
  </w:num>
  <w:num w:numId="37">
    <w:abstractNumId w:val="30"/>
  </w:num>
  <w:num w:numId="38">
    <w:abstractNumId w:val="15"/>
  </w:num>
  <w:num w:numId="39">
    <w:abstractNumId w:val="23"/>
  </w:num>
  <w:num w:numId="40">
    <w:abstractNumId w:val="11"/>
  </w:num>
  <w:num w:numId="41">
    <w:abstractNumId w:val="33"/>
  </w:num>
  <w:num w:numId="42">
    <w:abstractNumId w:val="19"/>
  </w:num>
  <w:num w:numId="43">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trackRevisions/>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30"/>
    <w:rsid w:val="00000FED"/>
    <w:rsid w:val="0000272B"/>
    <w:rsid w:val="00002F1A"/>
    <w:rsid w:val="0000434E"/>
    <w:rsid w:val="0001123E"/>
    <w:rsid w:val="000211A9"/>
    <w:rsid w:val="00031260"/>
    <w:rsid w:val="00031CD8"/>
    <w:rsid w:val="00033302"/>
    <w:rsid w:val="0003681A"/>
    <w:rsid w:val="000450DE"/>
    <w:rsid w:val="00056E84"/>
    <w:rsid w:val="00060142"/>
    <w:rsid w:val="00080ED0"/>
    <w:rsid w:val="00081724"/>
    <w:rsid w:val="000821CD"/>
    <w:rsid w:val="00083FFE"/>
    <w:rsid w:val="00085B8F"/>
    <w:rsid w:val="00090481"/>
    <w:rsid w:val="000D7B2A"/>
    <w:rsid w:val="000E07BC"/>
    <w:rsid w:val="000E6CF6"/>
    <w:rsid w:val="000F1CD4"/>
    <w:rsid w:val="000F305B"/>
    <w:rsid w:val="000F4103"/>
    <w:rsid w:val="000F70A7"/>
    <w:rsid w:val="001115E4"/>
    <w:rsid w:val="00120A0B"/>
    <w:rsid w:val="00121AD5"/>
    <w:rsid w:val="00125670"/>
    <w:rsid w:val="00135980"/>
    <w:rsid w:val="00137D79"/>
    <w:rsid w:val="00151E90"/>
    <w:rsid w:val="00162D90"/>
    <w:rsid w:val="001634C3"/>
    <w:rsid w:val="00164719"/>
    <w:rsid w:val="00166FC4"/>
    <w:rsid w:val="001677AC"/>
    <w:rsid w:val="001804EA"/>
    <w:rsid w:val="00190A61"/>
    <w:rsid w:val="001A2FBE"/>
    <w:rsid w:val="001A3342"/>
    <w:rsid w:val="001A3E3D"/>
    <w:rsid w:val="001A7049"/>
    <w:rsid w:val="001B1E40"/>
    <w:rsid w:val="001B5589"/>
    <w:rsid w:val="001C764E"/>
    <w:rsid w:val="001E1052"/>
    <w:rsid w:val="001E21B1"/>
    <w:rsid w:val="001E2F93"/>
    <w:rsid w:val="001E61E5"/>
    <w:rsid w:val="001F2159"/>
    <w:rsid w:val="0021507E"/>
    <w:rsid w:val="002156B4"/>
    <w:rsid w:val="00215EB1"/>
    <w:rsid w:val="00221543"/>
    <w:rsid w:val="002268DC"/>
    <w:rsid w:val="00243167"/>
    <w:rsid w:val="0024528E"/>
    <w:rsid w:val="00253222"/>
    <w:rsid w:val="00256B0E"/>
    <w:rsid w:val="00256E22"/>
    <w:rsid w:val="00262847"/>
    <w:rsid w:val="00270149"/>
    <w:rsid w:val="00283113"/>
    <w:rsid w:val="00285143"/>
    <w:rsid w:val="00294328"/>
    <w:rsid w:val="002952A5"/>
    <w:rsid w:val="002A11FA"/>
    <w:rsid w:val="002B4E1A"/>
    <w:rsid w:val="002B72E9"/>
    <w:rsid w:val="002C7998"/>
    <w:rsid w:val="002D6F87"/>
    <w:rsid w:val="002E3183"/>
    <w:rsid w:val="002F1E53"/>
    <w:rsid w:val="002F2CAA"/>
    <w:rsid w:val="002F7FA0"/>
    <w:rsid w:val="0031268B"/>
    <w:rsid w:val="00322BC9"/>
    <w:rsid w:val="003306E1"/>
    <w:rsid w:val="003320E4"/>
    <w:rsid w:val="00332AEE"/>
    <w:rsid w:val="0033525D"/>
    <w:rsid w:val="00335A98"/>
    <w:rsid w:val="00335EE6"/>
    <w:rsid w:val="003414F3"/>
    <w:rsid w:val="0035613E"/>
    <w:rsid w:val="003565ED"/>
    <w:rsid w:val="00363EE9"/>
    <w:rsid w:val="0037042C"/>
    <w:rsid w:val="00370482"/>
    <w:rsid w:val="00373673"/>
    <w:rsid w:val="00376128"/>
    <w:rsid w:val="0037742E"/>
    <w:rsid w:val="0038245A"/>
    <w:rsid w:val="0039337A"/>
    <w:rsid w:val="003962BA"/>
    <w:rsid w:val="003A3189"/>
    <w:rsid w:val="003A40D1"/>
    <w:rsid w:val="003B0C6A"/>
    <w:rsid w:val="003B12D0"/>
    <w:rsid w:val="003B569D"/>
    <w:rsid w:val="003B5A38"/>
    <w:rsid w:val="003C3C0E"/>
    <w:rsid w:val="003D4FAC"/>
    <w:rsid w:val="003E7906"/>
    <w:rsid w:val="003F3C50"/>
    <w:rsid w:val="0040149B"/>
    <w:rsid w:val="004039AD"/>
    <w:rsid w:val="00405C77"/>
    <w:rsid w:val="0040628C"/>
    <w:rsid w:val="00406A6A"/>
    <w:rsid w:val="00406B22"/>
    <w:rsid w:val="00411AF4"/>
    <w:rsid w:val="00420E15"/>
    <w:rsid w:val="004266D9"/>
    <w:rsid w:val="00430641"/>
    <w:rsid w:val="004328A7"/>
    <w:rsid w:val="00434155"/>
    <w:rsid w:val="00434C74"/>
    <w:rsid w:val="004451C3"/>
    <w:rsid w:val="00450358"/>
    <w:rsid w:val="00453B2C"/>
    <w:rsid w:val="00456EB4"/>
    <w:rsid w:val="004718F3"/>
    <w:rsid w:val="00475040"/>
    <w:rsid w:val="00477762"/>
    <w:rsid w:val="00493D40"/>
    <w:rsid w:val="00494330"/>
    <w:rsid w:val="004967B6"/>
    <w:rsid w:val="004A163D"/>
    <w:rsid w:val="004A4960"/>
    <w:rsid w:val="004A504B"/>
    <w:rsid w:val="004A6911"/>
    <w:rsid w:val="004B1D87"/>
    <w:rsid w:val="004B54E0"/>
    <w:rsid w:val="004B6EC8"/>
    <w:rsid w:val="004B7384"/>
    <w:rsid w:val="004C4269"/>
    <w:rsid w:val="004D604A"/>
    <w:rsid w:val="004D6236"/>
    <w:rsid w:val="004E4DB2"/>
    <w:rsid w:val="004E4DBB"/>
    <w:rsid w:val="004E4E41"/>
    <w:rsid w:val="004E7F9C"/>
    <w:rsid w:val="004F3493"/>
    <w:rsid w:val="00512B09"/>
    <w:rsid w:val="00517490"/>
    <w:rsid w:val="00524A34"/>
    <w:rsid w:val="00536225"/>
    <w:rsid w:val="00555D75"/>
    <w:rsid w:val="00560DF0"/>
    <w:rsid w:val="0056759C"/>
    <w:rsid w:val="00572436"/>
    <w:rsid w:val="0059513E"/>
    <w:rsid w:val="005B48FF"/>
    <w:rsid w:val="005B6F5A"/>
    <w:rsid w:val="005E54BE"/>
    <w:rsid w:val="005E68CA"/>
    <w:rsid w:val="005F245B"/>
    <w:rsid w:val="00604C15"/>
    <w:rsid w:val="006158D5"/>
    <w:rsid w:val="00625D83"/>
    <w:rsid w:val="00647013"/>
    <w:rsid w:val="006623E7"/>
    <w:rsid w:val="00662B80"/>
    <w:rsid w:val="00667244"/>
    <w:rsid w:val="006852C7"/>
    <w:rsid w:val="006A10F4"/>
    <w:rsid w:val="006B745D"/>
    <w:rsid w:val="006C1727"/>
    <w:rsid w:val="006C32FD"/>
    <w:rsid w:val="006C39CE"/>
    <w:rsid w:val="006D0FCC"/>
    <w:rsid w:val="006D144D"/>
    <w:rsid w:val="006D69B2"/>
    <w:rsid w:val="006D6E01"/>
    <w:rsid w:val="006E4A75"/>
    <w:rsid w:val="006F0163"/>
    <w:rsid w:val="006F4FDC"/>
    <w:rsid w:val="0070616B"/>
    <w:rsid w:val="00706FDA"/>
    <w:rsid w:val="00710200"/>
    <w:rsid w:val="00710C3F"/>
    <w:rsid w:val="00711F9A"/>
    <w:rsid w:val="00713810"/>
    <w:rsid w:val="007303A5"/>
    <w:rsid w:val="00730B3E"/>
    <w:rsid w:val="0073420B"/>
    <w:rsid w:val="00742DEC"/>
    <w:rsid w:val="0074760E"/>
    <w:rsid w:val="00754ABA"/>
    <w:rsid w:val="00760EF3"/>
    <w:rsid w:val="00775B66"/>
    <w:rsid w:val="0078679E"/>
    <w:rsid w:val="007A05E0"/>
    <w:rsid w:val="007A0C4B"/>
    <w:rsid w:val="007A1546"/>
    <w:rsid w:val="007A228C"/>
    <w:rsid w:val="007A368E"/>
    <w:rsid w:val="007A5868"/>
    <w:rsid w:val="007B04CE"/>
    <w:rsid w:val="007B3281"/>
    <w:rsid w:val="007B4A00"/>
    <w:rsid w:val="007B6871"/>
    <w:rsid w:val="007B7A2F"/>
    <w:rsid w:val="007C3D33"/>
    <w:rsid w:val="007D294A"/>
    <w:rsid w:val="007D47D2"/>
    <w:rsid w:val="007D5622"/>
    <w:rsid w:val="007D6EC0"/>
    <w:rsid w:val="007D7E1D"/>
    <w:rsid w:val="007E1D2C"/>
    <w:rsid w:val="007F5B85"/>
    <w:rsid w:val="008174F5"/>
    <w:rsid w:val="00822233"/>
    <w:rsid w:val="0083048C"/>
    <w:rsid w:val="00831F0C"/>
    <w:rsid w:val="0084725B"/>
    <w:rsid w:val="00851352"/>
    <w:rsid w:val="00863230"/>
    <w:rsid w:val="008717D8"/>
    <w:rsid w:val="0087215C"/>
    <w:rsid w:val="00884D06"/>
    <w:rsid w:val="00886E31"/>
    <w:rsid w:val="008875FE"/>
    <w:rsid w:val="00887F8E"/>
    <w:rsid w:val="00896234"/>
    <w:rsid w:val="00897E43"/>
    <w:rsid w:val="008A0414"/>
    <w:rsid w:val="008A0675"/>
    <w:rsid w:val="008A09B9"/>
    <w:rsid w:val="008A6146"/>
    <w:rsid w:val="008C432C"/>
    <w:rsid w:val="008C5738"/>
    <w:rsid w:val="008C7EAD"/>
    <w:rsid w:val="008D5B95"/>
    <w:rsid w:val="008D6152"/>
    <w:rsid w:val="008F0F81"/>
    <w:rsid w:val="008F200A"/>
    <w:rsid w:val="008F27BF"/>
    <w:rsid w:val="009056D5"/>
    <w:rsid w:val="00905BD8"/>
    <w:rsid w:val="0091273F"/>
    <w:rsid w:val="00923540"/>
    <w:rsid w:val="00926767"/>
    <w:rsid w:val="009361D5"/>
    <w:rsid w:val="00950BCA"/>
    <w:rsid w:val="009510BF"/>
    <w:rsid w:val="00963825"/>
    <w:rsid w:val="009659F4"/>
    <w:rsid w:val="00970D60"/>
    <w:rsid w:val="00992BF2"/>
    <w:rsid w:val="009957E1"/>
    <w:rsid w:val="009960E5"/>
    <w:rsid w:val="009A7ADC"/>
    <w:rsid w:val="009B3A81"/>
    <w:rsid w:val="009C19B7"/>
    <w:rsid w:val="009C1AA3"/>
    <w:rsid w:val="009C5BFC"/>
    <w:rsid w:val="009D7C51"/>
    <w:rsid w:val="009D7E50"/>
    <w:rsid w:val="009E3904"/>
    <w:rsid w:val="009E4CC8"/>
    <w:rsid w:val="009E7E12"/>
    <w:rsid w:val="009F07A1"/>
    <w:rsid w:val="009F36BF"/>
    <w:rsid w:val="009F6036"/>
    <w:rsid w:val="00A01C5A"/>
    <w:rsid w:val="00A02312"/>
    <w:rsid w:val="00A042CC"/>
    <w:rsid w:val="00A07D2E"/>
    <w:rsid w:val="00A07D67"/>
    <w:rsid w:val="00A105EF"/>
    <w:rsid w:val="00A111B6"/>
    <w:rsid w:val="00A42A99"/>
    <w:rsid w:val="00A5151A"/>
    <w:rsid w:val="00A57E0A"/>
    <w:rsid w:val="00A615CE"/>
    <w:rsid w:val="00A67751"/>
    <w:rsid w:val="00A739DA"/>
    <w:rsid w:val="00A75A42"/>
    <w:rsid w:val="00A823F6"/>
    <w:rsid w:val="00A82595"/>
    <w:rsid w:val="00AA0A89"/>
    <w:rsid w:val="00AA6429"/>
    <w:rsid w:val="00AA6ACA"/>
    <w:rsid w:val="00AC01AA"/>
    <w:rsid w:val="00AC01F5"/>
    <w:rsid w:val="00AC4F72"/>
    <w:rsid w:val="00AC5FCC"/>
    <w:rsid w:val="00AD1156"/>
    <w:rsid w:val="00AD4F26"/>
    <w:rsid w:val="00AD7425"/>
    <w:rsid w:val="00AF0163"/>
    <w:rsid w:val="00AF741A"/>
    <w:rsid w:val="00B01ADB"/>
    <w:rsid w:val="00B04161"/>
    <w:rsid w:val="00B056F9"/>
    <w:rsid w:val="00B11E3D"/>
    <w:rsid w:val="00B17E82"/>
    <w:rsid w:val="00B22890"/>
    <w:rsid w:val="00B34300"/>
    <w:rsid w:val="00B40397"/>
    <w:rsid w:val="00B4575A"/>
    <w:rsid w:val="00B473DC"/>
    <w:rsid w:val="00B51C8B"/>
    <w:rsid w:val="00B575BA"/>
    <w:rsid w:val="00B638C5"/>
    <w:rsid w:val="00B70CEE"/>
    <w:rsid w:val="00B76429"/>
    <w:rsid w:val="00B92DC1"/>
    <w:rsid w:val="00B956D4"/>
    <w:rsid w:val="00B97446"/>
    <w:rsid w:val="00BA7432"/>
    <w:rsid w:val="00BC1AA0"/>
    <w:rsid w:val="00BC2495"/>
    <w:rsid w:val="00BC28DE"/>
    <w:rsid w:val="00BC7EB9"/>
    <w:rsid w:val="00BD0DEF"/>
    <w:rsid w:val="00BD2643"/>
    <w:rsid w:val="00BD56B1"/>
    <w:rsid w:val="00BD6558"/>
    <w:rsid w:val="00BE4A67"/>
    <w:rsid w:val="00BE716D"/>
    <w:rsid w:val="00BF3214"/>
    <w:rsid w:val="00C15867"/>
    <w:rsid w:val="00C2296D"/>
    <w:rsid w:val="00C23155"/>
    <w:rsid w:val="00C34B90"/>
    <w:rsid w:val="00C362B8"/>
    <w:rsid w:val="00C40C41"/>
    <w:rsid w:val="00C41474"/>
    <w:rsid w:val="00C43337"/>
    <w:rsid w:val="00C45885"/>
    <w:rsid w:val="00C50F22"/>
    <w:rsid w:val="00C57971"/>
    <w:rsid w:val="00C6240A"/>
    <w:rsid w:val="00C76BA4"/>
    <w:rsid w:val="00C83A48"/>
    <w:rsid w:val="00C85865"/>
    <w:rsid w:val="00C85E85"/>
    <w:rsid w:val="00CA1CCF"/>
    <w:rsid w:val="00CA2EAE"/>
    <w:rsid w:val="00CA4AC1"/>
    <w:rsid w:val="00CB0316"/>
    <w:rsid w:val="00CB075D"/>
    <w:rsid w:val="00CB0B11"/>
    <w:rsid w:val="00CB4962"/>
    <w:rsid w:val="00CB5354"/>
    <w:rsid w:val="00CB5AC4"/>
    <w:rsid w:val="00CC6A14"/>
    <w:rsid w:val="00CC70A3"/>
    <w:rsid w:val="00CD4442"/>
    <w:rsid w:val="00CD53C3"/>
    <w:rsid w:val="00CD574E"/>
    <w:rsid w:val="00CE2611"/>
    <w:rsid w:val="00CE4C22"/>
    <w:rsid w:val="00CE7C58"/>
    <w:rsid w:val="00CF246A"/>
    <w:rsid w:val="00CF41EC"/>
    <w:rsid w:val="00CF5D04"/>
    <w:rsid w:val="00D0042B"/>
    <w:rsid w:val="00D04DE4"/>
    <w:rsid w:val="00D063F1"/>
    <w:rsid w:val="00D14F22"/>
    <w:rsid w:val="00D15DB5"/>
    <w:rsid w:val="00D20A5E"/>
    <w:rsid w:val="00D33DE3"/>
    <w:rsid w:val="00D57918"/>
    <w:rsid w:val="00D60CCA"/>
    <w:rsid w:val="00D67F23"/>
    <w:rsid w:val="00D71E42"/>
    <w:rsid w:val="00D73DC6"/>
    <w:rsid w:val="00D74C1A"/>
    <w:rsid w:val="00D754C1"/>
    <w:rsid w:val="00D77A35"/>
    <w:rsid w:val="00D81B3E"/>
    <w:rsid w:val="00D82717"/>
    <w:rsid w:val="00D87E7A"/>
    <w:rsid w:val="00D90C70"/>
    <w:rsid w:val="00D90E49"/>
    <w:rsid w:val="00DA15AC"/>
    <w:rsid w:val="00DA7A3C"/>
    <w:rsid w:val="00DB1687"/>
    <w:rsid w:val="00DC4037"/>
    <w:rsid w:val="00DC6429"/>
    <w:rsid w:val="00DC6A10"/>
    <w:rsid w:val="00DD07EE"/>
    <w:rsid w:val="00DE657E"/>
    <w:rsid w:val="00DF37DD"/>
    <w:rsid w:val="00DF4704"/>
    <w:rsid w:val="00E00108"/>
    <w:rsid w:val="00E024AA"/>
    <w:rsid w:val="00E23C3F"/>
    <w:rsid w:val="00E250F1"/>
    <w:rsid w:val="00E3550D"/>
    <w:rsid w:val="00E45FD6"/>
    <w:rsid w:val="00E614E0"/>
    <w:rsid w:val="00E61B41"/>
    <w:rsid w:val="00E66A74"/>
    <w:rsid w:val="00E73F7F"/>
    <w:rsid w:val="00E86D8D"/>
    <w:rsid w:val="00EA429F"/>
    <w:rsid w:val="00EA4F9E"/>
    <w:rsid w:val="00EA63CA"/>
    <w:rsid w:val="00EA6D3B"/>
    <w:rsid w:val="00EB00AD"/>
    <w:rsid w:val="00EB136C"/>
    <w:rsid w:val="00EB480E"/>
    <w:rsid w:val="00EB5EC6"/>
    <w:rsid w:val="00EB7FC9"/>
    <w:rsid w:val="00EC446F"/>
    <w:rsid w:val="00ED27E8"/>
    <w:rsid w:val="00ED3DC2"/>
    <w:rsid w:val="00ED5212"/>
    <w:rsid w:val="00ED60E9"/>
    <w:rsid w:val="00ED7137"/>
    <w:rsid w:val="00EE2A71"/>
    <w:rsid w:val="00EF07F3"/>
    <w:rsid w:val="00F0508F"/>
    <w:rsid w:val="00F21088"/>
    <w:rsid w:val="00F31845"/>
    <w:rsid w:val="00F327E7"/>
    <w:rsid w:val="00F35746"/>
    <w:rsid w:val="00F35758"/>
    <w:rsid w:val="00F4391D"/>
    <w:rsid w:val="00F447C7"/>
    <w:rsid w:val="00F554A9"/>
    <w:rsid w:val="00F716FD"/>
    <w:rsid w:val="00F75804"/>
    <w:rsid w:val="00F80355"/>
    <w:rsid w:val="00F80F0A"/>
    <w:rsid w:val="00F97D1E"/>
    <w:rsid w:val="00FA363B"/>
    <w:rsid w:val="00FB071D"/>
    <w:rsid w:val="00FB0C81"/>
    <w:rsid w:val="00FB444A"/>
    <w:rsid w:val="00FC2200"/>
    <w:rsid w:val="00FC2540"/>
    <w:rsid w:val="00FC39B7"/>
    <w:rsid w:val="00FD23A5"/>
    <w:rsid w:val="00FD5D6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spacing w:after="240"/>
      <w:outlineLvl w:val="2"/>
    </w:pPr>
  </w:style>
  <w:style w:type="paragraph" w:styleId="Heading4">
    <w:name w:val="heading 4"/>
    <w:aliases w:val="Heading 11,para 4,Título 41,heading 4,Heading 41"/>
    <w:basedOn w:val="Normal"/>
    <w:next w:val="Heading9"/>
    <w:qFormat/>
    <w:rsid w:val="007B6871"/>
    <w:pPr>
      <w:keepNext/>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spacing w:before="240" w:after="60"/>
      <w:outlineLvl w:val="5"/>
    </w:pPr>
    <w:rPr>
      <w:rFonts w:ascii="Arial" w:hAnsi="Arial"/>
      <w:i/>
    </w:rPr>
  </w:style>
  <w:style w:type="paragraph" w:styleId="Heading7">
    <w:name w:val="heading 7"/>
    <w:basedOn w:val="Normal"/>
    <w:next w:val="Normal"/>
    <w:qFormat/>
    <w:rsid w:val="00A5151A"/>
    <w:p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572436"/>
    <w:rPr>
      <w:sz w:val="22"/>
      <w:szCs w:val="22"/>
      <w:lang w:val="en-GB"/>
    </w:rPr>
  </w:style>
  <w:style w:type="paragraph" w:styleId="FootnoteText">
    <w:name w:val="footnote text"/>
    <w:basedOn w:val="Normal"/>
    <w:link w:val="FootnoteTextChar"/>
    <w:uiPriority w:val="99"/>
    <w:semiHidden/>
    <w:unhideWhenUsed/>
    <w:rsid w:val="00120A0B"/>
    <w:rPr>
      <w:sz w:val="20"/>
      <w:szCs w:val="20"/>
    </w:rPr>
  </w:style>
  <w:style w:type="character" w:customStyle="1" w:styleId="FootnoteTextChar">
    <w:name w:val="Footnote Text Char"/>
    <w:basedOn w:val="DefaultParagraphFont"/>
    <w:link w:val="FootnoteText"/>
    <w:uiPriority w:val="99"/>
    <w:semiHidden/>
    <w:rsid w:val="00120A0B"/>
    <w:rPr>
      <w:lang w:val="en-GB"/>
    </w:rPr>
  </w:style>
  <w:style w:type="character" w:styleId="FootnoteReference">
    <w:name w:val="footnote reference"/>
    <w:basedOn w:val="DefaultParagraphFont"/>
    <w:uiPriority w:val="99"/>
    <w:semiHidden/>
    <w:unhideWhenUsed/>
    <w:rsid w:val="00120A0B"/>
    <w:rPr>
      <w:vertAlign w:val="superscript"/>
    </w:rPr>
  </w:style>
  <w:style w:type="paragraph" w:styleId="ListParagraph">
    <w:name w:val="List Paragraph"/>
    <w:basedOn w:val="Normal"/>
    <w:uiPriority w:val="34"/>
    <w:qFormat/>
    <w:rsid w:val="004B6EC8"/>
    <w:pPr>
      <w:ind w:left="720"/>
      <w:contextualSpacing/>
    </w:pPr>
  </w:style>
  <w:style w:type="table" w:customStyle="1" w:styleId="TableGrid10">
    <w:name w:val="Table Grid1"/>
    <w:basedOn w:val="TableNormal"/>
    <w:next w:val="TableGrid"/>
    <w:uiPriority w:val="59"/>
    <w:rsid w:val="00ED3DC2"/>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B70CEE"/>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spacing w:after="240"/>
      <w:outlineLvl w:val="2"/>
    </w:pPr>
  </w:style>
  <w:style w:type="paragraph" w:styleId="Heading4">
    <w:name w:val="heading 4"/>
    <w:aliases w:val="Heading 11,para 4,Título 41,heading 4,Heading 41"/>
    <w:basedOn w:val="Normal"/>
    <w:next w:val="Heading9"/>
    <w:qFormat/>
    <w:rsid w:val="007B6871"/>
    <w:pPr>
      <w:keepNext/>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spacing w:before="240" w:after="60"/>
      <w:outlineLvl w:val="5"/>
    </w:pPr>
    <w:rPr>
      <w:rFonts w:ascii="Arial" w:hAnsi="Arial"/>
      <w:i/>
    </w:rPr>
  </w:style>
  <w:style w:type="paragraph" w:styleId="Heading7">
    <w:name w:val="heading 7"/>
    <w:basedOn w:val="Normal"/>
    <w:next w:val="Normal"/>
    <w:qFormat/>
    <w:rsid w:val="00A5151A"/>
    <w:p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572436"/>
    <w:rPr>
      <w:sz w:val="22"/>
      <w:szCs w:val="22"/>
      <w:lang w:val="en-GB"/>
    </w:rPr>
  </w:style>
  <w:style w:type="paragraph" w:styleId="FootnoteText">
    <w:name w:val="footnote text"/>
    <w:basedOn w:val="Normal"/>
    <w:link w:val="FootnoteTextChar"/>
    <w:uiPriority w:val="99"/>
    <w:semiHidden/>
    <w:unhideWhenUsed/>
    <w:rsid w:val="00120A0B"/>
    <w:rPr>
      <w:sz w:val="20"/>
      <w:szCs w:val="20"/>
    </w:rPr>
  </w:style>
  <w:style w:type="character" w:customStyle="1" w:styleId="FootnoteTextChar">
    <w:name w:val="Footnote Text Char"/>
    <w:basedOn w:val="DefaultParagraphFont"/>
    <w:link w:val="FootnoteText"/>
    <w:uiPriority w:val="99"/>
    <w:semiHidden/>
    <w:rsid w:val="00120A0B"/>
    <w:rPr>
      <w:lang w:val="en-GB"/>
    </w:rPr>
  </w:style>
  <w:style w:type="character" w:styleId="FootnoteReference">
    <w:name w:val="footnote reference"/>
    <w:basedOn w:val="DefaultParagraphFont"/>
    <w:uiPriority w:val="99"/>
    <w:semiHidden/>
    <w:unhideWhenUsed/>
    <w:rsid w:val="00120A0B"/>
    <w:rPr>
      <w:vertAlign w:val="superscript"/>
    </w:rPr>
  </w:style>
  <w:style w:type="paragraph" w:styleId="ListParagraph">
    <w:name w:val="List Paragraph"/>
    <w:basedOn w:val="Normal"/>
    <w:uiPriority w:val="34"/>
    <w:qFormat/>
    <w:rsid w:val="004B6EC8"/>
    <w:pPr>
      <w:ind w:left="720"/>
      <w:contextualSpacing/>
    </w:pPr>
  </w:style>
  <w:style w:type="table" w:customStyle="1" w:styleId="TableGrid10">
    <w:name w:val="Table Grid1"/>
    <w:basedOn w:val="TableNormal"/>
    <w:next w:val="TableGrid"/>
    <w:uiPriority w:val="59"/>
    <w:rsid w:val="00ED3DC2"/>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B70CEE"/>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3332">
      <w:bodyDiv w:val="1"/>
      <w:marLeft w:val="0"/>
      <w:marRight w:val="0"/>
      <w:marTop w:val="0"/>
      <w:marBottom w:val="0"/>
      <w:divBdr>
        <w:top w:val="none" w:sz="0" w:space="0" w:color="auto"/>
        <w:left w:val="none" w:sz="0" w:space="0" w:color="auto"/>
        <w:bottom w:val="none" w:sz="0" w:space="0" w:color="auto"/>
        <w:right w:val="none" w:sz="0" w:space="0" w:color="auto"/>
      </w:divBdr>
    </w:div>
    <w:div w:id="1509442331">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09F5B17BF82F4083D32896D3516BC1" ma:contentTypeVersion="5" ma:contentTypeDescription="Create a new document." ma:contentTypeScope="" ma:versionID="9f63a1ae771723600515f0cbb06b691e">
  <xsd:schema xmlns:xsd="http://www.w3.org/2001/XMLSchema" xmlns:p="http://schemas.microsoft.com/office/2006/metadata/properties" xmlns:ns2="6b03d5a6-c642-4a08-93b6-965b66bfac2e" xmlns:ns3="64e33b30-101d-41de-b951-961aab25ea29" xmlns:ns4="c784fa88-afe8-45ea-98cb-6e454791397f" targetNamespace="http://schemas.microsoft.com/office/2006/metadata/properties" ma:root="true" ma:fieldsID="f8fc196be62d1ae30cc7684257f0f14d" ns2:_="" ns3:_="" ns4:_="">
    <xsd:import namespace="6b03d5a6-c642-4a08-93b6-965b66bfac2e"/>
    <xsd:import namespace="64e33b30-101d-41de-b951-961aab25ea29"/>
    <xsd:import namespace="c784fa88-afe8-45ea-98cb-6e454791397f"/>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7/"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c784fa88-afe8-45ea-98cb-6e454791397f"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Word"/>
          <xsd:enumeration value="PDF"/>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mat xmlns="c784fa88-afe8-45ea-98cb-6e454791397f">Word</Format>
    <Document_x0020_Number xmlns="6b03d5a6-c642-4a08-93b6-965b66bfac2e">UNEP/OzL.Pro/ExCom/77/57</Document_x0020_Number>
    <DocumentType xmlns="64e33b30-101d-41de-b951-961aab25ea29">Pre-session</DocumentType>
  </documentManagement>
</p:properties>
</file>

<file path=customXml/itemProps1.xml><?xml version="1.0" encoding="utf-8"?>
<ds:datastoreItem xmlns:ds="http://schemas.openxmlformats.org/officeDocument/2006/customXml" ds:itemID="{435D83D9-C782-465C-B2CB-E268CA17BDC7}"/>
</file>

<file path=customXml/itemProps2.xml><?xml version="1.0" encoding="utf-8"?>
<ds:datastoreItem xmlns:ds="http://schemas.openxmlformats.org/officeDocument/2006/customXml" ds:itemID="{C3C51CD8-78F1-415C-A381-C960FEECABAB}"/>
</file>

<file path=customXml/itemProps3.xml><?xml version="1.0" encoding="utf-8"?>
<ds:datastoreItem xmlns:ds="http://schemas.openxmlformats.org/officeDocument/2006/customXml" ds:itemID="{76AFD1BE-13D3-41DF-934A-BF69518B13F5}"/>
</file>

<file path=customXml/itemProps4.xml><?xml version="1.0" encoding="utf-8"?>
<ds:datastoreItem xmlns:ds="http://schemas.openxmlformats.org/officeDocument/2006/customXml" ds:itemID="{EABC2141-1B63-47C5-868A-1D1E91039915}"/>
</file>

<file path=docProps/app.xml><?xml version="1.0" encoding="utf-8"?>
<Properties xmlns="http://schemas.openxmlformats.org/officeDocument/2006/extended-properties" xmlns:vt="http://schemas.openxmlformats.org/officeDocument/2006/docPropsVTypes">
  <Template>Normal</Template>
  <TotalTime>67</TotalTime>
  <Pages>6</Pages>
  <Words>1795</Words>
  <Characters>10142</Characters>
  <Application>Microsoft Office Word</Application>
  <DocSecurity>0</DocSecurity>
  <Lines>483</Lines>
  <Paragraphs>294</Paragraphs>
  <ScaleCrop>false</ScaleCrop>
  <HeadingPairs>
    <vt:vector size="2" baseType="variant">
      <vt:variant>
        <vt:lpstr>Title</vt:lpstr>
      </vt:variant>
      <vt:variant>
        <vt:i4>1</vt:i4>
      </vt:variant>
    </vt:vector>
  </HeadingPairs>
  <TitlesOfParts>
    <vt:vector size="1" baseType="lpstr">
      <vt:lpstr>Project proposal:  Papua New Guinea</vt:lpstr>
    </vt:vector>
  </TitlesOfParts>
  <Company/>
  <LinksUpToDate>false</LinksUpToDate>
  <CharactersWithSpaces>11659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Papua New Guinea</dc:title>
  <dc:subject>UNEP/OzL.Pro/ExCom/77/57</dc:subject>
  <dc:creator/>
  <cp:lastModifiedBy>Nanette Guerin</cp:lastModifiedBy>
  <cp:revision>12</cp:revision>
  <cp:lastPrinted>2016-11-01T15:47:00Z</cp:lastPrinted>
  <dcterms:created xsi:type="dcterms:W3CDTF">2016-10-31T13:27:00Z</dcterms:created>
  <dcterms:modified xsi:type="dcterms:W3CDTF">2016-11-01T15:50:00Z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UNEP/OzL.Pro/ExCom/77/1</vt:lpwstr>
  </property>
  <property fmtid="{D5CDD505-2E9C-101B-9397-08002B2CF9AE}" pid="3" name="Revision date">
    <vt:lpwstr>27/07/2016</vt:lpwstr>
  </property>
  <property fmtid="{D5CDD505-2E9C-101B-9397-08002B2CF9AE}" pid="4" name="ContentTypeId">
    <vt:lpwstr>0x010100F409F5B17BF82F4083D32896D3516BC1</vt:lpwstr>
  </property>
</Properties>
</file>