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61D4" w:rsidTr="004C2559">
        <w:trPr>
          <w:trHeight w:val="720"/>
        </w:trPr>
        <w:tc>
          <w:tcPr>
            <w:tcW w:w="5490" w:type="dxa"/>
            <w:gridSpan w:val="2"/>
            <w:tcBorders>
              <w:bottom w:val="single" w:sz="18" w:space="0" w:color="auto"/>
            </w:tcBorders>
          </w:tcPr>
          <w:p w:rsidR="00C15867" w:rsidRPr="005761D4" w:rsidRDefault="00C15867" w:rsidP="00202B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5761D4">
              <w:rPr>
                <w:rFonts w:ascii="Univers" w:hAnsi="Univers"/>
                <w:b/>
                <w:sz w:val="28"/>
                <w:szCs w:val="28"/>
              </w:rPr>
              <w:t>UNITED</w:t>
            </w:r>
            <w:r w:rsidRPr="005761D4">
              <w:rPr>
                <w:rFonts w:ascii="Univers" w:hAnsi="Univers"/>
                <w:b/>
                <w:sz w:val="28"/>
                <w:szCs w:val="28"/>
              </w:rPr>
              <w:br/>
              <w:t>NATIONS</w:t>
            </w:r>
          </w:p>
        </w:tc>
        <w:tc>
          <w:tcPr>
            <w:tcW w:w="4590" w:type="dxa"/>
            <w:tcBorders>
              <w:bottom w:val="single" w:sz="18" w:space="0" w:color="auto"/>
            </w:tcBorders>
          </w:tcPr>
          <w:p w:rsidR="00C15867" w:rsidRPr="005761D4" w:rsidRDefault="00C15867" w:rsidP="00202B25">
            <w:pPr>
              <w:jc w:val="right"/>
              <w:rPr>
                <w:sz w:val="52"/>
                <w:szCs w:val="52"/>
              </w:rPr>
            </w:pPr>
            <w:r w:rsidRPr="005761D4">
              <w:rPr>
                <w:rFonts w:ascii="Univers Bold" w:hAnsi="Univers Bold"/>
                <w:b/>
                <w:sz w:val="72"/>
              </w:rPr>
              <w:t>EP</w:t>
            </w:r>
          </w:p>
        </w:tc>
      </w:tr>
      <w:tr w:rsidR="00C15867" w:rsidRPr="005761D4" w:rsidTr="004C2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5761D4" w:rsidRDefault="00C15867" w:rsidP="00202B25">
            <w:pPr>
              <w:spacing w:before="120"/>
            </w:pPr>
            <w:r w:rsidRPr="005761D4">
              <w:rPr>
                <w:noProof/>
                <w:lang w:val="en-CA" w:eastAsia="en-CA"/>
              </w:rPr>
              <w:drawing>
                <wp:anchor distT="0" distB="0" distL="114300" distR="114300" simplePos="0" relativeHeight="251660288" behindDoc="0" locked="0" layoutInCell="1" allowOverlap="1" wp14:anchorId="3375EAF5" wp14:editId="4DC3802F">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61D4">
              <w:rPr>
                <w:noProof/>
                <w:lang w:val="en-CA" w:eastAsia="en-CA"/>
              </w:rPr>
              <w:drawing>
                <wp:anchor distT="0" distB="0" distL="114300" distR="114300" simplePos="0" relativeHeight="251661312" behindDoc="1" locked="0" layoutInCell="0" allowOverlap="1" wp14:anchorId="60197A57" wp14:editId="4C7751B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5761D4" w:rsidRDefault="00C15867" w:rsidP="00202B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5761D4">
              <w:rPr>
                <w:rFonts w:ascii="Univers" w:hAnsi="Univers"/>
                <w:b/>
                <w:sz w:val="32"/>
              </w:rPr>
              <w:t>United Nations</w:t>
            </w:r>
          </w:p>
          <w:p w:rsidR="00C15867" w:rsidRPr="005761D4" w:rsidRDefault="00C15867" w:rsidP="00202B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5761D4">
              <w:rPr>
                <w:rFonts w:ascii="Univers" w:hAnsi="Univers"/>
                <w:b/>
                <w:sz w:val="32"/>
              </w:rPr>
              <w:t>Environment</w:t>
            </w:r>
          </w:p>
          <w:p w:rsidR="00C15867" w:rsidRPr="005761D4" w:rsidRDefault="00C15867" w:rsidP="00202B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5761D4">
              <w:rPr>
                <w:rFonts w:ascii="Univers" w:hAnsi="Univers"/>
                <w:b/>
                <w:sz w:val="32"/>
              </w:rPr>
              <w:t>Programme</w:t>
            </w:r>
          </w:p>
          <w:p w:rsidR="00C15867" w:rsidRPr="005761D4" w:rsidRDefault="00C15867" w:rsidP="00202B25">
            <w:pPr>
              <w:spacing w:before="720"/>
              <w:ind w:left="158"/>
            </w:pPr>
          </w:p>
        </w:tc>
        <w:tc>
          <w:tcPr>
            <w:tcW w:w="4590" w:type="dxa"/>
            <w:tcBorders>
              <w:top w:val="nil"/>
              <w:left w:val="nil"/>
              <w:bottom w:val="single" w:sz="36" w:space="0" w:color="auto"/>
              <w:right w:val="nil"/>
            </w:tcBorders>
          </w:tcPr>
          <w:p w:rsidR="00C15867" w:rsidRPr="005761D4" w:rsidRDefault="00C15867" w:rsidP="00202B25">
            <w:r w:rsidRPr="005761D4">
              <w:t>Distr.</w:t>
            </w:r>
          </w:p>
          <w:p w:rsidR="00923540" w:rsidRPr="005761D4" w:rsidRDefault="00923540" w:rsidP="00202B25">
            <w:r w:rsidRPr="005761D4">
              <w:t>GENERAL</w:t>
            </w:r>
          </w:p>
          <w:p w:rsidR="00C15867" w:rsidRPr="005761D4" w:rsidRDefault="00C15867" w:rsidP="00202B25"/>
          <w:p w:rsidR="00C15867" w:rsidRPr="005761D4" w:rsidRDefault="00C15867" w:rsidP="00202B25"/>
          <w:p w:rsidR="00C15867" w:rsidRPr="005761D4" w:rsidRDefault="005C3CF5" w:rsidP="00202B25">
            <w:fldSimple w:instr=" DOCPROPERTY &quot;Document number&quot;  \* MERGEFORMAT ">
              <w:r w:rsidR="005761D4">
                <w:t>UNEP/OzL.Pro/ExCom/77/47</w:t>
              </w:r>
            </w:fldSimple>
          </w:p>
          <w:p w:rsidR="00C15867" w:rsidRPr="005761D4" w:rsidRDefault="006A1469" w:rsidP="00202B25">
            <w:r w:rsidRPr="005761D4">
              <w:fldChar w:fldCharType="begin"/>
            </w:r>
            <w:r w:rsidRPr="005761D4">
              <w:instrText xml:space="preserve"> DATE  \@ "d MMMM yyyy"  \* MERGEFORMAT </w:instrText>
            </w:r>
            <w:r w:rsidRPr="005761D4">
              <w:fldChar w:fldCharType="separate"/>
            </w:r>
            <w:r w:rsidR="00FC7CAC">
              <w:rPr>
                <w:noProof/>
              </w:rPr>
              <w:t>11 November 2016</w:t>
            </w:r>
            <w:r w:rsidRPr="005761D4">
              <w:fldChar w:fldCharType="end"/>
            </w:r>
          </w:p>
          <w:p w:rsidR="00C15867" w:rsidRPr="005761D4" w:rsidRDefault="00C15867" w:rsidP="00202B25">
            <w:pPr>
              <w:rPr>
                <w:caps/>
              </w:rPr>
            </w:pPr>
          </w:p>
          <w:p w:rsidR="00C15867" w:rsidRPr="005761D4" w:rsidRDefault="00C15867" w:rsidP="00202B25">
            <w:r w:rsidRPr="005761D4">
              <w:t>ORIGINAL: ENGLISH</w:t>
            </w:r>
          </w:p>
        </w:tc>
      </w:tr>
    </w:tbl>
    <w:p w:rsidR="00667244" w:rsidRPr="005761D4" w:rsidRDefault="00C15867" w:rsidP="00202B25">
      <w:pPr>
        <w:jc w:val="left"/>
      </w:pPr>
      <w:r w:rsidRPr="005761D4">
        <w:t>EXECUTIVE COMMITTEE OF</w:t>
      </w:r>
      <w:r w:rsidRPr="005761D4">
        <w:br/>
      </w:r>
      <w:r w:rsidR="00202B25" w:rsidRPr="005761D4">
        <w:t xml:space="preserve"> </w:t>
      </w:r>
      <w:r w:rsidRPr="005761D4">
        <w:t>THE MULTILATERAL FUND FOR THE</w:t>
      </w:r>
      <w:r w:rsidRPr="005761D4">
        <w:br/>
      </w:r>
      <w:r w:rsidR="00202B25" w:rsidRPr="005761D4">
        <w:t xml:space="preserve"> </w:t>
      </w:r>
      <w:r w:rsidRPr="005761D4">
        <w:t>IMPLEMENTATION OF THE MONTREAL PROTOCOL</w:t>
      </w:r>
      <w:r w:rsidRPr="005761D4">
        <w:br/>
      </w:r>
      <w:r w:rsidR="00667244" w:rsidRPr="005761D4">
        <w:t>Seventy-</w:t>
      </w:r>
      <w:r w:rsidR="004553C8" w:rsidRPr="005761D4">
        <w:t xml:space="preserve">seventh </w:t>
      </w:r>
      <w:r w:rsidR="00667244" w:rsidRPr="005761D4">
        <w:t>Meeting</w:t>
      </w:r>
    </w:p>
    <w:p w:rsidR="00667244" w:rsidRPr="005761D4" w:rsidRDefault="00667244" w:rsidP="00202B25">
      <w:pPr>
        <w:jc w:val="left"/>
      </w:pPr>
      <w:r w:rsidRPr="005761D4">
        <w:t xml:space="preserve">Montreal, </w:t>
      </w:r>
      <w:r w:rsidR="004553C8" w:rsidRPr="005761D4">
        <w:t xml:space="preserve">28 November </w:t>
      </w:r>
      <w:r w:rsidR="00A76113" w:rsidRPr="005761D4">
        <w:t>-</w:t>
      </w:r>
      <w:r w:rsidR="004553C8" w:rsidRPr="005761D4">
        <w:t xml:space="preserve"> 2 December 2016</w:t>
      </w:r>
    </w:p>
    <w:p w:rsidR="00C15867" w:rsidRPr="005761D4" w:rsidRDefault="00C15867" w:rsidP="00202B25">
      <w:pPr>
        <w:jc w:val="left"/>
      </w:pPr>
    </w:p>
    <w:p w:rsidR="00C15867" w:rsidRPr="005761D4" w:rsidRDefault="00C15867" w:rsidP="00202B25">
      <w:pPr>
        <w:pStyle w:val="Heading3"/>
        <w:numPr>
          <w:ilvl w:val="0"/>
          <w:numId w:val="0"/>
        </w:numPr>
        <w:spacing w:after="0"/>
      </w:pPr>
    </w:p>
    <w:p w:rsidR="004E7F9C" w:rsidRPr="005761D4" w:rsidRDefault="004E7F9C" w:rsidP="00202B25">
      <w:pPr>
        <w:pStyle w:val="Title1"/>
        <w:rPr>
          <w:b w:val="0"/>
        </w:rPr>
      </w:pPr>
    </w:p>
    <w:p w:rsidR="004E7F9C" w:rsidRPr="005761D4" w:rsidRDefault="004E7F9C" w:rsidP="00202B25">
      <w:pPr>
        <w:pStyle w:val="Title1"/>
        <w:rPr>
          <w:b w:val="0"/>
        </w:rPr>
      </w:pPr>
    </w:p>
    <w:p w:rsidR="008A4FE4" w:rsidRPr="005761D4" w:rsidRDefault="008A4FE4" w:rsidP="00202B25">
      <w:pPr>
        <w:jc w:val="center"/>
      </w:pPr>
      <w:r w:rsidRPr="005761D4">
        <w:rPr>
          <w:b/>
        </w:rPr>
        <w:t>PROJECT PROPOSAL</w:t>
      </w:r>
      <w:r w:rsidRPr="005761D4">
        <w:t xml:space="preserve">: </w:t>
      </w:r>
      <w:r w:rsidRPr="005761D4">
        <w:rPr>
          <w:b/>
        </w:rPr>
        <w:t>GRENADA</w:t>
      </w:r>
    </w:p>
    <w:p w:rsidR="008A4FE4" w:rsidRPr="005761D4" w:rsidRDefault="008A4FE4" w:rsidP="00202B25"/>
    <w:p w:rsidR="008A4FE4" w:rsidRPr="005761D4" w:rsidRDefault="008A4FE4" w:rsidP="00202B25"/>
    <w:p w:rsidR="008A4FE4" w:rsidRPr="005761D4" w:rsidRDefault="008A4FE4" w:rsidP="00202B25">
      <w:pPr>
        <w:ind w:firstLine="720"/>
      </w:pPr>
      <w:r w:rsidRPr="005761D4">
        <w:t xml:space="preserve">This document consists of the comments and recommendation of the Secretariat on the following project proposal: </w:t>
      </w:r>
    </w:p>
    <w:p w:rsidR="008A4FE4" w:rsidRPr="005761D4" w:rsidRDefault="008A4FE4" w:rsidP="00202B25"/>
    <w:p w:rsidR="008A4FE4" w:rsidRPr="005761D4" w:rsidRDefault="008A4FE4" w:rsidP="00202B25">
      <w:pPr>
        <w:rPr>
          <w:u w:val="single"/>
        </w:rPr>
      </w:pPr>
      <w:r w:rsidRPr="005761D4">
        <w:rPr>
          <w:u w:val="single"/>
        </w:rPr>
        <w:t>Phase-out</w:t>
      </w:r>
    </w:p>
    <w:p w:rsidR="008A4FE4" w:rsidRPr="005761D4" w:rsidRDefault="008A4FE4" w:rsidP="00202B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8A4FE4" w:rsidRPr="005761D4" w:rsidTr="006F2AA8">
        <w:tc>
          <w:tcPr>
            <w:tcW w:w="7128" w:type="dxa"/>
          </w:tcPr>
          <w:p w:rsidR="008A4FE4" w:rsidRPr="005761D4" w:rsidRDefault="008A4FE4" w:rsidP="00202B25">
            <w:r w:rsidRPr="005761D4">
              <w:t>•</w:t>
            </w:r>
            <w:r w:rsidRPr="005761D4">
              <w:tab/>
              <w:t>HCFC phase-out management plan (stage I, second tranche)</w:t>
            </w:r>
          </w:p>
        </w:tc>
        <w:tc>
          <w:tcPr>
            <w:tcW w:w="2448" w:type="dxa"/>
          </w:tcPr>
          <w:p w:rsidR="008A4FE4" w:rsidRPr="005761D4" w:rsidRDefault="008A4FE4" w:rsidP="00202B25">
            <w:pPr>
              <w:jc w:val="right"/>
            </w:pPr>
            <w:r w:rsidRPr="005761D4">
              <w:t>UNEP</w:t>
            </w:r>
            <w:r w:rsidR="005761D4">
              <w:t xml:space="preserve"> and UNIDO</w:t>
            </w:r>
          </w:p>
        </w:tc>
      </w:tr>
    </w:tbl>
    <w:p w:rsidR="008A4FE4" w:rsidRPr="005761D4" w:rsidRDefault="008A4FE4" w:rsidP="00202B25">
      <w:pPr>
        <w:pStyle w:val="Title1"/>
      </w:pPr>
    </w:p>
    <w:p w:rsidR="008A4FE4" w:rsidRPr="005761D4" w:rsidRDefault="008A4FE4" w:rsidP="00202B25">
      <w:pPr>
        <w:pStyle w:val="Heading1"/>
        <w:numPr>
          <w:ilvl w:val="0"/>
          <w:numId w:val="0"/>
        </w:numPr>
      </w:pPr>
    </w:p>
    <w:p w:rsidR="008A4FE4" w:rsidRPr="005761D4" w:rsidRDefault="008A4FE4" w:rsidP="00202B25">
      <w:pPr>
        <w:pStyle w:val="StyleHeader4Para4Left0Firstline0"/>
        <w:numPr>
          <w:ilvl w:val="0"/>
          <w:numId w:val="0"/>
        </w:numPr>
      </w:pPr>
    </w:p>
    <w:p w:rsidR="0068589A" w:rsidRDefault="008A4FE4">
      <w:pPr>
        <w:jc w:val="left"/>
      </w:pPr>
      <w:r w:rsidRPr="005761D4">
        <w:br w:type="page"/>
      </w:r>
    </w:p>
    <w:p w:rsidR="0068589A" w:rsidRPr="00E15E27" w:rsidRDefault="0068589A" w:rsidP="0068589A">
      <w:pPr>
        <w:spacing w:after="240"/>
        <w:jc w:val="center"/>
        <w:rPr>
          <w:b/>
          <w:sz w:val="24"/>
        </w:rPr>
      </w:pPr>
    </w:p>
    <w:p w:rsidR="0068589A" w:rsidRPr="00E15E27" w:rsidRDefault="0068589A" w:rsidP="0068589A">
      <w:pPr>
        <w:spacing w:after="240"/>
        <w:jc w:val="center"/>
        <w:rPr>
          <w:b/>
          <w:sz w:val="24"/>
        </w:rPr>
      </w:pPr>
      <w:r w:rsidRPr="00E15E27">
        <w:rPr>
          <w:b/>
          <w:sz w:val="24"/>
        </w:rPr>
        <w:t>PROJECT EVALUATION SHEET – MULTI-YEAR PROJECTS</w:t>
      </w:r>
    </w:p>
    <w:p w:rsidR="0068589A" w:rsidRPr="00E15E27" w:rsidRDefault="0068589A" w:rsidP="0068589A">
      <w:pPr>
        <w:spacing w:after="240"/>
        <w:jc w:val="center"/>
      </w:pPr>
      <w:r w:rsidRPr="00E15E27">
        <w:rPr>
          <w:b/>
          <w:sz w:val="24"/>
        </w:rPr>
        <w:t xml:space="preserve">Grenada </w:t>
      </w:r>
    </w:p>
    <w:tbl>
      <w:tblPr>
        <w:tblStyle w:val="TableGrid"/>
        <w:tblW w:w="105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3"/>
        <w:gridCol w:w="2542"/>
        <w:gridCol w:w="3108"/>
      </w:tblGrid>
      <w:tr w:rsidR="0068589A" w:rsidRPr="00E15E27" w:rsidTr="00700B4A">
        <w:trPr>
          <w:trHeight w:val="240"/>
          <w:jc w:val="center"/>
        </w:trPr>
        <w:tc>
          <w:tcPr>
            <w:tcW w:w="2485" w:type="dxa"/>
            <w:shd w:val="clear" w:color="auto" w:fill="auto"/>
          </w:tcPr>
          <w:p w:rsidR="0068589A" w:rsidRPr="00E15E27" w:rsidRDefault="0068589A" w:rsidP="00700B4A">
            <w:pPr>
              <w:spacing w:after="80"/>
              <w:jc w:val="left"/>
              <w:rPr>
                <w:b/>
                <w:sz w:val="18"/>
              </w:rPr>
            </w:pPr>
            <w:r w:rsidRPr="00E15E27">
              <w:rPr>
                <w:b/>
                <w:sz w:val="18"/>
              </w:rPr>
              <w:t>(I) PROJECT TITLE</w:t>
            </w:r>
          </w:p>
        </w:tc>
        <w:tc>
          <w:tcPr>
            <w:tcW w:w="2463" w:type="dxa"/>
            <w:shd w:val="clear" w:color="auto" w:fill="auto"/>
          </w:tcPr>
          <w:p w:rsidR="0068589A" w:rsidRPr="00E15E27" w:rsidRDefault="0068589A" w:rsidP="00700B4A">
            <w:pPr>
              <w:spacing w:after="80"/>
              <w:jc w:val="center"/>
              <w:rPr>
                <w:b/>
                <w:sz w:val="18"/>
              </w:rPr>
            </w:pPr>
            <w:r w:rsidRPr="00E15E27">
              <w:rPr>
                <w:b/>
                <w:sz w:val="18"/>
              </w:rPr>
              <w:t>AGENCY</w:t>
            </w:r>
          </w:p>
        </w:tc>
        <w:tc>
          <w:tcPr>
            <w:tcW w:w="2542" w:type="dxa"/>
            <w:shd w:val="clear" w:color="auto" w:fill="auto"/>
          </w:tcPr>
          <w:p w:rsidR="0068589A" w:rsidRPr="00E15E27" w:rsidRDefault="0068589A" w:rsidP="00700B4A">
            <w:pPr>
              <w:spacing w:after="80"/>
              <w:jc w:val="center"/>
              <w:rPr>
                <w:b/>
                <w:sz w:val="18"/>
              </w:rPr>
            </w:pPr>
            <w:r w:rsidRPr="00E15E27">
              <w:rPr>
                <w:b/>
                <w:sz w:val="18"/>
              </w:rPr>
              <w:t>MEETING APPROVED</w:t>
            </w:r>
          </w:p>
        </w:tc>
        <w:tc>
          <w:tcPr>
            <w:tcW w:w="3108" w:type="dxa"/>
            <w:shd w:val="clear" w:color="auto" w:fill="auto"/>
          </w:tcPr>
          <w:p w:rsidR="0068589A" w:rsidRPr="00E15E27" w:rsidRDefault="0068589A" w:rsidP="00700B4A">
            <w:pPr>
              <w:spacing w:after="80"/>
              <w:jc w:val="center"/>
              <w:rPr>
                <w:b/>
                <w:sz w:val="18"/>
              </w:rPr>
            </w:pPr>
            <w:r w:rsidRPr="00E15E27">
              <w:rPr>
                <w:b/>
                <w:sz w:val="18"/>
              </w:rPr>
              <w:t>CONTROL MEASURE</w:t>
            </w:r>
          </w:p>
        </w:tc>
      </w:tr>
      <w:tr w:rsidR="0068589A" w:rsidRPr="00E15E27" w:rsidTr="00700B4A">
        <w:trPr>
          <w:trHeight w:val="240"/>
          <w:jc w:val="center"/>
        </w:trPr>
        <w:tc>
          <w:tcPr>
            <w:tcW w:w="2485" w:type="dxa"/>
            <w:shd w:val="clear" w:color="auto" w:fill="auto"/>
          </w:tcPr>
          <w:p w:rsidR="0068589A" w:rsidRPr="00E15E27" w:rsidRDefault="0068589A" w:rsidP="00700B4A">
            <w:pPr>
              <w:spacing w:after="80"/>
              <w:jc w:val="center"/>
              <w:rPr>
                <w:sz w:val="18"/>
              </w:rPr>
            </w:pPr>
            <w:r w:rsidRPr="00E15E27">
              <w:rPr>
                <w:sz w:val="18"/>
              </w:rPr>
              <w:t>HCFC phase-out plan (Stage I)</w:t>
            </w:r>
          </w:p>
        </w:tc>
        <w:tc>
          <w:tcPr>
            <w:tcW w:w="2463" w:type="dxa"/>
            <w:shd w:val="clear" w:color="auto" w:fill="auto"/>
          </w:tcPr>
          <w:p w:rsidR="0068589A" w:rsidRPr="00E15E27" w:rsidRDefault="0068589A" w:rsidP="00700B4A">
            <w:pPr>
              <w:spacing w:after="80"/>
              <w:jc w:val="center"/>
              <w:rPr>
                <w:sz w:val="18"/>
              </w:rPr>
            </w:pPr>
            <w:r w:rsidRPr="00E15E27">
              <w:rPr>
                <w:sz w:val="18"/>
              </w:rPr>
              <w:t>UNEP (lead)</w:t>
            </w:r>
          </w:p>
        </w:tc>
        <w:tc>
          <w:tcPr>
            <w:tcW w:w="2542" w:type="dxa"/>
            <w:shd w:val="clear" w:color="auto" w:fill="auto"/>
          </w:tcPr>
          <w:p w:rsidR="0068589A" w:rsidRPr="00E15E27" w:rsidRDefault="0068589A" w:rsidP="00700B4A">
            <w:pPr>
              <w:spacing w:after="80"/>
              <w:jc w:val="center"/>
              <w:rPr>
                <w:sz w:val="18"/>
              </w:rPr>
            </w:pPr>
            <w:r w:rsidRPr="00E15E27">
              <w:rPr>
                <w:sz w:val="18"/>
              </w:rPr>
              <w:t>62</w:t>
            </w:r>
            <w:r w:rsidRPr="00E15E27">
              <w:rPr>
                <w:sz w:val="18"/>
                <w:vertAlign w:val="superscript"/>
              </w:rPr>
              <w:t>nd</w:t>
            </w:r>
            <w:r w:rsidRPr="00E15E27">
              <w:rPr>
                <w:sz w:val="18"/>
              </w:rPr>
              <w:t xml:space="preserve"> </w:t>
            </w:r>
          </w:p>
        </w:tc>
        <w:tc>
          <w:tcPr>
            <w:tcW w:w="3108" w:type="dxa"/>
            <w:shd w:val="clear" w:color="auto" w:fill="auto"/>
          </w:tcPr>
          <w:p w:rsidR="0068589A" w:rsidRPr="00E15E27" w:rsidRDefault="0068589A" w:rsidP="00700B4A">
            <w:pPr>
              <w:spacing w:after="80"/>
              <w:jc w:val="center"/>
              <w:rPr>
                <w:sz w:val="18"/>
              </w:rPr>
            </w:pPr>
            <w:r>
              <w:rPr>
                <w:sz w:val="18"/>
              </w:rPr>
              <w:t>35%</w:t>
            </w:r>
            <w:r w:rsidRPr="00E15E27">
              <w:rPr>
                <w:sz w:val="18"/>
              </w:rPr>
              <w:t xml:space="preserve"> by 2020</w:t>
            </w:r>
          </w:p>
        </w:tc>
      </w:tr>
    </w:tbl>
    <w:p w:rsidR="0068589A" w:rsidRPr="00E15E27" w:rsidRDefault="0068589A" w:rsidP="0068589A">
      <w:pPr>
        <w:spacing w:after="60"/>
        <w:jc w:val="center"/>
      </w:pPr>
    </w:p>
    <w:tbl>
      <w:tblPr>
        <w:tblStyle w:val="TableGrid"/>
        <w:tblW w:w="105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998"/>
      </w:tblGrid>
      <w:tr w:rsidR="0068589A" w:rsidRPr="00E15E27" w:rsidTr="00700B4A">
        <w:trPr>
          <w:trHeight w:val="240"/>
          <w:jc w:val="center"/>
        </w:trPr>
        <w:tc>
          <w:tcPr>
            <w:tcW w:w="5200" w:type="dxa"/>
            <w:shd w:val="clear" w:color="auto" w:fill="auto"/>
          </w:tcPr>
          <w:p w:rsidR="0068589A" w:rsidRPr="00E15E27" w:rsidRDefault="0068589A" w:rsidP="00700B4A">
            <w:pPr>
              <w:spacing w:after="60"/>
              <w:jc w:val="left"/>
              <w:rPr>
                <w:b/>
                <w:sz w:val="18"/>
              </w:rPr>
            </w:pPr>
            <w:r w:rsidRPr="00E15E27">
              <w:rPr>
                <w:b/>
                <w:sz w:val="18"/>
              </w:rPr>
              <w:t>(II) LATEST ARTICLE 7 DATA (Annex C Group l)</w:t>
            </w:r>
          </w:p>
        </w:tc>
        <w:tc>
          <w:tcPr>
            <w:tcW w:w="2400" w:type="dxa"/>
            <w:shd w:val="clear" w:color="auto" w:fill="auto"/>
          </w:tcPr>
          <w:p w:rsidR="0068589A" w:rsidRPr="00E15E27" w:rsidRDefault="0068589A" w:rsidP="00700B4A">
            <w:pPr>
              <w:spacing w:after="60"/>
              <w:jc w:val="center"/>
              <w:rPr>
                <w:sz w:val="18"/>
              </w:rPr>
            </w:pPr>
            <w:r w:rsidRPr="00E15E27">
              <w:rPr>
                <w:sz w:val="18"/>
              </w:rPr>
              <w:t>Year: 2015</w:t>
            </w:r>
          </w:p>
        </w:tc>
        <w:tc>
          <w:tcPr>
            <w:tcW w:w="2998" w:type="dxa"/>
            <w:shd w:val="clear" w:color="auto" w:fill="auto"/>
          </w:tcPr>
          <w:p w:rsidR="0068589A" w:rsidRPr="00E15E27" w:rsidRDefault="0068589A" w:rsidP="00700B4A">
            <w:pPr>
              <w:spacing w:after="60"/>
              <w:jc w:val="right"/>
              <w:rPr>
                <w:sz w:val="18"/>
              </w:rPr>
            </w:pPr>
            <w:r w:rsidRPr="00E15E27">
              <w:rPr>
                <w:sz w:val="18"/>
              </w:rPr>
              <w:t>0.22 (ODP tonnes)</w:t>
            </w:r>
          </w:p>
        </w:tc>
      </w:tr>
    </w:tbl>
    <w:p w:rsidR="0068589A" w:rsidRPr="00E15E27" w:rsidRDefault="0068589A" w:rsidP="0068589A">
      <w:pPr>
        <w:spacing w:after="60"/>
        <w:jc w:val="center"/>
      </w:pPr>
    </w:p>
    <w:tbl>
      <w:tblPr>
        <w:tblStyle w:val="TableGrid"/>
        <w:tblW w:w="105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2312"/>
      </w:tblGrid>
      <w:tr w:rsidR="0068589A" w:rsidRPr="00E15E27" w:rsidTr="00700B4A">
        <w:trPr>
          <w:trHeight w:val="240"/>
          <w:jc w:val="center"/>
        </w:trPr>
        <w:tc>
          <w:tcPr>
            <w:tcW w:w="0" w:type="auto"/>
            <w:gridSpan w:val="8"/>
            <w:shd w:val="clear" w:color="auto" w:fill="auto"/>
          </w:tcPr>
          <w:p w:rsidR="0068589A" w:rsidRPr="00E15E27" w:rsidRDefault="0068589A" w:rsidP="00700B4A">
            <w:pPr>
              <w:spacing w:after="60"/>
              <w:jc w:val="left"/>
              <w:rPr>
                <w:b/>
                <w:sz w:val="18"/>
              </w:rPr>
            </w:pPr>
            <w:r w:rsidRPr="00E15E27">
              <w:rPr>
                <w:b/>
                <w:sz w:val="18"/>
              </w:rPr>
              <w:t>(III) LATEST COUNTRY PROGRAMME SECTORAL DATA (ODP tonnes)</w:t>
            </w:r>
          </w:p>
        </w:tc>
        <w:tc>
          <w:tcPr>
            <w:tcW w:w="2988" w:type="dxa"/>
            <w:gridSpan w:val="2"/>
            <w:shd w:val="clear" w:color="auto" w:fill="auto"/>
          </w:tcPr>
          <w:p w:rsidR="0068589A" w:rsidRPr="00E15E27" w:rsidRDefault="0068589A" w:rsidP="00700B4A">
            <w:pPr>
              <w:spacing w:after="60"/>
              <w:jc w:val="right"/>
              <w:rPr>
                <w:b/>
                <w:sz w:val="18"/>
              </w:rPr>
            </w:pPr>
            <w:r w:rsidRPr="00E15E27">
              <w:rPr>
                <w:b/>
                <w:sz w:val="18"/>
              </w:rPr>
              <w:t>Year: 2015</w:t>
            </w:r>
          </w:p>
        </w:tc>
      </w:tr>
      <w:tr w:rsidR="0068589A" w:rsidRPr="00E15E27" w:rsidTr="00700B4A">
        <w:trPr>
          <w:trHeight w:val="240"/>
          <w:jc w:val="center"/>
        </w:trPr>
        <w:tc>
          <w:tcPr>
            <w:tcW w:w="0" w:type="auto"/>
            <w:shd w:val="clear" w:color="auto" w:fill="auto"/>
          </w:tcPr>
          <w:p w:rsidR="0068589A" w:rsidRPr="00E15E27" w:rsidRDefault="0068589A" w:rsidP="00700B4A">
            <w:pPr>
              <w:spacing w:after="60"/>
              <w:jc w:val="center"/>
              <w:rPr>
                <w:sz w:val="18"/>
              </w:rPr>
            </w:pPr>
            <w:r w:rsidRPr="00E15E27">
              <w:rPr>
                <w:sz w:val="18"/>
              </w:rPr>
              <w:t>Chemical</w:t>
            </w:r>
          </w:p>
        </w:tc>
        <w:tc>
          <w:tcPr>
            <w:tcW w:w="0" w:type="auto"/>
            <w:shd w:val="clear" w:color="auto" w:fill="auto"/>
          </w:tcPr>
          <w:p w:rsidR="0068589A" w:rsidRPr="00E15E27" w:rsidRDefault="0068589A" w:rsidP="00700B4A">
            <w:pPr>
              <w:spacing w:after="60"/>
              <w:jc w:val="center"/>
              <w:rPr>
                <w:sz w:val="18"/>
              </w:rPr>
            </w:pPr>
            <w:r w:rsidRPr="00E15E27">
              <w:rPr>
                <w:sz w:val="18"/>
              </w:rPr>
              <w:t>Aerosol</w:t>
            </w:r>
          </w:p>
        </w:tc>
        <w:tc>
          <w:tcPr>
            <w:tcW w:w="0" w:type="auto"/>
            <w:shd w:val="clear" w:color="auto" w:fill="auto"/>
          </w:tcPr>
          <w:p w:rsidR="0068589A" w:rsidRPr="00E15E27" w:rsidRDefault="0068589A" w:rsidP="00700B4A">
            <w:pPr>
              <w:spacing w:after="60"/>
              <w:jc w:val="center"/>
              <w:rPr>
                <w:sz w:val="18"/>
              </w:rPr>
            </w:pPr>
            <w:r w:rsidRPr="00E15E27">
              <w:rPr>
                <w:sz w:val="18"/>
              </w:rPr>
              <w:t>Foam</w:t>
            </w:r>
          </w:p>
        </w:tc>
        <w:tc>
          <w:tcPr>
            <w:tcW w:w="0" w:type="auto"/>
            <w:shd w:val="clear" w:color="auto" w:fill="auto"/>
          </w:tcPr>
          <w:p w:rsidR="0068589A" w:rsidRPr="00E15E27" w:rsidRDefault="0068589A" w:rsidP="00700B4A">
            <w:pPr>
              <w:spacing w:after="60"/>
              <w:jc w:val="center"/>
              <w:rPr>
                <w:sz w:val="18"/>
              </w:rPr>
            </w:pPr>
            <w:r w:rsidRPr="00E15E27">
              <w:rPr>
                <w:sz w:val="18"/>
              </w:rPr>
              <w:t>Fire fighting</w:t>
            </w:r>
          </w:p>
        </w:tc>
        <w:tc>
          <w:tcPr>
            <w:tcW w:w="0" w:type="auto"/>
            <w:gridSpan w:val="2"/>
            <w:shd w:val="clear" w:color="auto" w:fill="auto"/>
          </w:tcPr>
          <w:p w:rsidR="0068589A" w:rsidRPr="00E15E27" w:rsidRDefault="0068589A" w:rsidP="00700B4A">
            <w:pPr>
              <w:spacing w:after="60"/>
              <w:jc w:val="center"/>
              <w:rPr>
                <w:sz w:val="18"/>
              </w:rPr>
            </w:pPr>
            <w:r w:rsidRPr="00E15E27">
              <w:rPr>
                <w:sz w:val="18"/>
              </w:rPr>
              <w:t>Refrigeration</w:t>
            </w:r>
          </w:p>
        </w:tc>
        <w:tc>
          <w:tcPr>
            <w:tcW w:w="0" w:type="auto"/>
            <w:shd w:val="clear" w:color="auto" w:fill="auto"/>
          </w:tcPr>
          <w:p w:rsidR="0068589A" w:rsidRPr="00E15E27" w:rsidRDefault="0068589A" w:rsidP="00700B4A">
            <w:pPr>
              <w:spacing w:after="60"/>
              <w:jc w:val="center"/>
              <w:rPr>
                <w:sz w:val="18"/>
              </w:rPr>
            </w:pPr>
            <w:r w:rsidRPr="00E15E27">
              <w:rPr>
                <w:sz w:val="18"/>
              </w:rPr>
              <w:t>Solvent</w:t>
            </w:r>
          </w:p>
        </w:tc>
        <w:tc>
          <w:tcPr>
            <w:tcW w:w="0" w:type="auto"/>
            <w:shd w:val="clear" w:color="auto" w:fill="auto"/>
          </w:tcPr>
          <w:p w:rsidR="0068589A" w:rsidRPr="00E15E27" w:rsidRDefault="0068589A" w:rsidP="00700B4A">
            <w:pPr>
              <w:spacing w:after="60"/>
              <w:jc w:val="center"/>
              <w:rPr>
                <w:sz w:val="18"/>
              </w:rPr>
            </w:pPr>
            <w:r w:rsidRPr="00E15E27">
              <w:rPr>
                <w:sz w:val="18"/>
              </w:rPr>
              <w:t>Process agent</w:t>
            </w:r>
          </w:p>
        </w:tc>
        <w:tc>
          <w:tcPr>
            <w:tcW w:w="0" w:type="auto"/>
            <w:shd w:val="clear" w:color="auto" w:fill="auto"/>
          </w:tcPr>
          <w:p w:rsidR="0068589A" w:rsidRPr="00E15E27" w:rsidRDefault="0068589A" w:rsidP="00700B4A">
            <w:pPr>
              <w:spacing w:after="60"/>
              <w:jc w:val="center"/>
              <w:rPr>
                <w:sz w:val="18"/>
              </w:rPr>
            </w:pPr>
            <w:r w:rsidRPr="00E15E27">
              <w:rPr>
                <w:sz w:val="18"/>
              </w:rPr>
              <w:t>Lab use</w:t>
            </w:r>
          </w:p>
        </w:tc>
        <w:tc>
          <w:tcPr>
            <w:tcW w:w="2312" w:type="dxa"/>
            <w:shd w:val="clear" w:color="auto" w:fill="auto"/>
          </w:tcPr>
          <w:p w:rsidR="0068589A" w:rsidRPr="00E15E27" w:rsidRDefault="0068589A" w:rsidP="00700B4A">
            <w:pPr>
              <w:spacing w:after="60"/>
              <w:jc w:val="center"/>
              <w:rPr>
                <w:sz w:val="18"/>
              </w:rPr>
            </w:pPr>
            <w:r w:rsidRPr="00E15E27">
              <w:rPr>
                <w:sz w:val="18"/>
              </w:rPr>
              <w:t>Total sector consumption</w:t>
            </w:r>
          </w:p>
        </w:tc>
      </w:tr>
      <w:tr w:rsidR="0068589A" w:rsidRPr="00E15E27" w:rsidTr="00700B4A">
        <w:trPr>
          <w:trHeight w:val="240"/>
          <w:jc w:val="center"/>
        </w:trPr>
        <w:tc>
          <w:tcPr>
            <w:tcW w:w="0" w:type="auto"/>
            <w:gridSpan w:val="4"/>
            <w:shd w:val="clear" w:color="auto" w:fill="auto"/>
          </w:tcPr>
          <w:p w:rsidR="0068589A" w:rsidRPr="00E15E27" w:rsidRDefault="0068589A" w:rsidP="00700B4A">
            <w:pPr>
              <w:spacing w:after="60"/>
              <w:jc w:val="center"/>
              <w:rPr>
                <w:sz w:val="18"/>
              </w:rPr>
            </w:pPr>
            <w:r w:rsidRPr="00E15E27">
              <w:rPr>
                <w:sz w:val="18"/>
              </w:rPr>
              <w:t xml:space="preserve"> </w:t>
            </w:r>
          </w:p>
        </w:tc>
        <w:tc>
          <w:tcPr>
            <w:tcW w:w="0" w:type="auto"/>
            <w:shd w:val="clear" w:color="auto" w:fill="auto"/>
          </w:tcPr>
          <w:p w:rsidR="0068589A" w:rsidRPr="00E15E27" w:rsidRDefault="0068589A" w:rsidP="00700B4A">
            <w:pPr>
              <w:spacing w:after="60"/>
              <w:jc w:val="center"/>
              <w:rPr>
                <w:sz w:val="18"/>
              </w:rPr>
            </w:pPr>
            <w:r w:rsidRPr="00E15E27">
              <w:rPr>
                <w:sz w:val="18"/>
              </w:rPr>
              <w:t>Manufacturing</w:t>
            </w:r>
          </w:p>
        </w:tc>
        <w:tc>
          <w:tcPr>
            <w:tcW w:w="0" w:type="auto"/>
            <w:shd w:val="clear" w:color="auto" w:fill="auto"/>
          </w:tcPr>
          <w:p w:rsidR="0068589A" w:rsidRPr="00E15E27" w:rsidRDefault="0068589A" w:rsidP="00700B4A">
            <w:pPr>
              <w:spacing w:after="60"/>
              <w:jc w:val="center"/>
              <w:rPr>
                <w:sz w:val="18"/>
              </w:rPr>
            </w:pPr>
            <w:r w:rsidRPr="00E15E27">
              <w:rPr>
                <w:sz w:val="18"/>
              </w:rPr>
              <w:t>Servicing</w:t>
            </w:r>
          </w:p>
        </w:tc>
        <w:tc>
          <w:tcPr>
            <w:tcW w:w="4796" w:type="dxa"/>
            <w:gridSpan w:val="4"/>
            <w:shd w:val="clear" w:color="auto" w:fill="auto"/>
          </w:tcPr>
          <w:p w:rsidR="0068589A" w:rsidRPr="00E15E27" w:rsidRDefault="0068589A" w:rsidP="00700B4A">
            <w:pPr>
              <w:spacing w:after="60"/>
              <w:jc w:val="center"/>
              <w:rPr>
                <w:sz w:val="18"/>
              </w:rPr>
            </w:pPr>
          </w:p>
        </w:tc>
      </w:tr>
      <w:tr w:rsidR="0068589A" w:rsidRPr="00E15E27" w:rsidTr="00700B4A">
        <w:trPr>
          <w:trHeight w:val="240"/>
          <w:jc w:val="center"/>
        </w:trPr>
        <w:tc>
          <w:tcPr>
            <w:tcW w:w="1200" w:type="dxa"/>
            <w:shd w:val="clear" w:color="auto" w:fill="auto"/>
          </w:tcPr>
          <w:p w:rsidR="0068589A" w:rsidRPr="00E15E27" w:rsidRDefault="0068589A" w:rsidP="00700B4A">
            <w:pPr>
              <w:spacing w:after="60"/>
              <w:jc w:val="left"/>
              <w:rPr>
                <w:sz w:val="18"/>
              </w:rPr>
            </w:pPr>
            <w:r w:rsidRPr="00E15E27">
              <w:rPr>
                <w:sz w:val="18"/>
              </w:rPr>
              <w:t>HCFC-22</w:t>
            </w: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r w:rsidRPr="00E15E27">
              <w:rPr>
                <w:sz w:val="18"/>
              </w:rPr>
              <w:t>0.22</w:t>
            </w: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2312" w:type="dxa"/>
            <w:shd w:val="clear" w:color="auto" w:fill="auto"/>
          </w:tcPr>
          <w:p w:rsidR="0068589A" w:rsidRPr="00E15E27" w:rsidRDefault="0068589A" w:rsidP="00700B4A">
            <w:pPr>
              <w:spacing w:after="60"/>
              <w:jc w:val="right"/>
              <w:rPr>
                <w:sz w:val="18"/>
              </w:rPr>
            </w:pPr>
            <w:r w:rsidRPr="00E15E27">
              <w:rPr>
                <w:sz w:val="18"/>
              </w:rPr>
              <w:t>0.22</w:t>
            </w:r>
          </w:p>
        </w:tc>
      </w:tr>
    </w:tbl>
    <w:p w:rsidR="0068589A" w:rsidRPr="00E15E27" w:rsidRDefault="0068589A" w:rsidP="0068589A">
      <w:pPr>
        <w:spacing w:after="60"/>
        <w:jc w:val="center"/>
      </w:pPr>
    </w:p>
    <w:tbl>
      <w:tblPr>
        <w:tblStyle w:val="TableGrid"/>
        <w:tblW w:w="105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64"/>
        <w:gridCol w:w="1509"/>
        <w:gridCol w:w="5019"/>
        <w:gridCol w:w="1706"/>
      </w:tblGrid>
      <w:tr w:rsidR="0068589A" w:rsidRPr="00E15E27" w:rsidTr="00700B4A">
        <w:trPr>
          <w:trHeight w:val="240"/>
          <w:jc w:val="center"/>
        </w:trPr>
        <w:tc>
          <w:tcPr>
            <w:tcW w:w="10598" w:type="dxa"/>
            <w:gridSpan w:val="4"/>
            <w:shd w:val="clear" w:color="auto" w:fill="auto"/>
          </w:tcPr>
          <w:p w:rsidR="0068589A" w:rsidRPr="00E15E27" w:rsidRDefault="0068589A" w:rsidP="00700B4A">
            <w:pPr>
              <w:spacing w:after="60"/>
              <w:jc w:val="left"/>
              <w:rPr>
                <w:b/>
                <w:sz w:val="18"/>
              </w:rPr>
            </w:pPr>
            <w:r w:rsidRPr="00E15E27">
              <w:rPr>
                <w:b/>
                <w:sz w:val="18"/>
              </w:rPr>
              <w:t>(IV) CONSUMPTION DATA (ODP tonnes)</w:t>
            </w:r>
          </w:p>
        </w:tc>
      </w:tr>
      <w:tr w:rsidR="0068589A" w:rsidRPr="00E15E27" w:rsidTr="00700B4A">
        <w:trPr>
          <w:trHeight w:val="240"/>
          <w:jc w:val="center"/>
        </w:trPr>
        <w:tc>
          <w:tcPr>
            <w:tcW w:w="0" w:type="auto"/>
            <w:shd w:val="clear" w:color="auto" w:fill="auto"/>
          </w:tcPr>
          <w:p w:rsidR="0068589A" w:rsidRPr="00E15E27" w:rsidRDefault="0068589A" w:rsidP="00700B4A">
            <w:pPr>
              <w:spacing w:after="60"/>
              <w:jc w:val="center"/>
              <w:rPr>
                <w:sz w:val="18"/>
              </w:rPr>
            </w:pPr>
            <w:r w:rsidRPr="00E15E27">
              <w:rPr>
                <w:sz w:val="18"/>
              </w:rPr>
              <w:t>2009 - 2010 baseline:</w:t>
            </w:r>
          </w:p>
        </w:tc>
        <w:tc>
          <w:tcPr>
            <w:tcW w:w="0" w:type="auto"/>
            <w:shd w:val="clear" w:color="auto" w:fill="auto"/>
          </w:tcPr>
          <w:p w:rsidR="0068589A" w:rsidRPr="00E15E27" w:rsidRDefault="0068589A" w:rsidP="00700B4A">
            <w:pPr>
              <w:spacing w:after="60"/>
              <w:jc w:val="right"/>
              <w:rPr>
                <w:sz w:val="18"/>
              </w:rPr>
            </w:pPr>
            <w:r w:rsidRPr="00E15E27">
              <w:rPr>
                <w:sz w:val="18"/>
              </w:rPr>
              <w:t>0.83</w:t>
            </w:r>
          </w:p>
        </w:tc>
        <w:tc>
          <w:tcPr>
            <w:tcW w:w="0" w:type="auto"/>
            <w:shd w:val="clear" w:color="auto" w:fill="auto"/>
          </w:tcPr>
          <w:p w:rsidR="0068589A" w:rsidRPr="00E15E27" w:rsidRDefault="0068589A" w:rsidP="00700B4A">
            <w:pPr>
              <w:spacing w:after="60"/>
              <w:jc w:val="center"/>
              <w:rPr>
                <w:sz w:val="18"/>
              </w:rPr>
            </w:pPr>
            <w:r w:rsidRPr="00E15E27">
              <w:rPr>
                <w:sz w:val="18"/>
              </w:rPr>
              <w:t>Starting point for sustained aggregate reductions:</w:t>
            </w:r>
          </w:p>
        </w:tc>
        <w:tc>
          <w:tcPr>
            <w:tcW w:w="1278" w:type="dxa"/>
            <w:shd w:val="clear" w:color="auto" w:fill="auto"/>
          </w:tcPr>
          <w:p w:rsidR="0068589A" w:rsidRPr="00E15E27" w:rsidRDefault="0068589A" w:rsidP="00700B4A">
            <w:pPr>
              <w:spacing w:after="60"/>
              <w:jc w:val="right"/>
              <w:rPr>
                <w:sz w:val="18"/>
              </w:rPr>
            </w:pPr>
            <w:r>
              <w:rPr>
                <w:sz w:val="18"/>
              </w:rPr>
              <w:t>[</w:t>
            </w:r>
            <w:r w:rsidRPr="00E15E27">
              <w:rPr>
                <w:sz w:val="18"/>
              </w:rPr>
              <w:t>0.83</w:t>
            </w:r>
            <w:r>
              <w:rPr>
                <w:sz w:val="18"/>
              </w:rPr>
              <w:t>]</w:t>
            </w:r>
            <w:r w:rsidRPr="00E15E27">
              <w:rPr>
                <w:sz w:val="18"/>
              </w:rPr>
              <w:t>[0.55]</w:t>
            </w:r>
          </w:p>
        </w:tc>
      </w:tr>
      <w:tr w:rsidR="0068589A" w:rsidRPr="00E15E27" w:rsidTr="00700B4A">
        <w:trPr>
          <w:trHeight w:val="240"/>
          <w:jc w:val="center"/>
        </w:trPr>
        <w:tc>
          <w:tcPr>
            <w:tcW w:w="10598" w:type="dxa"/>
            <w:gridSpan w:val="4"/>
            <w:shd w:val="clear" w:color="auto" w:fill="auto"/>
          </w:tcPr>
          <w:p w:rsidR="0068589A" w:rsidRPr="00E15E27" w:rsidRDefault="0068589A" w:rsidP="00700B4A">
            <w:pPr>
              <w:spacing w:after="60"/>
              <w:jc w:val="center"/>
              <w:rPr>
                <w:b/>
                <w:sz w:val="18"/>
              </w:rPr>
            </w:pPr>
            <w:r w:rsidRPr="00E15E27">
              <w:rPr>
                <w:b/>
                <w:sz w:val="18"/>
              </w:rPr>
              <w:t>CONSUMPTION ELIGIBLE FOR FUNDING (ODP tonnes)</w:t>
            </w:r>
          </w:p>
        </w:tc>
      </w:tr>
      <w:tr w:rsidR="0068589A" w:rsidRPr="00E15E27" w:rsidTr="00700B4A">
        <w:trPr>
          <w:trHeight w:val="240"/>
          <w:jc w:val="center"/>
        </w:trPr>
        <w:tc>
          <w:tcPr>
            <w:tcW w:w="0" w:type="auto"/>
            <w:shd w:val="clear" w:color="auto" w:fill="auto"/>
          </w:tcPr>
          <w:p w:rsidR="0068589A" w:rsidRPr="00E15E27" w:rsidRDefault="0068589A" w:rsidP="00700B4A">
            <w:pPr>
              <w:spacing w:after="60"/>
              <w:jc w:val="center"/>
              <w:rPr>
                <w:sz w:val="18"/>
              </w:rPr>
            </w:pPr>
            <w:r w:rsidRPr="00E15E27">
              <w:rPr>
                <w:sz w:val="18"/>
              </w:rPr>
              <w:t>Already approved:</w:t>
            </w:r>
          </w:p>
        </w:tc>
        <w:tc>
          <w:tcPr>
            <w:tcW w:w="0" w:type="auto"/>
            <w:shd w:val="clear" w:color="auto" w:fill="auto"/>
          </w:tcPr>
          <w:p w:rsidR="0068589A" w:rsidRPr="00E15E27" w:rsidRDefault="0068589A" w:rsidP="00700B4A">
            <w:pPr>
              <w:spacing w:after="60"/>
              <w:jc w:val="right"/>
              <w:rPr>
                <w:sz w:val="18"/>
              </w:rPr>
            </w:pPr>
            <w:r>
              <w:rPr>
                <w:sz w:val="18"/>
              </w:rPr>
              <w:t>[</w:t>
            </w:r>
            <w:r w:rsidRPr="00E15E27">
              <w:rPr>
                <w:sz w:val="18"/>
              </w:rPr>
              <w:t>0.29</w:t>
            </w:r>
            <w:r>
              <w:rPr>
                <w:sz w:val="18"/>
              </w:rPr>
              <w:t>]</w:t>
            </w:r>
            <w:r w:rsidRPr="00E15E27">
              <w:rPr>
                <w:sz w:val="18"/>
              </w:rPr>
              <w:t xml:space="preserve"> [0.19]</w:t>
            </w:r>
          </w:p>
        </w:tc>
        <w:tc>
          <w:tcPr>
            <w:tcW w:w="0" w:type="auto"/>
            <w:shd w:val="clear" w:color="auto" w:fill="auto"/>
          </w:tcPr>
          <w:p w:rsidR="0068589A" w:rsidRPr="00E15E27" w:rsidRDefault="0068589A" w:rsidP="00700B4A">
            <w:pPr>
              <w:spacing w:after="60"/>
              <w:jc w:val="center"/>
              <w:rPr>
                <w:sz w:val="18"/>
              </w:rPr>
            </w:pPr>
            <w:r w:rsidRPr="00E15E27">
              <w:rPr>
                <w:sz w:val="18"/>
              </w:rPr>
              <w:t>Remaining:</w:t>
            </w:r>
          </w:p>
        </w:tc>
        <w:tc>
          <w:tcPr>
            <w:tcW w:w="1278" w:type="dxa"/>
            <w:shd w:val="clear" w:color="auto" w:fill="auto"/>
          </w:tcPr>
          <w:p w:rsidR="0068589A" w:rsidRPr="00E15E27" w:rsidRDefault="0068589A" w:rsidP="00700B4A">
            <w:pPr>
              <w:spacing w:after="60"/>
              <w:jc w:val="right"/>
              <w:rPr>
                <w:sz w:val="18"/>
              </w:rPr>
            </w:pPr>
            <w:r>
              <w:rPr>
                <w:sz w:val="18"/>
              </w:rPr>
              <w:t>[</w:t>
            </w:r>
            <w:r w:rsidRPr="00E15E27">
              <w:rPr>
                <w:sz w:val="18"/>
              </w:rPr>
              <w:t>0.54</w:t>
            </w:r>
            <w:r>
              <w:rPr>
                <w:sz w:val="18"/>
              </w:rPr>
              <w:t>]</w:t>
            </w:r>
            <w:r w:rsidRPr="00E15E27">
              <w:rPr>
                <w:sz w:val="18"/>
              </w:rPr>
              <w:t>[0.36]</w:t>
            </w:r>
          </w:p>
        </w:tc>
      </w:tr>
    </w:tbl>
    <w:p w:rsidR="0068589A" w:rsidRPr="00E15E27" w:rsidRDefault="0068589A" w:rsidP="0068589A">
      <w:pPr>
        <w:spacing w:after="60"/>
        <w:jc w:val="center"/>
      </w:pPr>
    </w:p>
    <w:tbl>
      <w:tblPr>
        <w:tblStyle w:val="TableGrid"/>
        <w:tblW w:w="10530" w:type="dxa"/>
        <w:jc w:val="center"/>
        <w:tblInd w:w="-134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188"/>
        <w:gridCol w:w="2896"/>
        <w:gridCol w:w="872"/>
        <w:gridCol w:w="707"/>
        <w:gridCol w:w="707"/>
        <w:gridCol w:w="707"/>
        <w:gridCol w:w="872"/>
        <w:gridCol w:w="1581"/>
      </w:tblGrid>
      <w:tr w:rsidR="0068589A" w:rsidRPr="00E15E27" w:rsidTr="00700B4A">
        <w:trPr>
          <w:trHeight w:val="240"/>
          <w:jc w:val="center"/>
        </w:trPr>
        <w:tc>
          <w:tcPr>
            <w:tcW w:w="5084" w:type="dxa"/>
            <w:gridSpan w:val="2"/>
            <w:shd w:val="clear" w:color="auto" w:fill="auto"/>
          </w:tcPr>
          <w:p w:rsidR="0068589A" w:rsidRPr="00E15E27" w:rsidRDefault="0068589A" w:rsidP="00700B4A">
            <w:pPr>
              <w:spacing w:after="60"/>
              <w:jc w:val="left"/>
              <w:rPr>
                <w:b/>
                <w:sz w:val="18"/>
              </w:rPr>
            </w:pPr>
            <w:r w:rsidRPr="00E15E27">
              <w:rPr>
                <w:b/>
                <w:sz w:val="18"/>
              </w:rPr>
              <w:t>(V) BUSINESS PLAN</w:t>
            </w:r>
          </w:p>
        </w:tc>
        <w:tc>
          <w:tcPr>
            <w:tcW w:w="0" w:type="auto"/>
            <w:shd w:val="clear" w:color="auto" w:fill="auto"/>
          </w:tcPr>
          <w:p w:rsidR="0068589A" w:rsidRPr="00E15E27" w:rsidRDefault="0068589A" w:rsidP="00700B4A">
            <w:pPr>
              <w:spacing w:after="60"/>
              <w:jc w:val="center"/>
              <w:rPr>
                <w:b/>
                <w:sz w:val="18"/>
              </w:rPr>
            </w:pPr>
            <w:r w:rsidRPr="00E15E27">
              <w:rPr>
                <w:b/>
                <w:sz w:val="18"/>
              </w:rPr>
              <w:t>2016</w:t>
            </w:r>
          </w:p>
        </w:tc>
        <w:tc>
          <w:tcPr>
            <w:tcW w:w="0" w:type="auto"/>
            <w:shd w:val="clear" w:color="auto" w:fill="auto"/>
          </w:tcPr>
          <w:p w:rsidR="0068589A" w:rsidRPr="00E15E27" w:rsidRDefault="0068589A" w:rsidP="00700B4A">
            <w:pPr>
              <w:spacing w:after="60"/>
              <w:jc w:val="center"/>
              <w:rPr>
                <w:b/>
                <w:sz w:val="18"/>
              </w:rPr>
            </w:pPr>
            <w:r w:rsidRPr="00E15E27">
              <w:rPr>
                <w:b/>
                <w:sz w:val="18"/>
              </w:rPr>
              <w:t>2017</w:t>
            </w:r>
          </w:p>
        </w:tc>
        <w:tc>
          <w:tcPr>
            <w:tcW w:w="0" w:type="auto"/>
            <w:shd w:val="clear" w:color="auto" w:fill="auto"/>
          </w:tcPr>
          <w:p w:rsidR="0068589A" w:rsidRPr="00E15E27" w:rsidRDefault="0068589A" w:rsidP="00700B4A">
            <w:pPr>
              <w:spacing w:after="60"/>
              <w:jc w:val="center"/>
              <w:rPr>
                <w:b/>
                <w:sz w:val="18"/>
              </w:rPr>
            </w:pPr>
            <w:r w:rsidRPr="00E15E27">
              <w:rPr>
                <w:b/>
                <w:sz w:val="18"/>
              </w:rPr>
              <w:t>2018</w:t>
            </w:r>
          </w:p>
        </w:tc>
        <w:tc>
          <w:tcPr>
            <w:tcW w:w="0" w:type="auto"/>
            <w:shd w:val="clear" w:color="auto" w:fill="auto"/>
          </w:tcPr>
          <w:p w:rsidR="0068589A" w:rsidRPr="00E15E27" w:rsidRDefault="0068589A" w:rsidP="00700B4A">
            <w:pPr>
              <w:spacing w:after="60"/>
              <w:jc w:val="center"/>
              <w:rPr>
                <w:b/>
                <w:sz w:val="18"/>
              </w:rPr>
            </w:pPr>
            <w:r w:rsidRPr="00E15E27">
              <w:rPr>
                <w:b/>
                <w:sz w:val="18"/>
              </w:rPr>
              <w:t>2019</w:t>
            </w:r>
          </w:p>
        </w:tc>
        <w:tc>
          <w:tcPr>
            <w:tcW w:w="0" w:type="auto"/>
            <w:shd w:val="clear" w:color="auto" w:fill="auto"/>
          </w:tcPr>
          <w:p w:rsidR="0068589A" w:rsidRPr="00E15E27" w:rsidRDefault="0068589A" w:rsidP="00700B4A">
            <w:pPr>
              <w:spacing w:after="60"/>
              <w:jc w:val="center"/>
              <w:rPr>
                <w:b/>
                <w:sz w:val="18"/>
              </w:rPr>
            </w:pPr>
            <w:r w:rsidRPr="00E15E27">
              <w:rPr>
                <w:b/>
                <w:sz w:val="18"/>
              </w:rPr>
              <w:t>2020</w:t>
            </w:r>
          </w:p>
        </w:tc>
        <w:tc>
          <w:tcPr>
            <w:tcW w:w="1581" w:type="dxa"/>
            <w:shd w:val="clear" w:color="auto" w:fill="auto"/>
          </w:tcPr>
          <w:p w:rsidR="0068589A" w:rsidRPr="00E15E27" w:rsidRDefault="0068589A" w:rsidP="00700B4A">
            <w:pPr>
              <w:spacing w:after="60"/>
              <w:jc w:val="center"/>
              <w:rPr>
                <w:b/>
                <w:sz w:val="18"/>
              </w:rPr>
            </w:pPr>
            <w:r w:rsidRPr="00E15E27">
              <w:rPr>
                <w:b/>
                <w:sz w:val="18"/>
              </w:rPr>
              <w:t>Total</w:t>
            </w:r>
          </w:p>
        </w:tc>
      </w:tr>
      <w:tr w:rsidR="0068589A" w:rsidRPr="00E15E27" w:rsidTr="00700B4A">
        <w:trPr>
          <w:trHeight w:val="240"/>
          <w:jc w:val="center"/>
        </w:trPr>
        <w:tc>
          <w:tcPr>
            <w:tcW w:w="2188" w:type="dxa"/>
            <w:vMerge w:val="restart"/>
            <w:shd w:val="clear" w:color="auto" w:fill="auto"/>
          </w:tcPr>
          <w:p w:rsidR="0068589A" w:rsidRPr="00E15E27" w:rsidRDefault="0068589A" w:rsidP="00700B4A">
            <w:pPr>
              <w:spacing w:after="60"/>
              <w:jc w:val="center"/>
              <w:rPr>
                <w:sz w:val="18"/>
              </w:rPr>
            </w:pPr>
            <w:r w:rsidRPr="00E15E27">
              <w:rPr>
                <w:sz w:val="18"/>
              </w:rPr>
              <w:t>UNEP</w:t>
            </w:r>
          </w:p>
        </w:tc>
        <w:tc>
          <w:tcPr>
            <w:tcW w:w="0" w:type="auto"/>
            <w:shd w:val="clear" w:color="auto" w:fill="auto"/>
          </w:tcPr>
          <w:p w:rsidR="0068589A" w:rsidRPr="00E15E27" w:rsidRDefault="0068589A" w:rsidP="00700B4A">
            <w:pPr>
              <w:spacing w:after="60"/>
              <w:jc w:val="left"/>
              <w:rPr>
                <w:sz w:val="18"/>
              </w:rPr>
            </w:pPr>
            <w:r w:rsidRPr="00E15E27">
              <w:rPr>
                <w:sz w:val="18"/>
              </w:rPr>
              <w:t>ODS phase-out (ODP tonnes)</w:t>
            </w:r>
          </w:p>
        </w:tc>
        <w:tc>
          <w:tcPr>
            <w:tcW w:w="0" w:type="auto"/>
            <w:shd w:val="clear" w:color="auto" w:fill="auto"/>
          </w:tcPr>
          <w:p w:rsidR="0068589A" w:rsidRPr="00E15E27" w:rsidRDefault="0068589A" w:rsidP="00700B4A">
            <w:pPr>
              <w:spacing w:after="60"/>
              <w:jc w:val="right"/>
              <w:rPr>
                <w:sz w:val="18"/>
              </w:rPr>
            </w:pPr>
            <w:r w:rsidRPr="00E15E27">
              <w:rPr>
                <w:sz w:val="18"/>
              </w:rPr>
              <w:t>0.1</w:t>
            </w: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r w:rsidRPr="00E15E27">
              <w:rPr>
                <w:sz w:val="18"/>
              </w:rPr>
              <w:t>0.0</w:t>
            </w:r>
          </w:p>
        </w:tc>
        <w:tc>
          <w:tcPr>
            <w:tcW w:w="1581" w:type="dxa"/>
            <w:shd w:val="clear" w:color="auto" w:fill="auto"/>
          </w:tcPr>
          <w:p w:rsidR="0068589A" w:rsidRPr="00E15E27" w:rsidRDefault="0068589A" w:rsidP="00700B4A">
            <w:pPr>
              <w:spacing w:after="60"/>
              <w:jc w:val="right"/>
              <w:rPr>
                <w:sz w:val="18"/>
              </w:rPr>
            </w:pPr>
            <w:r w:rsidRPr="00E15E27">
              <w:rPr>
                <w:sz w:val="18"/>
              </w:rPr>
              <w:t>0.1</w:t>
            </w:r>
          </w:p>
        </w:tc>
      </w:tr>
      <w:tr w:rsidR="0068589A" w:rsidRPr="00E15E27" w:rsidTr="00700B4A">
        <w:trPr>
          <w:trHeight w:val="240"/>
          <w:jc w:val="center"/>
        </w:trPr>
        <w:tc>
          <w:tcPr>
            <w:tcW w:w="2188" w:type="dxa"/>
            <w:vMerge/>
            <w:shd w:val="clear" w:color="auto" w:fill="auto"/>
          </w:tcPr>
          <w:p w:rsidR="0068589A" w:rsidRPr="00E15E27" w:rsidRDefault="0068589A" w:rsidP="00700B4A">
            <w:pPr>
              <w:spacing w:after="60"/>
              <w:jc w:val="center"/>
              <w:rPr>
                <w:sz w:val="18"/>
              </w:rPr>
            </w:pPr>
          </w:p>
        </w:tc>
        <w:tc>
          <w:tcPr>
            <w:tcW w:w="0" w:type="auto"/>
            <w:shd w:val="clear" w:color="auto" w:fill="auto"/>
          </w:tcPr>
          <w:p w:rsidR="0068589A" w:rsidRPr="00E15E27" w:rsidRDefault="0068589A" w:rsidP="00700B4A">
            <w:pPr>
              <w:spacing w:after="60"/>
              <w:jc w:val="left"/>
              <w:rPr>
                <w:sz w:val="18"/>
              </w:rPr>
            </w:pPr>
            <w:r w:rsidRPr="00E15E27">
              <w:rPr>
                <w:sz w:val="18"/>
              </w:rPr>
              <w:t>Funding (</w:t>
            </w:r>
            <w:r>
              <w:rPr>
                <w:sz w:val="18"/>
              </w:rPr>
              <w:t>US $</w:t>
            </w:r>
            <w:r w:rsidRPr="00E15E27">
              <w:rPr>
                <w:sz w:val="18"/>
              </w:rPr>
              <w:t>)</w:t>
            </w:r>
          </w:p>
        </w:tc>
        <w:tc>
          <w:tcPr>
            <w:tcW w:w="0" w:type="auto"/>
            <w:shd w:val="clear" w:color="auto" w:fill="auto"/>
          </w:tcPr>
          <w:p w:rsidR="0068589A" w:rsidRPr="00E15E27" w:rsidRDefault="0068589A" w:rsidP="00700B4A">
            <w:pPr>
              <w:spacing w:after="60"/>
              <w:jc w:val="right"/>
              <w:rPr>
                <w:sz w:val="18"/>
              </w:rPr>
            </w:pPr>
            <w:r w:rsidRPr="00E15E27">
              <w:rPr>
                <w:sz w:val="18"/>
              </w:rPr>
              <w:t>94,920</w:t>
            </w: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p>
        </w:tc>
        <w:tc>
          <w:tcPr>
            <w:tcW w:w="0" w:type="auto"/>
            <w:shd w:val="clear" w:color="auto" w:fill="auto"/>
          </w:tcPr>
          <w:p w:rsidR="0068589A" w:rsidRPr="00E15E27" w:rsidRDefault="0068589A" w:rsidP="00700B4A">
            <w:pPr>
              <w:spacing w:after="60"/>
              <w:jc w:val="right"/>
              <w:rPr>
                <w:sz w:val="18"/>
              </w:rPr>
            </w:pPr>
            <w:r w:rsidRPr="00E15E27">
              <w:rPr>
                <w:sz w:val="18"/>
              </w:rPr>
              <w:t>23,730</w:t>
            </w:r>
          </w:p>
        </w:tc>
        <w:tc>
          <w:tcPr>
            <w:tcW w:w="1581" w:type="dxa"/>
            <w:shd w:val="clear" w:color="auto" w:fill="auto"/>
          </w:tcPr>
          <w:p w:rsidR="0068589A" w:rsidRPr="00E15E27" w:rsidRDefault="0068589A" w:rsidP="00700B4A">
            <w:pPr>
              <w:spacing w:after="60"/>
              <w:jc w:val="right"/>
              <w:rPr>
                <w:sz w:val="18"/>
              </w:rPr>
            </w:pPr>
            <w:r w:rsidRPr="00E15E27">
              <w:rPr>
                <w:sz w:val="18"/>
              </w:rPr>
              <w:t>118,650</w:t>
            </w:r>
          </w:p>
        </w:tc>
      </w:tr>
    </w:tbl>
    <w:p w:rsidR="0068589A" w:rsidRPr="00E15E27" w:rsidRDefault="0068589A" w:rsidP="0068589A">
      <w:pPr>
        <w:spacing w:after="60"/>
        <w:jc w:val="center"/>
      </w:pPr>
    </w:p>
    <w:tbl>
      <w:tblPr>
        <w:tblW w:w="10620" w:type="dxa"/>
        <w:tblInd w:w="-522" w:type="dxa"/>
        <w:tblLayout w:type="fixed"/>
        <w:tblLook w:val="04A0" w:firstRow="1" w:lastRow="0" w:firstColumn="1" w:lastColumn="0" w:noHBand="0" w:noVBand="1"/>
      </w:tblPr>
      <w:tblGrid>
        <w:gridCol w:w="900"/>
        <w:gridCol w:w="906"/>
        <w:gridCol w:w="1344"/>
        <w:gridCol w:w="810"/>
        <w:gridCol w:w="684"/>
        <w:gridCol w:w="747"/>
        <w:gridCol w:w="747"/>
        <w:gridCol w:w="747"/>
        <w:gridCol w:w="747"/>
        <w:gridCol w:w="747"/>
        <w:gridCol w:w="711"/>
        <w:gridCol w:w="720"/>
        <w:gridCol w:w="810"/>
      </w:tblGrid>
      <w:tr w:rsidR="0068589A" w:rsidRPr="00E15E27" w:rsidTr="00700B4A">
        <w:trPr>
          <w:trHeight w:val="315"/>
        </w:trPr>
        <w:tc>
          <w:tcPr>
            <w:tcW w:w="3150" w:type="dxa"/>
            <w:gridSpan w:val="3"/>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b/>
                <w:bCs/>
                <w:color w:val="000000"/>
                <w:sz w:val="18"/>
                <w:szCs w:val="18"/>
                <w:lang w:eastAsia="zh-CN"/>
              </w:rPr>
            </w:pPr>
            <w:r w:rsidRPr="00E15E27">
              <w:rPr>
                <w:b/>
                <w:bCs/>
                <w:color w:val="000000"/>
                <w:sz w:val="18"/>
                <w:lang w:eastAsia="zh-CN"/>
              </w:rPr>
              <w:t>(VI) PROJECT DATA</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2013</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2014</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2015</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2016</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2017</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2018</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2019</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2020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b/>
                <w:bCs/>
                <w:color w:val="000000"/>
                <w:sz w:val="18"/>
                <w:szCs w:val="18"/>
                <w:lang w:eastAsia="zh-CN"/>
              </w:rPr>
            </w:pPr>
            <w:r w:rsidRPr="00E15E27">
              <w:rPr>
                <w:b/>
                <w:bCs/>
                <w:color w:val="000000"/>
                <w:sz w:val="18"/>
                <w:lang w:eastAsia="zh-CN"/>
              </w:rPr>
              <w:t>Total</w:t>
            </w:r>
          </w:p>
        </w:tc>
      </w:tr>
      <w:tr w:rsidR="0068589A" w:rsidRPr="00E15E27" w:rsidTr="00700B4A">
        <w:trPr>
          <w:trHeight w:val="450"/>
        </w:trPr>
        <w:tc>
          <w:tcPr>
            <w:tcW w:w="3150" w:type="dxa"/>
            <w:gridSpan w:val="3"/>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r w:rsidRPr="00E15E27">
              <w:rPr>
                <w:color w:val="000000"/>
                <w:sz w:val="18"/>
                <w:lang w:eastAsia="zh-CN"/>
              </w:rPr>
              <w:t>Montreal Protocol consumption limits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n/a</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0.83</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0.83</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0.75</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0.75</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0.75</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0.75</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0.75</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0.54</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n/a</w:t>
            </w:r>
          </w:p>
        </w:tc>
      </w:tr>
      <w:tr w:rsidR="0068589A" w:rsidRPr="00E15E27" w:rsidTr="00700B4A">
        <w:trPr>
          <w:trHeight w:val="133"/>
        </w:trPr>
        <w:tc>
          <w:tcPr>
            <w:tcW w:w="3150" w:type="dxa"/>
            <w:gridSpan w:val="3"/>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r w:rsidRPr="00E15E27">
              <w:rPr>
                <w:color w:val="000000"/>
                <w:sz w:val="18"/>
                <w:lang w:eastAsia="zh-CN"/>
              </w:rPr>
              <w:t>Maximum allowable consumption (ODP tonnes)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n/a</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 </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n/a</w:t>
            </w:r>
          </w:p>
        </w:tc>
      </w:tr>
      <w:tr w:rsidR="0068589A" w:rsidRPr="00E15E27" w:rsidTr="00700B4A">
        <w:trPr>
          <w:trHeight w:val="255"/>
        </w:trPr>
        <w:tc>
          <w:tcPr>
            <w:tcW w:w="900" w:type="dxa"/>
            <w:vMerge w:val="restart"/>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color w:val="000000"/>
                <w:sz w:val="18"/>
                <w:szCs w:val="18"/>
                <w:lang w:eastAsia="zh-CN"/>
              </w:rPr>
            </w:pPr>
            <w:r w:rsidRPr="00E15E27">
              <w:rPr>
                <w:color w:val="000000"/>
                <w:sz w:val="18"/>
                <w:lang w:eastAsia="zh-CN"/>
              </w:rPr>
              <w:t>Agreed funding (</w:t>
            </w:r>
            <w:r>
              <w:rPr>
                <w:color w:val="000000"/>
                <w:sz w:val="18"/>
                <w:lang w:eastAsia="zh-CN"/>
              </w:rPr>
              <w:t>US $</w:t>
            </w:r>
            <w:r w:rsidRPr="00E15E27">
              <w:rPr>
                <w:color w:val="000000"/>
                <w:sz w:val="18"/>
                <w:lang w:eastAsia="zh-CN"/>
              </w:rPr>
              <w:t>)</w:t>
            </w:r>
          </w:p>
        </w:tc>
        <w:tc>
          <w:tcPr>
            <w:tcW w:w="906" w:type="dxa"/>
            <w:vMerge w:val="restart"/>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color w:val="000000"/>
                <w:sz w:val="18"/>
                <w:szCs w:val="18"/>
                <w:lang w:eastAsia="zh-CN"/>
              </w:rPr>
            </w:pPr>
            <w:r w:rsidRPr="00E15E27">
              <w:rPr>
                <w:color w:val="000000"/>
                <w:sz w:val="18"/>
                <w:lang w:eastAsia="zh-CN"/>
              </w:rPr>
              <w:t>UNEP</w:t>
            </w: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Project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105,000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szCs w:val="18"/>
                <w:lang w:eastAsia="en-029"/>
              </w:rPr>
              <w:t>9,000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21,000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135,000</w:t>
            </w:r>
          </w:p>
        </w:tc>
      </w:tr>
      <w:tr w:rsidR="0068589A" w:rsidRPr="00E15E27" w:rsidTr="00700B4A">
        <w:trPr>
          <w:trHeight w:val="255"/>
        </w:trPr>
        <w:tc>
          <w:tcPr>
            <w:tcW w:w="900" w:type="dxa"/>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906" w:type="dxa"/>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Support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13,650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szCs w:val="18"/>
                <w:lang w:eastAsia="en-029"/>
              </w:rPr>
              <w:t>1,170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2,730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17,550</w:t>
            </w:r>
          </w:p>
        </w:tc>
      </w:tr>
      <w:tr w:rsidR="0068589A" w:rsidRPr="00E15E27" w:rsidTr="00700B4A">
        <w:trPr>
          <w:trHeight w:val="255"/>
        </w:trPr>
        <w:tc>
          <w:tcPr>
            <w:tcW w:w="900" w:type="dxa"/>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906" w:type="dxa"/>
            <w:vMerge w:val="restart"/>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center"/>
              <w:rPr>
                <w:color w:val="000000"/>
                <w:sz w:val="18"/>
                <w:szCs w:val="18"/>
                <w:lang w:eastAsia="zh-CN"/>
              </w:rPr>
            </w:pPr>
            <w:r w:rsidRPr="00E15E27">
              <w:rPr>
                <w:color w:val="000000"/>
                <w:sz w:val="18"/>
                <w:lang w:eastAsia="zh-CN"/>
              </w:rPr>
              <w:t>UNIDO</w:t>
            </w: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Project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0122B9" w:rsidP="00700B4A">
            <w:pPr>
              <w:jc w:val="right"/>
              <w:rPr>
                <w:color w:val="000000"/>
                <w:sz w:val="18"/>
                <w:szCs w:val="18"/>
                <w:lang w:eastAsia="zh-CN"/>
              </w:rPr>
            </w:pPr>
            <w:r>
              <w:rPr>
                <w:color w:val="000000"/>
                <w:sz w:val="18"/>
                <w:szCs w:val="18"/>
                <w:lang w:eastAsia="zh-CN"/>
              </w:rPr>
              <w:t>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szCs w:val="18"/>
                <w:lang w:eastAsia="en-029"/>
              </w:rPr>
              <w:t>75,000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75,000</w:t>
            </w:r>
          </w:p>
        </w:tc>
      </w:tr>
      <w:tr w:rsidR="0068589A" w:rsidRPr="00E15E27" w:rsidTr="00700B4A">
        <w:trPr>
          <w:trHeight w:val="255"/>
        </w:trPr>
        <w:tc>
          <w:tcPr>
            <w:tcW w:w="900" w:type="dxa"/>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906" w:type="dxa"/>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Support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0122B9" w:rsidP="000122B9">
            <w:pPr>
              <w:jc w:val="right"/>
              <w:rPr>
                <w:color w:val="000000"/>
                <w:sz w:val="18"/>
                <w:szCs w:val="18"/>
                <w:lang w:eastAsia="zh-CN"/>
              </w:rPr>
            </w:pPr>
            <w:r>
              <w:rPr>
                <w:color w:val="000000"/>
                <w:sz w:val="18"/>
                <w:lang w:eastAsia="zh-CN"/>
              </w:rPr>
              <w:t>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szCs w:val="18"/>
                <w:lang w:eastAsia="en-029"/>
              </w:rPr>
              <w:t>6,750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6,750</w:t>
            </w:r>
          </w:p>
        </w:tc>
      </w:tr>
      <w:tr w:rsidR="0068589A" w:rsidRPr="00E15E27" w:rsidTr="00700B4A">
        <w:trPr>
          <w:trHeight w:val="285"/>
        </w:trPr>
        <w:tc>
          <w:tcPr>
            <w:tcW w:w="1806" w:type="dxa"/>
            <w:gridSpan w:val="2"/>
            <w:vMerge w:val="restart"/>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r w:rsidRPr="00E15E27">
              <w:rPr>
                <w:color w:val="000000"/>
                <w:sz w:val="18"/>
                <w:lang w:eastAsia="zh-CN"/>
              </w:rPr>
              <w:t>Funds approved by ExCom (</w:t>
            </w:r>
            <w:r>
              <w:rPr>
                <w:color w:val="000000"/>
                <w:sz w:val="18"/>
                <w:lang w:eastAsia="zh-CN"/>
              </w:rPr>
              <w:t>US $</w:t>
            </w:r>
            <w:r w:rsidRPr="00E15E27">
              <w:rPr>
                <w:color w:val="000000"/>
                <w:sz w:val="18"/>
                <w:lang w:eastAsia="zh-CN"/>
              </w:rPr>
              <w:t>)</w:t>
            </w: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Project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105,000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r w:rsidRPr="00E15E27">
              <w:rPr>
                <w:color w:val="000000"/>
                <w:sz w:val="18"/>
                <w:szCs w:val="18"/>
                <w:lang w:eastAsia="zh-CN"/>
              </w:rPr>
              <w:t>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105,000</w:t>
            </w:r>
          </w:p>
        </w:tc>
      </w:tr>
      <w:tr w:rsidR="0068589A" w:rsidRPr="00E15E27" w:rsidTr="00700B4A">
        <w:trPr>
          <w:trHeight w:val="300"/>
        </w:trPr>
        <w:tc>
          <w:tcPr>
            <w:tcW w:w="1806" w:type="dxa"/>
            <w:gridSpan w:val="2"/>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Support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13,650</w:t>
            </w: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0</w:t>
            </w: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r w:rsidRPr="00E15E27">
              <w:rPr>
                <w:color w:val="000000"/>
                <w:sz w:val="18"/>
                <w:szCs w:val="18"/>
                <w:lang w:eastAsia="zh-CN"/>
              </w:rPr>
              <w:t>0</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13,650</w:t>
            </w:r>
          </w:p>
        </w:tc>
      </w:tr>
      <w:tr w:rsidR="0068589A" w:rsidRPr="00E15E27" w:rsidTr="00700B4A">
        <w:trPr>
          <w:trHeight w:val="315"/>
        </w:trPr>
        <w:tc>
          <w:tcPr>
            <w:tcW w:w="1806" w:type="dxa"/>
            <w:gridSpan w:val="2"/>
            <w:vMerge w:val="restart"/>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r w:rsidRPr="00E15E27">
              <w:rPr>
                <w:color w:val="000000"/>
                <w:sz w:val="18"/>
                <w:lang w:eastAsia="zh-CN"/>
              </w:rPr>
              <w:t>Total funds requested for approval at this meeting (</w:t>
            </w:r>
            <w:r>
              <w:rPr>
                <w:color w:val="000000"/>
                <w:sz w:val="18"/>
                <w:lang w:eastAsia="zh-CN"/>
              </w:rPr>
              <w:t>US $</w:t>
            </w:r>
            <w:r w:rsidRPr="00E15E27">
              <w:rPr>
                <w:color w:val="000000"/>
                <w:sz w:val="18"/>
                <w:lang w:eastAsia="zh-CN"/>
              </w:rPr>
              <w:t>)</w:t>
            </w: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Project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84,000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84,000</w:t>
            </w:r>
          </w:p>
        </w:tc>
      </w:tr>
      <w:tr w:rsidR="0068589A" w:rsidRPr="00E15E27" w:rsidTr="00700B4A">
        <w:trPr>
          <w:trHeight w:val="315"/>
        </w:trPr>
        <w:tc>
          <w:tcPr>
            <w:tcW w:w="1806" w:type="dxa"/>
            <w:gridSpan w:val="2"/>
            <w:vMerge/>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vAlign w:val="center"/>
            <w:hideMark/>
          </w:tcPr>
          <w:p w:rsidR="0068589A" w:rsidRPr="00E15E27" w:rsidRDefault="0068589A" w:rsidP="00700B4A">
            <w:pPr>
              <w:jc w:val="left"/>
              <w:rPr>
                <w:color w:val="000000"/>
                <w:sz w:val="18"/>
                <w:szCs w:val="18"/>
                <w:lang w:eastAsia="zh-CN"/>
              </w:rPr>
            </w:pPr>
          </w:p>
        </w:tc>
        <w:tc>
          <w:tcPr>
            <w:tcW w:w="13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left"/>
              <w:rPr>
                <w:color w:val="000000"/>
                <w:sz w:val="18"/>
                <w:szCs w:val="18"/>
                <w:lang w:eastAsia="zh-CN"/>
              </w:rPr>
            </w:pPr>
            <w:r w:rsidRPr="00E15E27">
              <w:rPr>
                <w:color w:val="000000"/>
                <w:sz w:val="18"/>
                <w:lang w:eastAsia="zh-CN"/>
              </w:rPr>
              <w:t>Support costs</w:t>
            </w: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68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7,920</w:t>
            </w: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4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11"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72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tcPr>
          <w:p w:rsidR="0068589A" w:rsidRPr="00E15E27" w:rsidRDefault="0068589A" w:rsidP="00700B4A">
            <w:pPr>
              <w:jc w:val="right"/>
              <w:rPr>
                <w:color w:val="000000"/>
                <w:sz w:val="18"/>
                <w:szCs w:val="18"/>
                <w:lang w:eastAsia="zh-CN"/>
              </w:rPr>
            </w:pPr>
          </w:p>
        </w:tc>
        <w:tc>
          <w:tcPr>
            <w:tcW w:w="810"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auto"/>
            <w:hideMark/>
          </w:tcPr>
          <w:p w:rsidR="0068589A" w:rsidRPr="00E15E27" w:rsidRDefault="0068589A" w:rsidP="00700B4A">
            <w:pPr>
              <w:jc w:val="right"/>
              <w:rPr>
                <w:color w:val="000000"/>
                <w:sz w:val="18"/>
                <w:szCs w:val="18"/>
                <w:lang w:eastAsia="zh-CN"/>
              </w:rPr>
            </w:pPr>
            <w:r w:rsidRPr="00E15E27">
              <w:rPr>
                <w:color w:val="000000"/>
                <w:sz w:val="18"/>
                <w:lang w:eastAsia="zh-CN"/>
              </w:rPr>
              <w:t>7,920</w:t>
            </w:r>
          </w:p>
        </w:tc>
      </w:tr>
    </w:tbl>
    <w:p w:rsidR="0068589A" w:rsidRPr="00E15E27" w:rsidRDefault="0068589A" w:rsidP="0068589A">
      <w:pPr>
        <w:spacing w:after="60"/>
      </w:pPr>
    </w:p>
    <w:tbl>
      <w:tblPr>
        <w:tblStyle w:val="TableGrid"/>
        <w:tblW w:w="105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598"/>
      </w:tblGrid>
      <w:tr w:rsidR="0068589A" w:rsidRPr="00E15E27" w:rsidTr="00700B4A">
        <w:trPr>
          <w:trHeight w:val="240"/>
          <w:jc w:val="center"/>
        </w:trPr>
        <w:tc>
          <w:tcPr>
            <w:tcW w:w="3000" w:type="dxa"/>
            <w:shd w:val="clear" w:color="auto" w:fill="auto"/>
          </w:tcPr>
          <w:p w:rsidR="0068589A" w:rsidRPr="00E15E27" w:rsidRDefault="0068589A" w:rsidP="00700B4A">
            <w:pPr>
              <w:spacing w:after="60"/>
              <w:jc w:val="left"/>
              <w:rPr>
                <w:b/>
                <w:sz w:val="18"/>
              </w:rPr>
            </w:pPr>
            <w:r w:rsidRPr="00E15E27">
              <w:rPr>
                <w:b/>
                <w:sz w:val="18"/>
              </w:rPr>
              <w:t>Secretariat's recommendation:</w:t>
            </w:r>
          </w:p>
        </w:tc>
        <w:tc>
          <w:tcPr>
            <w:tcW w:w="7598" w:type="dxa"/>
            <w:shd w:val="clear" w:color="auto" w:fill="auto"/>
          </w:tcPr>
          <w:p w:rsidR="0068589A" w:rsidRPr="00E15E27" w:rsidRDefault="00EF2260" w:rsidP="00700B4A">
            <w:pPr>
              <w:spacing w:after="60"/>
              <w:jc w:val="center"/>
              <w:rPr>
                <w:sz w:val="18"/>
              </w:rPr>
            </w:pPr>
            <w:r>
              <w:rPr>
                <w:sz w:val="18"/>
              </w:rPr>
              <w:t>Pending</w:t>
            </w:r>
          </w:p>
        </w:tc>
      </w:tr>
    </w:tbl>
    <w:p w:rsidR="0068589A" w:rsidRDefault="0068589A">
      <w:pPr>
        <w:jc w:val="left"/>
      </w:pPr>
    </w:p>
    <w:p w:rsidR="0068589A" w:rsidRDefault="0068589A">
      <w:pPr>
        <w:jc w:val="left"/>
      </w:pPr>
    </w:p>
    <w:p w:rsidR="0068589A" w:rsidRDefault="0068589A">
      <w:pPr>
        <w:jc w:val="left"/>
      </w:pPr>
    </w:p>
    <w:p w:rsidR="0068589A" w:rsidRDefault="0068589A">
      <w:pPr>
        <w:jc w:val="left"/>
        <w:rPr>
          <w:sz w:val="20"/>
        </w:rPr>
      </w:pPr>
      <w:r>
        <w:br w:type="page"/>
      </w:r>
    </w:p>
    <w:p w:rsidR="008A4FE4" w:rsidRPr="005761D4" w:rsidRDefault="008A4FE4" w:rsidP="00202B25">
      <w:pPr>
        <w:jc w:val="center"/>
        <w:rPr>
          <w:b/>
        </w:rPr>
      </w:pPr>
      <w:r w:rsidRPr="005761D4">
        <w:rPr>
          <w:b/>
        </w:rPr>
        <w:lastRenderedPageBreak/>
        <w:t>PROJECT DESCRIPTION</w:t>
      </w:r>
    </w:p>
    <w:p w:rsidR="008A4FE4" w:rsidRPr="005761D4" w:rsidRDefault="008A4FE4" w:rsidP="00202B25"/>
    <w:p w:rsidR="008A4FE4" w:rsidRPr="005761D4" w:rsidRDefault="008A4FE4" w:rsidP="00202B25">
      <w:pPr>
        <w:pStyle w:val="Heading1"/>
      </w:pPr>
      <w:r w:rsidRPr="005761D4">
        <w:t>On behalf of the Government of Grenada, UNEP as the lead implementing agency has submitted to the 77</w:t>
      </w:r>
      <w:r w:rsidRPr="005761D4">
        <w:rPr>
          <w:vertAlign w:val="superscript"/>
        </w:rPr>
        <w:t>th </w:t>
      </w:r>
      <w:r w:rsidRPr="005761D4">
        <w:t>meeting a request for funding for the second tranche of stage I of the HCFC phase</w:t>
      </w:r>
      <w:r w:rsidRPr="005761D4">
        <w:noBreakHyphen/>
        <w:t xml:space="preserve">out management plan (HPMP), at the amount of </w:t>
      </w:r>
      <w:r w:rsidR="00202B25" w:rsidRPr="005761D4">
        <w:t>US $</w:t>
      </w:r>
      <w:r w:rsidRPr="005761D4">
        <w:t xml:space="preserve">91,920 consisting of </w:t>
      </w:r>
      <w:r w:rsidR="00202B25" w:rsidRPr="005761D4">
        <w:t>US $</w:t>
      </w:r>
      <w:r w:rsidRPr="005761D4">
        <w:t xml:space="preserve">9,000, plus agency support costs of </w:t>
      </w:r>
      <w:r w:rsidR="00202B25" w:rsidRPr="005761D4">
        <w:t>US $</w:t>
      </w:r>
      <w:r w:rsidRPr="005761D4">
        <w:t xml:space="preserve">1,170 for UNEP; and </w:t>
      </w:r>
      <w:r w:rsidR="00202B25" w:rsidRPr="005761D4">
        <w:t>US $</w:t>
      </w:r>
      <w:r w:rsidRPr="005761D4">
        <w:t xml:space="preserve">75,000, plus agency support costs of </w:t>
      </w:r>
      <w:r w:rsidR="00202B25" w:rsidRPr="005761D4">
        <w:t>US $</w:t>
      </w:r>
      <w:r w:rsidRPr="005761D4">
        <w:t>6,750 for UNIDO</w:t>
      </w:r>
      <w:r w:rsidRPr="005761D4">
        <w:rPr>
          <w:rStyle w:val="FootnoteReference"/>
        </w:rPr>
        <w:t xml:space="preserve"> </w:t>
      </w:r>
      <w:r w:rsidRPr="005761D4">
        <w:rPr>
          <w:rStyle w:val="FootnoteReference"/>
        </w:rPr>
        <w:footnoteReference w:id="1"/>
      </w:r>
      <w:r w:rsidRPr="005761D4">
        <w:t>. The submission includes a progress report on the implementation of the first tranche and the tranche implementation plan for 2017 to 2020.</w:t>
      </w:r>
    </w:p>
    <w:p w:rsidR="008A4FE4" w:rsidRPr="005761D4" w:rsidRDefault="008A4FE4" w:rsidP="00202B25">
      <w:pPr>
        <w:pStyle w:val="Heading1"/>
      </w:pPr>
      <w:r w:rsidRPr="005761D4">
        <w:rPr>
          <w:lang w:eastAsia="en-CA"/>
        </w:rPr>
        <w:t>UNEP was the designated implementing agency when the HPMP for Grenada was approved at the 62</w:t>
      </w:r>
      <w:r w:rsidRPr="005761D4">
        <w:rPr>
          <w:vertAlign w:val="superscript"/>
          <w:lang w:eastAsia="en-CA"/>
        </w:rPr>
        <w:t>nd</w:t>
      </w:r>
      <w:r w:rsidR="00AC6E4A">
        <w:rPr>
          <w:lang w:eastAsia="en-CA"/>
        </w:rPr>
        <w:t> meeting</w:t>
      </w:r>
      <w:r w:rsidRPr="005761D4">
        <w:rPr>
          <w:lang w:eastAsia="en-CA"/>
        </w:rPr>
        <w:t xml:space="preserve">. The Government of Grenada subsequently informed the Secretariat that UNIDO would be included as a cooperating agency of </w:t>
      </w:r>
      <w:r w:rsidR="00AC6E4A">
        <w:rPr>
          <w:lang w:eastAsia="en-CA"/>
        </w:rPr>
        <w:t>stage </w:t>
      </w:r>
      <w:r w:rsidRPr="005761D4">
        <w:rPr>
          <w:lang w:eastAsia="en-CA"/>
        </w:rPr>
        <w:t>I of the HPMP, to be responsible for technician training and provision of refrigeration equipment and tools.</w:t>
      </w:r>
    </w:p>
    <w:p w:rsidR="008A4FE4" w:rsidRPr="005761D4" w:rsidRDefault="008A4FE4" w:rsidP="00202B25">
      <w:pPr>
        <w:rPr>
          <w:u w:val="single"/>
        </w:rPr>
      </w:pPr>
      <w:r w:rsidRPr="005761D4">
        <w:rPr>
          <w:u w:val="single"/>
        </w:rPr>
        <w:t>Report on HCFC consumption</w:t>
      </w:r>
    </w:p>
    <w:p w:rsidR="008A4FE4" w:rsidRPr="005761D4" w:rsidRDefault="008A4FE4" w:rsidP="00202B25"/>
    <w:p w:rsidR="008A4FE4" w:rsidRPr="005761D4" w:rsidRDefault="008A4FE4" w:rsidP="00202B25">
      <w:pPr>
        <w:pStyle w:val="Heading1"/>
      </w:pPr>
      <w:r w:rsidRPr="005761D4">
        <w:t>The Government of Grenada reported a consumption of 0.22 ODP tonnes of HCFC in 2015. The 2007-2015 HCFC consumption is shown in Table 1.</w:t>
      </w:r>
      <w:r w:rsidR="00202B25" w:rsidRPr="005761D4">
        <w:t xml:space="preserve"> </w:t>
      </w:r>
    </w:p>
    <w:p w:rsidR="008A4FE4" w:rsidRPr="005761D4" w:rsidRDefault="008A4FE4" w:rsidP="00202B25">
      <w:pPr>
        <w:rPr>
          <w:b/>
        </w:rPr>
      </w:pPr>
      <w:r w:rsidRPr="005761D4">
        <w:rPr>
          <w:b/>
        </w:rPr>
        <w:t>Table 1. HCFC consumption and quota in Grenada from 2005 to 2015 (Article 7 data)</w:t>
      </w:r>
    </w:p>
    <w:tbl>
      <w:tblPr>
        <w:tblW w:w="4887" w:type="pct"/>
        <w:tblInd w:w="108" w:type="dxa"/>
        <w:tblLayout w:type="fixed"/>
        <w:tblLook w:val="04A0" w:firstRow="1" w:lastRow="0" w:firstColumn="1" w:lastColumn="0" w:noHBand="0" w:noVBand="1"/>
      </w:tblPr>
      <w:tblGrid>
        <w:gridCol w:w="1249"/>
        <w:gridCol w:w="731"/>
        <w:gridCol w:w="721"/>
        <w:gridCol w:w="721"/>
        <w:gridCol w:w="721"/>
        <w:gridCol w:w="720"/>
        <w:gridCol w:w="720"/>
        <w:gridCol w:w="720"/>
        <w:gridCol w:w="720"/>
        <w:gridCol w:w="720"/>
        <w:gridCol w:w="720"/>
        <w:gridCol w:w="796"/>
      </w:tblGrid>
      <w:tr w:rsidR="00202B25" w:rsidRPr="005761D4" w:rsidTr="00202B25">
        <w:tc>
          <w:tcPr>
            <w:tcW w:w="1067" w:type="pct"/>
            <w:gridSpan w:val="2"/>
            <w:tcBorders>
              <w:top w:val="single" w:sz="4" w:space="0" w:color="auto"/>
              <w:left w:val="single" w:sz="4" w:space="0" w:color="auto"/>
              <w:bottom w:val="single" w:sz="4" w:space="0" w:color="auto"/>
              <w:right w:val="single" w:sz="4" w:space="0" w:color="auto"/>
            </w:tcBorders>
          </w:tcPr>
          <w:p w:rsidR="008A4FE4" w:rsidRPr="005761D4" w:rsidRDefault="008A4FE4" w:rsidP="00202B25">
            <w:pPr>
              <w:jc w:val="center"/>
              <w:rPr>
                <w:b/>
                <w:bCs/>
                <w:color w:val="000000"/>
                <w:sz w:val="19"/>
                <w:szCs w:val="19"/>
                <w:lang w:eastAsia="zh-CN"/>
              </w:rPr>
            </w:pPr>
            <w:r w:rsidRPr="005761D4">
              <w:rPr>
                <w:b/>
                <w:bCs/>
                <w:color w:val="000000"/>
                <w:sz w:val="19"/>
                <w:szCs w:val="19"/>
                <w:lang w:eastAsia="zh-CN"/>
              </w:rPr>
              <w:t>Year</w:t>
            </w:r>
          </w:p>
        </w:tc>
        <w:tc>
          <w:tcPr>
            <w:tcW w:w="38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2007</w:t>
            </w:r>
          </w:p>
        </w:tc>
        <w:tc>
          <w:tcPr>
            <w:tcW w:w="38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2008</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2009</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2010</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2011</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2012</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2013</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2014</w:t>
            </w:r>
          </w:p>
        </w:tc>
        <w:tc>
          <w:tcPr>
            <w:tcW w:w="389" w:type="pct"/>
            <w:tcBorders>
              <w:top w:val="single" w:sz="4" w:space="0" w:color="auto"/>
              <w:left w:val="nil"/>
              <w:bottom w:val="single" w:sz="4" w:space="0" w:color="auto"/>
              <w:right w:val="single" w:sz="4" w:space="0" w:color="auto"/>
            </w:tcBorders>
            <w:shd w:val="clear" w:color="auto" w:fill="auto"/>
            <w:tcMar>
              <w:left w:w="0" w:type="dxa"/>
              <w:right w:w="0" w:type="dxa"/>
            </w:tcMar>
            <w:hideMark/>
          </w:tcPr>
          <w:p w:rsidR="008A4FE4" w:rsidRPr="005761D4" w:rsidRDefault="008A4FE4" w:rsidP="00AC6E4A">
            <w:pPr>
              <w:jc w:val="center"/>
              <w:rPr>
                <w:b/>
                <w:color w:val="000000"/>
                <w:sz w:val="19"/>
                <w:szCs w:val="19"/>
                <w:lang w:eastAsia="zh-CN"/>
              </w:rPr>
            </w:pPr>
            <w:r w:rsidRPr="005761D4">
              <w:rPr>
                <w:b/>
                <w:color w:val="000000"/>
                <w:sz w:val="19"/>
                <w:szCs w:val="19"/>
                <w:lang w:eastAsia="zh-CN"/>
              </w:rPr>
              <w:t>2015</w:t>
            </w:r>
          </w:p>
        </w:tc>
        <w:tc>
          <w:tcPr>
            <w:tcW w:w="430" w:type="pct"/>
            <w:tcBorders>
              <w:top w:val="single" w:sz="4" w:space="0" w:color="auto"/>
              <w:left w:val="nil"/>
              <w:bottom w:val="single" w:sz="4" w:space="0" w:color="auto"/>
              <w:right w:val="single" w:sz="4" w:space="0" w:color="auto"/>
            </w:tcBorders>
            <w:tcMar>
              <w:left w:w="0" w:type="dxa"/>
              <w:right w:w="0" w:type="dxa"/>
            </w:tcMar>
          </w:tcPr>
          <w:p w:rsidR="008A4FE4" w:rsidRPr="005761D4" w:rsidRDefault="008A4FE4" w:rsidP="00AC6E4A">
            <w:pPr>
              <w:jc w:val="center"/>
              <w:rPr>
                <w:b/>
                <w:color w:val="000000"/>
                <w:sz w:val="19"/>
                <w:szCs w:val="19"/>
                <w:lang w:eastAsia="zh-CN"/>
              </w:rPr>
            </w:pPr>
            <w:r w:rsidRPr="005761D4">
              <w:rPr>
                <w:b/>
                <w:color w:val="000000"/>
                <w:sz w:val="19"/>
                <w:szCs w:val="19"/>
                <w:lang w:eastAsia="zh-CN"/>
              </w:rPr>
              <w:t>Baseline</w:t>
            </w:r>
          </w:p>
        </w:tc>
      </w:tr>
      <w:tr w:rsidR="00202B25" w:rsidRPr="005761D4" w:rsidTr="00202B25">
        <w:tc>
          <w:tcPr>
            <w:tcW w:w="674" w:type="pct"/>
            <w:vMerge w:val="restart"/>
            <w:tcBorders>
              <w:top w:val="single" w:sz="4" w:space="0" w:color="auto"/>
              <w:left w:val="single" w:sz="4" w:space="0" w:color="auto"/>
              <w:right w:val="single" w:sz="4" w:space="0" w:color="auto"/>
            </w:tcBorders>
          </w:tcPr>
          <w:p w:rsidR="008A4FE4" w:rsidRPr="005761D4" w:rsidRDefault="008A4FE4" w:rsidP="00202B25">
            <w:pPr>
              <w:jc w:val="left"/>
              <w:rPr>
                <w:bCs/>
                <w:color w:val="000000"/>
                <w:sz w:val="19"/>
                <w:szCs w:val="19"/>
                <w:lang w:eastAsia="zh-CN"/>
              </w:rPr>
            </w:pPr>
            <w:r w:rsidRPr="005761D4">
              <w:rPr>
                <w:bCs/>
                <w:color w:val="000000"/>
                <w:sz w:val="19"/>
                <w:szCs w:val="19"/>
                <w:lang w:eastAsia="zh-CN"/>
              </w:rPr>
              <w:t>Consumption</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8A4FE4" w:rsidRPr="005761D4" w:rsidRDefault="008A4FE4" w:rsidP="00202B25">
            <w:pPr>
              <w:jc w:val="center"/>
              <w:rPr>
                <w:bCs/>
                <w:color w:val="000000"/>
                <w:sz w:val="19"/>
                <w:szCs w:val="19"/>
                <w:lang w:eastAsia="zh-CN"/>
              </w:rPr>
            </w:pPr>
            <w:r w:rsidRPr="005761D4">
              <w:rPr>
                <w:bCs/>
                <w:color w:val="000000"/>
                <w:sz w:val="19"/>
                <w:szCs w:val="19"/>
                <w:lang w:eastAsia="zh-CN"/>
              </w:rPr>
              <w:t>mt</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3.69</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8.48</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15.09</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15.09</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3.26</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4.64</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5.91</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6.63</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3.94</w:t>
            </w:r>
          </w:p>
        </w:tc>
        <w:tc>
          <w:tcPr>
            <w:tcW w:w="430" w:type="pct"/>
            <w:tcBorders>
              <w:top w:val="nil"/>
              <w:left w:val="nil"/>
              <w:bottom w:val="single" w:sz="4" w:space="0" w:color="auto"/>
              <w:right w:val="single" w:sz="4" w:space="0" w:color="auto"/>
            </w:tcBorders>
          </w:tcPr>
          <w:p w:rsidR="008A4FE4" w:rsidRPr="005761D4" w:rsidRDefault="008A4FE4" w:rsidP="00202B25">
            <w:pPr>
              <w:jc w:val="right"/>
              <w:rPr>
                <w:color w:val="000000"/>
                <w:sz w:val="19"/>
                <w:szCs w:val="19"/>
                <w:lang w:eastAsia="zh-CN"/>
              </w:rPr>
            </w:pPr>
            <w:r w:rsidRPr="005761D4">
              <w:rPr>
                <w:color w:val="000000"/>
                <w:sz w:val="19"/>
                <w:szCs w:val="19"/>
                <w:lang w:eastAsia="zh-CN"/>
              </w:rPr>
              <w:t>15.09</w:t>
            </w:r>
          </w:p>
        </w:tc>
      </w:tr>
      <w:tr w:rsidR="00202B25" w:rsidRPr="005761D4" w:rsidTr="00202B25">
        <w:tc>
          <w:tcPr>
            <w:tcW w:w="674" w:type="pct"/>
            <w:vMerge/>
            <w:tcBorders>
              <w:left w:val="single" w:sz="4" w:space="0" w:color="auto"/>
              <w:bottom w:val="single" w:sz="4" w:space="0" w:color="auto"/>
              <w:right w:val="single" w:sz="4" w:space="0" w:color="auto"/>
            </w:tcBorders>
          </w:tcPr>
          <w:p w:rsidR="008A4FE4" w:rsidRPr="005761D4" w:rsidRDefault="008A4FE4" w:rsidP="00202B25">
            <w:pPr>
              <w:jc w:val="left"/>
              <w:rPr>
                <w:bCs/>
                <w:color w:val="000000"/>
                <w:sz w:val="19"/>
                <w:szCs w:val="19"/>
                <w:lang w:eastAsia="zh-CN"/>
              </w:rPr>
            </w:pPr>
          </w:p>
        </w:tc>
        <w:tc>
          <w:tcPr>
            <w:tcW w:w="394" w:type="pct"/>
            <w:tcBorders>
              <w:top w:val="nil"/>
              <w:left w:val="single" w:sz="4" w:space="0" w:color="auto"/>
              <w:bottom w:val="single" w:sz="4" w:space="0" w:color="auto"/>
              <w:right w:val="single" w:sz="4" w:space="0" w:color="auto"/>
            </w:tcBorders>
            <w:shd w:val="clear" w:color="auto" w:fill="auto"/>
            <w:hideMark/>
          </w:tcPr>
          <w:p w:rsidR="008A4FE4" w:rsidRPr="005761D4" w:rsidRDefault="008A4FE4" w:rsidP="00202B25">
            <w:pPr>
              <w:jc w:val="center"/>
              <w:rPr>
                <w:bCs/>
                <w:color w:val="000000"/>
                <w:sz w:val="19"/>
                <w:szCs w:val="19"/>
                <w:lang w:eastAsia="zh-CN"/>
              </w:rPr>
            </w:pPr>
            <w:r w:rsidRPr="005761D4">
              <w:rPr>
                <w:bCs/>
                <w:color w:val="000000"/>
                <w:sz w:val="19"/>
                <w:szCs w:val="19"/>
                <w:lang w:eastAsia="zh-CN"/>
              </w:rPr>
              <w:t>ODP</w:t>
            </w:r>
            <w:r w:rsidR="00202B25" w:rsidRPr="005761D4">
              <w:rPr>
                <w:bCs/>
                <w:color w:val="000000"/>
                <w:sz w:val="19"/>
                <w:szCs w:val="19"/>
                <w:lang w:eastAsia="zh-CN"/>
              </w:rPr>
              <w:t xml:space="preserve"> </w:t>
            </w:r>
            <w:r w:rsidRPr="005761D4">
              <w:rPr>
                <w:bCs/>
                <w:color w:val="000000"/>
                <w:sz w:val="19"/>
                <w:szCs w:val="19"/>
                <w:lang w:eastAsia="zh-CN"/>
              </w:rPr>
              <w:t>t</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0.20</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0.50</w:t>
            </w:r>
          </w:p>
        </w:tc>
        <w:tc>
          <w:tcPr>
            <w:tcW w:w="389" w:type="pct"/>
            <w:tcBorders>
              <w:top w:val="nil"/>
              <w:left w:val="nil"/>
              <w:bottom w:val="single" w:sz="4" w:space="0" w:color="auto"/>
              <w:right w:val="single" w:sz="4" w:space="0" w:color="auto"/>
            </w:tcBorders>
            <w:shd w:val="clear" w:color="auto" w:fill="auto"/>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0.83</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0.83</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0.18</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0.26</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0.33</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0.36</w:t>
            </w:r>
          </w:p>
        </w:tc>
        <w:tc>
          <w:tcPr>
            <w:tcW w:w="389" w:type="pct"/>
            <w:tcBorders>
              <w:top w:val="nil"/>
              <w:left w:val="nil"/>
              <w:bottom w:val="single" w:sz="4" w:space="0" w:color="auto"/>
              <w:right w:val="single" w:sz="4" w:space="0" w:color="auto"/>
            </w:tcBorders>
            <w:shd w:val="clear" w:color="auto" w:fill="auto"/>
            <w:noWrap/>
            <w:hideMark/>
          </w:tcPr>
          <w:p w:rsidR="008A4FE4" w:rsidRPr="005761D4" w:rsidRDefault="008A4FE4" w:rsidP="00202B25">
            <w:pPr>
              <w:jc w:val="right"/>
              <w:rPr>
                <w:color w:val="000000"/>
                <w:sz w:val="19"/>
                <w:szCs w:val="19"/>
                <w:lang w:eastAsia="zh-CN"/>
              </w:rPr>
            </w:pPr>
            <w:r w:rsidRPr="005761D4">
              <w:rPr>
                <w:color w:val="000000"/>
                <w:sz w:val="19"/>
                <w:szCs w:val="19"/>
                <w:lang w:eastAsia="zh-CN"/>
              </w:rPr>
              <w:t>0.22</w:t>
            </w:r>
          </w:p>
        </w:tc>
        <w:tc>
          <w:tcPr>
            <w:tcW w:w="430" w:type="pct"/>
            <w:tcBorders>
              <w:top w:val="nil"/>
              <w:left w:val="nil"/>
              <w:bottom w:val="single" w:sz="4" w:space="0" w:color="auto"/>
              <w:right w:val="single" w:sz="4" w:space="0" w:color="auto"/>
            </w:tcBorders>
          </w:tcPr>
          <w:p w:rsidR="008A4FE4" w:rsidRPr="005761D4" w:rsidRDefault="008A4FE4" w:rsidP="00202B25">
            <w:pPr>
              <w:jc w:val="right"/>
              <w:rPr>
                <w:color w:val="000000"/>
                <w:sz w:val="19"/>
                <w:szCs w:val="19"/>
                <w:lang w:eastAsia="zh-CN"/>
              </w:rPr>
            </w:pPr>
            <w:r w:rsidRPr="005761D4">
              <w:rPr>
                <w:color w:val="000000"/>
                <w:sz w:val="19"/>
                <w:szCs w:val="19"/>
                <w:lang w:eastAsia="zh-CN"/>
              </w:rPr>
              <w:t>0.83</w:t>
            </w:r>
          </w:p>
        </w:tc>
      </w:tr>
      <w:tr w:rsidR="00202B25" w:rsidRPr="005761D4" w:rsidTr="00202B25">
        <w:tc>
          <w:tcPr>
            <w:tcW w:w="674" w:type="pct"/>
            <w:tcBorders>
              <w:top w:val="single" w:sz="4" w:space="0" w:color="auto"/>
              <w:left w:val="single" w:sz="4" w:space="0" w:color="auto"/>
              <w:bottom w:val="single" w:sz="4" w:space="0" w:color="auto"/>
              <w:right w:val="single" w:sz="4" w:space="0" w:color="auto"/>
            </w:tcBorders>
          </w:tcPr>
          <w:p w:rsidR="008A4FE4" w:rsidRPr="005761D4" w:rsidRDefault="008A4FE4" w:rsidP="00202B25">
            <w:pPr>
              <w:jc w:val="left"/>
              <w:rPr>
                <w:bCs/>
                <w:color w:val="000000"/>
                <w:sz w:val="19"/>
                <w:szCs w:val="19"/>
                <w:lang w:eastAsia="zh-CN"/>
              </w:rPr>
            </w:pPr>
            <w:r w:rsidRPr="005761D4">
              <w:rPr>
                <w:bCs/>
                <w:color w:val="000000"/>
                <w:sz w:val="19"/>
                <w:szCs w:val="19"/>
                <w:lang w:eastAsia="zh-CN"/>
              </w:rPr>
              <w:t>Quota issued</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4FE4" w:rsidRPr="005761D4" w:rsidRDefault="008A4FE4" w:rsidP="00202B25">
            <w:pPr>
              <w:jc w:val="center"/>
              <w:rPr>
                <w:bCs/>
                <w:color w:val="000000"/>
                <w:sz w:val="19"/>
                <w:szCs w:val="19"/>
                <w:lang w:eastAsia="zh-CN"/>
              </w:rPr>
            </w:pPr>
            <w:r w:rsidRPr="005761D4">
              <w:rPr>
                <w:bCs/>
                <w:color w:val="000000"/>
                <w:sz w:val="19"/>
                <w:szCs w:val="19"/>
                <w:lang w:eastAsia="zh-CN"/>
              </w:rPr>
              <w:t>mt</w:t>
            </w:r>
          </w:p>
        </w:tc>
        <w:tc>
          <w:tcPr>
            <w:tcW w:w="389" w:type="pct"/>
            <w:tcBorders>
              <w:top w:val="single" w:sz="4" w:space="0" w:color="auto"/>
              <w:left w:val="nil"/>
              <w:bottom w:val="single" w:sz="4" w:space="0" w:color="auto"/>
              <w:right w:val="single" w:sz="4" w:space="0" w:color="auto"/>
            </w:tcBorders>
            <w:shd w:val="clear" w:color="auto" w:fill="auto"/>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n/a</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9.37</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8.50</w:t>
            </w:r>
          </w:p>
        </w:tc>
        <w:tc>
          <w:tcPr>
            <w:tcW w:w="389" w:type="pct"/>
            <w:tcBorders>
              <w:top w:val="single" w:sz="4" w:space="0" w:color="auto"/>
              <w:left w:val="nil"/>
              <w:bottom w:val="single" w:sz="4" w:space="0" w:color="auto"/>
              <w:right w:val="single" w:sz="4" w:space="0" w:color="auto"/>
            </w:tcBorders>
            <w:shd w:val="clear" w:color="auto" w:fill="auto"/>
            <w:noWrap/>
          </w:tcPr>
          <w:p w:rsidR="008A4FE4" w:rsidRPr="005761D4" w:rsidRDefault="008A4FE4" w:rsidP="00202B25">
            <w:pPr>
              <w:jc w:val="right"/>
              <w:rPr>
                <w:color w:val="000000"/>
                <w:sz w:val="19"/>
                <w:szCs w:val="19"/>
                <w:lang w:eastAsia="zh-CN"/>
              </w:rPr>
            </w:pPr>
            <w:r w:rsidRPr="005761D4">
              <w:rPr>
                <w:color w:val="000000"/>
                <w:sz w:val="19"/>
                <w:szCs w:val="19"/>
                <w:lang w:eastAsia="zh-CN"/>
              </w:rPr>
              <w:t>7.64</w:t>
            </w:r>
          </w:p>
        </w:tc>
        <w:tc>
          <w:tcPr>
            <w:tcW w:w="430" w:type="pct"/>
            <w:tcBorders>
              <w:top w:val="single" w:sz="4" w:space="0" w:color="auto"/>
              <w:left w:val="nil"/>
              <w:bottom w:val="single" w:sz="4" w:space="0" w:color="auto"/>
              <w:right w:val="single" w:sz="4" w:space="0" w:color="auto"/>
            </w:tcBorders>
          </w:tcPr>
          <w:p w:rsidR="008A4FE4" w:rsidRPr="005761D4" w:rsidRDefault="008A4FE4" w:rsidP="00202B25">
            <w:pPr>
              <w:jc w:val="right"/>
              <w:rPr>
                <w:color w:val="000000"/>
                <w:sz w:val="19"/>
                <w:szCs w:val="19"/>
                <w:lang w:eastAsia="zh-CN"/>
              </w:rPr>
            </w:pPr>
          </w:p>
        </w:tc>
      </w:tr>
    </w:tbl>
    <w:p w:rsidR="008A4FE4" w:rsidRPr="005761D4" w:rsidRDefault="008A4FE4" w:rsidP="00202B25"/>
    <w:p w:rsidR="008A4FE4" w:rsidRPr="005761D4" w:rsidRDefault="008A4FE4" w:rsidP="00202B25">
      <w:pPr>
        <w:pStyle w:val="Heading1"/>
      </w:pPr>
      <w:r w:rsidRPr="005761D4">
        <w:t>HCFC consumption sharply decreased between 2010 and 2011; since then consumption has been fluctuating, and well below the baseline. The consumption in 2015 was already 75 per cent below the baseline. The Government explained this significant decrease in HCFC consumption as being the result of implementation of the HPMP.</w:t>
      </w:r>
    </w:p>
    <w:p w:rsidR="008A4FE4" w:rsidRPr="005761D4" w:rsidRDefault="008A4FE4" w:rsidP="00202B25">
      <w:pPr>
        <w:spacing w:after="240"/>
        <w:rPr>
          <w:i/>
        </w:rPr>
      </w:pPr>
      <w:r w:rsidRPr="005761D4">
        <w:rPr>
          <w:i/>
        </w:rPr>
        <w:t>Country programme (CP) implementation report</w:t>
      </w:r>
    </w:p>
    <w:p w:rsidR="008A4FE4" w:rsidRPr="005761D4" w:rsidRDefault="008A4FE4" w:rsidP="00202B25">
      <w:pPr>
        <w:pStyle w:val="Heading1"/>
      </w:pPr>
      <w:r w:rsidRPr="005761D4">
        <w:t xml:space="preserve">The Government of Grenada reported HCFC sector consumption data under the 2015 CP implementation report that is consistent with the data reported under Article 7 of the Montreal Protocol. </w:t>
      </w:r>
    </w:p>
    <w:p w:rsidR="008A4FE4" w:rsidRPr="005761D4" w:rsidRDefault="008A4FE4" w:rsidP="00202B25">
      <w:pPr>
        <w:keepNext/>
        <w:spacing w:after="240"/>
        <w:rPr>
          <w:u w:val="single"/>
        </w:rPr>
      </w:pPr>
      <w:r w:rsidRPr="005761D4">
        <w:rPr>
          <w:u w:val="single"/>
        </w:rPr>
        <w:t>Progress report on the implementation of the first tranche of the HPMP</w:t>
      </w:r>
    </w:p>
    <w:p w:rsidR="008A4FE4" w:rsidRPr="005761D4" w:rsidRDefault="008A4FE4" w:rsidP="00202B25">
      <w:pPr>
        <w:keepNext/>
        <w:spacing w:after="240"/>
        <w:rPr>
          <w:i/>
        </w:rPr>
      </w:pPr>
      <w:r w:rsidRPr="005761D4">
        <w:rPr>
          <w:i/>
        </w:rPr>
        <w:t>Legal framework</w:t>
      </w:r>
    </w:p>
    <w:p w:rsidR="008A4FE4" w:rsidRPr="005761D4" w:rsidRDefault="008A4FE4" w:rsidP="00202B25">
      <w:pPr>
        <w:pStyle w:val="Heading1"/>
      </w:pPr>
      <w:r w:rsidRPr="005761D4">
        <w:t>The Government of Grenada has established an HCFC licensing and quota system that has been enforced. Importers must be registered before they can be issued a quota and a license to import. The national ozone unit (NOU) of the Ministry of Finance and Energy, in collaboration with the Customs and Trade departments, has closely monitored HCFC imports and recorded consumption for reporting; 58</w:t>
      </w:r>
      <w:r w:rsidR="005761D4" w:rsidRPr="005761D4">
        <w:t> </w:t>
      </w:r>
      <w:r w:rsidRPr="005761D4">
        <w:t>customs officers, one trade official and 22 customs brokers were trained in identifying refrigerants, monitoring and controlling ODS trade, and data reporting; and the training manual was updated to include new harmonized customs code (HS code) training.</w:t>
      </w:r>
    </w:p>
    <w:p w:rsidR="008A4FE4" w:rsidRPr="005761D4" w:rsidRDefault="008A4FE4" w:rsidP="00202B25">
      <w:pPr>
        <w:pStyle w:val="Heading1"/>
      </w:pPr>
      <w:r w:rsidRPr="005761D4">
        <w:t>The Government has developed the standards for labelling refrigerant containers and started the discussion on a regulatory measure to prohibit imports of small-sized HCFC</w:t>
      </w:r>
      <w:r w:rsidRPr="005761D4">
        <w:noBreakHyphen/>
        <w:t xml:space="preserve">based equipment to reduce the servicing demand. The development of the standards for safe handling, storage and transportation of </w:t>
      </w:r>
      <w:r w:rsidRPr="005761D4">
        <w:lastRenderedPageBreak/>
        <w:t>flammable and toxic refrigerants has been initiated and is expected to be completed during implementation of the second tranche</w:t>
      </w:r>
      <w:r w:rsidR="00202B25" w:rsidRPr="005761D4">
        <w:t xml:space="preserve"> of the HPMP</w:t>
      </w:r>
      <w:r w:rsidRPr="005761D4">
        <w:t xml:space="preserve">. </w:t>
      </w:r>
    </w:p>
    <w:p w:rsidR="008A4FE4" w:rsidRPr="005761D4" w:rsidRDefault="008A4FE4" w:rsidP="00202B25">
      <w:pPr>
        <w:spacing w:after="240"/>
        <w:rPr>
          <w:i/>
        </w:rPr>
      </w:pPr>
      <w:r w:rsidRPr="005761D4">
        <w:rPr>
          <w:i/>
        </w:rPr>
        <w:t>Refrigeration servicing sector</w:t>
      </w:r>
    </w:p>
    <w:p w:rsidR="008A4FE4" w:rsidRPr="005761D4" w:rsidRDefault="008A4FE4" w:rsidP="00202B25">
      <w:pPr>
        <w:pStyle w:val="Heading1"/>
      </w:pPr>
      <w:r w:rsidRPr="005761D4">
        <w:t xml:space="preserve">The following activities have been implemented: </w:t>
      </w:r>
    </w:p>
    <w:p w:rsidR="008A4FE4" w:rsidRPr="005761D4" w:rsidRDefault="008A4FE4" w:rsidP="005761D4">
      <w:pPr>
        <w:pStyle w:val="Heading2"/>
      </w:pPr>
      <w:r w:rsidRPr="005761D4">
        <w:t xml:space="preserve">Training of two trainers and 76 technicians in good practices, recovery, reuse and retrofit through four workshops, and upgrading of the technician training manual; </w:t>
      </w:r>
    </w:p>
    <w:p w:rsidR="008A4FE4" w:rsidRPr="005761D4" w:rsidRDefault="008A4FE4" w:rsidP="00EA7FB0">
      <w:pPr>
        <w:pStyle w:val="Heading2"/>
      </w:pPr>
      <w:r w:rsidRPr="005761D4">
        <w:t>Establishment of three recovery and recycling (R&amp;R) centres to bring the total to 20</w:t>
      </w:r>
      <w:r w:rsidR="005761D4" w:rsidRPr="005761D4">
        <w:t> </w:t>
      </w:r>
      <w:r w:rsidRPr="005761D4">
        <w:t xml:space="preserve">R&amp;R centres, and identification of equipment required </w:t>
      </w:r>
      <w:r w:rsidR="00202B25" w:rsidRPr="005761D4">
        <w:t xml:space="preserve">for </w:t>
      </w:r>
      <w:r w:rsidRPr="005761D4">
        <w:t>the R&amp;R centres (to be purchased through the investment component under the third tranche); and</w:t>
      </w:r>
    </w:p>
    <w:p w:rsidR="008A4FE4" w:rsidRPr="005761D4" w:rsidRDefault="008A4FE4" w:rsidP="00EA7FB0">
      <w:pPr>
        <w:pStyle w:val="Heading2"/>
      </w:pPr>
      <w:r w:rsidRPr="005761D4">
        <w:t>Awareness-raising activities to promote alternative technologies.</w:t>
      </w:r>
    </w:p>
    <w:p w:rsidR="008A4FE4" w:rsidRPr="005761D4" w:rsidRDefault="008A4FE4" w:rsidP="00202B25">
      <w:pPr>
        <w:spacing w:after="240"/>
        <w:rPr>
          <w:i/>
        </w:rPr>
      </w:pPr>
      <w:r w:rsidRPr="005761D4">
        <w:rPr>
          <w:i/>
        </w:rPr>
        <w:t>Project implementation and monitoring unit (PMU)</w:t>
      </w:r>
    </w:p>
    <w:p w:rsidR="008A4FE4" w:rsidRPr="005761D4" w:rsidRDefault="008A4FE4" w:rsidP="00202B25">
      <w:pPr>
        <w:pStyle w:val="Heading1"/>
      </w:pPr>
      <w:bookmarkStart w:id="0" w:name="_Toc266831819"/>
      <w:bookmarkStart w:id="1" w:name="_Toc269895715"/>
      <w:r w:rsidRPr="005761D4">
        <w:t xml:space="preserve">The NOU under the Ministry of Finance and Energy coordinates activities, and monitors and reports on the progress of implementation of the HPMP. </w:t>
      </w:r>
      <w:bookmarkEnd w:id="0"/>
      <w:bookmarkEnd w:id="1"/>
    </w:p>
    <w:p w:rsidR="008A4FE4" w:rsidRPr="005761D4" w:rsidRDefault="008A4FE4" w:rsidP="00202B25">
      <w:pPr>
        <w:keepNext/>
        <w:spacing w:after="240"/>
        <w:rPr>
          <w:u w:val="single"/>
        </w:rPr>
      </w:pPr>
      <w:r w:rsidRPr="005761D4">
        <w:rPr>
          <w:u w:val="single"/>
        </w:rPr>
        <w:t>Level of fund disbursement</w:t>
      </w:r>
    </w:p>
    <w:p w:rsidR="008A4FE4" w:rsidRPr="005761D4" w:rsidRDefault="008A4FE4" w:rsidP="00202B25">
      <w:pPr>
        <w:pStyle w:val="Heading1"/>
        <w:keepNext/>
      </w:pPr>
      <w:r w:rsidRPr="005761D4">
        <w:t xml:space="preserve">As of September 2016, of the </w:t>
      </w:r>
      <w:r w:rsidR="00202B25" w:rsidRPr="005761D4">
        <w:t>US $</w:t>
      </w:r>
      <w:r w:rsidRPr="005761D4">
        <w:t xml:space="preserve">105,000 approved so far, </w:t>
      </w:r>
      <w:r w:rsidR="00202B25" w:rsidRPr="005761D4">
        <w:t>US $</w:t>
      </w:r>
      <w:r w:rsidRPr="005761D4">
        <w:t xml:space="preserve">52,031 (50 per cent) had been disbursed. The balance of </w:t>
      </w:r>
      <w:r w:rsidR="00202B25" w:rsidRPr="005761D4">
        <w:t>US $</w:t>
      </w:r>
      <w:r w:rsidRPr="005761D4">
        <w:t xml:space="preserve">52,969 will be used for the </w:t>
      </w:r>
      <w:r w:rsidR="00202B25" w:rsidRPr="005761D4">
        <w:t xml:space="preserve">further </w:t>
      </w:r>
      <w:r w:rsidRPr="005761D4">
        <w:t xml:space="preserve">development of regulations and </w:t>
      </w:r>
      <w:r w:rsidR="00202B25" w:rsidRPr="005761D4">
        <w:t xml:space="preserve">will be </w:t>
      </w:r>
      <w:r w:rsidRPr="005761D4">
        <w:t xml:space="preserve">disbursed </w:t>
      </w:r>
      <w:r w:rsidR="00202B25" w:rsidRPr="005761D4">
        <w:t xml:space="preserve">by </w:t>
      </w:r>
      <w:r w:rsidRPr="005761D4">
        <w:t>2018.</w:t>
      </w:r>
    </w:p>
    <w:p w:rsidR="008A4FE4" w:rsidRPr="005761D4" w:rsidRDefault="008A4FE4" w:rsidP="00202B25">
      <w:pPr>
        <w:spacing w:after="240"/>
        <w:rPr>
          <w:u w:val="single"/>
        </w:rPr>
      </w:pPr>
      <w:r w:rsidRPr="005761D4">
        <w:rPr>
          <w:u w:val="single"/>
        </w:rPr>
        <w:t>Implementation plan for the second tranche of the HPMP</w:t>
      </w:r>
    </w:p>
    <w:p w:rsidR="008A4FE4" w:rsidRPr="005761D4" w:rsidRDefault="008A4FE4" w:rsidP="00202B25">
      <w:pPr>
        <w:pStyle w:val="Heading1"/>
      </w:pPr>
      <w:r w:rsidRPr="005761D4">
        <w:t>The following activities will be implemented:</w:t>
      </w:r>
    </w:p>
    <w:p w:rsidR="008A4FE4" w:rsidRPr="005761D4" w:rsidRDefault="008A4FE4" w:rsidP="00EA7FB0">
      <w:pPr>
        <w:pStyle w:val="Heading2"/>
      </w:pPr>
      <w:r w:rsidRPr="005761D4">
        <w:t xml:space="preserve">Upgrade ODS legislation to prohibit the import of small-sized HCFC-based equipment; develop tax incentives to promote alternatives; develop standards for flammable and toxic refrigerants; implement importers’ certification and mandatory reporting programme (UNEP) (funding from the first tranche); </w:t>
      </w:r>
    </w:p>
    <w:p w:rsidR="008A4FE4" w:rsidRPr="005761D4" w:rsidRDefault="008A4FE4" w:rsidP="00EA7FB0">
      <w:pPr>
        <w:pStyle w:val="Heading2"/>
      </w:pPr>
      <w:r w:rsidRPr="005761D4">
        <w:t>Design a training module and conduct two seminars/training sessions in the design of air</w:t>
      </w:r>
      <w:r w:rsidRPr="005761D4">
        <w:noBreakHyphen/>
        <w:t>conditioning (AC) systems for 15 technicians in large facilities (UNIDO) (</w:t>
      </w:r>
      <w:r w:rsidR="00202B25" w:rsidRPr="005761D4">
        <w:t>US $</w:t>
      </w:r>
      <w:r w:rsidRPr="005761D4">
        <w:t>6,000);</w:t>
      </w:r>
    </w:p>
    <w:p w:rsidR="008A4FE4" w:rsidRPr="005761D4" w:rsidRDefault="008A4FE4" w:rsidP="00EA7FB0">
      <w:pPr>
        <w:pStyle w:val="Heading2"/>
      </w:pPr>
      <w:r w:rsidRPr="005761D4">
        <w:t>Procure tools and equipment for good servicing practices and two refrigerant identifiers (UNIDO) (</w:t>
      </w:r>
      <w:r w:rsidR="00202B25" w:rsidRPr="005761D4">
        <w:t>US $</w:t>
      </w:r>
      <w:r w:rsidRPr="005761D4">
        <w:t>60,000);</w:t>
      </w:r>
    </w:p>
    <w:p w:rsidR="008A4FE4" w:rsidRPr="005761D4" w:rsidRDefault="008A4FE4" w:rsidP="00EA7FB0">
      <w:pPr>
        <w:pStyle w:val="Heading2"/>
      </w:pPr>
      <w:r w:rsidRPr="005761D4">
        <w:t>Conduct a demonstration project for the replacement of existing HCFC-based equipment (UNIDO) (</w:t>
      </w:r>
      <w:r w:rsidR="00202B25" w:rsidRPr="005761D4">
        <w:t>US $</w:t>
      </w:r>
      <w:r w:rsidRPr="005761D4">
        <w:t>9,000);</w:t>
      </w:r>
    </w:p>
    <w:p w:rsidR="008A4FE4" w:rsidRPr="005761D4" w:rsidRDefault="008A4FE4" w:rsidP="00EA7FB0">
      <w:pPr>
        <w:pStyle w:val="Heading2"/>
      </w:pPr>
      <w:r w:rsidRPr="005761D4">
        <w:t>Conduct an awareness-raising campaign on alternative technologies, HCFC regulations and standards; disseminate information on ozone layer protection, HPMP activities, and the linkage between ozone and climate and alternatives (UNEP) (</w:t>
      </w:r>
      <w:r w:rsidR="00202B25" w:rsidRPr="005761D4">
        <w:t>US $</w:t>
      </w:r>
      <w:r w:rsidRPr="005761D4">
        <w:t>4,000); and</w:t>
      </w:r>
    </w:p>
    <w:p w:rsidR="008A4FE4" w:rsidRPr="005761D4" w:rsidRDefault="008A4FE4" w:rsidP="00EA7FB0">
      <w:pPr>
        <w:pStyle w:val="Heading2"/>
      </w:pPr>
      <w:r w:rsidRPr="005761D4">
        <w:t>Project coordination, monitoring and reporting (UNEP) (</w:t>
      </w:r>
      <w:r w:rsidR="00202B25" w:rsidRPr="005761D4">
        <w:t>US $</w:t>
      </w:r>
      <w:r w:rsidRPr="005761D4">
        <w:t xml:space="preserve">5,000). </w:t>
      </w:r>
    </w:p>
    <w:p w:rsidR="008A4FE4" w:rsidRPr="005761D4" w:rsidRDefault="008A4FE4" w:rsidP="00202B25">
      <w:pPr>
        <w:keepNext/>
        <w:spacing w:after="240"/>
        <w:jc w:val="center"/>
        <w:rPr>
          <w:b/>
        </w:rPr>
      </w:pPr>
      <w:r w:rsidRPr="005761D4">
        <w:rPr>
          <w:b/>
        </w:rPr>
        <w:lastRenderedPageBreak/>
        <w:t>SECRETARIAT’S COMMENTS AND RECOMMENDATION</w:t>
      </w:r>
    </w:p>
    <w:p w:rsidR="008A4FE4" w:rsidRPr="005761D4" w:rsidRDefault="008A4FE4" w:rsidP="00202B25">
      <w:pPr>
        <w:spacing w:after="240"/>
        <w:rPr>
          <w:b/>
        </w:rPr>
      </w:pPr>
      <w:r w:rsidRPr="005761D4">
        <w:rPr>
          <w:b/>
        </w:rPr>
        <w:t>COMMENTS</w:t>
      </w:r>
    </w:p>
    <w:p w:rsidR="008A4FE4" w:rsidRPr="005761D4" w:rsidRDefault="008A4FE4" w:rsidP="00202B25">
      <w:pPr>
        <w:spacing w:after="240"/>
        <w:rPr>
          <w:u w:val="single"/>
        </w:rPr>
      </w:pPr>
      <w:r w:rsidRPr="005761D4">
        <w:rPr>
          <w:u w:val="single"/>
        </w:rPr>
        <w:t>Legal framework</w:t>
      </w:r>
    </w:p>
    <w:p w:rsidR="008A4FE4" w:rsidRPr="005761D4" w:rsidRDefault="008A4FE4" w:rsidP="00202B25">
      <w:pPr>
        <w:pStyle w:val="Heading1"/>
      </w:pPr>
      <w:r w:rsidRPr="005761D4">
        <w:t>In line with decision 63/17, confirmation has been received from the Government that an enforceable national system of licensing and quotas for HCFC imports and exports is in place and that the system is capable of ensuring compliance with the Montreal Protocol. The HCFC import quota has been established at 0.37 ODP tonnes for 2016. For subsequent years, the annual quota will be set below the maximum allowable consumption levels in the Agreement between the Government and the Executive Committee.</w:t>
      </w:r>
    </w:p>
    <w:p w:rsidR="008A4FE4" w:rsidRPr="005761D4" w:rsidRDefault="00202B25" w:rsidP="00202B25">
      <w:pPr>
        <w:spacing w:after="240"/>
        <w:rPr>
          <w:u w:val="single"/>
        </w:rPr>
      </w:pPr>
      <w:r w:rsidRPr="005761D4">
        <w:rPr>
          <w:u w:val="single"/>
        </w:rPr>
        <w:t xml:space="preserve">Starting point </w:t>
      </w:r>
      <w:r w:rsidR="008A4FE4" w:rsidRPr="005761D4">
        <w:rPr>
          <w:u w:val="single"/>
        </w:rPr>
        <w:t>and funding eligibility</w:t>
      </w:r>
    </w:p>
    <w:p w:rsidR="006F2AA8" w:rsidRPr="005761D4" w:rsidRDefault="006F2AA8" w:rsidP="00202B25">
      <w:pPr>
        <w:pStyle w:val="Heading1"/>
      </w:pPr>
      <w:r w:rsidRPr="005761D4">
        <w:t xml:space="preserve">The HPMP for Grenada was approved prior to the establishment of the HCFC baseline for compliance under Article 7 of the Montreal Protocol, and therefore, the starting point for aggregate reduction on HCFC consumption was based on estimated levels of consumption in 2009 and 2010. </w:t>
      </w:r>
    </w:p>
    <w:p w:rsidR="006F2AA8" w:rsidRPr="005761D4" w:rsidRDefault="008A4FE4" w:rsidP="00E74A93">
      <w:pPr>
        <w:pStyle w:val="Heading1"/>
      </w:pPr>
      <w:r w:rsidRPr="005761D4">
        <w:t xml:space="preserve">The Secretariat noted that the HCFC consumption of 0.22 ODP tonnes </w:t>
      </w:r>
      <w:r w:rsidR="00202B25" w:rsidRPr="005761D4">
        <w:t xml:space="preserve">reported under Article 7 of the Montreal Protocol was </w:t>
      </w:r>
      <w:r w:rsidRPr="005761D4">
        <w:t xml:space="preserve">already 75 per cent below the </w:t>
      </w:r>
      <w:r w:rsidR="00202B25" w:rsidRPr="005761D4">
        <w:t xml:space="preserve">HCFC </w:t>
      </w:r>
      <w:r w:rsidRPr="005761D4">
        <w:t>baseline</w:t>
      </w:r>
      <w:r w:rsidR="00202B25" w:rsidRPr="005761D4">
        <w:t xml:space="preserve"> of 0.83 ODP tonnes</w:t>
      </w:r>
      <w:r w:rsidRPr="005761D4">
        <w:t xml:space="preserve">. </w:t>
      </w:r>
      <w:r w:rsidR="00EA7FB0" w:rsidRPr="005761D4">
        <w:t xml:space="preserve">Based on </w:t>
      </w:r>
      <w:r w:rsidR="00202B25" w:rsidRPr="005761D4">
        <w:t xml:space="preserve">information on HCFC </w:t>
      </w:r>
      <w:r w:rsidRPr="005761D4">
        <w:t>consumption</w:t>
      </w:r>
      <w:r w:rsidR="00202B25" w:rsidRPr="005761D4">
        <w:t xml:space="preserve"> </w:t>
      </w:r>
      <w:r w:rsidR="00EA7FB0" w:rsidRPr="005761D4">
        <w:t xml:space="preserve">and </w:t>
      </w:r>
      <w:r w:rsidR="00202B25" w:rsidRPr="005761D4">
        <w:t>use</w:t>
      </w:r>
      <w:r w:rsidR="00086897" w:rsidRPr="005761D4">
        <w:t xml:space="preserve"> by sector</w:t>
      </w:r>
      <w:r w:rsidR="00202B25" w:rsidRPr="005761D4">
        <w:t xml:space="preserve"> </w:t>
      </w:r>
      <w:r w:rsidR="00EF2260">
        <w:t>as reported</w:t>
      </w:r>
      <w:r w:rsidR="00202B25" w:rsidRPr="005761D4">
        <w:t xml:space="preserve"> in the HPMP</w:t>
      </w:r>
      <w:r w:rsidR="00EA7FB0" w:rsidRPr="005761D4">
        <w:t>,</w:t>
      </w:r>
      <w:r w:rsidR="00202B25" w:rsidRPr="005761D4">
        <w:t xml:space="preserve"> the steep reduction in consumption between 2010 and 2011</w:t>
      </w:r>
      <w:r w:rsidR="00EA7FB0" w:rsidRPr="005761D4">
        <w:t>,</w:t>
      </w:r>
      <w:r w:rsidR="00202B25" w:rsidRPr="005761D4">
        <w:t xml:space="preserve"> and the </w:t>
      </w:r>
      <w:r w:rsidR="00EA7FB0" w:rsidRPr="005761D4">
        <w:t xml:space="preserve">lower amounts of </w:t>
      </w:r>
      <w:r w:rsidR="00202B25" w:rsidRPr="005761D4">
        <w:t xml:space="preserve">HCFC-22 </w:t>
      </w:r>
      <w:r w:rsidR="00EA7FB0" w:rsidRPr="005761D4">
        <w:t xml:space="preserve">imported </w:t>
      </w:r>
      <w:r w:rsidR="00202B25" w:rsidRPr="005761D4">
        <w:t xml:space="preserve">than the </w:t>
      </w:r>
      <w:r w:rsidRPr="005761D4">
        <w:t>quotas issued</w:t>
      </w:r>
      <w:r w:rsidR="00EA7FB0" w:rsidRPr="005761D4">
        <w:t xml:space="preserve">, it appears </w:t>
      </w:r>
      <w:r w:rsidRPr="005761D4">
        <w:t xml:space="preserve">that the consumption in 2009 and 2010 </w:t>
      </w:r>
      <w:r w:rsidR="00EA7FB0" w:rsidRPr="005761D4">
        <w:t>was overestimated</w:t>
      </w:r>
      <w:r w:rsidR="00E74A93" w:rsidRPr="005761D4">
        <w:t>,</w:t>
      </w:r>
      <w:r w:rsidR="00EA7FB0" w:rsidRPr="005761D4">
        <w:t xml:space="preserve"> </w:t>
      </w:r>
      <w:r w:rsidR="006F2AA8" w:rsidRPr="005761D4">
        <w:t xml:space="preserve">or that </w:t>
      </w:r>
      <w:r w:rsidR="00E74A93" w:rsidRPr="005761D4">
        <w:t xml:space="preserve">the imports were </w:t>
      </w:r>
      <w:r w:rsidR="00EA7FB0" w:rsidRPr="005761D4">
        <w:t xml:space="preserve">larger </w:t>
      </w:r>
      <w:r w:rsidR="00E74A93" w:rsidRPr="005761D4">
        <w:t xml:space="preserve">than the </w:t>
      </w:r>
      <w:r w:rsidR="00EA7FB0" w:rsidRPr="005761D4">
        <w:t>amounts actually needed</w:t>
      </w:r>
      <w:r w:rsidR="00E74A93" w:rsidRPr="005761D4">
        <w:t xml:space="preserve"> for the year, therefore part of the </w:t>
      </w:r>
      <w:r w:rsidR="006F2AA8" w:rsidRPr="005761D4">
        <w:t>imported</w:t>
      </w:r>
      <w:r w:rsidR="00E74A93" w:rsidRPr="005761D4">
        <w:t xml:space="preserve"> HCFC-22 was</w:t>
      </w:r>
      <w:r w:rsidR="006F2AA8" w:rsidRPr="005761D4">
        <w:t xml:space="preserve"> stock</w:t>
      </w:r>
      <w:r w:rsidR="00E74A93" w:rsidRPr="005761D4">
        <w:t>ed</w:t>
      </w:r>
      <w:r w:rsidR="00EA7FB0" w:rsidRPr="005761D4">
        <w:t xml:space="preserve"> </w:t>
      </w:r>
      <w:r w:rsidR="006F2AA8" w:rsidRPr="005761D4">
        <w:t xml:space="preserve">for use in future years. On this basis, </w:t>
      </w:r>
      <w:r w:rsidR="00EA7FB0" w:rsidRPr="005761D4">
        <w:t xml:space="preserve">the level of consumption would be below 15 mt, and thus, the </w:t>
      </w:r>
      <w:r w:rsidR="006F2AA8" w:rsidRPr="005761D4">
        <w:t xml:space="preserve">funding level for meeting the 2020 compliance target would </w:t>
      </w:r>
      <w:r w:rsidR="00EA7FB0" w:rsidRPr="005761D4">
        <w:t xml:space="preserve">be </w:t>
      </w:r>
      <w:r w:rsidR="006F2AA8" w:rsidRPr="005761D4">
        <w:t>US $164,500</w:t>
      </w:r>
      <w:r w:rsidR="00EA7FB0" w:rsidRPr="005761D4">
        <w:t xml:space="preserve"> instead of US $210,000 approved for Grenada</w:t>
      </w:r>
      <w:bookmarkStart w:id="2" w:name="_GoBack"/>
      <w:bookmarkEnd w:id="2"/>
      <w:r w:rsidR="006F2AA8" w:rsidRPr="005761D4">
        <w:t xml:space="preserve"> in accordance with decision 60/44(f)(xii). Given that activities planned for </w:t>
      </w:r>
      <w:r w:rsidR="00AC6E4A">
        <w:t>stage </w:t>
      </w:r>
      <w:r w:rsidR="006F2AA8" w:rsidRPr="005761D4">
        <w:t xml:space="preserve">I of the HPMP had started implementation, with 50 per cent of the total funding associated with the first tranche </w:t>
      </w:r>
      <w:r w:rsidR="00C66E3F" w:rsidRPr="005761D4">
        <w:t xml:space="preserve">already </w:t>
      </w:r>
      <w:r w:rsidR="006F2AA8" w:rsidRPr="005761D4">
        <w:t xml:space="preserve">approved, reducing funding level would disturb ongoing implementation of the </w:t>
      </w:r>
      <w:r w:rsidR="00AC6E4A">
        <w:t>stage </w:t>
      </w:r>
      <w:r w:rsidR="006F2AA8" w:rsidRPr="005761D4">
        <w:t>I</w:t>
      </w:r>
      <w:r w:rsidR="00EF2260">
        <w:t>.  Accordingly</w:t>
      </w:r>
      <w:r w:rsidR="006F2AA8" w:rsidRPr="005761D4">
        <w:t xml:space="preserve">, </w:t>
      </w:r>
      <w:r w:rsidR="00BD4EFA" w:rsidRPr="005761D4">
        <w:t xml:space="preserve">the </w:t>
      </w:r>
      <w:r w:rsidR="006F2AA8" w:rsidRPr="005761D4">
        <w:t xml:space="preserve">Secretariat suggested </w:t>
      </w:r>
      <w:r w:rsidR="00BD4EFA" w:rsidRPr="005761D4">
        <w:t xml:space="preserve">the funding </w:t>
      </w:r>
      <w:r w:rsidR="006F2AA8" w:rsidRPr="005761D4">
        <w:t xml:space="preserve">adjustment be made when </w:t>
      </w:r>
      <w:r w:rsidR="00AC6E4A">
        <w:t>stage </w:t>
      </w:r>
      <w:r w:rsidR="006F2AA8" w:rsidRPr="005761D4">
        <w:t xml:space="preserve">II of the HPMP is submitted. </w:t>
      </w:r>
    </w:p>
    <w:p w:rsidR="008A4FE4" w:rsidRPr="005761D4" w:rsidRDefault="00BD4EFA" w:rsidP="00202B25">
      <w:pPr>
        <w:pStyle w:val="Heading1"/>
      </w:pPr>
      <w:r w:rsidRPr="005761D4">
        <w:t xml:space="preserve">With regard to HCFC consumption, </w:t>
      </w:r>
      <w:r w:rsidR="008A4FE4" w:rsidRPr="005761D4">
        <w:t xml:space="preserve">UNEP explained that in 2008, consumption was increasing, and continued to increase up until 2010. </w:t>
      </w:r>
      <w:r w:rsidRPr="005761D4">
        <w:t>Subsequently, to the approval of the HPM</w:t>
      </w:r>
      <w:r w:rsidR="00C66E3F" w:rsidRPr="005761D4">
        <w:t>P</w:t>
      </w:r>
      <w:r w:rsidRPr="005761D4">
        <w:t xml:space="preserve"> the Government </w:t>
      </w:r>
      <w:r w:rsidR="008A4FE4" w:rsidRPr="005761D4">
        <w:t>decided to set reduction targets that were more ambitious than the Montreal Protocol phase-out schedule. In addition, high leakage rates in the commercial refrigeration sector (specific to supermarket chains), requiring higher amounts of refrigerants to service</w:t>
      </w:r>
      <w:r w:rsidRPr="005761D4">
        <w:t xml:space="preserve">, were reduced as a result </w:t>
      </w:r>
      <w:r w:rsidR="008A4FE4" w:rsidRPr="005761D4">
        <w:t xml:space="preserve">of the public awareness and </w:t>
      </w:r>
      <w:r w:rsidRPr="005761D4">
        <w:t xml:space="preserve">training </w:t>
      </w:r>
      <w:r w:rsidR="008A4FE4" w:rsidRPr="005761D4">
        <w:t xml:space="preserve">programme on phase-out. </w:t>
      </w:r>
      <w:r w:rsidRPr="005761D4">
        <w:t>T</w:t>
      </w:r>
      <w:r w:rsidR="008A4FE4" w:rsidRPr="005761D4">
        <w:t xml:space="preserve">he Government was </w:t>
      </w:r>
      <w:r w:rsidRPr="005761D4">
        <w:t xml:space="preserve">also favouring the introduction of </w:t>
      </w:r>
      <w:r w:rsidR="008A4FE4" w:rsidRPr="005761D4">
        <w:t>alternative technologies in the refrigeration sector at the time.</w:t>
      </w:r>
      <w:r w:rsidR="00AB0179" w:rsidRPr="005761D4">
        <w:t xml:space="preserve"> </w:t>
      </w:r>
    </w:p>
    <w:p w:rsidR="008A4FE4" w:rsidRPr="005761D4" w:rsidRDefault="008A4FE4" w:rsidP="00202B25">
      <w:pPr>
        <w:spacing w:after="240"/>
        <w:rPr>
          <w:u w:val="single"/>
        </w:rPr>
      </w:pPr>
      <w:r w:rsidRPr="005761D4">
        <w:rPr>
          <w:u w:val="single"/>
        </w:rPr>
        <w:t xml:space="preserve">Progress report on the implementation of the first tranche </w:t>
      </w:r>
    </w:p>
    <w:p w:rsidR="008A4FE4" w:rsidRPr="005761D4" w:rsidRDefault="008A4FE4" w:rsidP="00202B25">
      <w:pPr>
        <w:pStyle w:val="Heading1"/>
      </w:pPr>
      <w:r w:rsidRPr="005761D4">
        <w:t xml:space="preserve">The HPMP for Grenada was implemented with the introduction of low-GWP, climate friendly and energy-efficient alternatives. In noting that there is some retrofitting using flammable refrigerants (HCs) in the domestic refrigerator, mini-split AC and mobile air-conditioning (MAC) sectors, UNEP explained that </w:t>
      </w:r>
      <w:r w:rsidR="00BD4EFA" w:rsidRPr="005761D4">
        <w:t xml:space="preserve">retrofit of refrigeration equipment is </w:t>
      </w:r>
      <w:r w:rsidRPr="005761D4">
        <w:t>done following strict international safety guidelines, ensuring that the equipment is labelled with the necessary information. The Government of Grenada is also aware of the decisions</w:t>
      </w:r>
      <w:r w:rsidRPr="005761D4">
        <w:rPr>
          <w:rStyle w:val="FootnoteReference"/>
        </w:rPr>
        <w:footnoteReference w:id="2"/>
      </w:r>
      <w:r w:rsidRPr="005761D4">
        <w:t xml:space="preserve"> of the Executive Committee regarding retrofits, and is fully committed to ensuring that all safety considerations are taken into account when retrofitting is done. In addition, they have put in place procedures to ensure safety during these conversions, which are being strictly followed </w:t>
      </w:r>
      <w:r w:rsidRPr="005761D4">
        <w:lastRenderedPageBreak/>
        <w:t xml:space="preserve">and monitored through the NOU. The safety standards for using flammable refrigerants are being developed. At this moment, approximately 40 ACs, 120 domestic refrigerators and 50 vehicles have been retrofitted to HCs. </w:t>
      </w:r>
    </w:p>
    <w:p w:rsidR="008A4FE4" w:rsidRPr="005761D4" w:rsidRDefault="008A4FE4" w:rsidP="00202B25">
      <w:pPr>
        <w:widowControl w:val="0"/>
        <w:rPr>
          <w:u w:val="single"/>
        </w:rPr>
      </w:pPr>
      <w:r w:rsidRPr="005761D4">
        <w:rPr>
          <w:u w:val="single"/>
        </w:rPr>
        <w:t xml:space="preserve">Revision to the HPMP Agreement </w:t>
      </w:r>
    </w:p>
    <w:p w:rsidR="006F2AA8" w:rsidRPr="005761D4" w:rsidRDefault="006F2AA8" w:rsidP="00202B25">
      <w:pPr>
        <w:widowControl w:val="0"/>
        <w:rPr>
          <w:u w:val="single"/>
        </w:rPr>
      </w:pPr>
    </w:p>
    <w:p w:rsidR="008A4FE4" w:rsidRPr="005761D4" w:rsidRDefault="008A4FE4" w:rsidP="00202B25">
      <w:pPr>
        <w:pStyle w:val="Heading1"/>
      </w:pPr>
      <w:r w:rsidRPr="005761D4">
        <w:t xml:space="preserve">The HPMP for Grenada was approved prior to the establishment of the HCFC baseline for compliance. Based on the data reported by the Government of Grenada under Article 7 of the Montreal Protocol, and </w:t>
      </w:r>
      <w:r w:rsidRPr="005761D4">
        <w:rPr>
          <w:color w:val="000000"/>
        </w:rPr>
        <w:t xml:space="preserve">the inclusion of UNIDO as the cooperating agency, the Agreement has been revised and is attached as Annex I to the present document. </w:t>
      </w:r>
    </w:p>
    <w:p w:rsidR="008A4FE4" w:rsidRPr="005761D4" w:rsidRDefault="008A4FE4" w:rsidP="00202B25">
      <w:pPr>
        <w:rPr>
          <w:u w:val="single"/>
        </w:rPr>
      </w:pPr>
      <w:r w:rsidRPr="005761D4">
        <w:rPr>
          <w:u w:val="single"/>
        </w:rPr>
        <w:t xml:space="preserve">Conclusion </w:t>
      </w:r>
    </w:p>
    <w:p w:rsidR="008A4FE4" w:rsidRPr="005761D4" w:rsidRDefault="008A4FE4" w:rsidP="00202B25">
      <w:pPr>
        <w:rPr>
          <w:u w:val="single"/>
        </w:rPr>
      </w:pPr>
    </w:p>
    <w:p w:rsidR="008A4FE4" w:rsidRPr="005761D4" w:rsidRDefault="008A4FE4" w:rsidP="00202B25">
      <w:pPr>
        <w:pStyle w:val="Heading1"/>
      </w:pPr>
      <w:r w:rsidRPr="005761D4">
        <w:t xml:space="preserve">HCFC consumption in Grenada was already 75 per cent below the baseline and the import quota issued for 2016 was already 50 per cent below the maximum allowable consumption set in the Agreement for that year. </w:t>
      </w:r>
      <w:r w:rsidR="00AB0179" w:rsidRPr="005761D4">
        <w:t xml:space="preserve">Development of regulatory measures and training of customs officers will enable the enforcement of the licensing and quota system for the import/export of HCFCs. The Customs department has incorporated ODS issues into the regular training programme. </w:t>
      </w:r>
      <w:r w:rsidRPr="005761D4">
        <w:t xml:space="preserve">Training of technicians has been </w:t>
      </w:r>
      <w:r w:rsidR="00AB0179" w:rsidRPr="005761D4">
        <w:t xml:space="preserve">undertaken </w:t>
      </w:r>
      <w:r w:rsidRPr="005761D4">
        <w:t xml:space="preserve">to enable good practices and reduce the demand for HCFCs. and the certification of technicians is being implemented to ensure long-term capacity development. </w:t>
      </w:r>
      <w:r w:rsidR="00AB0179" w:rsidRPr="005761D4">
        <w:t xml:space="preserve">The Government of Grenada is fully aware of the decisions of the Executive Committee regarding retrofits of refrigeration and air conditioning equipment and is fully committed to ensuring that all safety considerations are taken into account when retrofitting is done. </w:t>
      </w:r>
      <w:r w:rsidRPr="005761D4">
        <w:t>The disburs</w:t>
      </w:r>
      <w:r w:rsidR="003125CF" w:rsidRPr="005761D4">
        <w:t>e</w:t>
      </w:r>
      <w:r w:rsidRPr="005761D4">
        <w:t>me</w:t>
      </w:r>
      <w:r w:rsidR="003125CF" w:rsidRPr="005761D4">
        <w:t>n</w:t>
      </w:r>
      <w:r w:rsidRPr="005761D4">
        <w:t>t rate has reached 50 per cent.</w:t>
      </w:r>
    </w:p>
    <w:p w:rsidR="00AB0179" w:rsidRPr="005761D4" w:rsidRDefault="00AB0179" w:rsidP="00AB0179">
      <w:pPr>
        <w:pStyle w:val="Heading1"/>
      </w:pPr>
      <w:r w:rsidRPr="005761D4">
        <w:t xml:space="preserve">At the time of the finalization of this document, UNEP and the Secretariat were still discussing the issue of the starting point for aggregate reduction on HCFC consumption and the potential reduction on the level of funding of the HPMP to be adjusted when </w:t>
      </w:r>
      <w:r w:rsidR="00AC6E4A">
        <w:t>stage </w:t>
      </w:r>
      <w:r w:rsidRPr="005761D4">
        <w:t>II of the HPMP is submitted to the Executive Committee. Outcomes of the discussions will be communicated to the Executive Committee prior to the 77</w:t>
      </w:r>
      <w:r w:rsidRPr="005761D4">
        <w:rPr>
          <w:vertAlign w:val="superscript"/>
        </w:rPr>
        <w:t>th</w:t>
      </w:r>
      <w:r w:rsidR="00AC6E4A">
        <w:t> meeting</w:t>
      </w:r>
      <w:r w:rsidRPr="005761D4">
        <w:t>.</w:t>
      </w:r>
    </w:p>
    <w:p w:rsidR="008A4FE4" w:rsidRPr="005761D4" w:rsidRDefault="008A4FE4" w:rsidP="00202B25">
      <w:pPr>
        <w:spacing w:after="240"/>
      </w:pPr>
      <w:r w:rsidRPr="005761D4">
        <w:rPr>
          <w:b/>
        </w:rPr>
        <w:t>RECOMMENDATION</w:t>
      </w:r>
      <w:r w:rsidRPr="005761D4">
        <w:t xml:space="preserve"> </w:t>
      </w:r>
    </w:p>
    <w:p w:rsidR="005A54F5" w:rsidRPr="005761D4" w:rsidRDefault="006132AB" w:rsidP="006132AB">
      <w:pPr>
        <w:pStyle w:val="Heading1"/>
      </w:pPr>
      <w:r w:rsidRPr="005761D4">
        <w:t>Pending.</w:t>
      </w:r>
    </w:p>
    <w:p w:rsidR="00CB7CE5" w:rsidRPr="005761D4" w:rsidRDefault="00CB7CE5" w:rsidP="00EA7FB0">
      <w:pPr>
        <w:pStyle w:val="Heading2"/>
        <w:numPr>
          <w:ilvl w:val="0"/>
          <w:numId w:val="0"/>
        </w:numPr>
        <w:ind w:left="1440"/>
      </w:pPr>
    </w:p>
    <w:p w:rsidR="002F00E7" w:rsidRPr="005761D4" w:rsidRDefault="002F00E7" w:rsidP="00202B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2F00E7" w:rsidRPr="005761D4" w:rsidTr="009B4160">
        <w:tc>
          <w:tcPr>
            <w:tcW w:w="1915" w:type="dxa"/>
          </w:tcPr>
          <w:p w:rsidR="002F00E7" w:rsidRPr="005761D4" w:rsidRDefault="002F00E7" w:rsidP="00202B25"/>
        </w:tc>
        <w:tc>
          <w:tcPr>
            <w:tcW w:w="1915" w:type="dxa"/>
          </w:tcPr>
          <w:p w:rsidR="002F00E7" w:rsidRPr="005761D4" w:rsidRDefault="002F00E7" w:rsidP="00202B25"/>
        </w:tc>
        <w:tc>
          <w:tcPr>
            <w:tcW w:w="1915" w:type="dxa"/>
            <w:tcBorders>
              <w:bottom w:val="single" w:sz="2" w:space="0" w:color="5F497A" w:themeColor="accent4" w:themeShade="BF"/>
            </w:tcBorders>
          </w:tcPr>
          <w:p w:rsidR="002F00E7" w:rsidRPr="005761D4" w:rsidRDefault="002F00E7" w:rsidP="00202B25"/>
        </w:tc>
        <w:tc>
          <w:tcPr>
            <w:tcW w:w="1915" w:type="dxa"/>
          </w:tcPr>
          <w:p w:rsidR="002F00E7" w:rsidRPr="005761D4" w:rsidRDefault="002F00E7" w:rsidP="00202B25"/>
        </w:tc>
        <w:tc>
          <w:tcPr>
            <w:tcW w:w="1916" w:type="dxa"/>
          </w:tcPr>
          <w:p w:rsidR="002F00E7" w:rsidRPr="005761D4" w:rsidRDefault="002F00E7" w:rsidP="00202B25"/>
        </w:tc>
      </w:tr>
    </w:tbl>
    <w:p w:rsidR="002F00E7" w:rsidRPr="005761D4" w:rsidRDefault="002F00E7" w:rsidP="00202B25"/>
    <w:sectPr w:rsidR="002F00E7" w:rsidRPr="005761D4" w:rsidSect="005761D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A8" w:rsidRDefault="006F2AA8" w:rsidP="004A504B">
      <w:r>
        <w:separator/>
      </w:r>
    </w:p>
  </w:endnote>
  <w:endnote w:type="continuationSeparator" w:id="0">
    <w:p w:rsidR="006F2AA8" w:rsidRDefault="006F2AA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62672"/>
      <w:docPartObj>
        <w:docPartGallery w:val="Page Numbers (Bottom of Page)"/>
        <w:docPartUnique/>
      </w:docPartObj>
    </w:sdtPr>
    <w:sdtEndPr>
      <w:rPr>
        <w:noProof/>
      </w:rPr>
    </w:sdtEndPr>
    <w:sdtContent>
      <w:p w:rsidR="0055353F" w:rsidRDefault="0055353F">
        <w:pPr>
          <w:pStyle w:val="Footer"/>
          <w:jc w:val="center"/>
        </w:pPr>
        <w:r>
          <w:fldChar w:fldCharType="begin"/>
        </w:r>
        <w:r>
          <w:instrText xml:space="preserve"> PAGE   \* MERGEFORMAT </w:instrText>
        </w:r>
        <w:r>
          <w:fldChar w:fldCharType="separate"/>
        </w:r>
        <w:r w:rsidR="00FC7CAC">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46656"/>
      <w:docPartObj>
        <w:docPartGallery w:val="Page Numbers (Bottom of Page)"/>
        <w:docPartUnique/>
      </w:docPartObj>
    </w:sdtPr>
    <w:sdtEndPr>
      <w:rPr>
        <w:noProof/>
      </w:rPr>
    </w:sdtEndPr>
    <w:sdtContent>
      <w:p w:rsidR="0055353F" w:rsidRDefault="0055353F">
        <w:pPr>
          <w:pStyle w:val="Footer"/>
          <w:jc w:val="center"/>
        </w:pPr>
        <w:r>
          <w:fldChar w:fldCharType="begin"/>
        </w:r>
        <w:r>
          <w:instrText xml:space="preserve"> PAGE   \* MERGEFORMAT </w:instrText>
        </w:r>
        <w:r>
          <w:fldChar w:fldCharType="separate"/>
        </w:r>
        <w:r w:rsidR="00FC7CA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3F" w:rsidRDefault="0055353F" w:rsidP="0055353F">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55353F" w:rsidRDefault="0055353F" w:rsidP="0055353F">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A8" w:rsidRDefault="006F2AA8" w:rsidP="004A504B">
      <w:r>
        <w:separator/>
      </w:r>
    </w:p>
  </w:footnote>
  <w:footnote w:type="continuationSeparator" w:id="0">
    <w:p w:rsidR="006F2AA8" w:rsidRDefault="006F2AA8" w:rsidP="004A504B">
      <w:r>
        <w:continuationSeparator/>
      </w:r>
    </w:p>
  </w:footnote>
  <w:footnote w:id="1">
    <w:p w:rsidR="006F2AA8" w:rsidRPr="00F936EA" w:rsidRDefault="006F2AA8" w:rsidP="008A4FE4">
      <w:pPr>
        <w:pStyle w:val="FootnoteText"/>
        <w:rPr>
          <w:lang w:val="en-US"/>
        </w:rPr>
      </w:pPr>
      <w:r w:rsidRPr="00ED7ACB">
        <w:rPr>
          <w:rStyle w:val="FootnoteReference"/>
        </w:rPr>
        <w:footnoteRef/>
      </w:r>
      <w:r w:rsidRPr="00ED7ACB">
        <w:t xml:space="preserve"> </w:t>
      </w:r>
      <w:r w:rsidRPr="00ED7ACB">
        <w:rPr>
          <w:lang w:val="en-US"/>
        </w:rPr>
        <w:t xml:space="preserve">As per the letter of 4 October 2016 from the Permanent Secretary for the </w:t>
      </w:r>
      <w:r>
        <w:rPr>
          <w:lang w:val="en-US"/>
        </w:rPr>
        <w:t xml:space="preserve">Environment </w:t>
      </w:r>
      <w:r w:rsidRPr="00ED7ACB">
        <w:rPr>
          <w:lang w:val="en-US"/>
        </w:rPr>
        <w:t>of the Government of Grenada to UNEP.</w:t>
      </w:r>
    </w:p>
  </w:footnote>
  <w:footnote w:id="2">
    <w:p w:rsidR="006F2AA8" w:rsidRPr="009D385D" w:rsidRDefault="006F2AA8" w:rsidP="008A4FE4">
      <w:pPr>
        <w:pStyle w:val="FootnoteText"/>
        <w:rPr>
          <w:lang w:val="en-US"/>
        </w:rPr>
      </w:pPr>
      <w:r>
        <w:rPr>
          <w:rStyle w:val="FootnoteReference"/>
        </w:rPr>
        <w:footnoteRef/>
      </w:r>
      <w:r>
        <w:t xml:space="preserve"> </w:t>
      </w:r>
      <w:r>
        <w:rPr>
          <w:lang w:val="en-US"/>
        </w:rPr>
        <w:t>Decisions 72/17, 72/41 and 73/34.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A8" w:rsidRPr="0033525D" w:rsidRDefault="005C3CF5" w:rsidP="00B434EE">
    <w:fldSimple w:instr=" DOCPROPERTY &quot;Document number&quot;  \* MERGEFORMAT ">
      <w:r w:rsidR="00FC7CAC">
        <w:t>UNEP/OzL.Pro/ExCom/77/47</w:t>
      </w:r>
    </w:fldSimple>
  </w:p>
  <w:p w:rsidR="006F2AA8" w:rsidRPr="0033525D" w:rsidRDefault="006F2AA8"/>
  <w:p w:rsidR="006F2AA8" w:rsidRPr="0033525D" w:rsidRDefault="006F2A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D4" w:rsidRPr="0033525D" w:rsidRDefault="00FC7CAC" w:rsidP="005761D4">
    <w:pPr>
      <w:jc w:val="right"/>
    </w:pPr>
    <w:r>
      <w:fldChar w:fldCharType="begin"/>
    </w:r>
    <w:r>
      <w:instrText xml:space="preserve"> DOCPROPERTY "Document number"  \* MERGEFORMAT </w:instrText>
    </w:r>
    <w:r>
      <w:fldChar w:fldCharType="separate"/>
    </w:r>
    <w:r>
      <w:t>UNEP/OzL.Pro/ExCom/77/47</w:t>
    </w:r>
    <w:r>
      <w:fldChar w:fldCharType="end"/>
    </w:r>
  </w:p>
  <w:p w:rsidR="005761D4" w:rsidRPr="0033525D" w:rsidRDefault="005761D4" w:rsidP="005761D4">
    <w:pPr>
      <w:jc w:val="right"/>
    </w:pPr>
  </w:p>
  <w:p w:rsidR="006F2AA8" w:rsidRPr="005761D4" w:rsidRDefault="006F2AA8" w:rsidP="005761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3DEE642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31E7AC0"/>
    <w:multiLevelType w:val="multilevel"/>
    <w:tmpl w:val="13201A5E"/>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6">
    <w:nsid w:val="64DA51A1"/>
    <w:multiLevelType w:val="multilevel"/>
    <w:tmpl w:val="8F52DA3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75213976"/>
    <w:multiLevelType w:val="multilevel"/>
    <w:tmpl w:val="D54AF926"/>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360"/>
        </w:tabs>
        <w:ind w:left="180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8"/>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28"/>
    <w:rsid w:val="00000FED"/>
    <w:rsid w:val="0000434E"/>
    <w:rsid w:val="000122B9"/>
    <w:rsid w:val="000211A9"/>
    <w:rsid w:val="000254C8"/>
    <w:rsid w:val="00031260"/>
    <w:rsid w:val="0003681A"/>
    <w:rsid w:val="00042AC8"/>
    <w:rsid w:val="000743FF"/>
    <w:rsid w:val="00075A67"/>
    <w:rsid w:val="00080ED0"/>
    <w:rsid w:val="00085B8F"/>
    <w:rsid w:val="00086897"/>
    <w:rsid w:val="00090481"/>
    <w:rsid w:val="00097665"/>
    <w:rsid w:val="000B60BC"/>
    <w:rsid w:val="000C7792"/>
    <w:rsid w:val="000D04C1"/>
    <w:rsid w:val="000E07BC"/>
    <w:rsid w:val="000F1CD4"/>
    <w:rsid w:val="000F3DAB"/>
    <w:rsid w:val="000F4103"/>
    <w:rsid w:val="000F70A7"/>
    <w:rsid w:val="001242EC"/>
    <w:rsid w:val="00135980"/>
    <w:rsid w:val="00157F06"/>
    <w:rsid w:val="001634C3"/>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02B25"/>
    <w:rsid w:val="002156B4"/>
    <w:rsid w:val="002378FB"/>
    <w:rsid w:val="00253222"/>
    <w:rsid w:val="00262847"/>
    <w:rsid w:val="002701D0"/>
    <w:rsid w:val="002B72E9"/>
    <w:rsid w:val="002C7998"/>
    <w:rsid w:val="002E01D4"/>
    <w:rsid w:val="002F00E7"/>
    <w:rsid w:val="002F1E53"/>
    <w:rsid w:val="002F2CAA"/>
    <w:rsid w:val="003125CF"/>
    <w:rsid w:val="00312AF9"/>
    <w:rsid w:val="003306E1"/>
    <w:rsid w:val="003320E4"/>
    <w:rsid w:val="0033525D"/>
    <w:rsid w:val="003414F3"/>
    <w:rsid w:val="0035613E"/>
    <w:rsid w:val="00363EE9"/>
    <w:rsid w:val="00365DE0"/>
    <w:rsid w:val="003668EE"/>
    <w:rsid w:val="0037042C"/>
    <w:rsid w:val="00371596"/>
    <w:rsid w:val="00376128"/>
    <w:rsid w:val="0037742E"/>
    <w:rsid w:val="00377B86"/>
    <w:rsid w:val="0038245A"/>
    <w:rsid w:val="0039337A"/>
    <w:rsid w:val="003A3189"/>
    <w:rsid w:val="003B569D"/>
    <w:rsid w:val="003C3C0E"/>
    <w:rsid w:val="003D4FAC"/>
    <w:rsid w:val="003D7FE1"/>
    <w:rsid w:val="003E7906"/>
    <w:rsid w:val="003F3C50"/>
    <w:rsid w:val="003F45A2"/>
    <w:rsid w:val="003F74DB"/>
    <w:rsid w:val="0040628C"/>
    <w:rsid w:val="00406A6A"/>
    <w:rsid w:val="00406B22"/>
    <w:rsid w:val="004328A7"/>
    <w:rsid w:val="00434C74"/>
    <w:rsid w:val="00451A9A"/>
    <w:rsid w:val="004553C8"/>
    <w:rsid w:val="00456EB4"/>
    <w:rsid w:val="004718F3"/>
    <w:rsid w:val="00475040"/>
    <w:rsid w:val="0049285E"/>
    <w:rsid w:val="00493D40"/>
    <w:rsid w:val="004967B6"/>
    <w:rsid w:val="004A0D0E"/>
    <w:rsid w:val="004A504B"/>
    <w:rsid w:val="004A6911"/>
    <w:rsid w:val="004B54E0"/>
    <w:rsid w:val="004B7384"/>
    <w:rsid w:val="004C2559"/>
    <w:rsid w:val="004C4269"/>
    <w:rsid w:val="004D6236"/>
    <w:rsid w:val="004E4DBB"/>
    <w:rsid w:val="004E4E41"/>
    <w:rsid w:val="004E7F9C"/>
    <w:rsid w:val="004F3493"/>
    <w:rsid w:val="004F4671"/>
    <w:rsid w:val="0050684A"/>
    <w:rsid w:val="00512B09"/>
    <w:rsid w:val="00531353"/>
    <w:rsid w:val="0055353F"/>
    <w:rsid w:val="00555564"/>
    <w:rsid w:val="00555D75"/>
    <w:rsid w:val="00560DF0"/>
    <w:rsid w:val="00565909"/>
    <w:rsid w:val="0056759C"/>
    <w:rsid w:val="00570866"/>
    <w:rsid w:val="005761D4"/>
    <w:rsid w:val="0059513E"/>
    <w:rsid w:val="005A3341"/>
    <w:rsid w:val="005A54F5"/>
    <w:rsid w:val="005B48FF"/>
    <w:rsid w:val="005C3CF5"/>
    <w:rsid w:val="005E3A51"/>
    <w:rsid w:val="00603E2E"/>
    <w:rsid w:val="00604C15"/>
    <w:rsid w:val="006132AB"/>
    <w:rsid w:val="006158D5"/>
    <w:rsid w:val="00625D83"/>
    <w:rsid w:val="00646E61"/>
    <w:rsid w:val="006623E7"/>
    <w:rsid w:val="00662B80"/>
    <w:rsid w:val="00667244"/>
    <w:rsid w:val="006852C7"/>
    <w:rsid w:val="0068589A"/>
    <w:rsid w:val="006A1469"/>
    <w:rsid w:val="006A4E26"/>
    <w:rsid w:val="006C1727"/>
    <w:rsid w:val="006C32FD"/>
    <w:rsid w:val="006C39CE"/>
    <w:rsid w:val="006D0FCC"/>
    <w:rsid w:val="006D6A0F"/>
    <w:rsid w:val="006E4A75"/>
    <w:rsid w:val="006E5B95"/>
    <w:rsid w:val="006F2AA8"/>
    <w:rsid w:val="0070616B"/>
    <w:rsid w:val="00706FDA"/>
    <w:rsid w:val="00707026"/>
    <w:rsid w:val="00711F9A"/>
    <w:rsid w:val="00713810"/>
    <w:rsid w:val="007205B4"/>
    <w:rsid w:val="007303A5"/>
    <w:rsid w:val="0073064B"/>
    <w:rsid w:val="00730B3E"/>
    <w:rsid w:val="0073420B"/>
    <w:rsid w:val="007371A9"/>
    <w:rsid w:val="0074760E"/>
    <w:rsid w:val="00754ABA"/>
    <w:rsid w:val="0076266D"/>
    <w:rsid w:val="007A1546"/>
    <w:rsid w:val="007A228C"/>
    <w:rsid w:val="007A368E"/>
    <w:rsid w:val="007A5868"/>
    <w:rsid w:val="007B04CE"/>
    <w:rsid w:val="007B1C0E"/>
    <w:rsid w:val="007B6871"/>
    <w:rsid w:val="007B7A2F"/>
    <w:rsid w:val="007C3D33"/>
    <w:rsid w:val="007D0D1A"/>
    <w:rsid w:val="007D294A"/>
    <w:rsid w:val="007D47D2"/>
    <w:rsid w:val="007D6EC0"/>
    <w:rsid w:val="007D7E1D"/>
    <w:rsid w:val="008015C8"/>
    <w:rsid w:val="00851352"/>
    <w:rsid w:val="008570C1"/>
    <w:rsid w:val="0086237A"/>
    <w:rsid w:val="00863230"/>
    <w:rsid w:val="008717D8"/>
    <w:rsid w:val="0087215C"/>
    <w:rsid w:val="008875FE"/>
    <w:rsid w:val="00887F8E"/>
    <w:rsid w:val="00896234"/>
    <w:rsid w:val="00897E43"/>
    <w:rsid w:val="008A0675"/>
    <w:rsid w:val="008A43EB"/>
    <w:rsid w:val="008A4FE4"/>
    <w:rsid w:val="008A7A4A"/>
    <w:rsid w:val="008C5738"/>
    <w:rsid w:val="008C7EAD"/>
    <w:rsid w:val="008D6152"/>
    <w:rsid w:val="008E0B0A"/>
    <w:rsid w:val="008F0F81"/>
    <w:rsid w:val="008F14C3"/>
    <w:rsid w:val="008F27BF"/>
    <w:rsid w:val="008F3C08"/>
    <w:rsid w:val="00923540"/>
    <w:rsid w:val="00926767"/>
    <w:rsid w:val="009361D5"/>
    <w:rsid w:val="00955ED3"/>
    <w:rsid w:val="009659F4"/>
    <w:rsid w:val="00970D60"/>
    <w:rsid w:val="00995C0B"/>
    <w:rsid w:val="009960E5"/>
    <w:rsid w:val="009A7ADC"/>
    <w:rsid w:val="009B4160"/>
    <w:rsid w:val="009C19B7"/>
    <w:rsid w:val="009D7C51"/>
    <w:rsid w:val="009D7F1B"/>
    <w:rsid w:val="009E3BB9"/>
    <w:rsid w:val="009F36BF"/>
    <w:rsid w:val="00A07D67"/>
    <w:rsid w:val="00A111B6"/>
    <w:rsid w:val="00A42A99"/>
    <w:rsid w:val="00A5151A"/>
    <w:rsid w:val="00A57E0A"/>
    <w:rsid w:val="00A76113"/>
    <w:rsid w:val="00A823F6"/>
    <w:rsid w:val="00A962B9"/>
    <w:rsid w:val="00AA0A89"/>
    <w:rsid w:val="00AA2283"/>
    <w:rsid w:val="00AA6429"/>
    <w:rsid w:val="00AB0179"/>
    <w:rsid w:val="00AB3E1B"/>
    <w:rsid w:val="00AC01AA"/>
    <w:rsid w:val="00AC4F72"/>
    <w:rsid w:val="00AC6E4A"/>
    <w:rsid w:val="00AE0416"/>
    <w:rsid w:val="00AF741A"/>
    <w:rsid w:val="00B01ADB"/>
    <w:rsid w:val="00B04161"/>
    <w:rsid w:val="00B04D33"/>
    <w:rsid w:val="00B056F9"/>
    <w:rsid w:val="00B11CFA"/>
    <w:rsid w:val="00B11E3D"/>
    <w:rsid w:val="00B17E82"/>
    <w:rsid w:val="00B434EE"/>
    <w:rsid w:val="00B4575A"/>
    <w:rsid w:val="00B47A32"/>
    <w:rsid w:val="00B575BA"/>
    <w:rsid w:val="00B62910"/>
    <w:rsid w:val="00B76429"/>
    <w:rsid w:val="00B7799D"/>
    <w:rsid w:val="00B853E9"/>
    <w:rsid w:val="00B925D9"/>
    <w:rsid w:val="00B956D4"/>
    <w:rsid w:val="00B97446"/>
    <w:rsid w:val="00BA7432"/>
    <w:rsid w:val="00BB3A80"/>
    <w:rsid w:val="00BC1AA0"/>
    <w:rsid w:val="00BC2495"/>
    <w:rsid w:val="00BC7EB9"/>
    <w:rsid w:val="00BD2643"/>
    <w:rsid w:val="00BD4EFA"/>
    <w:rsid w:val="00BD56B1"/>
    <w:rsid w:val="00BD6558"/>
    <w:rsid w:val="00BE21F9"/>
    <w:rsid w:val="00BF3214"/>
    <w:rsid w:val="00BF7529"/>
    <w:rsid w:val="00C02F6B"/>
    <w:rsid w:val="00C0454B"/>
    <w:rsid w:val="00C15867"/>
    <w:rsid w:val="00C20E25"/>
    <w:rsid w:val="00C2296D"/>
    <w:rsid w:val="00C23155"/>
    <w:rsid w:val="00C40C41"/>
    <w:rsid w:val="00C45885"/>
    <w:rsid w:val="00C50F22"/>
    <w:rsid w:val="00C57971"/>
    <w:rsid w:val="00C66E3F"/>
    <w:rsid w:val="00C76BA4"/>
    <w:rsid w:val="00C83A48"/>
    <w:rsid w:val="00C85865"/>
    <w:rsid w:val="00C85E85"/>
    <w:rsid w:val="00CA2EAE"/>
    <w:rsid w:val="00CA4AC1"/>
    <w:rsid w:val="00CB0316"/>
    <w:rsid w:val="00CB0B11"/>
    <w:rsid w:val="00CB5354"/>
    <w:rsid w:val="00CB7CE5"/>
    <w:rsid w:val="00CC02B4"/>
    <w:rsid w:val="00CC6A14"/>
    <w:rsid w:val="00CC70A3"/>
    <w:rsid w:val="00CD4442"/>
    <w:rsid w:val="00CD53C3"/>
    <w:rsid w:val="00CD574E"/>
    <w:rsid w:val="00CE4C22"/>
    <w:rsid w:val="00CE7C58"/>
    <w:rsid w:val="00CF41EC"/>
    <w:rsid w:val="00CF5D04"/>
    <w:rsid w:val="00D04DE4"/>
    <w:rsid w:val="00D063F1"/>
    <w:rsid w:val="00D14F22"/>
    <w:rsid w:val="00D4279E"/>
    <w:rsid w:val="00D57918"/>
    <w:rsid w:val="00D66189"/>
    <w:rsid w:val="00D73DC6"/>
    <w:rsid w:val="00D74C1A"/>
    <w:rsid w:val="00D754C1"/>
    <w:rsid w:val="00D77A35"/>
    <w:rsid w:val="00D81B3E"/>
    <w:rsid w:val="00D90C70"/>
    <w:rsid w:val="00D90E49"/>
    <w:rsid w:val="00D91D7F"/>
    <w:rsid w:val="00DB2776"/>
    <w:rsid w:val="00DC6A10"/>
    <w:rsid w:val="00DE657E"/>
    <w:rsid w:val="00DF4704"/>
    <w:rsid w:val="00E024AA"/>
    <w:rsid w:val="00E0582D"/>
    <w:rsid w:val="00E250F1"/>
    <w:rsid w:val="00E3550D"/>
    <w:rsid w:val="00E42722"/>
    <w:rsid w:val="00E429C9"/>
    <w:rsid w:val="00E614E0"/>
    <w:rsid w:val="00E66A74"/>
    <w:rsid w:val="00E73F7F"/>
    <w:rsid w:val="00E74A93"/>
    <w:rsid w:val="00E80A8B"/>
    <w:rsid w:val="00E96B79"/>
    <w:rsid w:val="00EA429F"/>
    <w:rsid w:val="00EA4F9E"/>
    <w:rsid w:val="00EA63CA"/>
    <w:rsid w:val="00EA6D3B"/>
    <w:rsid w:val="00EA7FB0"/>
    <w:rsid w:val="00EB00AD"/>
    <w:rsid w:val="00EB136C"/>
    <w:rsid w:val="00EB480E"/>
    <w:rsid w:val="00EB5EC6"/>
    <w:rsid w:val="00EB7FC9"/>
    <w:rsid w:val="00EC21DD"/>
    <w:rsid w:val="00ED27E8"/>
    <w:rsid w:val="00ED7137"/>
    <w:rsid w:val="00EF2260"/>
    <w:rsid w:val="00EF2679"/>
    <w:rsid w:val="00F1348A"/>
    <w:rsid w:val="00F21088"/>
    <w:rsid w:val="00F327E7"/>
    <w:rsid w:val="00F35746"/>
    <w:rsid w:val="00F447C7"/>
    <w:rsid w:val="00F554A9"/>
    <w:rsid w:val="00F716FD"/>
    <w:rsid w:val="00F80355"/>
    <w:rsid w:val="00F871F3"/>
    <w:rsid w:val="00F875B4"/>
    <w:rsid w:val="00FA1728"/>
    <w:rsid w:val="00FA4171"/>
    <w:rsid w:val="00FB0C81"/>
    <w:rsid w:val="00FB444A"/>
    <w:rsid w:val="00FC2200"/>
    <w:rsid w:val="00FC2540"/>
    <w:rsid w:val="00FC7CAC"/>
    <w:rsid w:val="00FD139C"/>
    <w:rsid w:val="00FE5F9A"/>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35"/>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EA7FB0"/>
    <w:pPr>
      <w:widowControl w:val="0"/>
      <w:numPr>
        <w:ilvl w:val="1"/>
        <w:numId w:val="35"/>
      </w:numPr>
      <w:tabs>
        <w:tab w:val="clear" w:pos="0"/>
        <w:tab w:val="num" w:pos="360"/>
      </w:tabs>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5"/>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35"/>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35"/>
      </w:numPr>
      <w:spacing w:before="240" w:after="60"/>
      <w:outlineLvl w:val="5"/>
    </w:pPr>
    <w:rPr>
      <w:rFonts w:ascii="Arial" w:hAnsi="Arial"/>
      <w:i/>
    </w:rPr>
  </w:style>
  <w:style w:type="paragraph" w:styleId="Heading7">
    <w:name w:val="heading 7"/>
    <w:basedOn w:val="Normal"/>
    <w:next w:val="Normal"/>
    <w:qFormat/>
    <w:rsid w:val="00A5151A"/>
    <w:pPr>
      <w:numPr>
        <w:ilvl w:val="6"/>
        <w:numId w:val="35"/>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3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Default">
    <w:name w:val="Default"/>
    <w:rsid w:val="005A3341"/>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646E61"/>
    <w:rPr>
      <w:sz w:val="20"/>
      <w:szCs w:val="20"/>
    </w:rPr>
  </w:style>
  <w:style w:type="character" w:customStyle="1" w:styleId="FootnoteTextChar">
    <w:name w:val="Footnote Text Char"/>
    <w:basedOn w:val="DefaultParagraphFont"/>
    <w:link w:val="FootnoteText"/>
    <w:uiPriority w:val="99"/>
    <w:semiHidden/>
    <w:rsid w:val="00646E61"/>
    <w:rPr>
      <w:lang w:val="en-GB"/>
    </w:rPr>
  </w:style>
  <w:style w:type="character" w:styleId="FootnoteReference">
    <w:name w:val="footnote reference"/>
    <w:basedOn w:val="DefaultParagraphFont"/>
    <w:uiPriority w:val="99"/>
    <w:semiHidden/>
    <w:unhideWhenUsed/>
    <w:rsid w:val="00646E61"/>
    <w:rPr>
      <w:vertAlign w:val="superscript"/>
    </w:rPr>
  </w:style>
  <w:style w:type="character" w:customStyle="1" w:styleId="HeaderChar">
    <w:name w:val="Header Char"/>
    <w:basedOn w:val="DefaultParagraphFont"/>
    <w:link w:val="Header"/>
    <w:uiPriority w:val="99"/>
    <w:rsid w:val="002F00E7"/>
    <w:rPr>
      <w:sz w:val="22"/>
      <w:szCs w:val="22"/>
      <w:lang w:val="en-GB"/>
    </w:rPr>
  </w:style>
  <w:style w:type="character" w:customStyle="1" w:styleId="FooterChar">
    <w:name w:val="Footer Char"/>
    <w:basedOn w:val="DefaultParagraphFont"/>
    <w:link w:val="Footer"/>
    <w:uiPriority w:val="99"/>
    <w:rsid w:val="002F00E7"/>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35"/>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EA7FB0"/>
    <w:pPr>
      <w:widowControl w:val="0"/>
      <w:numPr>
        <w:ilvl w:val="1"/>
        <w:numId w:val="35"/>
      </w:numPr>
      <w:tabs>
        <w:tab w:val="clear" w:pos="0"/>
        <w:tab w:val="num" w:pos="360"/>
      </w:tabs>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5"/>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35"/>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35"/>
      </w:numPr>
      <w:spacing w:before="240" w:after="60"/>
      <w:outlineLvl w:val="5"/>
    </w:pPr>
    <w:rPr>
      <w:rFonts w:ascii="Arial" w:hAnsi="Arial"/>
      <w:i/>
    </w:rPr>
  </w:style>
  <w:style w:type="paragraph" w:styleId="Heading7">
    <w:name w:val="heading 7"/>
    <w:basedOn w:val="Normal"/>
    <w:next w:val="Normal"/>
    <w:qFormat/>
    <w:rsid w:val="00A5151A"/>
    <w:pPr>
      <w:numPr>
        <w:ilvl w:val="6"/>
        <w:numId w:val="35"/>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3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Default">
    <w:name w:val="Default"/>
    <w:rsid w:val="005A3341"/>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646E61"/>
    <w:rPr>
      <w:sz w:val="20"/>
      <w:szCs w:val="20"/>
    </w:rPr>
  </w:style>
  <w:style w:type="character" w:customStyle="1" w:styleId="FootnoteTextChar">
    <w:name w:val="Footnote Text Char"/>
    <w:basedOn w:val="DefaultParagraphFont"/>
    <w:link w:val="FootnoteText"/>
    <w:uiPriority w:val="99"/>
    <w:semiHidden/>
    <w:rsid w:val="00646E61"/>
    <w:rPr>
      <w:lang w:val="en-GB"/>
    </w:rPr>
  </w:style>
  <w:style w:type="character" w:styleId="FootnoteReference">
    <w:name w:val="footnote reference"/>
    <w:basedOn w:val="DefaultParagraphFont"/>
    <w:uiPriority w:val="99"/>
    <w:semiHidden/>
    <w:unhideWhenUsed/>
    <w:rsid w:val="00646E61"/>
    <w:rPr>
      <w:vertAlign w:val="superscript"/>
    </w:rPr>
  </w:style>
  <w:style w:type="character" w:customStyle="1" w:styleId="HeaderChar">
    <w:name w:val="Header Char"/>
    <w:basedOn w:val="DefaultParagraphFont"/>
    <w:link w:val="Header"/>
    <w:uiPriority w:val="99"/>
    <w:rsid w:val="002F00E7"/>
    <w:rPr>
      <w:sz w:val="22"/>
      <w:szCs w:val="22"/>
      <w:lang w:val="en-GB"/>
    </w:rPr>
  </w:style>
  <w:style w:type="character" w:customStyle="1" w:styleId="FooterChar">
    <w:name w:val="Footer Char"/>
    <w:basedOn w:val="DefaultParagraphFont"/>
    <w:link w:val="Footer"/>
    <w:uiPriority w:val="99"/>
    <w:rsid w:val="002F00E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1966">
      <w:bodyDiv w:val="1"/>
      <w:marLeft w:val="0"/>
      <w:marRight w:val="0"/>
      <w:marTop w:val="0"/>
      <w:marBottom w:val="0"/>
      <w:divBdr>
        <w:top w:val="none" w:sz="0" w:space="0" w:color="auto"/>
        <w:left w:val="none" w:sz="0" w:space="0" w:color="auto"/>
        <w:bottom w:val="none" w:sz="0" w:space="0" w:color="auto"/>
        <w:right w:val="none" w:sz="0" w:space="0" w:color="auto"/>
      </w:divBdr>
    </w:div>
    <w:div w:id="1095589453">
      <w:bodyDiv w:val="1"/>
      <w:marLeft w:val="0"/>
      <w:marRight w:val="0"/>
      <w:marTop w:val="0"/>
      <w:marBottom w:val="0"/>
      <w:divBdr>
        <w:top w:val="none" w:sz="0" w:space="0" w:color="auto"/>
        <w:left w:val="none" w:sz="0" w:space="0" w:color="auto"/>
        <w:bottom w:val="none" w:sz="0" w:space="0" w:color="auto"/>
        <w:right w:val="none" w:sz="0" w:space="0" w:color="auto"/>
      </w:divBdr>
    </w:div>
    <w:div w:id="1102609609">
      <w:bodyDiv w:val="1"/>
      <w:marLeft w:val="0"/>
      <w:marRight w:val="0"/>
      <w:marTop w:val="0"/>
      <w:marBottom w:val="0"/>
      <w:divBdr>
        <w:top w:val="none" w:sz="0" w:space="0" w:color="auto"/>
        <w:left w:val="none" w:sz="0" w:space="0" w:color="auto"/>
        <w:bottom w:val="none" w:sz="0" w:space="0" w:color="auto"/>
        <w:right w:val="none" w:sz="0" w:space="0" w:color="auto"/>
      </w:divBdr>
    </w:div>
    <w:div w:id="1255630761">
      <w:bodyDiv w:val="1"/>
      <w:marLeft w:val="0"/>
      <w:marRight w:val="0"/>
      <w:marTop w:val="0"/>
      <w:marBottom w:val="0"/>
      <w:divBdr>
        <w:top w:val="none" w:sz="0" w:space="0" w:color="auto"/>
        <w:left w:val="none" w:sz="0" w:space="0" w:color="auto"/>
        <w:bottom w:val="none" w:sz="0" w:space="0" w:color="auto"/>
        <w:right w:val="none" w:sz="0" w:space="0" w:color="auto"/>
      </w:divBdr>
    </w:div>
    <w:div w:id="1312515982">
      <w:bodyDiv w:val="1"/>
      <w:marLeft w:val="0"/>
      <w:marRight w:val="0"/>
      <w:marTop w:val="0"/>
      <w:marBottom w:val="0"/>
      <w:divBdr>
        <w:top w:val="none" w:sz="0" w:space="0" w:color="auto"/>
        <w:left w:val="none" w:sz="0" w:space="0" w:color="auto"/>
        <w:bottom w:val="none" w:sz="0" w:space="0" w:color="auto"/>
        <w:right w:val="none" w:sz="0" w:space="0" w:color="auto"/>
      </w:divBdr>
    </w:div>
    <w:div w:id="183502536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UNEP/OzL.Pro/ExCom/77/47</Document_x0020_Number>
    <DocumentType xmlns="64e33b30-101d-41de-b951-961aab25ea29">Pre-session</DocumentType>
  </documentManagement>
</p:properties>
</file>

<file path=customXml/itemProps1.xml><?xml version="1.0" encoding="utf-8"?>
<ds:datastoreItem xmlns:ds="http://schemas.openxmlformats.org/officeDocument/2006/customXml" ds:itemID="{3C8B9AC4-D79A-4243-AD7B-06A1D163658D}"/>
</file>

<file path=customXml/itemProps2.xml><?xml version="1.0" encoding="utf-8"?>
<ds:datastoreItem xmlns:ds="http://schemas.openxmlformats.org/officeDocument/2006/customXml" ds:itemID="{84713C05-2FBD-4556-8E60-AB623D4E18FF}"/>
</file>

<file path=customXml/itemProps3.xml><?xml version="1.0" encoding="utf-8"?>
<ds:datastoreItem xmlns:ds="http://schemas.openxmlformats.org/officeDocument/2006/customXml" ds:itemID="{318BA37F-4BA4-4B16-8315-F60FDC8DDC43}"/>
</file>

<file path=customXml/itemProps4.xml><?xml version="1.0" encoding="utf-8"?>
<ds:datastoreItem xmlns:ds="http://schemas.openxmlformats.org/officeDocument/2006/customXml" ds:itemID="{D570341D-0CD6-48F1-866F-C0C94B3D8F70}"/>
</file>

<file path=docProps/app.xml><?xml version="1.0" encoding="utf-8"?>
<Properties xmlns="http://schemas.openxmlformats.org/officeDocument/2006/extended-properties" xmlns:vt="http://schemas.openxmlformats.org/officeDocument/2006/docPropsVTypes">
  <Template>Eec77G</Template>
  <TotalTime>78</TotalTime>
  <Pages>6</Pages>
  <Words>2021</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Project proposal: Grenada</vt:lpstr>
    </vt:vector>
  </TitlesOfParts>
  <Company>UNMFS</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Grenada</dc:title>
  <dc:subject>77/47</dc:subject>
  <dc:creator>Patricia Chau</dc:creator>
  <dc:description>XW</dc:description>
  <cp:lastModifiedBy>Patricia Chau</cp:lastModifiedBy>
  <cp:revision>12</cp:revision>
  <cp:lastPrinted>2016-11-11T16:35:00Z</cp:lastPrinted>
  <dcterms:created xsi:type="dcterms:W3CDTF">2016-11-11T14:52:00Z</dcterms:created>
  <dcterms:modified xsi:type="dcterms:W3CDTF">2016-11-11T16:35:00Z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UNEP/OzL.Pro/ExCom/77/47</vt:lpwstr>
  </property>
  <property fmtid="{D5CDD505-2E9C-101B-9397-08002B2CF9AE}" pid="3" name="Revision date">
    <vt:lpwstr>11/11/2016</vt:lpwstr>
  </property>
  <property fmtid="{D5CDD505-2E9C-101B-9397-08002B2CF9AE}" pid="4" name="ContentTypeId">
    <vt:lpwstr>0x010100F409F5B17BF82F4083D32896D3516BC1</vt:lpwstr>
  </property>
</Properties>
</file>