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E770" w14:textId="77777777" w:rsidR="00B16C49" w:rsidRPr="00611AE2" w:rsidRDefault="00B16C49" w:rsidP="00211845">
      <w:pPr>
        <w:jc w:val="center"/>
        <w:rPr>
          <w:rFonts w:ascii="Times New Roman" w:hAnsi="Times New Roman"/>
          <w:szCs w:val="24"/>
        </w:rPr>
      </w:pPr>
    </w:p>
    <w:p w14:paraId="02AB8570" w14:textId="77777777" w:rsidR="00B16C49" w:rsidRPr="00611AE2" w:rsidRDefault="00B16C49" w:rsidP="00211845">
      <w:pPr>
        <w:jc w:val="center"/>
        <w:rPr>
          <w:rFonts w:ascii="Times New Roman" w:hAnsi="Times New Roman"/>
          <w:szCs w:val="24"/>
        </w:rPr>
      </w:pPr>
    </w:p>
    <w:p w14:paraId="092AD3B0" w14:textId="77777777" w:rsidR="00B16C49" w:rsidRPr="00611AE2" w:rsidRDefault="00B16C49" w:rsidP="00211845">
      <w:pPr>
        <w:jc w:val="center"/>
        <w:rPr>
          <w:rFonts w:ascii="Times New Roman" w:hAnsi="Times New Roman"/>
          <w:szCs w:val="24"/>
        </w:rPr>
      </w:pPr>
    </w:p>
    <w:p w14:paraId="4B07AAAE" w14:textId="77777777" w:rsidR="00B16C49" w:rsidRPr="00611AE2" w:rsidRDefault="00B16C49" w:rsidP="00211845">
      <w:pPr>
        <w:jc w:val="center"/>
        <w:rPr>
          <w:rFonts w:ascii="Times New Roman" w:hAnsi="Times New Roman"/>
          <w:szCs w:val="24"/>
        </w:rPr>
      </w:pPr>
    </w:p>
    <w:p w14:paraId="002BB856" w14:textId="77777777" w:rsidR="00B16C49" w:rsidRPr="00611AE2" w:rsidRDefault="00B16C49" w:rsidP="00211845">
      <w:pPr>
        <w:jc w:val="center"/>
        <w:rPr>
          <w:rFonts w:ascii="Times New Roman" w:hAnsi="Times New Roman"/>
          <w:szCs w:val="24"/>
        </w:rPr>
      </w:pPr>
    </w:p>
    <w:p w14:paraId="284B6B59" w14:textId="77777777" w:rsidR="00B16C49" w:rsidRPr="00611AE2" w:rsidRDefault="00B16C49" w:rsidP="00211845">
      <w:pPr>
        <w:jc w:val="center"/>
        <w:rPr>
          <w:rFonts w:ascii="Times New Roman" w:hAnsi="Times New Roman"/>
          <w:szCs w:val="24"/>
        </w:rPr>
      </w:pPr>
    </w:p>
    <w:p w14:paraId="70620056" w14:textId="77777777" w:rsidR="00B16C49" w:rsidRPr="00611AE2" w:rsidRDefault="00B16C49" w:rsidP="00211845">
      <w:pPr>
        <w:jc w:val="center"/>
        <w:rPr>
          <w:rFonts w:ascii="Times New Roman" w:hAnsi="Times New Roman"/>
          <w:szCs w:val="24"/>
        </w:rPr>
      </w:pPr>
    </w:p>
    <w:p w14:paraId="7AB3C4A5" w14:textId="77777777" w:rsidR="00B16C49" w:rsidRPr="00611AE2" w:rsidRDefault="00B16C49" w:rsidP="00211845">
      <w:pPr>
        <w:jc w:val="center"/>
        <w:rPr>
          <w:rFonts w:ascii="Times New Roman" w:hAnsi="Times New Roman"/>
          <w:sz w:val="28"/>
          <w:szCs w:val="32"/>
        </w:rPr>
      </w:pPr>
    </w:p>
    <w:p w14:paraId="5D8BF33D" w14:textId="77777777" w:rsidR="002B6A8E" w:rsidRDefault="00320CD5" w:rsidP="00211845">
      <w:pPr>
        <w:jc w:val="center"/>
        <w:rPr>
          <w:rFonts w:ascii="Times New Roman" w:hAnsi="Times New Roman"/>
          <w:smallCaps/>
          <w:sz w:val="32"/>
          <w:szCs w:val="32"/>
        </w:rPr>
      </w:pPr>
      <w:r w:rsidRPr="002765B4">
        <w:rPr>
          <w:rFonts w:ascii="Times New Roman" w:hAnsi="Times New Roman"/>
          <w:smallCaps/>
          <w:sz w:val="32"/>
          <w:szCs w:val="32"/>
        </w:rPr>
        <w:t xml:space="preserve">UNEP </w:t>
      </w:r>
      <w:r w:rsidR="001615D2">
        <w:rPr>
          <w:rFonts w:ascii="Times New Roman" w:hAnsi="Times New Roman"/>
          <w:smallCaps/>
          <w:sz w:val="32"/>
          <w:szCs w:val="32"/>
        </w:rPr>
        <w:t>2017-2019</w:t>
      </w:r>
      <w:r w:rsidRPr="002765B4">
        <w:rPr>
          <w:rFonts w:ascii="Times New Roman" w:hAnsi="Times New Roman"/>
          <w:smallCaps/>
          <w:sz w:val="32"/>
          <w:szCs w:val="32"/>
        </w:rPr>
        <w:t xml:space="preserve"> Business Plan</w:t>
      </w:r>
    </w:p>
    <w:p w14:paraId="5CFF4A64" w14:textId="77777777" w:rsidR="002765B4" w:rsidRPr="002765B4" w:rsidRDefault="002765B4" w:rsidP="00211845">
      <w:pPr>
        <w:jc w:val="center"/>
        <w:rPr>
          <w:rFonts w:ascii="Times New Roman" w:hAnsi="Times New Roman"/>
          <w:smallCaps/>
          <w:sz w:val="32"/>
          <w:szCs w:val="32"/>
        </w:rPr>
      </w:pPr>
      <w:bookmarkStart w:id="0" w:name="_GoBack"/>
      <w:bookmarkEnd w:id="0"/>
    </w:p>
    <w:p w14:paraId="48D5D95C" w14:textId="77777777" w:rsidR="002B6A8E" w:rsidRPr="00611AE2" w:rsidRDefault="00320CD5" w:rsidP="00211845">
      <w:pPr>
        <w:jc w:val="center"/>
        <w:rPr>
          <w:rFonts w:ascii="Times New Roman" w:hAnsi="Times New Roman"/>
          <w:smallCaps/>
          <w:sz w:val="28"/>
          <w:szCs w:val="32"/>
        </w:rPr>
      </w:pPr>
      <w:r w:rsidRPr="00611AE2">
        <w:rPr>
          <w:rFonts w:ascii="Times New Roman" w:hAnsi="Times New Roman"/>
          <w:smallCaps/>
          <w:sz w:val="28"/>
          <w:szCs w:val="32"/>
        </w:rPr>
        <w:t>Presented to the</w:t>
      </w:r>
    </w:p>
    <w:p w14:paraId="4F008200" w14:textId="77777777" w:rsidR="002B6A8E" w:rsidRPr="00611AE2" w:rsidRDefault="0060563E" w:rsidP="00211845">
      <w:pPr>
        <w:jc w:val="center"/>
        <w:rPr>
          <w:rFonts w:ascii="Times New Roman" w:hAnsi="Times New Roman"/>
          <w:smallCaps/>
          <w:sz w:val="28"/>
          <w:szCs w:val="32"/>
        </w:rPr>
      </w:pPr>
      <w:r w:rsidRPr="00611AE2">
        <w:rPr>
          <w:rFonts w:ascii="Times New Roman" w:hAnsi="Times New Roman"/>
          <w:smallCaps/>
          <w:sz w:val="28"/>
          <w:szCs w:val="32"/>
        </w:rPr>
        <w:t>7</w:t>
      </w:r>
      <w:r w:rsidR="001615D2">
        <w:rPr>
          <w:rFonts w:ascii="Times New Roman" w:hAnsi="Times New Roman"/>
          <w:smallCaps/>
          <w:sz w:val="28"/>
          <w:szCs w:val="32"/>
        </w:rPr>
        <w:t>7</w:t>
      </w:r>
      <w:r w:rsidR="00784E06">
        <w:rPr>
          <w:rFonts w:ascii="Times New Roman" w:hAnsi="Times New Roman"/>
          <w:smallCaps/>
          <w:sz w:val="28"/>
          <w:szCs w:val="32"/>
        </w:rPr>
        <w:t>th</w:t>
      </w:r>
      <w:r w:rsidRPr="00611AE2">
        <w:rPr>
          <w:rFonts w:ascii="Times New Roman" w:hAnsi="Times New Roman"/>
          <w:smallCaps/>
          <w:sz w:val="28"/>
          <w:szCs w:val="32"/>
        </w:rPr>
        <w:t xml:space="preserve"> </w:t>
      </w:r>
      <w:r w:rsidR="00320CD5" w:rsidRPr="00611AE2">
        <w:rPr>
          <w:rFonts w:ascii="Times New Roman" w:hAnsi="Times New Roman"/>
          <w:smallCaps/>
          <w:sz w:val="28"/>
          <w:szCs w:val="32"/>
        </w:rPr>
        <w:t>Meeting of the Executive Committee</w:t>
      </w:r>
    </w:p>
    <w:p w14:paraId="61882333" w14:textId="77777777" w:rsidR="002B6A8E" w:rsidRPr="00611AE2" w:rsidRDefault="00320CD5" w:rsidP="00211845">
      <w:pPr>
        <w:jc w:val="center"/>
        <w:rPr>
          <w:rFonts w:ascii="Times New Roman" w:hAnsi="Times New Roman"/>
          <w:smallCaps/>
          <w:sz w:val="28"/>
          <w:szCs w:val="32"/>
        </w:rPr>
      </w:pPr>
      <w:r w:rsidRPr="00611AE2">
        <w:rPr>
          <w:rFonts w:ascii="Times New Roman" w:hAnsi="Times New Roman"/>
          <w:smallCaps/>
          <w:sz w:val="28"/>
          <w:szCs w:val="32"/>
        </w:rPr>
        <w:t>of the Multilateral Fund for the Implementation</w:t>
      </w:r>
    </w:p>
    <w:p w14:paraId="3EBB3644" w14:textId="77777777" w:rsidR="002B6A8E" w:rsidRPr="00611AE2" w:rsidRDefault="00320CD5" w:rsidP="00211845">
      <w:pPr>
        <w:jc w:val="center"/>
        <w:rPr>
          <w:rFonts w:ascii="Times New Roman" w:hAnsi="Times New Roman"/>
          <w:smallCaps/>
          <w:sz w:val="28"/>
          <w:szCs w:val="32"/>
        </w:rPr>
      </w:pPr>
      <w:r w:rsidRPr="00611AE2">
        <w:rPr>
          <w:rFonts w:ascii="Times New Roman" w:hAnsi="Times New Roman"/>
          <w:smallCaps/>
          <w:sz w:val="28"/>
          <w:szCs w:val="32"/>
        </w:rPr>
        <w:t>of the Montreal Protocol</w:t>
      </w:r>
    </w:p>
    <w:p w14:paraId="2F1DA745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1FA6D05E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5D9478DE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23EDCADF" w14:textId="77777777" w:rsidR="00320CD5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748C87E7" w14:textId="77777777" w:rsidR="002765B4" w:rsidRDefault="002765B4" w:rsidP="00211845">
      <w:pPr>
        <w:jc w:val="center"/>
        <w:rPr>
          <w:rFonts w:ascii="Times New Roman" w:hAnsi="Times New Roman"/>
          <w:smallCaps/>
          <w:szCs w:val="24"/>
        </w:rPr>
      </w:pPr>
    </w:p>
    <w:p w14:paraId="4E46A047" w14:textId="77777777" w:rsidR="002765B4" w:rsidRDefault="002765B4" w:rsidP="00211845">
      <w:pPr>
        <w:jc w:val="center"/>
        <w:rPr>
          <w:rFonts w:ascii="Times New Roman" w:hAnsi="Times New Roman"/>
          <w:smallCaps/>
          <w:szCs w:val="24"/>
        </w:rPr>
      </w:pPr>
    </w:p>
    <w:p w14:paraId="067FAB46" w14:textId="77777777" w:rsidR="002765B4" w:rsidRDefault="002765B4" w:rsidP="00211845">
      <w:pPr>
        <w:jc w:val="center"/>
        <w:rPr>
          <w:rFonts w:ascii="Times New Roman" w:hAnsi="Times New Roman"/>
          <w:smallCaps/>
          <w:szCs w:val="24"/>
        </w:rPr>
      </w:pPr>
    </w:p>
    <w:p w14:paraId="6ADA49FC" w14:textId="77777777" w:rsidR="002765B4" w:rsidRPr="00611AE2" w:rsidRDefault="002765B4" w:rsidP="00211845">
      <w:pPr>
        <w:jc w:val="center"/>
        <w:rPr>
          <w:rFonts w:ascii="Times New Roman" w:hAnsi="Times New Roman"/>
          <w:smallCaps/>
          <w:szCs w:val="24"/>
        </w:rPr>
      </w:pPr>
    </w:p>
    <w:p w14:paraId="5355332B" w14:textId="6A72A5BE" w:rsidR="00A73679" w:rsidRPr="00687208" w:rsidRDefault="006772D8" w:rsidP="00211845">
      <w:pPr>
        <w:jc w:val="center"/>
        <w:rPr>
          <w:rFonts w:ascii="Times New Roman" w:hAnsi="Times New Roman"/>
          <w:smallCaps/>
          <w:color w:val="0070C0"/>
          <w:szCs w:val="24"/>
        </w:rPr>
      </w:pPr>
      <w:r>
        <w:rPr>
          <w:rFonts w:ascii="Times New Roman" w:hAnsi="Times New Roman"/>
          <w:smallCaps/>
          <w:color w:val="0070C0"/>
          <w:szCs w:val="24"/>
        </w:rPr>
        <w:t xml:space="preserve">October </w:t>
      </w:r>
      <w:r w:rsidR="00BB76D5" w:rsidRPr="00687208">
        <w:rPr>
          <w:rFonts w:ascii="Times New Roman" w:hAnsi="Times New Roman"/>
          <w:smallCaps/>
          <w:color w:val="0070C0"/>
          <w:szCs w:val="24"/>
        </w:rPr>
        <w:t>201</w:t>
      </w:r>
      <w:r w:rsidR="001615D2" w:rsidRPr="00687208">
        <w:rPr>
          <w:rFonts w:ascii="Times New Roman" w:hAnsi="Times New Roman"/>
          <w:smallCaps/>
          <w:color w:val="0070C0"/>
          <w:szCs w:val="24"/>
        </w:rPr>
        <w:t>6</w:t>
      </w:r>
      <w:r w:rsidR="00BB76D5" w:rsidRPr="00687208">
        <w:rPr>
          <w:rFonts w:ascii="Times New Roman" w:hAnsi="Times New Roman"/>
          <w:smallCaps/>
          <w:color w:val="0070C0"/>
          <w:szCs w:val="24"/>
        </w:rPr>
        <w:t xml:space="preserve"> </w:t>
      </w:r>
    </w:p>
    <w:p w14:paraId="0698E4BF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4659D6D8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7F93F960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6AD2E111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3711397F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2AD77B67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27A5F616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24DE7167" w14:textId="77777777" w:rsidR="00320CD5" w:rsidRPr="00611AE2" w:rsidRDefault="0060563E" w:rsidP="00211845">
      <w:pPr>
        <w:jc w:val="center"/>
        <w:rPr>
          <w:rFonts w:ascii="Times New Roman" w:hAnsi="Times New Roman"/>
          <w:smallCaps/>
          <w:szCs w:val="24"/>
        </w:rPr>
      </w:pPr>
      <w:r w:rsidRPr="00611AE2">
        <w:rPr>
          <w:rFonts w:ascii="Times New Roman" w:hAnsi="Times New Roman"/>
          <w:smallCaps/>
          <w:noProof/>
          <w:szCs w:val="24"/>
          <w:lang w:val="en-CA" w:eastAsia="zh-CN"/>
        </w:rPr>
        <w:drawing>
          <wp:inline distT="0" distB="0" distL="0" distR="0" wp14:anchorId="4EF23D87" wp14:editId="3E2F4381">
            <wp:extent cx="914400" cy="1074420"/>
            <wp:effectExtent l="19050" t="0" r="0" b="0"/>
            <wp:docPr id="3" name="Picture 1" descr="UNEP-logo-with-no-backgr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P-logo-with-no-backgrou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133DE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1D1F8F03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5EBE24E1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3F99ADD2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05AE2237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0463520E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714F8DCB" w14:textId="77777777" w:rsidR="00320CD5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</w:p>
    <w:p w14:paraId="13FF931E" w14:textId="77777777" w:rsidR="002B6A8E" w:rsidRPr="00611AE2" w:rsidRDefault="00320CD5" w:rsidP="00211845">
      <w:pPr>
        <w:jc w:val="center"/>
        <w:rPr>
          <w:rFonts w:ascii="Times New Roman" w:hAnsi="Times New Roman"/>
          <w:smallCaps/>
          <w:szCs w:val="24"/>
        </w:rPr>
      </w:pPr>
      <w:r w:rsidRPr="00611AE2">
        <w:rPr>
          <w:rFonts w:ascii="Times New Roman" w:hAnsi="Times New Roman"/>
          <w:smallCaps/>
          <w:szCs w:val="24"/>
        </w:rPr>
        <w:t xml:space="preserve">United Nations Environment </w:t>
      </w:r>
      <w:proofErr w:type="spellStart"/>
      <w:r w:rsidRPr="00611AE2">
        <w:rPr>
          <w:rFonts w:ascii="Times New Roman" w:hAnsi="Times New Roman"/>
          <w:smallCaps/>
          <w:szCs w:val="24"/>
        </w:rPr>
        <w:t>Programme</w:t>
      </w:r>
      <w:proofErr w:type="spellEnd"/>
    </w:p>
    <w:p w14:paraId="4EBBAECE" w14:textId="77777777" w:rsidR="002B6A8E" w:rsidRPr="00611AE2" w:rsidRDefault="002B6A8E" w:rsidP="00211845">
      <w:pPr>
        <w:rPr>
          <w:rFonts w:ascii="Times New Roman" w:hAnsi="Times New Roman"/>
          <w:szCs w:val="24"/>
        </w:rPr>
      </w:pPr>
      <w:r w:rsidRPr="00611AE2">
        <w:rPr>
          <w:rFonts w:ascii="Times New Roman" w:hAnsi="Times New Roman"/>
          <w:szCs w:val="24"/>
        </w:rPr>
        <w:br w:type="page"/>
      </w:r>
    </w:p>
    <w:p w14:paraId="112DE490" w14:textId="77777777" w:rsidR="002B6A8E" w:rsidRPr="00611AE2" w:rsidRDefault="002B6A8E" w:rsidP="00211845">
      <w:pPr>
        <w:jc w:val="center"/>
        <w:rPr>
          <w:rFonts w:ascii="Times New Roman" w:hAnsi="Times New Roman"/>
          <w:b/>
          <w:smallCaps/>
          <w:szCs w:val="24"/>
        </w:rPr>
      </w:pPr>
      <w:r w:rsidRPr="00611AE2">
        <w:rPr>
          <w:rFonts w:ascii="Times New Roman" w:hAnsi="Times New Roman"/>
          <w:b/>
          <w:smallCaps/>
          <w:szCs w:val="24"/>
        </w:rPr>
        <w:lastRenderedPageBreak/>
        <w:t>Table of Contents</w:t>
      </w:r>
    </w:p>
    <w:p w14:paraId="28A625FB" w14:textId="77777777" w:rsidR="00BB76D5" w:rsidRPr="00A6743E" w:rsidRDefault="00BB76D5" w:rsidP="00211845">
      <w:pPr>
        <w:rPr>
          <w:rFonts w:ascii="Times New Roman" w:hAnsi="Times New Roman"/>
          <w:szCs w:val="24"/>
        </w:rPr>
      </w:pPr>
    </w:p>
    <w:p w14:paraId="090BD478" w14:textId="77777777" w:rsidR="007D7617" w:rsidRPr="00A6743E" w:rsidRDefault="007D7617" w:rsidP="00211845">
      <w:pPr>
        <w:rPr>
          <w:rFonts w:ascii="Times New Roman" w:hAnsi="Times New Roman"/>
          <w:szCs w:val="24"/>
        </w:rPr>
      </w:pPr>
    </w:p>
    <w:p w14:paraId="25E2C19C" w14:textId="77777777" w:rsidR="00BB76D5" w:rsidRPr="00A6743E" w:rsidRDefault="00BB76D5" w:rsidP="00211845">
      <w:pPr>
        <w:rPr>
          <w:rFonts w:ascii="Times New Roman" w:hAnsi="Times New Roman"/>
          <w:szCs w:val="24"/>
        </w:rPr>
      </w:pPr>
    </w:p>
    <w:p w14:paraId="23B21858" w14:textId="77777777" w:rsidR="00C715CE" w:rsidRPr="00C715CE" w:rsidRDefault="00E854D4">
      <w:pPr>
        <w:pStyle w:val="TOC1"/>
        <w:tabs>
          <w:tab w:val="right" w:leader="dot" w:pos="935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r w:rsidRPr="00C715CE">
        <w:rPr>
          <w:rFonts w:ascii="Times New Roman" w:hAnsi="Times New Roman"/>
          <w:b w:val="0"/>
          <w:szCs w:val="22"/>
        </w:rPr>
        <w:fldChar w:fldCharType="begin"/>
      </w:r>
      <w:r w:rsidR="00BB76D5" w:rsidRPr="00C715CE">
        <w:rPr>
          <w:rFonts w:ascii="Times New Roman" w:hAnsi="Times New Roman"/>
          <w:b w:val="0"/>
          <w:szCs w:val="22"/>
        </w:rPr>
        <w:instrText xml:space="preserve"> TOC \o "1-3" \h \z \u </w:instrText>
      </w:r>
      <w:r w:rsidRPr="00C715CE">
        <w:rPr>
          <w:rFonts w:ascii="Times New Roman" w:hAnsi="Times New Roman"/>
          <w:b w:val="0"/>
          <w:szCs w:val="22"/>
        </w:rPr>
        <w:fldChar w:fldCharType="separate"/>
      </w:r>
      <w:hyperlink w:anchor="_Toc456004113" w:history="1">
        <w:r w:rsidR="00C715CE" w:rsidRPr="00C715CE">
          <w:rPr>
            <w:rStyle w:val="Hyperlink"/>
            <w:rFonts w:ascii="Times New Roman" w:hAnsi="Times New Roman"/>
            <w:b w:val="0"/>
            <w:smallCaps/>
            <w:noProof/>
          </w:rPr>
          <w:t>Executive Summary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tab/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b w:val="0"/>
            <w:noProof/>
            <w:webHidden/>
          </w:rPr>
          <w:instrText xml:space="preserve"> PAGEREF _Toc456004113 \h </w:instrText>
        </w:r>
        <w:r w:rsidR="00C715CE" w:rsidRPr="00C715CE">
          <w:rPr>
            <w:rFonts w:ascii="Times New Roman" w:hAnsi="Times New Roman"/>
            <w:b w:val="0"/>
            <w:noProof/>
            <w:webHidden/>
          </w:rPr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b w:val="0"/>
            <w:noProof/>
            <w:webHidden/>
          </w:rPr>
          <w:t>3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025CB4B3" w14:textId="77777777" w:rsidR="00C715CE" w:rsidRPr="00C715CE" w:rsidRDefault="00F41AA8">
      <w:pPr>
        <w:pStyle w:val="TOC1"/>
        <w:tabs>
          <w:tab w:val="right" w:leader="dot" w:pos="935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56004114" w:history="1">
        <w:r w:rsidR="00C715CE" w:rsidRPr="00C715CE">
          <w:rPr>
            <w:rStyle w:val="Hyperlink"/>
            <w:rFonts w:ascii="Times New Roman" w:hAnsi="Times New Roman"/>
            <w:b w:val="0"/>
            <w:smallCaps/>
            <w:noProof/>
          </w:rPr>
          <w:t>I.  Methodology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tab/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b w:val="0"/>
            <w:noProof/>
            <w:webHidden/>
          </w:rPr>
          <w:instrText xml:space="preserve"> PAGEREF _Toc456004114 \h </w:instrText>
        </w:r>
        <w:r w:rsidR="00C715CE" w:rsidRPr="00C715CE">
          <w:rPr>
            <w:rFonts w:ascii="Times New Roman" w:hAnsi="Times New Roman"/>
            <w:b w:val="0"/>
            <w:noProof/>
            <w:webHidden/>
          </w:rPr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b w:val="0"/>
            <w:noProof/>
            <w:webHidden/>
          </w:rPr>
          <w:t>4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398CEA81" w14:textId="77777777" w:rsidR="00C715CE" w:rsidRPr="00C715CE" w:rsidRDefault="00F41AA8">
      <w:pPr>
        <w:pStyle w:val="TOC1"/>
        <w:tabs>
          <w:tab w:val="right" w:leader="dot" w:pos="935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56004115" w:history="1">
        <w:r w:rsidR="00C715CE" w:rsidRPr="00C715CE">
          <w:rPr>
            <w:rStyle w:val="Hyperlink"/>
            <w:rFonts w:ascii="Times New Roman" w:hAnsi="Times New Roman"/>
            <w:b w:val="0"/>
            <w:smallCaps/>
            <w:noProof/>
          </w:rPr>
          <w:t>II. Multilateral Fund Targets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tab/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b w:val="0"/>
            <w:noProof/>
            <w:webHidden/>
          </w:rPr>
          <w:instrText xml:space="preserve"> PAGEREF _Toc456004115 \h </w:instrText>
        </w:r>
        <w:r w:rsidR="00C715CE" w:rsidRPr="00C715CE">
          <w:rPr>
            <w:rFonts w:ascii="Times New Roman" w:hAnsi="Times New Roman"/>
            <w:b w:val="0"/>
            <w:noProof/>
            <w:webHidden/>
          </w:rPr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b w:val="0"/>
            <w:noProof/>
            <w:webHidden/>
          </w:rPr>
          <w:t>4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6E0D2889" w14:textId="77777777" w:rsidR="00C715CE" w:rsidRPr="00C715CE" w:rsidRDefault="00F41AA8">
      <w:pPr>
        <w:pStyle w:val="TOC2"/>
        <w:tabs>
          <w:tab w:val="right" w:leader="dot" w:pos="935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56004116" w:history="1">
        <w:r w:rsidR="00C715CE" w:rsidRPr="00C715CE">
          <w:rPr>
            <w:rStyle w:val="Hyperlink"/>
            <w:rFonts w:ascii="Times New Roman" w:hAnsi="Times New Roman"/>
            <w:noProof/>
          </w:rPr>
          <w:t>A. Objectives of the Three-Year Business Plan</w:t>
        </w:r>
        <w:r w:rsidR="00C715CE" w:rsidRPr="00C715CE">
          <w:rPr>
            <w:rFonts w:ascii="Times New Roman" w:hAnsi="Times New Roman"/>
            <w:noProof/>
            <w:webHidden/>
          </w:rPr>
          <w:tab/>
        </w:r>
        <w:r w:rsidR="00C715CE" w:rsidRPr="00C715CE">
          <w:rPr>
            <w:rFonts w:ascii="Times New Roman" w:hAnsi="Times New Roman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noProof/>
            <w:webHidden/>
          </w:rPr>
          <w:instrText xml:space="preserve"> PAGEREF _Toc456004116 \h </w:instrText>
        </w:r>
        <w:r w:rsidR="00C715CE" w:rsidRPr="00C715CE">
          <w:rPr>
            <w:rFonts w:ascii="Times New Roman" w:hAnsi="Times New Roman"/>
            <w:noProof/>
            <w:webHidden/>
          </w:rPr>
        </w:r>
        <w:r w:rsidR="00C715CE" w:rsidRPr="00C715CE">
          <w:rPr>
            <w:rFonts w:ascii="Times New Roman" w:hAnsi="Times New Roman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noProof/>
            <w:webHidden/>
          </w:rPr>
          <w:t>4</w:t>
        </w:r>
        <w:r w:rsidR="00C715CE" w:rsidRPr="00C715C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9D9002A" w14:textId="77777777" w:rsidR="00C715CE" w:rsidRPr="00C715CE" w:rsidRDefault="00F41AA8">
      <w:pPr>
        <w:pStyle w:val="TOC2"/>
        <w:tabs>
          <w:tab w:val="right" w:leader="dot" w:pos="935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56004117" w:history="1">
        <w:r w:rsidR="00C715CE" w:rsidRPr="00C715CE">
          <w:rPr>
            <w:rStyle w:val="Hyperlink"/>
            <w:rFonts w:ascii="Times New Roman" w:hAnsi="Times New Roman"/>
            <w:bCs/>
            <w:iCs/>
            <w:noProof/>
          </w:rPr>
          <w:t>B.  Resource Allocation</w:t>
        </w:r>
        <w:r w:rsidR="00C715CE" w:rsidRPr="00C715CE">
          <w:rPr>
            <w:rFonts w:ascii="Times New Roman" w:hAnsi="Times New Roman"/>
            <w:noProof/>
            <w:webHidden/>
          </w:rPr>
          <w:tab/>
        </w:r>
        <w:r w:rsidR="00C715CE" w:rsidRPr="00C715CE">
          <w:rPr>
            <w:rFonts w:ascii="Times New Roman" w:hAnsi="Times New Roman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noProof/>
            <w:webHidden/>
          </w:rPr>
          <w:instrText xml:space="preserve"> PAGEREF _Toc456004117 \h </w:instrText>
        </w:r>
        <w:r w:rsidR="00C715CE" w:rsidRPr="00C715CE">
          <w:rPr>
            <w:rFonts w:ascii="Times New Roman" w:hAnsi="Times New Roman"/>
            <w:noProof/>
            <w:webHidden/>
          </w:rPr>
        </w:r>
        <w:r w:rsidR="00C715CE" w:rsidRPr="00C715CE">
          <w:rPr>
            <w:rFonts w:ascii="Times New Roman" w:hAnsi="Times New Roman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noProof/>
            <w:webHidden/>
          </w:rPr>
          <w:t>5</w:t>
        </w:r>
        <w:r w:rsidR="00C715CE" w:rsidRPr="00C715C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E8106A" w14:textId="77777777" w:rsidR="00C715CE" w:rsidRPr="00C715CE" w:rsidRDefault="00F41AA8">
      <w:pPr>
        <w:pStyle w:val="TOC1"/>
        <w:tabs>
          <w:tab w:val="right" w:leader="dot" w:pos="935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56004118" w:history="1">
        <w:r w:rsidR="00C715CE" w:rsidRPr="00C715CE">
          <w:rPr>
            <w:rStyle w:val="Hyperlink"/>
            <w:rFonts w:ascii="Times New Roman" w:hAnsi="Times New Roman"/>
            <w:b w:val="0"/>
            <w:smallCaps/>
            <w:noProof/>
          </w:rPr>
          <w:t>III. Planned Business Plan Activities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tab/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b w:val="0"/>
            <w:noProof/>
            <w:webHidden/>
          </w:rPr>
          <w:instrText xml:space="preserve"> PAGEREF _Toc456004118 \h </w:instrText>
        </w:r>
        <w:r w:rsidR="00C715CE" w:rsidRPr="00C715CE">
          <w:rPr>
            <w:rFonts w:ascii="Times New Roman" w:hAnsi="Times New Roman"/>
            <w:b w:val="0"/>
            <w:noProof/>
            <w:webHidden/>
          </w:rPr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b w:val="0"/>
            <w:noProof/>
            <w:webHidden/>
          </w:rPr>
          <w:t>5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35CAA573" w14:textId="77777777" w:rsidR="00C715CE" w:rsidRPr="00C715CE" w:rsidRDefault="00F41AA8">
      <w:pPr>
        <w:pStyle w:val="TOC2"/>
        <w:tabs>
          <w:tab w:val="right" w:leader="dot" w:pos="935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56004119" w:history="1">
        <w:r w:rsidR="00C715CE" w:rsidRPr="00C715CE">
          <w:rPr>
            <w:rStyle w:val="Hyperlink"/>
            <w:rFonts w:ascii="Times New Roman" w:hAnsi="Times New Roman"/>
            <w:bCs/>
            <w:noProof/>
          </w:rPr>
          <w:t>A. National Level</w:t>
        </w:r>
        <w:r w:rsidR="00C715CE" w:rsidRPr="00C715CE">
          <w:rPr>
            <w:rFonts w:ascii="Times New Roman" w:hAnsi="Times New Roman"/>
            <w:noProof/>
            <w:webHidden/>
          </w:rPr>
          <w:tab/>
        </w:r>
        <w:r w:rsidR="00C715CE" w:rsidRPr="00C715CE">
          <w:rPr>
            <w:rFonts w:ascii="Times New Roman" w:hAnsi="Times New Roman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noProof/>
            <w:webHidden/>
          </w:rPr>
          <w:instrText xml:space="preserve"> PAGEREF _Toc456004119 \h </w:instrText>
        </w:r>
        <w:r w:rsidR="00C715CE" w:rsidRPr="00C715CE">
          <w:rPr>
            <w:rFonts w:ascii="Times New Roman" w:hAnsi="Times New Roman"/>
            <w:noProof/>
            <w:webHidden/>
          </w:rPr>
        </w:r>
        <w:r w:rsidR="00C715CE" w:rsidRPr="00C715CE">
          <w:rPr>
            <w:rFonts w:ascii="Times New Roman" w:hAnsi="Times New Roman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noProof/>
            <w:webHidden/>
          </w:rPr>
          <w:t>5</w:t>
        </w:r>
        <w:r w:rsidR="00C715CE" w:rsidRPr="00C715C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39F8AE" w14:textId="77777777" w:rsidR="00C715CE" w:rsidRPr="00C715CE" w:rsidRDefault="00F41AA8">
      <w:pPr>
        <w:pStyle w:val="TOC2"/>
        <w:tabs>
          <w:tab w:val="right" w:leader="dot" w:pos="935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56004120" w:history="1">
        <w:r w:rsidR="00C715CE" w:rsidRPr="00C715CE">
          <w:rPr>
            <w:rStyle w:val="Hyperlink"/>
            <w:rFonts w:ascii="Times New Roman" w:hAnsi="Times New Roman"/>
            <w:bCs/>
            <w:noProof/>
          </w:rPr>
          <w:t>B.  Regional Level</w:t>
        </w:r>
        <w:r w:rsidR="00C715CE" w:rsidRPr="00C715CE">
          <w:rPr>
            <w:rFonts w:ascii="Times New Roman" w:hAnsi="Times New Roman"/>
            <w:noProof/>
            <w:webHidden/>
          </w:rPr>
          <w:tab/>
        </w:r>
        <w:r w:rsidR="00C715CE" w:rsidRPr="00C715CE">
          <w:rPr>
            <w:rFonts w:ascii="Times New Roman" w:hAnsi="Times New Roman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noProof/>
            <w:webHidden/>
          </w:rPr>
          <w:instrText xml:space="preserve"> PAGEREF _Toc456004120 \h </w:instrText>
        </w:r>
        <w:r w:rsidR="00C715CE" w:rsidRPr="00C715CE">
          <w:rPr>
            <w:rFonts w:ascii="Times New Roman" w:hAnsi="Times New Roman"/>
            <w:noProof/>
            <w:webHidden/>
          </w:rPr>
        </w:r>
        <w:r w:rsidR="00C715CE" w:rsidRPr="00C715CE">
          <w:rPr>
            <w:rFonts w:ascii="Times New Roman" w:hAnsi="Times New Roman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noProof/>
            <w:webHidden/>
          </w:rPr>
          <w:t>6</w:t>
        </w:r>
        <w:r w:rsidR="00C715CE" w:rsidRPr="00C715C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D060520" w14:textId="77777777" w:rsidR="00C715CE" w:rsidRPr="00C715CE" w:rsidRDefault="00F41AA8">
      <w:pPr>
        <w:pStyle w:val="TOC2"/>
        <w:tabs>
          <w:tab w:val="right" w:leader="dot" w:pos="935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56004121" w:history="1">
        <w:r w:rsidR="00C715CE" w:rsidRPr="00C715CE">
          <w:rPr>
            <w:rStyle w:val="Hyperlink"/>
            <w:rFonts w:ascii="Times New Roman" w:hAnsi="Times New Roman"/>
            <w:bCs/>
            <w:noProof/>
          </w:rPr>
          <w:t>C.  Global Level</w:t>
        </w:r>
        <w:r w:rsidR="00C715CE" w:rsidRPr="00C715CE">
          <w:rPr>
            <w:rFonts w:ascii="Times New Roman" w:hAnsi="Times New Roman"/>
            <w:noProof/>
            <w:webHidden/>
          </w:rPr>
          <w:tab/>
        </w:r>
        <w:r w:rsidR="00C715CE" w:rsidRPr="00C715CE">
          <w:rPr>
            <w:rFonts w:ascii="Times New Roman" w:hAnsi="Times New Roman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noProof/>
            <w:webHidden/>
          </w:rPr>
          <w:instrText xml:space="preserve"> PAGEREF _Toc456004121 \h </w:instrText>
        </w:r>
        <w:r w:rsidR="00C715CE" w:rsidRPr="00C715CE">
          <w:rPr>
            <w:rFonts w:ascii="Times New Roman" w:hAnsi="Times New Roman"/>
            <w:noProof/>
            <w:webHidden/>
          </w:rPr>
        </w:r>
        <w:r w:rsidR="00C715CE" w:rsidRPr="00C715CE">
          <w:rPr>
            <w:rFonts w:ascii="Times New Roman" w:hAnsi="Times New Roman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noProof/>
            <w:webHidden/>
          </w:rPr>
          <w:t>6</w:t>
        </w:r>
        <w:r w:rsidR="00C715CE" w:rsidRPr="00C715C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AFF7544" w14:textId="77777777" w:rsidR="00C715CE" w:rsidRPr="00C715CE" w:rsidRDefault="00F41AA8">
      <w:pPr>
        <w:pStyle w:val="TOC2"/>
        <w:tabs>
          <w:tab w:val="right" w:leader="dot" w:pos="935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56004122" w:history="1">
        <w:r w:rsidR="00C715CE" w:rsidRPr="00C715CE">
          <w:rPr>
            <w:rStyle w:val="Hyperlink"/>
            <w:rFonts w:ascii="Times New Roman" w:hAnsi="Times New Roman"/>
            <w:bCs/>
            <w:noProof/>
          </w:rPr>
          <w:t>D.  New Project Types</w:t>
        </w:r>
        <w:r w:rsidR="00C715CE" w:rsidRPr="00C715CE">
          <w:rPr>
            <w:rFonts w:ascii="Times New Roman" w:hAnsi="Times New Roman"/>
            <w:noProof/>
            <w:webHidden/>
          </w:rPr>
          <w:tab/>
        </w:r>
        <w:r w:rsidR="00C715CE" w:rsidRPr="00C715CE">
          <w:rPr>
            <w:rFonts w:ascii="Times New Roman" w:hAnsi="Times New Roman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noProof/>
            <w:webHidden/>
          </w:rPr>
          <w:instrText xml:space="preserve"> PAGEREF _Toc456004122 \h </w:instrText>
        </w:r>
        <w:r w:rsidR="00C715CE" w:rsidRPr="00C715CE">
          <w:rPr>
            <w:rFonts w:ascii="Times New Roman" w:hAnsi="Times New Roman"/>
            <w:noProof/>
            <w:webHidden/>
          </w:rPr>
        </w:r>
        <w:r w:rsidR="00C715CE" w:rsidRPr="00C715CE">
          <w:rPr>
            <w:rFonts w:ascii="Times New Roman" w:hAnsi="Times New Roman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noProof/>
            <w:webHidden/>
          </w:rPr>
          <w:t>6</w:t>
        </w:r>
        <w:r w:rsidR="00C715CE" w:rsidRPr="00C715C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54286F9" w14:textId="77777777" w:rsidR="00C715CE" w:rsidRPr="00C715CE" w:rsidRDefault="00F41AA8">
      <w:pPr>
        <w:pStyle w:val="TOC1"/>
        <w:tabs>
          <w:tab w:val="right" w:leader="dot" w:pos="935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56004123" w:history="1">
        <w:r w:rsidR="00C715CE" w:rsidRPr="00C715CE">
          <w:rPr>
            <w:rStyle w:val="Hyperlink"/>
            <w:rFonts w:ascii="Times New Roman" w:hAnsi="Times New Roman"/>
            <w:b w:val="0"/>
            <w:smallCaps/>
            <w:noProof/>
          </w:rPr>
          <w:t>IV. Performance Indicators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tab/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b w:val="0"/>
            <w:noProof/>
            <w:webHidden/>
          </w:rPr>
          <w:instrText xml:space="preserve"> PAGEREF _Toc456004123 \h </w:instrText>
        </w:r>
        <w:r w:rsidR="00C715CE" w:rsidRPr="00C715CE">
          <w:rPr>
            <w:rFonts w:ascii="Times New Roman" w:hAnsi="Times New Roman"/>
            <w:b w:val="0"/>
            <w:noProof/>
            <w:webHidden/>
          </w:rPr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b w:val="0"/>
            <w:noProof/>
            <w:webHidden/>
          </w:rPr>
          <w:t>6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2440CD0F" w14:textId="77777777" w:rsidR="00C715CE" w:rsidRPr="00C715CE" w:rsidRDefault="00F41AA8">
      <w:pPr>
        <w:pStyle w:val="TOC1"/>
        <w:tabs>
          <w:tab w:val="right" w:leader="dot" w:pos="935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56004124" w:history="1">
        <w:r w:rsidR="00C715CE" w:rsidRPr="00C715CE">
          <w:rPr>
            <w:rStyle w:val="Hyperlink"/>
            <w:rFonts w:ascii="Times New Roman" w:hAnsi="Times New Roman"/>
            <w:b w:val="0"/>
            <w:smallCaps/>
            <w:noProof/>
          </w:rPr>
          <w:t>V.   POLICY, ADMINISTRATIVE AND FINANCIAL ISSUES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tab/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C715CE" w:rsidRPr="00C715CE">
          <w:rPr>
            <w:rFonts w:ascii="Times New Roman" w:hAnsi="Times New Roman"/>
            <w:b w:val="0"/>
            <w:noProof/>
            <w:webHidden/>
          </w:rPr>
          <w:instrText xml:space="preserve"> PAGEREF _Toc456004124 \h </w:instrText>
        </w:r>
        <w:r w:rsidR="00C715CE" w:rsidRPr="00C715CE">
          <w:rPr>
            <w:rFonts w:ascii="Times New Roman" w:hAnsi="Times New Roman"/>
            <w:b w:val="0"/>
            <w:noProof/>
            <w:webHidden/>
          </w:rPr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992BA4">
          <w:rPr>
            <w:rFonts w:ascii="Times New Roman" w:hAnsi="Times New Roman"/>
            <w:b w:val="0"/>
            <w:noProof/>
            <w:webHidden/>
          </w:rPr>
          <w:t>8</w:t>
        </w:r>
        <w:r w:rsidR="00C715CE" w:rsidRPr="00C715CE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3AF4AF52" w14:textId="77777777" w:rsidR="002B6A8E" w:rsidRPr="00C715CE" w:rsidRDefault="00E854D4" w:rsidP="00211845">
      <w:pPr>
        <w:rPr>
          <w:rFonts w:ascii="Times New Roman" w:hAnsi="Times New Roman"/>
          <w:sz w:val="20"/>
        </w:rPr>
      </w:pPr>
      <w:r w:rsidRPr="00C715CE">
        <w:rPr>
          <w:rFonts w:ascii="Times New Roman" w:hAnsi="Times New Roman"/>
          <w:sz w:val="20"/>
        </w:rPr>
        <w:fldChar w:fldCharType="end"/>
      </w:r>
      <w:r w:rsidR="002B6A8E" w:rsidRPr="00C715CE">
        <w:rPr>
          <w:rFonts w:ascii="Times New Roman" w:hAnsi="Times New Roman"/>
          <w:sz w:val="20"/>
        </w:rPr>
        <w:br w:type="page"/>
      </w:r>
    </w:p>
    <w:p w14:paraId="57F6A5B1" w14:textId="77777777" w:rsidR="008D7286" w:rsidRPr="00611AE2" w:rsidRDefault="008D7286" w:rsidP="00211845">
      <w:pPr>
        <w:pStyle w:val="Default"/>
        <w:outlineLvl w:val="0"/>
        <w:rPr>
          <w:b/>
          <w:bCs/>
          <w:smallCaps/>
          <w:sz w:val="22"/>
        </w:rPr>
      </w:pPr>
    </w:p>
    <w:p w14:paraId="2C3F6D64" w14:textId="77777777" w:rsidR="002B6A8E" w:rsidRPr="00611AE2" w:rsidRDefault="002B6A8E" w:rsidP="00211845">
      <w:pPr>
        <w:pStyle w:val="Default"/>
        <w:outlineLvl w:val="0"/>
        <w:rPr>
          <w:b/>
          <w:bCs/>
          <w:smallCaps/>
          <w:sz w:val="22"/>
        </w:rPr>
      </w:pPr>
      <w:bookmarkStart w:id="1" w:name="_Toc456004113"/>
      <w:r w:rsidRPr="00611AE2">
        <w:rPr>
          <w:b/>
          <w:bCs/>
          <w:smallCaps/>
          <w:sz w:val="22"/>
        </w:rPr>
        <w:t>E</w:t>
      </w:r>
      <w:r w:rsidR="0088046C" w:rsidRPr="00611AE2">
        <w:rPr>
          <w:b/>
          <w:bCs/>
          <w:smallCaps/>
          <w:sz w:val="22"/>
        </w:rPr>
        <w:t>xecutive Summary</w:t>
      </w:r>
      <w:bookmarkEnd w:id="1"/>
    </w:p>
    <w:p w14:paraId="185452FF" w14:textId="77777777" w:rsidR="002B6A8E" w:rsidRPr="00611AE2" w:rsidRDefault="002B6A8E" w:rsidP="00211845">
      <w:pPr>
        <w:pStyle w:val="Default"/>
        <w:rPr>
          <w:sz w:val="22"/>
        </w:rPr>
      </w:pPr>
      <w:r w:rsidRPr="00611AE2">
        <w:rPr>
          <w:b/>
          <w:bCs/>
          <w:sz w:val="22"/>
        </w:rPr>
        <w:t xml:space="preserve"> </w:t>
      </w:r>
    </w:p>
    <w:p w14:paraId="7600C6EB" w14:textId="77777777" w:rsidR="002B6A8E" w:rsidRPr="0031133B" w:rsidRDefault="002B6A8E" w:rsidP="00211845">
      <w:pPr>
        <w:pStyle w:val="Default"/>
        <w:rPr>
          <w:sz w:val="22"/>
          <w:szCs w:val="22"/>
        </w:rPr>
      </w:pPr>
      <w:r w:rsidRPr="0031133B">
        <w:rPr>
          <w:sz w:val="22"/>
          <w:szCs w:val="22"/>
        </w:rPr>
        <w:t xml:space="preserve">The United Nations Environment </w:t>
      </w:r>
      <w:proofErr w:type="spellStart"/>
      <w:r w:rsidRPr="0031133B">
        <w:rPr>
          <w:sz w:val="22"/>
          <w:szCs w:val="22"/>
        </w:rPr>
        <w:t>Programme</w:t>
      </w:r>
      <w:proofErr w:type="spellEnd"/>
      <w:r w:rsidRPr="0031133B">
        <w:rPr>
          <w:sz w:val="22"/>
          <w:szCs w:val="22"/>
        </w:rPr>
        <w:t xml:space="preserve"> (UNEP) is submitting this document</w:t>
      </w:r>
      <w:r w:rsidR="000C3EA5" w:rsidRPr="0031133B">
        <w:rPr>
          <w:sz w:val="22"/>
          <w:szCs w:val="22"/>
        </w:rPr>
        <w:t xml:space="preserve"> for the consideration to the </w:t>
      </w:r>
      <w:r w:rsidR="0060563E" w:rsidRPr="0031133B">
        <w:rPr>
          <w:sz w:val="22"/>
          <w:szCs w:val="22"/>
        </w:rPr>
        <w:t>7</w:t>
      </w:r>
      <w:r w:rsidR="001615D2">
        <w:rPr>
          <w:sz w:val="22"/>
          <w:szCs w:val="22"/>
        </w:rPr>
        <w:t>7</w:t>
      </w:r>
      <w:r w:rsidR="00784E06">
        <w:rPr>
          <w:sz w:val="22"/>
          <w:szCs w:val="22"/>
        </w:rPr>
        <w:t>th</w:t>
      </w:r>
      <w:r w:rsidRPr="0031133B">
        <w:rPr>
          <w:sz w:val="22"/>
          <w:szCs w:val="22"/>
        </w:rPr>
        <w:t xml:space="preserve"> meeting of the Executive Committee of the Multilateral Fund for the Implementation of the Montreal Protocol. The document presents UNEP’s three-year rolling Business Plan for its Montreal Protocol-related activities covering the years </w:t>
      </w:r>
      <w:r w:rsidR="001615D2">
        <w:rPr>
          <w:sz w:val="22"/>
          <w:szCs w:val="22"/>
        </w:rPr>
        <w:t>2017-2019</w:t>
      </w:r>
      <w:r w:rsidRPr="0031133B">
        <w:rPr>
          <w:sz w:val="22"/>
          <w:szCs w:val="22"/>
        </w:rPr>
        <w:t xml:space="preserve">. It comprises: </w:t>
      </w:r>
    </w:p>
    <w:p w14:paraId="16DC0DC0" w14:textId="77777777" w:rsidR="002B6A8E" w:rsidRPr="0031133B" w:rsidRDefault="002B6A8E" w:rsidP="00211845">
      <w:pPr>
        <w:pStyle w:val="Default"/>
        <w:rPr>
          <w:sz w:val="22"/>
          <w:szCs w:val="22"/>
        </w:rPr>
      </w:pPr>
    </w:p>
    <w:p w14:paraId="13083347" w14:textId="77777777" w:rsidR="002B6A8E" w:rsidRPr="0031133B" w:rsidRDefault="002B6A8E" w:rsidP="0021184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Narrative. </w:t>
      </w:r>
    </w:p>
    <w:p w14:paraId="3CA3EAEF" w14:textId="77777777" w:rsidR="002B6A8E" w:rsidRPr="0031133B" w:rsidRDefault="002B6A8E" w:rsidP="0021184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Annex I: Projects planned for submission. </w:t>
      </w:r>
    </w:p>
    <w:p w14:paraId="777898E1" w14:textId="77777777" w:rsidR="002B6A8E" w:rsidRPr="0031133B" w:rsidRDefault="002B6A8E" w:rsidP="00211845">
      <w:pPr>
        <w:pStyle w:val="Default"/>
        <w:rPr>
          <w:sz w:val="22"/>
          <w:szCs w:val="22"/>
        </w:rPr>
      </w:pPr>
    </w:p>
    <w:p w14:paraId="688DE992" w14:textId="77777777" w:rsidR="008150C6" w:rsidRPr="0031133B" w:rsidRDefault="002B6A8E" w:rsidP="00211845">
      <w:pPr>
        <w:pStyle w:val="Default"/>
        <w:rPr>
          <w:sz w:val="22"/>
          <w:szCs w:val="22"/>
        </w:rPr>
      </w:pPr>
      <w:r w:rsidRPr="0031133B">
        <w:rPr>
          <w:sz w:val="22"/>
          <w:szCs w:val="22"/>
        </w:rPr>
        <w:t xml:space="preserve">The focus and orientation of UNEP’s work under this Business Plan continues to be defined by the evolving needs of </w:t>
      </w:r>
      <w:r w:rsidR="00BA1DB5" w:rsidRPr="0031133B">
        <w:rPr>
          <w:sz w:val="22"/>
          <w:szCs w:val="22"/>
        </w:rPr>
        <w:t xml:space="preserve">countries operating under Article 5 of the Protocol (“Article 5 countries”) </w:t>
      </w:r>
      <w:r w:rsidRPr="0031133B">
        <w:rPr>
          <w:sz w:val="22"/>
          <w:szCs w:val="22"/>
        </w:rPr>
        <w:t xml:space="preserve">as they progress in their implementation of the Montreal Protocol, and as they meet and sustain compliance with specific obligations. Through the activities identified in this Business Plan, UNEP will </w:t>
      </w:r>
      <w:r w:rsidR="0077422A" w:rsidRPr="0031133B">
        <w:rPr>
          <w:sz w:val="22"/>
          <w:szCs w:val="22"/>
        </w:rPr>
        <w:t>assist the countries with</w:t>
      </w:r>
      <w:r w:rsidRPr="0031133B">
        <w:rPr>
          <w:sz w:val="22"/>
          <w:szCs w:val="22"/>
        </w:rPr>
        <w:t xml:space="preserve"> implementing </w:t>
      </w:r>
      <w:r w:rsidR="0077422A" w:rsidRPr="0031133B">
        <w:rPr>
          <w:sz w:val="22"/>
          <w:szCs w:val="22"/>
        </w:rPr>
        <w:t xml:space="preserve">their </w:t>
      </w:r>
      <w:r w:rsidRPr="0031133B">
        <w:rPr>
          <w:sz w:val="22"/>
          <w:szCs w:val="22"/>
        </w:rPr>
        <w:t>HCFC phase-out responsibilities</w:t>
      </w:r>
      <w:r w:rsidR="0077422A" w:rsidRPr="0031133B">
        <w:rPr>
          <w:sz w:val="22"/>
          <w:szCs w:val="22"/>
        </w:rPr>
        <w:t xml:space="preserve"> including </w:t>
      </w:r>
      <w:r w:rsidR="008C0270">
        <w:rPr>
          <w:sz w:val="22"/>
          <w:szCs w:val="22"/>
        </w:rPr>
        <w:t>preparing for</w:t>
      </w:r>
      <w:r w:rsidR="0077422A" w:rsidRPr="0031133B">
        <w:rPr>
          <w:sz w:val="22"/>
          <w:szCs w:val="22"/>
        </w:rPr>
        <w:t xml:space="preserve"> </w:t>
      </w:r>
      <w:r w:rsidRPr="008C0270">
        <w:rPr>
          <w:color w:val="auto"/>
          <w:sz w:val="22"/>
          <w:szCs w:val="22"/>
        </w:rPr>
        <w:t>the 20</w:t>
      </w:r>
      <w:r w:rsidR="00573F88" w:rsidRPr="008C0270">
        <w:rPr>
          <w:color w:val="auto"/>
          <w:sz w:val="22"/>
          <w:szCs w:val="22"/>
        </w:rPr>
        <w:t>20</w:t>
      </w:r>
      <w:r w:rsidRPr="008C0270">
        <w:rPr>
          <w:color w:val="auto"/>
          <w:sz w:val="22"/>
          <w:szCs w:val="22"/>
        </w:rPr>
        <w:t xml:space="preserve"> </w:t>
      </w:r>
      <w:r w:rsidR="005F2C3F" w:rsidRPr="008C0270">
        <w:rPr>
          <w:color w:val="auto"/>
          <w:sz w:val="22"/>
          <w:szCs w:val="22"/>
        </w:rPr>
        <w:t xml:space="preserve">target </w:t>
      </w:r>
      <w:r w:rsidR="0077422A" w:rsidRPr="0031133B">
        <w:rPr>
          <w:sz w:val="22"/>
          <w:szCs w:val="22"/>
        </w:rPr>
        <w:t xml:space="preserve">and </w:t>
      </w:r>
      <w:r w:rsidR="005F2C3F" w:rsidRPr="0031133B">
        <w:rPr>
          <w:sz w:val="22"/>
          <w:szCs w:val="22"/>
        </w:rPr>
        <w:t xml:space="preserve"> </w:t>
      </w:r>
      <w:r w:rsidR="0077422A" w:rsidRPr="0031133B">
        <w:rPr>
          <w:sz w:val="22"/>
          <w:szCs w:val="22"/>
        </w:rPr>
        <w:t>subsequent reduction steps</w:t>
      </w:r>
      <w:r w:rsidRPr="0031133B">
        <w:rPr>
          <w:sz w:val="22"/>
          <w:szCs w:val="22"/>
        </w:rPr>
        <w:t xml:space="preserve">, </w:t>
      </w:r>
      <w:r w:rsidR="00054B98" w:rsidRPr="0031133B">
        <w:rPr>
          <w:sz w:val="22"/>
          <w:szCs w:val="22"/>
        </w:rPr>
        <w:t>strengthening the government institutions in Article 5 countries responsible for implementing and reporting on their national strategies to comply with the Montreal Protocol</w:t>
      </w:r>
      <w:r w:rsidR="005F2C3F" w:rsidRPr="0031133B">
        <w:rPr>
          <w:sz w:val="22"/>
          <w:szCs w:val="22"/>
        </w:rPr>
        <w:t xml:space="preserve">, </w:t>
      </w:r>
      <w:r w:rsidRPr="0031133B">
        <w:rPr>
          <w:sz w:val="22"/>
          <w:szCs w:val="22"/>
        </w:rPr>
        <w:t>and sustain</w:t>
      </w:r>
      <w:r w:rsidR="0077422A" w:rsidRPr="0031133B">
        <w:rPr>
          <w:sz w:val="22"/>
          <w:szCs w:val="22"/>
        </w:rPr>
        <w:t xml:space="preserve">ing </w:t>
      </w:r>
      <w:r w:rsidR="00054B98" w:rsidRPr="0031133B">
        <w:rPr>
          <w:sz w:val="22"/>
          <w:szCs w:val="22"/>
        </w:rPr>
        <w:t xml:space="preserve">Article 5 countries’ </w:t>
      </w:r>
      <w:r w:rsidR="0077422A" w:rsidRPr="0031133B">
        <w:rPr>
          <w:sz w:val="22"/>
          <w:szCs w:val="22"/>
        </w:rPr>
        <w:t>compliance with</w:t>
      </w:r>
      <w:r w:rsidRPr="0031133B">
        <w:rPr>
          <w:sz w:val="22"/>
          <w:szCs w:val="22"/>
        </w:rPr>
        <w:t xml:space="preserve"> </w:t>
      </w:r>
      <w:r w:rsidR="00B657B9" w:rsidRPr="0031133B">
        <w:rPr>
          <w:sz w:val="22"/>
          <w:szCs w:val="22"/>
        </w:rPr>
        <w:t xml:space="preserve">ozone depleting substance (ODS) </w:t>
      </w:r>
      <w:r w:rsidRPr="0031133B">
        <w:rPr>
          <w:sz w:val="22"/>
          <w:szCs w:val="22"/>
        </w:rPr>
        <w:t>phase out targets already met.</w:t>
      </w:r>
    </w:p>
    <w:p w14:paraId="27466D5E" w14:textId="77777777" w:rsidR="002B6A8E" w:rsidRPr="0031133B" w:rsidRDefault="002B6A8E" w:rsidP="00211845">
      <w:pPr>
        <w:pStyle w:val="Default"/>
        <w:rPr>
          <w:sz w:val="22"/>
          <w:szCs w:val="22"/>
        </w:rPr>
      </w:pPr>
      <w:r w:rsidRPr="0031133B">
        <w:rPr>
          <w:sz w:val="22"/>
          <w:szCs w:val="22"/>
        </w:rPr>
        <w:t xml:space="preserve"> </w:t>
      </w:r>
    </w:p>
    <w:p w14:paraId="53DE7521" w14:textId="3B55FCE1" w:rsidR="002B6A8E" w:rsidRPr="0031133B" w:rsidRDefault="002B6A8E" w:rsidP="00211845">
      <w:pPr>
        <w:pStyle w:val="Default"/>
        <w:rPr>
          <w:sz w:val="22"/>
          <w:szCs w:val="22"/>
        </w:rPr>
      </w:pPr>
      <w:r w:rsidRPr="0031133B">
        <w:rPr>
          <w:sz w:val="22"/>
          <w:szCs w:val="22"/>
        </w:rPr>
        <w:t xml:space="preserve">UNEP will achieve its Business Plan objectives by a combination of compliance assistance services delivered </w:t>
      </w:r>
      <w:r w:rsidR="00737AEE" w:rsidRPr="0031133B">
        <w:rPr>
          <w:sz w:val="22"/>
          <w:szCs w:val="22"/>
        </w:rPr>
        <w:t>through</w:t>
      </w:r>
      <w:r w:rsidRPr="0031133B">
        <w:rPr>
          <w:sz w:val="22"/>
          <w:szCs w:val="22"/>
        </w:rPr>
        <w:t xml:space="preserve"> the 201</w:t>
      </w:r>
      <w:r w:rsidR="001615D2">
        <w:rPr>
          <w:sz w:val="22"/>
          <w:szCs w:val="22"/>
        </w:rPr>
        <w:t>7</w:t>
      </w:r>
      <w:r w:rsidRPr="0031133B">
        <w:rPr>
          <w:sz w:val="22"/>
          <w:szCs w:val="22"/>
        </w:rPr>
        <w:t xml:space="preserve"> Compliance Assistance </w:t>
      </w:r>
      <w:proofErr w:type="spellStart"/>
      <w:r w:rsidRPr="0031133B">
        <w:rPr>
          <w:sz w:val="22"/>
          <w:szCs w:val="22"/>
        </w:rPr>
        <w:t>Programme</w:t>
      </w:r>
      <w:proofErr w:type="spellEnd"/>
      <w:r w:rsidRPr="0031133B">
        <w:rPr>
          <w:sz w:val="22"/>
          <w:szCs w:val="22"/>
        </w:rPr>
        <w:t xml:space="preserve"> (CAP),</w:t>
      </w:r>
      <w:r w:rsidR="00B70B18" w:rsidRPr="0031133B">
        <w:rPr>
          <w:rStyle w:val="FootnoteReference"/>
          <w:sz w:val="22"/>
          <w:szCs w:val="22"/>
        </w:rPr>
        <w:footnoteReference w:id="1"/>
      </w:r>
      <w:r w:rsidR="0077422A" w:rsidRPr="0031133B">
        <w:rPr>
          <w:sz w:val="22"/>
          <w:szCs w:val="22"/>
        </w:rPr>
        <w:t xml:space="preserve"> </w:t>
      </w:r>
      <w:r w:rsidRPr="0031133B">
        <w:rPr>
          <w:sz w:val="22"/>
          <w:szCs w:val="22"/>
        </w:rPr>
        <w:t xml:space="preserve">as well as the </w:t>
      </w:r>
      <w:r w:rsidR="0027612D" w:rsidRPr="0031133B">
        <w:rPr>
          <w:sz w:val="22"/>
          <w:szCs w:val="22"/>
        </w:rPr>
        <w:t xml:space="preserve">ongoing and planned </w:t>
      </w:r>
      <w:r w:rsidRPr="0031133B">
        <w:rPr>
          <w:sz w:val="22"/>
          <w:szCs w:val="22"/>
        </w:rPr>
        <w:t>national, regional and global project</w:t>
      </w:r>
      <w:r w:rsidR="00F16A15" w:rsidRPr="0031133B">
        <w:rPr>
          <w:sz w:val="22"/>
          <w:szCs w:val="22"/>
        </w:rPr>
        <w:t>s</w:t>
      </w:r>
      <w:r w:rsidRPr="0031133B">
        <w:rPr>
          <w:sz w:val="22"/>
          <w:szCs w:val="22"/>
        </w:rPr>
        <w:t xml:space="preserve"> detailed in this </w:t>
      </w:r>
      <w:r w:rsidR="00892308">
        <w:rPr>
          <w:sz w:val="22"/>
          <w:szCs w:val="22"/>
        </w:rPr>
        <w:t>document</w:t>
      </w:r>
      <w:r w:rsidRPr="0031133B">
        <w:rPr>
          <w:sz w:val="22"/>
          <w:szCs w:val="22"/>
        </w:rPr>
        <w:t xml:space="preserve">. The </w:t>
      </w:r>
      <w:r w:rsidR="00892308">
        <w:rPr>
          <w:sz w:val="22"/>
          <w:szCs w:val="22"/>
        </w:rPr>
        <w:t xml:space="preserve">project services include </w:t>
      </w:r>
      <w:r w:rsidRPr="0031133B">
        <w:rPr>
          <w:sz w:val="22"/>
          <w:szCs w:val="22"/>
        </w:rPr>
        <w:t>preparation and implementation</w:t>
      </w:r>
      <w:r w:rsidR="00B657B9" w:rsidRPr="0031133B">
        <w:rPr>
          <w:sz w:val="22"/>
          <w:szCs w:val="22"/>
        </w:rPr>
        <w:t xml:space="preserve"> </w:t>
      </w:r>
      <w:r w:rsidR="00892308">
        <w:rPr>
          <w:sz w:val="22"/>
          <w:szCs w:val="22"/>
        </w:rPr>
        <w:t xml:space="preserve">of HCFC Phase out Management Plans (HPMPs) for </w:t>
      </w:r>
      <w:r w:rsidR="00B657B9" w:rsidRPr="00687208">
        <w:rPr>
          <w:sz w:val="22"/>
          <w:szCs w:val="22"/>
        </w:rPr>
        <w:t>both Stages I</w:t>
      </w:r>
      <w:r w:rsidR="00B657B9" w:rsidRPr="0031133B">
        <w:rPr>
          <w:sz w:val="22"/>
          <w:szCs w:val="22"/>
        </w:rPr>
        <w:t xml:space="preserve"> and II</w:t>
      </w:r>
      <w:r w:rsidRPr="0031133B">
        <w:rPr>
          <w:sz w:val="22"/>
          <w:szCs w:val="22"/>
        </w:rPr>
        <w:t>, Institutional Strengthening</w:t>
      </w:r>
      <w:r w:rsidR="00892308">
        <w:rPr>
          <w:sz w:val="22"/>
          <w:szCs w:val="22"/>
        </w:rPr>
        <w:t xml:space="preserve"> projects</w:t>
      </w:r>
      <w:r w:rsidRPr="0031133B">
        <w:rPr>
          <w:sz w:val="22"/>
          <w:szCs w:val="22"/>
        </w:rPr>
        <w:t xml:space="preserve">, </w:t>
      </w:r>
      <w:r w:rsidRPr="008213AB">
        <w:rPr>
          <w:color w:val="auto"/>
          <w:sz w:val="22"/>
          <w:szCs w:val="22"/>
        </w:rPr>
        <w:t xml:space="preserve">and technical assistance. </w:t>
      </w:r>
      <w:r w:rsidR="00573F88" w:rsidRPr="008213AB">
        <w:rPr>
          <w:color w:val="auto"/>
          <w:sz w:val="22"/>
          <w:szCs w:val="22"/>
        </w:rPr>
        <w:t>In addition to the a</w:t>
      </w:r>
      <w:r w:rsidR="00573F88">
        <w:rPr>
          <w:sz w:val="22"/>
          <w:szCs w:val="22"/>
        </w:rPr>
        <w:t xml:space="preserve">nticipated Business Plan activities, UNEP will implement HPMP verification projects as and when </w:t>
      </w:r>
      <w:r w:rsidR="008C0270">
        <w:rPr>
          <w:sz w:val="22"/>
          <w:szCs w:val="22"/>
        </w:rPr>
        <w:t>requested</w:t>
      </w:r>
      <w:r w:rsidR="00573F88">
        <w:rPr>
          <w:sz w:val="22"/>
          <w:szCs w:val="22"/>
        </w:rPr>
        <w:t xml:space="preserve"> by the Executive Committee during the course of </w:t>
      </w:r>
      <w:r w:rsidR="001615D2">
        <w:rPr>
          <w:sz w:val="22"/>
          <w:szCs w:val="22"/>
        </w:rPr>
        <w:t>2017-2019</w:t>
      </w:r>
      <w:r w:rsidR="00573F88">
        <w:rPr>
          <w:sz w:val="22"/>
          <w:szCs w:val="22"/>
        </w:rPr>
        <w:t>.</w:t>
      </w:r>
    </w:p>
    <w:p w14:paraId="184065DB" w14:textId="77777777" w:rsidR="0088046C" w:rsidRPr="0031133B" w:rsidRDefault="0088046C" w:rsidP="00211845">
      <w:pPr>
        <w:pStyle w:val="Default"/>
        <w:rPr>
          <w:sz w:val="22"/>
          <w:szCs w:val="22"/>
        </w:rPr>
      </w:pPr>
    </w:p>
    <w:p w14:paraId="7990477D" w14:textId="77777777" w:rsidR="00B70B18" w:rsidRPr="007F228F" w:rsidRDefault="00B70B18" w:rsidP="00211845">
      <w:pPr>
        <w:rPr>
          <w:rFonts w:ascii="Times New Roman" w:hAnsi="Times New Roman"/>
        </w:rPr>
      </w:pPr>
      <w:r w:rsidRPr="007F228F">
        <w:rPr>
          <w:rFonts w:ascii="Times New Roman" w:hAnsi="Times New Roman"/>
        </w:rPr>
        <w:t xml:space="preserve">UNEP will deliver the projects in this </w:t>
      </w:r>
      <w:r w:rsidR="001615D2">
        <w:rPr>
          <w:rFonts w:ascii="Times New Roman" w:hAnsi="Times New Roman"/>
        </w:rPr>
        <w:t>2017-2019</w:t>
      </w:r>
      <w:r w:rsidRPr="007F228F">
        <w:rPr>
          <w:rFonts w:ascii="Times New Roman" w:hAnsi="Times New Roman"/>
        </w:rPr>
        <w:t xml:space="preserve"> Business Plan</w:t>
      </w:r>
      <w:r w:rsidR="0031133B" w:rsidRPr="007F228F">
        <w:rPr>
          <w:rFonts w:ascii="Times New Roman" w:hAnsi="Times New Roman"/>
        </w:rPr>
        <w:t xml:space="preserve"> </w:t>
      </w:r>
      <w:r w:rsidRPr="007F228F">
        <w:rPr>
          <w:rFonts w:ascii="Times New Roman" w:hAnsi="Times New Roman"/>
        </w:rPr>
        <w:t>and perform the project development, monitoring and reporting duties required of all Implementing Agencies through the proposed 201</w:t>
      </w:r>
      <w:r w:rsidR="001615D2">
        <w:rPr>
          <w:rFonts w:ascii="Times New Roman" w:hAnsi="Times New Roman"/>
        </w:rPr>
        <w:t>7</w:t>
      </w:r>
      <w:r w:rsidRPr="007F228F">
        <w:rPr>
          <w:rFonts w:ascii="Times New Roman" w:hAnsi="Times New Roman"/>
        </w:rPr>
        <w:t xml:space="preserve"> CAP</w:t>
      </w:r>
      <w:r w:rsidR="007F228F" w:rsidRPr="007F228F">
        <w:rPr>
          <w:rFonts w:ascii="Times New Roman" w:hAnsi="Times New Roman"/>
        </w:rPr>
        <w:t xml:space="preserve"> Work </w:t>
      </w:r>
      <w:proofErr w:type="spellStart"/>
      <w:r w:rsidR="007F228F" w:rsidRPr="007F228F">
        <w:rPr>
          <w:rFonts w:ascii="Times New Roman" w:hAnsi="Times New Roman"/>
        </w:rPr>
        <w:t>Programme</w:t>
      </w:r>
      <w:proofErr w:type="spellEnd"/>
      <w:r w:rsidR="007F228F" w:rsidRPr="007F228F">
        <w:rPr>
          <w:rFonts w:ascii="Times New Roman" w:hAnsi="Times New Roman"/>
        </w:rPr>
        <w:t xml:space="preserve"> and</w:t>
      </w:r>
      <w:r w:rsidRPr="007F228F">
        <w:rPr>
          <w:rFonts w:ascii="Times New Roman" w:hAnsi="Times New Roman"/>
        </w:rPr>
        <w:t xml:space="preserve"> Budget.</w:t>
      </w:r>
      <w:r w:rsidR="0031133B" w:rsidRPr="007F228F">
        <w:rPr>
          <w:rFonts w:ascii="Times New Roman" w:hAnsi="Times New Roman"/>
        </w:rPr>
        <w:t xml:space="preserve"> In addition to the projects detailed in this Business Plan, UNEP continues to assist several bilateral agencies with the implementation of their Multilateral Fund projects</w:t>
      </w:r>
      <w:r w:rsidR="007F228F" w:rsidRPr="007F228F">
        <w:rPr>
          <w:rFonts w:ascii="Times New Roman" w:hAnsi="Times New Roman"/>
        </w:rPr>
        <w:t xml:space="preserve"> through CAP</w:t>
      </w:r>
      <w:r w:rsidR="0031133B" w:rsidRPr="007F228F">
        <w:rPr>
          <w:rFonts w:ascii="Times New Roman" w:hAnsi="Times New Roman"/>
        </w:rPr>
        <w:t xml:space="preserve"> and also </w:t>
      </w:r>
      <w:r w:rsidR="007F228F" w:rsidRPr="007F228F">
        <w:rPr>
          <w:rFonts w:ascii="Times New Roman" w:hAnsi="Times New Roman"/>
        </w:rPr>
        <w:t>engages in select partnerships for Montreal Protocol objectives complementary to the Multilateral Fund (including projects and activities)</w:t>
      </w:r>
      <w:r w:rsidR="0031133B" w:rsidRPr="007F228F">
        <w:rPr>
          <w:rFonts w:ascii="Times New Roman" w:hAnsi="Times New Roman"/>
        </w:rPr>
        <w:t>.</w:t>
      </w:r>
      <w:r w:rsidR="007F228F" w:rsidRPr="007F228F">
        <w:rPr>
          <w:rStyle w:val="FootnoteReference"/>
          <w:rFonts w:ascii="Times New Roman" w:hAnsi="Times New Roman"/>
        </w:rPr>
        <w:footnoteReference w:id="2"/>
      </w:r>
    </w:p>
    <w:p w14:paraId="2F138ACF" w14:textId="77777777" w:rsidR="00B70B18" w:rsidRPr="0031133B" w:rsidRDefault="00B70B18" w:rsidP="00211845">
      <w:pPr>
        <w:rPr>
          <w:rFonts w:ascii="Times New Roman" w:hAnsi="Times New Roman"/>
        </w:rPr>
      </w:pPr>
    </w:p>
    <w:p w14:paraId="1BC0FF8B" w14:textId="7C373B63" w:rsidR="002B6A8E" w:rsidRPr="0031133B" w:rsidRDefault="002B6A8E" w:rsidP="00211845">
      <w:pPr>
        <w:pStyle w:val="Default"/>
        <w:rPr>
          <w:sz w:val="22"/>
          <w:szCs w:val="22"/>
        </w:rPr>
      </w:pPr>
      <w:r w:rsidRPr="0031133B">
        <w:rPr>
          <w:sz w:val="22"/>
          <w:szCs w:val="22"/>
        </w:rPr>
        <w:t xml:space="preserve">UNEP is planning project submissions over the next three years as follows: </w:t>
      </w:r>
      <w:r w:rsidRPr="0031133B">
        <w:rPr>
          <w:color w:val="auto"/>
          <w:sz w:val="22"/>
          <w:szCs w:val="22"/>
        </w:rPr>
        <w:t xml:space="preserve">US$ </w:t>
      </w:r>
      <w:r w:rsidR="007832B3">
        <w:rPr>
          <w:color w:val="auto"/>
          <w:sz w:val="22"/>
          <w:szCs w:val="22"/>
        </w:rPr>
        <w:t>26,066,</w:t>
      </w:r>
      <w:r w:rsidR="007832B3" w:rsidRPr="007832B3">
        <w:rPr>
          <w:color w:val="auto"/>
          <w:sz w:val="22"/>
          <w:szCs w:val="22"/>
        </w:rPr>
        <w:t>689</w:t>
      </w:r>
      <w:r w:rsidR="007832B3">
        <w:rPr>
          <w:color w:val="auto"/>
          <w:sz w:val="22"/>
          <w:szCs w:val="22"/>
        </w:rPr>
        <w:t xml:space="preserve"> </w:t>
      </w:r>
      <w:r w:rsidRPr="0031133B">
        <w:rPr>
          <w:sz w:val="22"/>
          <w:szCs w:val="22"/>
        </w:rPr>
        <w:t>for 201</w:t>
      </w:r>
      <w:r w:rsidR="001615D2">
        <w:rPr>
          <w:sz w:val="22"/>
          <w:szCs w:val="22"/>
        </w:rPr>
        <w:t>7</w:t>
      </w:r>
      <w:r w:rsidR="00220EF2" w:rsidRPr="0031133B">
        <w:rPr>
          <w:sz w:val="22"/>
          <w:szCs w:val="22"/>
        </w:rPr>
        <w:t xml:space="preserve">, US$ </w:t>
      </w:r>
      <w:r w:rsidR="007832B3" w:rsidRPr="007832B3">
        <w:rPr>
          <w:sz w:val="22"/>
          <w:szCs w:val="22"/>
        </w:rPr>
        <w:t>28,099</w:t>
      </w:r>
      <w:r w:rsidR="007832B3">
        <w:rPr>
          <w:sz w:val="22"/>
          <w:szCs w:val="22"/>
        </w:rPr>
        <w:t>,</w:t>
      </w:r>
      <w:r w:rsidR="007832B3" w:rsidRPr="007832B3">
        <w:rPr>
          <w:sz w:val="22"/>
          <w:szCs w:val="22"/>
        </w:rPr>
        <w:t>335</w:t>
      </w:r>
      <w:r w:rsidR="007832B3">
        <w:rPr>
          <w:sz w:val="22"/>
          <w:szCs w:val="22"/>
        </w:rPr>
        <w:t xml:space="preserve"> </w:t>
      </w:r>
      <w:r w:rsidRPr="0031133B">
        <w:rPr>
          <w:sz w:val="22"/>
          <w:szCs w:val="22"/>
        </w:rPr>
        <w:t>for 201</w:t>
      </w:r>
      <w:r w:rsidR="001615D2">
        <w:rPr>
          <w:sz w:val="22"/>
          <w:szCs w:val="22"/>
        </w:rPr>
        <w:t>8</w:t>
      </w:r>
      <w:r w:rsidRPr="0031133B">
        <w:rPr>
          <w:sz w:val="22"/>
          <w:szCs w:val="22"/>
        </w:rPr>
        <w:t xml:space="preserve">, and US$ </w:t>
      </w:r>
      <w:r w:rsidR="00F834D6">
        <w:rPr>
          <w:sz w:val="22"/>
          <w:szCs w:val="22"/>
        </w:rPr>
        <w:t>24,531</w:t>
      </w:r>
      <w:r w:rsidR="00467489">
        <w:rPr>
          <w:sz w:val="22"/>
          <w:szCs w:val="22"/>
        </w:rPr>
        <w:t>,</w:t>
      </w:r>
      <w:r w:rsidR="00F834D6">
        <w:rPr>
          <w:sz w:val="22"/>
          <w:szCs w:val="22"/>
        </w:rPr>
        <w:t xml:space="preserve">310 </w:t>
      </w:r>
      <w:r w:rsidRPr="0031133B">
        <w:rPr>
          <w:sz w:val="22"/>
          <w:szCs w:val="22"/>
        </w:rPr>
        <w:t>for 201</w:t>
      </w:r>
      <w:r w:rsidR="001615D2">
        <w:rPr>
          <w:sz w:val="22"/>
          <w:szCs w:val="22"/>
        </w:rPr>
        <w:t>9</w:t>
      </w:r>
      <w:r w:rsidRPr="0031133B">
        <w:rPr>
          <w:sz w:val="22"/>
          <w:szCs w:val="22"/>
        </w:rPr>
        <w:t xml:space="preserve">, all inclusive of the respective annual CAP budgets and </w:t>
      </w:r>
      <w:proofErr w:type="spellStart"/>
      <w:r w:rsidRPr="0031133B">
        <w:rPr>
          <w:sz w:val="22"/>
          <w:szCs w:val="22"/>
        </w:rPr>
        <w:t>programme</w:t>
      </w:r>
      <w:proofErr w:type="spellEnd"/>
      <w:r w:rsidRPr="0031133B">
        <w:rPr>
          <w:sz w:val="22"/>
          <w:szCs w:val="22"/>
        </w:rPr>
        <w:t xml:space="preserve"> support costs (PSC). </w:t>
      </w:r>
    </w:p>
    <w:p w14:paraId="561830E4" w14:textId="77777777" w:rsidR="0088046C" w:rsidRPr="0031133B" w:rsidRDefault="0088046C" w:rsidP="00211845">
      <w:pPr>
        <w:pStyle w:val="Default"/>
        <w:rPr>
          <w:sz w:val="22"/>
          <w:szCs w:val="22"/>
        </w:rPr>
      </w:pPr>
    </w:p>
    <w:p w14:paraId="791879E9" w14:textId="06F3C78D" w:rsidR="002B6A8E" w:rsidRPr="0031133B" w:rsidRDefault="00784E06" w:rsidP="0021184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For</w:t>
      </w:r>
      <w:r w:rsidR="002B6A8E" w:rsidRPr="0031133B">
        <w:rPr>
          <w:sz w:val="22"/>
          <w:szCs w:val="22"/>
        </w:rPr>
        <w:t xml:space="preserve"> 201</w:t>
      </w:r>
      <w:r w:rsidR="00A07BD1">
        <w:rPr>
          <w:sz w:val="22"/>
          <w:szCs w:val="22"/>
        </w:rPr>
        <w:t>7</w:t>
      </w:r>
      <w:r w:rsidR="002B6A8E" w:rsidRPr="0031133B">
        <w:rPr>
          <w:sz w:val="22"/>
          <w:szCs w:val="22"/>
        </w:rPr>
        <w:t xml:space="preserve">, UNEP will prepare and submit </w:t>
      </w:r>
      <w:r w:rsidR="007832B3">
        <w:rPr>
          <w:sz w:val="22"/>
          <w:szCs w:val="22"/>
        </w:rPr>
        <w:t>99</w:t>
      </w:r>
      <w:r w:rsidR="0077422A" w:rsidRPr="0031133B">
        <w:rPr>
          <w:sz w:val="22"/>
          <w:szCs w:val="22"/>
        </w:rPr>
        <w:t xml:space="preserve"> </w:t>
      </w:r>
      <w:r w:rsidR="002B6A8E" w:rsidRPr="0031133B">
        <w:rPr>
          <w:sz w:val="22"/>
          <w:szCs w:val="22"/>
        </w:rPr>
        <w:t xml:space="preserve">projects to the Executive Committee, including new projects, </w:t>
      </w:r>
      <w:r w:rsidR="00B657B9" w:rsidRPr="0031133B">
        <w:rPr>
          <w:sz w:val="22"/>
          <w:szCs w:val="22"/>
        </w:rPr>
        <w:t xml:space="preserve">planned </w:t>
      </w:r>
      <w:r w:rsidR="002B6A8E" w:rsidRPr="0031133B">
        <w:rPr>
          <w:sz w:val="22"/>
          <w:szCs w:val="22"/>
        </w:rPr>
        <w:t xml:space="preserve">tranches of </w:t>
      </w:r>
      <w:r w:rsidR="00B657B9" w:rsidRPr="0031133B">
        <w:rPr>
          <w:sz w:val="22"/>
          <w:szCs w:val="22"/>
        </w:rPr>
        <w:t xml:space="preserve">previously-approved </w:t>
      </w:r>
      <w:r w:rsidR="002B6A8E" w:rsidRPr="0031133B">
        <w:rPr>
          <w:sz w:val="22"/>
          <w:szCs w:val="22"/>
        </w:rPr>
        <w:t xml:space="preserve">multi-year agreements (MYAs), and the annual CAP </w:t>
      </w:r>
      <w:r w:rsidR="007F228F" w:rsidRPr="007F228F">
        <w:rPr>
          <w:sz w:val="22"/>
          <w:szCs w:val="22"/>
        </w:rPr>
        <w:t xml:space="preserve">Work </w:t>
      </w:r>
      <w:proofErr w:type="spellStart"/>
      <w:r w:rsidR="007F228F" w:rsidRPr="007F228F">
        <w:rPr>
          <w:sz w:val="22"/>
          <w:szCs w:val="22"/>
        </w:rPr>
        <w:t>Programme</w:t>
      </w:r>
      <w:proofErr w:type="spellEnd"/>
      <w:r w:rsidR="007F228F" w:rsidRPr="007F228F">
        <w:rPr>
          <w:sz w:val="22"/>
          <w:szCs w:val="22"/>
        </w:rPr>
        <w:t xml:space="preserve"> and Budget </w:t>
      </w:r>
      <w:r w:rsidR="002B6A8E" w:rsidRPr="0031133B">
        <w:rPr>
          <w:sz w:val="22"/>
          <w:szCs w:val="22"/>
        </w:rPr>
        <w:t>for the year 201</w:t>
      </w:r>
      <w:r w:rsidR="00A07BD1">
        <w:rPr>
          <w:sz w:val="22"/>
          <w:szCs w:val="22"/>
        </w:rPr>
        <w:t>8</w:t>
      </w:r>
      <w:r w:rsidR="002B6A8E" w:rsidRPr="0031133B">
        <w:rPr>
          <w:sz w:val="22"/>
          <w:szCs w:val="22"/>
        </w:rPr>
        <w:t xml:space="preserve">. </w:t>
      </w:r>
    </w:p>
    <w:p w14:paraId="3B09CCBE" w14:textId="77777777" w:rsidR="008150C6" w:rsidRPr="0031133B" w:rsidRDefault="008150C6" w:rsidP="00211845">
      <w:pPr>
        <w:rPr>
          <w:rFonts w:ascii="Times New Roman" w:hAnsi="Times New Roman"/>
        </w:rPr>
      </w:pPr>
    </w:p>
    <w:p w14:paraId="02005A7C" w14:textId="0AFDD9A3" w:rsidR="00BC0D51" w:rsidRPr="0031133B" w:rsidRDefault="00287215" w:rsidP="00211845">
      <w:pPr>
        <w:rPr>
          <w:rFonts w:ascii="Times New Roman" w:hAnsi="Times New Roman"/>
        </w:rPr>
      </w:pPr>
      <w:r w:rsidRPr="0031133B">
        <w:rPr>
          <w:rFonts w:ascii="Times New Roman" w:hAnsi="Times New Roman"/>
        </w:rPr>
        <w:t xml:space="preserve">UNEP </w:t>
      </w:r>
      <w:r w:rsidR="002B6A8E" w:rsidRPr="0031133B">
        <w:rPr>
          <w:rFonts w:ascii="Times New Roman" w:hAnsi="Times New Roman"/>
        </w:rPr>
        <w:t>propose</w:t>
      </w:r>
      <w:r w:rsidR="00CD056A" w:rsidRPr="0031133B">
        <w:rPr>
          <w:rFonts w:ascii="Times New Roman" w:hAnsi="Times New Roman"/>
        </w:rPr>
        <w:t>s</w:t>
      </w:r>
      <w:r w:rsidRPr="0031133B">
        <w:rPr>
          <w:rFonts w:ascii="Times New Roman" w:hAnsi="Times New Roman"/>
        </w:rPr>
        <w:t xml:space="preserve"> to adopt </w:t>
      </w:r>
      <w:r w:rsidR="002B6A8E" w:rsidRPr="0031133B">
        <w:rPr>
          <w:rFonts w:ascii="Times New Roman" w:hAnsi="Times New Roman"/>
        </w:rPr>
        <w:t>perform</w:t>
      </w:r>
      <w:r w:rsidRPr="0031133B">
        <w:rPr>
          <w:rFonts w:ascii="Times New Roman" w:hAnsi="Times New Roman"/>
        </w:rPr>
        <w:t xml:space="preserve">ance indicators for this Business Plan </w:t>
      </w:r>
      <w:r w:rsidR="00BC0D51" w:rsidRPr="0031133B">
        <w:rPr>
          <w:rFonts w:ascii="Times New Roman" w:hAnsi="Times New Roman"/>
        </w:rPr>
        <w:t>in line with Decisions 7</w:t>
      </w:r>
      <w:r w:rsidR="00FB7988">
        <w:rPr>
          <w:rFonts w:ascii="Times New Roman" w:hAnsi="Times New Roman"/>
        </w:rPr>
        <w:t>3</w:t>
      </w:r>
      <w:r w:rsidR="00BC0D51" w:rsidRPr="0031133B">
        <w:rPr>
          <w:rFonts w:ascii="Times New Roman" w:hAnsi="Times New Roman"/>
        </w:rPr>
        <w:t>/</w:t>
      </w:r>
      <w:r w:rsidR="00FB7988">
        <w:rPr>
          <w:rFonts w:ascii="Times New Roman" w:hAnsi="Times New Roman"/>
        </w:rPr>
        <w:t>30</w:t>
      </w:r>
      <w:r w:rsidR="00BC0D51" w:rsidRPr="0031133B">
        <w:rPr>
          <w:rFonts w:ascii="Times New Roman" w:hAnsi="Times New Roman"/>
        </w:rPr>
        <w:t xml:space="preserve"> and</w:t>
      </w:r>
      <w:r w:rsidR="00FB7988">
        <w:rPr>
          <w:rFonts w:ascii="Times New Roman" w:hAnsi="Times New Roman"/>
        </w:rPr>
        <w:t xml:space="preserve"> the</w:t>
      </w:r>
      <w:r w:rsidR="00BC0D51" w:rsidRPr="0031133B">
        <w:rPr>
          <w:rFonts w:ascii="Times New Roman" w:hAnsi="Times New Roman"/>
        </w:rPr>
        <w:t xml:space="preserve"> guidance received during the </w:t>
      </w:r>
      <w:r w:rsidR="00211845">
        <w:rPr>
          <w:rFonts w:ascii="Times New Roman" w:hAnsi="Times New Roman"/>
        </w:rPr>
        <w:t xml:space="preserve">two </w:t>
      </w:r>
      <w:r w:rsidR="00BC0D51" w:rsidRPr="0031133B">
        <w:rPr>
          <w:rFonts w:ascii="Times New Roman" w:hAnsi="Times New Roman"/>
        </w:rPr>
        <w:t>Int</w:t>
      </w:r>
      <w:r w:rsidR="00784E06">
        <w:rPr>
          <w:rFonts w:ascii="Times New Roman" w:hAnsi="Times New Roman"/>
        </w:rPr>
        <w:t>er-Agency Coordination Meetings</w:t>
      </w:r>
      <w:r w:rsidR="00FB7988">
        <w:rPr>
          <w:rFonts w:ascii="Times New Roman" w:hAnsi="Times New Roman"/>
        </w:rPr>
        <w:t xml:space="preserve"> of 201</w:t>
      </w:r>
      <w:r w:rsidR="00A07BD1">
        <w:rPr>
          <w:rFonts w:ascii="Times New Roman" w:hAnsi="Times New Roman"/>
        </w:rPr>
        <w:t>6</w:t>
      </w:r>
      <w:r w:rsidR="00784E06">
        <w:rPr>
          <w:rFonts w:ascii="Times New Roman" w:hAnsi="Times New Roman"/>
        </w:rPr>
        <w:t xml:space="preserve"> </w:t>
      </w:r>
      <w:r w:rsidR="00BC0D51" w:rsidRPr="0031133B">
        <w:rPr>
          <w:rFonts w:ascii="Times New Roman" w:hAnsi="Times New Roman"/>
        </w:rPr>
        <w:t>(</w:t>
      </w:r>
      <w:r w:rsidR="00A07BD1">
        <w:rPr>
          <w:rFonts w:ascii="Times New Roman" w:hAnsi="Times New Roman"/>
        </w:rPr>
        <w:t>1-3 March</w:t>
      </w:r>
      <w:r w:rsidR="00BC0D51" w:rsidRPr="0031133B">
        <w:rPr>
          <w:rFonts w:ascii="Times New Roman" w:hAnsi="Times New Roman"/>
        </w:rPr>
        <w:t xml:space="preserve"> and </w:t>
      </w:r>
      <w:r w:rsidR="00A07BD1">
        <w:rPr>
          <w:rFonts w:ascii="Times New Roman" w:hAnsi="Times New Roman"/>
        </w:rPr>
        <w:t>31 August to 1 September</w:t>
      </w:r>
      <w:r w:rsidR="00BC0D51" w:rsidRPr="0031133B">
        <w:rPr>
          <w:rFonts w:ascii="Times New Roman" w:hAnsi="Times New Roman"/>
          <w:bCs/>
        </w:rPr>
        <w:t>)</w:t>
      </w:r>
      <w:r w:rsidR="00BC0D51" w:rsidRPr="0031133B">
        <w:rPr>
          <w:rFonts w:ascii="Times New Roman" w:hAnsi="Times New Roman"/>
        </w:rPr>
        <w:t>.</w:t>
      </w:r>
    </w:p>
    <w:p w14:paraId="629C0922" w14:textId="77777777" w:rsidR="008D7286" w:rsidRPr="0031133B" w:rsidRDefault="008D7286" w:rsidP="00211845">
      <w:pPr>
        <w:rPr>
          <w:rFonts w:ascii="Times New Roman" w:hAnsi="Times New Roman"/>
        </w:rPr>
      </w:pPr>
    </w:p>
    <w:p w14:paraId="17173F23" w14:textId="77777777" w:rsidR="002B6A8E" w:rsidRPr="0031133B" w:rsidRDefault="002B6A8E" w:rsidP="00211845">
      <w:pPr>
        <w:pStyle w:val="Default"/>
        <w:outlineLvl w:val="0"/>
        <w:rPr>
          <w:smallCaps/>
          <w:sz w:val="22"/>
          <w:szCs w:val="22"/>
        </w:rPr>
      </w:pPr>
      <w:bookmarkStart w:id="2" w:name="_Toc456004114"/>
      <w:r w:rsidRPr="0031133B">
        <w:rPr>
          <w:b/>
          <w:bCs/>
          <w:smallCaps/>
          <w:sz w:val="22"/>
          <w:szCs w:val="22"/>
        </w:rPr>
        <w:t>I.</w:t>
      </w:r>
      <w:r w:rsidR="0088046C" w:rsidRPr="0031133B">
        <w:rPr>
          <w:b/>
          <w:bCs/>
          <w:smallCaps/>
          <w:sz w:val="22"/>
          <w:szCs w:val="22"/>
        </w:rPr>
        <w:t xml:space="preserve">  </w:t>
      </w:r>
      <w:r w:rsidRPr="0031133B">
        <w:rPr>
          <w:b/>
          <w:bCs/>
          <w:smallCaps/>
          <w:sz w:val="22"/>
          <w:szCs w:val="22"/>
        </w:rPr>
        <w:t>M</w:t>
      </w:r>
      <w:r w:rsidR="0088046C" w:rsidRPr="0031133B">
        <w:rPr>
          <w:b/>
          <w:bCs/>
          <w:smallCaps/>
          <w:sz w:val="22"/>
          <w:szCs w:val="22"/>
        </w:rPr>
        <w:t>ethodology</w:t>
      </w:r>
      <w:bookmarkEnd w:id="2"/>
    </w:p>
    <w:p w14:paraId="71DDEDC4" w14:textId="77777777" w:rsidR="0088046C" w:rsidRPr="0031133B" w:rsidRDefault="0088046C" w:rsidP="00211845">
      <w:pPr>
        <w:pStyle w:val="Default"/>
        <w:rPr>
          <w:sz w:val="22"/>
          <w:szCs w:val="22"/>
        </w:rPr>
      </w:pPr>
    </w:p>
    <w:p w14:paraId="69F7600D" w14:textId="77777777" w:rsidR="002B6A8E" w:rsidRPr="0031133B" w:rsidRDefault="002B6A8E" w:rsidP="00211845">
      <w:pPr>
        <w:pStyle w:val="Default"/>
        <w:rPr>
          <w:sz w:val="22"/>
          <w:szCs w:val="22"/>
        </w:rPr>
      </w:pPr>
      <w:r w:rsidRPr="0031133B">
        <w:rPr>
          <w:sz w:val="22"/>
          <w:szCs w:val="22"/>
        </w:rPr>
        <w:t xml:space="preserve">This section describes the methodology, consultations, guidance and inputs UNEP used when developing this Business Plan: </w:t>
      </w:r>
    </w:p>
    <w:p w14:paraId="522CC9A2" w14:textId="77777777" w:rsidR="0088046C" w:rsidRPr="0031133B" w:rsidRDefault="0088046C" w:rsidP="00211845">
      <w:pPr>
        <w:pStyle w:val="Default"/>
        <w:rPr>
          <w:sz w:val="22"/>
          <w:szCs w:val="22"/>
        </w:rPr>
      </w:pPr>
    </w:p>
    <w:p w14:paraId="1B402FCF" w14:textId="6F29F377" w:rsidR="000F1374" w:rsidRPr="0031133B" w:rsidRDefault="00BF2C56" w:rsidP="00211845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31133B">
        <w:rPr>
          <w:sz w:val="22"/>
          <w:szCs w:val="22"/>
        </w:rPr>
        <w:t>During the first</w:t>
      </w:r>
      <w:r w:rsidR="002B6A8E" w:rsidRPr="0031133B">
        <w:rPr>
          <w:sz w:val="22"/>
          <w:szCs w:val="22"/>
        </w:rPr>
        <w:t xml:space="preserve"> half of 201</w:t>
      </w:r>
      <w:r w:rsidR="00A07BD1">
        <w:rPr>
          <w:sz w:val="22"/>
          <w:szCs w:val="22"/>
        </w:rPr>
        <w:t>6</w:t>
      </w:r>
      <w:r w:rsidR="002B6A8E" w:rsidRPr="0031133B">
        <w:rPr>
          <w:sz w:val="22"/>
          <w:szCs w:val="22"/>
        </w:rPr>
        <w:t xml:space="preserve">, UNEP consulted with National Ozone </w:t>
      </w:r>
      <w:r w:rsidRPr="0031133B">
        <w:rPr>
          <w:sz w:val="22"/>
          <w:szCs w:val="22"/>
        </w:rPr>
        <w:t>Officers</w:t>
      </w:r>
      <w:r w:rsidR="002B6A8E" w:rsidRPr="0031133B">
        <w:rPr>
          <w:sz w:val="22"/>
          <w:szCs w:val="22"/>
        </w:rPr>
        <w:t xml:space="preserve"> in Article 5 countries</w:t>
      </w:r>
      <w:r w:rsidR="000F1374" w:rsidRPr="0031133B">
        <w:rPr>
          <w:sz w:val="22"/>
          <w:szCs w:val="22"/>
        </w:rPr>
        <w:t xml:space="preserve"> on </w:t>
      </w:r>
      <w:r w:rsidR="002B6A8E" w:rsidRPr="0031133B">
        <w:rPr>
          <w:sz w:val="22"/>
          <w:szCs w:val="22"/>
        </w:rPr>
        <w:t>their</w:t>
      </w:r>
      <w:r w:rsidR="000F1374" w:rsidRPr="0031133B">
        <w:rPr>
          <w:sz w:val="22"/>
          <w:szCs w:val="22"/>
        </w:rPr>
        <w:t xml:space="preserve"> countries’</w:t>
      </w:r>
      <w:r w:rsidR="002B6A8E" w:rsidRPr="0031133B">
        <w:rPr>
          <w:sz w:val="22"/>
          <w:szCs w:val="22"/>
        </w:rPr>
        <w:t xml:space="preserve"> business planning needs, through dialogues during meetings of Regional Networks of Ozone Officers</w:t>
      </w:r>
      <w:r w:rsidRPr="0031133B">
        <w:rPr>
          <w:sz w:val="22"/>
          <w:szCs w:val="22"/>
        </w:rPr>
        <w:t>,</w:t>
      </w:r>
      <w:r w:rsidR="002B6A8E" w:rsidRPr="0031133B">
        <w:rPr>
          <w:sz w:val="22"/>
          <w:szCs w:val="22"/>
        </w:rPr>
        <w:t xml:space="preserve"> as well as </w:t>
      </w:r>
      <w:r w:rsidRPr="0031133B">
        <w:rPr>
          <w:sz w:val="22"/>
          <w:szCs w:val="22"/>
        </w:rPr>
        <w:t>via direct contact with Ozone Officers</w:t>
      </w:r>
      <w:r w:rsidR="002B6A8E" w:rsidRPr="0031133B">
        <w:rPr>
          <w:sz w:val="22"/>
          <w:szCs w:val="22"/>
        </w:rPr>
        <w:t xml:space="preserve">. </w:t>
      </w:r>
    </w:p>
    <w:p w14:paraId="0876D784" w14:textId="6AFBBB0B" w:rsidR="002B6A8E" w:rsidRPr="0031133B" w:rsidRDefault="002B6A8E" w:rsidP="00A07BD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31133B">
        <w:rPr>
          <w:sz w:val="22"/>
          <w:szCs w:val="22"/>
        </w:rPr>
        <w:t>UNEP reviewed and drew experiences gained from implementation of its 201</w:t>
      </w:r>
      <w:r w:rsidR="00A07BD1">
        <w:rPr>
          <w:sz w:val="22"/>
          <w:szCs w:val="22"/>
        </w:rPr>
        <w:t>6</w:t>
      </w:r>
      <w:r w:rsidRPr="0031133B">
        <w:rPr>
          <w:sz w:val="22"/>
          <w:szCs w:val="22"/>
        </w:rPr>
        <w:t>-201</w:t>
      </w:r>
      <w:r w:rsidR="00A07BD1">
        <w:rPr>
          <w:sz w:val="22"/>
          <w:szCs w:val="22"/>
        </w:rPr>
        <w:t>8</w:t>
      </w:r>
      <w:r w:rsidRPr="0031133B">
        <w:rPr>
          <w:sz w:val="22"/>
          <w:szCs w:val="22"/>
        </w:rPr>
        <w:t xml:space="preserve"> Business Plan</w:t>
      </w:r>
      <w:r w:rsidR="00791B7D" w:rsidRPr="0031133B">
        <w:rPr>
          <w:sz w:val="22"/>
          <w:szCs w:val="22"/>
        </w:rPr>
        <w:t xml:space="preserve"> (</w:t>
      </w:r>
      <w:r w:rsidR="00A07BD1" w:rsidRPr="00A07BD1">
        <w:rPr>
          <w:sz w:val="22"/>
          <w:szCs w:val="22"/>
        </w:rPr>
        <w:t>UNEP/OzL.Pro/</w:t>
      </w:r>
      <w:proofErr w:type="spellStart"/>
      <w:r w:rsidR="00A07BD1" w:rsidRPr="00A07BD1">
        <w:rPr>
          <w:sz w:val="22"/>
          <w:szCs w:val="22"/>
        </w:rPr>
        <w:t>ExCom</w:t>
      </w:r>
      <w:proofErr w:type="spellEnd"/>
      <w:r w:rsidR="00A07BD1" w:rsidRPr="00A07BD1">
        <w:rPr>
          <w:sz w:val="22"/>
          <w:szCs w:val="22"/>
        </w:rPr>
        <w:t>/75/24</w:t>
      </w:r>
      <w:r w:rsidR="00791B7D" w:rsidRPr="0031133B">
        <w:rPr>
          <w:sz w:val="22"/>
          <w:szCs w:val="22"/>
        </w:rPr>
        <w:t>)</w:t>
      </w:r>
      <w:r w:rsidRPr="0031133B">
        <w:rPr>
          <w:sz w:val="22"/>
          <w:szCs w:val="22"/>
        </w:rPr>
        <w:t xml:space="preserve">, taking into account new trends and emerging developments. UNEP also considered the programmatic direction and activities included in its approved </w:t>
      </w:r>
      <w:r w:rsidRPr="00090133">
        <w:rPr>
          <w:sz w:val="22"/>
          <w:szCs w:val="22"/>
        </w:rPr>
        <w:t>201</w:t>
      </w:r>
      <w:r w:rsidR="00A07BD1">
        <w:rPr>
          <w:sz w:val="22"/>
          <w:szCs w:val="22"/>
        </w:rPr>
        <w:t>6</w:t>
      </w:r>
      <w:r w:rsidR="003B26F7" w:rsidRPr="00090133">
        <w:rPr>
          <w:sz w:val="22"/>
          <w:szCs w:val="22"/>
        </w:rPr>
        <w:t xml:space="preserve"> CAP </w:t>
      </w:r>
      <w:r w:rsidR="007F228F" w:rsidRPr="00090133">
        <w:rPr>
          <w:sz w:val="22"/>
          <w:szCs w:val="22"/>
        </w:rPr>
        <w:t xml:space="preserve">Work </w:t>
      </w:r>
      <w:proofErr w:type="spellStart"/>
      <w:r w:rsidR="007F228F" w:rsidRPr="00090133">
        <w:rPr>
          <w:sz w:val="22"/>
          <w:szCs w:val="22"/>
        </w:rPr>
        <w:t>Programme</w:t>
      </w:r>
      <w:proofErr w:type="spellEnd"/>
      <w:r w:rsidR="007F228F" w:rsidRPr="00090133">
        <w:rPr>
          <w:sz w:val="22"/>
          <w:szCs w:val="22"/>
        </w:rPr>
        <w:t xml:space="preserve"> and Budget</w:t>
      </w:r>
      <w:r w:rsidRPr="0031133B">
        <w:rPr>
          <w:sz w:val="22"/>
          <w:szCs w:val="22"/>
        </w:rPr>
        <w:t xml:space="preserve"> (</w:t>
      </w:r>
      <w:r w:rsidR="00A07BD1" w:rsidRPr="00A07BD1">
        <w:rPr>
          <w:bCs/>
          <w:sz w:val="22"/>
          <w:szCs w:val="22"/>
        </w:rPr>
        <w:t>UNEP/OzL.Pro/</w:t>
      </w:r>
      <w:proofErr w:type="spellStart"/>
      <w:r w:rsidR="00A07BD1" w:rsidRPr="00A07BD1">
        <w:rPr>
          <w:bCs/>
          <w:sz w:val="22"/>
          <w:szCs w:val="22"/>
        </w:rPr>
        <w:t>ExCom</w:t>
      </w:r>
      <w:proofErr w:type="spellEnd"/>
      <w:r w:rsidR="00A07BD1" w:rsidRPr="00A07BD1">
        <w:rPr>
          <w:bCs/>
          <w:sz w:val="22"/>
          <w:szCs w:val="22"/>
        </w:rPr>
        <w:t>/75/33/Rev.1</w:t>
      </w:r>
      <w:r w:rsidRPr="0031133B">
        <w:rPr>
          <w:sz w:val="22"/>
          <w:szCs w:val="22"/>
        </w:rPr>
        <w:t xml:space="preserve">). </w:t>
      </w:r>
    </w:p>
    <w:p w14:paraId="5236A916" w14:textId="0C18195F" w:rsidR="002B6A8E" w:rsidRPr="0031133B" w:rsidRDefault="002B6A8E" w:rsidP="003E778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3E7784">
        <w:rPr>
          <w:sz w:val="22"/>
          <w:szCs w:val="22"/>
        </w:rPr>
        <w:t xml:space="preserve">UNEP used the Multilateral Fund’s </w:t>
      </w:r>
      <w:r w:rsidR="00791B7D" w:rsidRPr="003E7784">
        <w:rPr>
          <w:sz w:val="22"/>
          <w:szCs w:val="22"/>
        </w:rPr>
        <w:t>201</w:t>
      </w:r>
      <w:r w:rsidR="00AF17DC" w:rsidRPr="003E7784">
        <w:rPr>
          <w:sz w:val="22"/>
          <w:szCs w:val="22"/>
        </w:rPr>
        <w:t>5</w:t>
      </w:r>
      <w:r w:rsidR="00791B7D" w:rsidRPr="003E7784">
        <w:rPr>
          <w:sz w:val="22"/>
          <w:szCs w:val="22"/>
        </w:rPr>
        <w:t>-201</w:t>
      </w:r>
      <w:r w:rsidR="00AF17DC" w:rsidRPr="003E7784">
        <w:rPr>
          <w:sz w:val="22"/>
          <w:szCs w:val="22"/>
        </w:rPr>
        <w:t>7</w:t>
      </w:r>
      <w:r w:rsidR="00791B7D" w:rsidRPr="003E7784">
        <w:rPr>
          <w:sz w:val="22"/>
          <w:szCs w:val="22"/>
        </w:rPr>
        <w:t xml:space="preserve"> </w:t>
      </w:r>
      <w:r w:rsidR="00A80738" w:rsidRPr="003E7784">
        <w:rPr>
          <w:sz w:val="22"/>
          <w:szCs w:val="22"/>
        </w:rPr>
        <w:t>consolidated business plan</w:t>
      </w:r>
      <w:r w:rsidR="00791B7D" w:rsidRPr="003E7784">
        <w:rPr>
          <w:sz w:val="22"/>
          <w:szCs w:val="22"/>
        </w:rPr>
        <w:t xml:space="preserve"> (</w:t>
      </w:r>
      <w:r w:rsidR="003E7784" w:rsidRPr="003E7784">
        <w:rPr>
          <w:sz w:val="22"/>
          <w:szCs w:val="22"/>
        </w:rPr>
        <w:t>UNEP/OzL.Pro/</w:t>
      </w:r>
      <w:proofErr w:type="spellStart"/>
      <w:r w:rsidR="003E7784" w:rsidRPr="003E7784">
        <w:rPr>
          <w:sz w:val="22"/>
          <w:szCs w:val="22"/>
        </w:rPr>
        <w:t>ExCom</w:t>
      </w:r>
      <w:proofErr w:type="spellEnd"/>
      <w:r w:rsidR="003E7784" w:rsidRPr="003E7784">
        <w:rPr>
          <w:sz w:val="22"/>
          <w:szCs w:val="22"/>
        </w:rPr>
        <w:t>/75/21</w:t>
      </w:r>
      <w:r w:rsidR="00791B7D" w:rsidRPr="003E7784">
        <w:rPr>
          <w:sz w:val="22"/>
          <w:szCs w:val="22"/>
        </w:rPr>
        <w:t>)</w:t>
      </w:r>
      <w:r w:rsidRPr="0031133B">
        <w:rPr>
          <w:sz w:val="22"/>
          <w:szCs w:val="22"/>
        </w:rPr>
        <w:t xml:space="preserve"> endorsed by the Executive Committee meeting (</w:t>
      </w:r>
      <w:r w:rsidR="00BF2C56" w:rsidRPr="0031133B">
        <w:rPr>
          <w:sz w:val="22"/>
          <w:szCs w:val="22"/>
        </w:rPr>
        <w:t>Decision 7</w:t>
      </w:r>
      <w:r w:rsidR="003E7784">
        <w:rPr>
          <w:sz w:val="22"/>
          <w:szCs w:val="22"/>
        </w:rPr>
        <w:t>5</w:t>
      </w:r>
      <w:r w:rsidR="00BF2C56" w:rsidRPr="0031133B">
        <w:rPr>
          <w:sz w:val="22"/>
          <w:szCs w:val="22"/>
        </w:rPr>
        <w:t>/</w:t>
      </w:r>
      <w:r w:rsidR="00410106">
        <w:rPr>
          <w:sz w:val="22"/>
          <w:szCs w:val="22"/>
        </w:rPr>
        <w:t>2</w:t>
      </w:r>
      <w:r w:rsidR="003E7784">
        <w:rPr>
          <w:sz w:val="22"/>
          <w:szCs w:val="22"/>
        </w:rPr>
        <w:t>2</w:t>
      </w:r>
      <w:r w:rsidRPr="0031133B">
        <w:rPr>
          <w:sz w:val="22"/>
          <w:szCs w:val="22"/>
        </w:rPr>
        <w:t xml:space="preserve">) as a guidance document for resource planning for the triennium and identification of countries requiring assistance. </w:t>
      </w:r>
    </w:p>
    <w:p w14:paraId="16018B6F" w14:textId="62DD472E" w:rsidR="00CF7071" w:rsidRPr="0031133B" w:rsidRDefault="002B6A8E" w:rsidP="00211845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UNEP also </w:t>
      </w:r>
      <w:r w:rsidR="00B657B9" w:rsidRPr="0031133B">
        <w:rPr>
          <w:sz w:val="22"/>
          <w:szCs w:val="22"/>
        </w:rPr>
        <w:t>followed</w:t>
      </w:r>
      <w:r w:rsidRPr="0031133B">
        <w:rPr>
          <w:sz w:val="22"/>
          <w:szCs w:val="22"/>
        </w:rPr>
        <w:t xml:space="preserve"> the guidance provided by the Multilateral Fun</w:t>
      </w:r>
      <w:r w:rsidR="00B657B9" w:rsidRPr="0031133B">
        <w:rPr>
          <w:sz w:val="22"/>
          <w:szCs w:val="22"/>
        </w:rPr>
        <w:t xml:space="preserve">d Secretariat during the </w:t>
      </w:r>
      <w:r w:rsidR="00BF2C56" w:rsidRPr="0031133B">
        <w:rPr>
          <w:sz w:val="22"/>
          <w:szCs w:val="22"/>
        </w:rPr>
        <w:t>201</w:t>
      </w:r>
      <w:r w:rsidR="003E7784">
        <w:rPr>
          <w:sz w:val="22"/>
          <w:szCs w:val="22"/>
        </w:rPr>
        <w:t>6</w:t>
      </w:r>
      <w:r w:rsidR="00BF2C56" w:rsidRPr="0031133B">
        <w:rPr>
          <w:sz w:val="22"/>
          <w:szCs w:val="22"/>
        </w:rPr>
        <w:t xml:space="preserve"> </w:t>
      </w:r>
      <w:r w:rsidR="00B657B9" w:rsidRPr="0031133B">
        <w:rPr>
          <w:sz w:val="22"/>
          <w:szCs w:val="22"/>
        </w:rPr>
        <w:t>Inter-A</w:t>
      </w:r>
      <w:r w:rsidRPr="0031133B">
        <w:rPr>
          <w:sz w:val="22"/>
          <w:szCs w:val="22"/>
        </w:rPr>
        <w:t>gency Coordin</w:t>
      </w:r>
      <w:r w:rsidR="000F1374" w:rsidRPr="0031133B">
        <w:rPr>
          <w:sz w:val="22"/>
          <w:szCs w:val="22"/>
        </w:rPr>
        <w:t>ation Meeting</w:t>
      </w:r>
      <w:r w:rsidR="00BF2C56" w:rsidRPr="0031133B">
        <w:rPr>
          <w:sz w:val="22"/>
          <w:szCs w:val="22"/>
        </w:rPr>
        <w:t>s</w:t>
      </w:r>
      <w:r w:rsidR="00BC0D51" w:rsidRPr="0031133B">
        <w:rPr>
          <w:sz w:val="22"/>
          <w:szCs w:val="22"/>
        </w:rPr>
        <w:t>.</w:t>
      </w:r>
      <w:r w:rsidR="000F1374" w:rsidRPr="0031133B">
        <w:rPr>
          <w:sz w:val="22"/>
          <w:szCs w:val="22"/>
        </w:rPr>
        <w:t xml:space="preserve"> </w:t>
      </w:r>
    </w:p>
    <w:p w14:paraId="544EDE04" w14:textId="77777777" w:rsidR="00D712DE" w:rsidRPr="0031133B" w:rsidRDefault="002B6A8E" w:rsidP="00211845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UNEP consulted with the other Implementing Agencies and bilateral agencies </w:t>
      </w:r>
      <w:r w:rsidR="00CF7071" w:rsidRPr="0031133B">
        <w:rPr>
          <w:sz w:val="22"/>
          <w:szCs w:val="22"/>
        </w:rPr>
        <w:t xml:space="preserve">to </w:t>
      </w:r>
      <w:r w:rsidRPr="0031133B">
        <w:rPr>
          <w:sz w:val="22"/>
          <w:szCs w:val="22"/>
        </w:rPr>
        <w:t xml:space="preserve">increase collaborative and mutually-supportive initiatives and to avoid duplication of effort. </w:t>
      </w:r>
    </w:p>
    <w:p w14:paraId="70A81E3C" w14:textId="77777777" w:rsidR="00F563B9" w:rsidRPr="0031133B" w:rsidRDefault="002B6A8E" w:rsidP="00211845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UNEP </w:t>
      </w:r>
      <w:r w:rsidR="00D712DE" w:rsidRPr="0031133B">
        <w:rPr>
          <w:sz w:val="22"/>
          <w:szCs w:val="22"/>
        </w:rPr>
        <w:t>considered</w:t>
      </w:r>
      <w:r w:rsidRPr="0031133B">
        <w:rPr>
          <w:sz w:val="22"/>
          <w:szCs w:val="22"/>
        </w:rPr>
        <w:t xml:space="preserve"> </w:t>
      </w:r>
      <w:r w:rsidR="00C366E1" w:rsidRPr="0031133B">
        <w:rPr>
          <w:sz w:val="22"/>
          <w:szCs w:val="22"/>
        </w:rPr>
        <w:t xml:space="preserve">various Executive Committee </w:t>
      </w:r>
      <w:r w:rsidRPr="0031133B">
        <w:rPr>
          <w:sz w:val="22"/>
          <w:szCs w:val="22"/>
        </w:rPr>
        <w:t>decisions as guidance for this Business Plan</w:t>
      </w:r>
      <w:r w:rsidR="00C366E1" w:rsidRPr="0031133B">
        <w:rPr>
          <w:sz w:val="22"/>
          <w:szCs w:val="22"/>
        </w:rPr>
        <w:t>.</w:t>
      </w:r>
    </w:p>
    <w:p w14:paraId="7C9CDB61" w14:textId="77777777" w:rsidR="00C43245" w:rsidRPr="0031133B" w:rsidRDefault="00C43245" w:rsidP="00211845">
      <w:pPr>
        <w:rPr>
          <w:rFonts w:ascii="Times New Roman" w:hAnsi="Times New Roman"/>
        </w:rPr>
      </w:pPr>
    </w:p>
    <w:p w14:paraId="2899148C" w14:textId="77777777" w:rsidR="002B6A8E" w:rsidRPr="0031133B" w:rsidRDefault="002B6A8E" w:rsidP="00211845">
      <w:pPr>
        <w:pStyle w:val="Default"/>
        <w:outlineLvl w:val="0"/>
        <w:rPr>
          <w:smallCaps/>
          <w:sz w:val="22"/>
          <w:szCs w:val="22"/>
        </w:rPr>
      </w:pPr>
      <w:bookmarkStart w:id="3" w:name="_Toc456004115"/>
      <w:r w:rsidRPr="0031133B">
        <w:rPr>
          <w:b/>
          <w:bCs/>
          <w:smallCaps/>
          <w:sz w:val="22"/>
          <w:szCs w:val="22"/>
        </w:rPr>
        <w:t>II. M</w:t>
      </w:r>
      <w:r w:rsidR="0088046C" w:rsidRPr="0031133B">
        <w:rPr>
          <w:b/>
          <w:bCs/>
          <w:smallCaps/>
          <w:sz w:val="22"/>
          <w:szCs w:val="22"/>
        </w:rPr>
        <w:t>ultilateral Fund Targets</w:t>
      </w:r>
      <w:bookmarkEnd w:id="3"/>
      <w:r w:rsidRPr="0031133B">
        <w:rPr>
          <w:b/>
          <w:bCs/>
          <w:smallCaps/>
          <w:sz w:val="22"/>
          <w:szCs w:val="22"/>
        </w:rPr>
        <w:t xml:space="preserve"> </w:t>
      </w:r>
    </w:p>
    <w:p w14:paraId="13B5FF87" w14:textId="77777777" w:rsidR="0088046C" w:rsidRPr="0031133B" w:rsidRDefault="0088046C" w:rsidP="00211845">
      <w:pPr>
        <w:pStyle w:val="Default"/>
        <w:rPr>
          <w:sz w:val="22"/>
          <w:szCs w:val="22"/>
        </w:rPr>
      </w:pPr>
    </w:p>
    <w:p w14:paraId="48188827" w14:textId="77777777" w:rsidR="002B6A8E" w:rsidRPr="0031133B" w:rsidRDefault="002B6A8E" w:rsidP="00211845">
      <w:pPr>
        <w:pStyle w:val="Default"/>
        <w:outlineLvl w:val="1"/>
        <w:rPr>
          <w:b/>
          <w:smallCaps/>
          <w:sz w:val="22"/>
          <w:szCs w:val="22"/>
        </w:rPr>
      </w:pPr>
      <w:bookmarkStart w:id="4" w:name="_Toc456004116"/>
      <w:r w:rsidRPr="0031133B">
        <w:rPr>
          <w:b/>
          <w:smallCaps/>
          <w:sz w:val="22"/>
          <w:szCs w:val="22"/>
        </w:rPr>
        <w:t>A. O</w:t>
      </w:r>
      <w:r w:rsidR="0088046C" w:rsidRPr="0031133B">
        <w:rPr>
          <w:b/>
          <w:smallCaps/>
          <w:sz w:val="22"/>
          <w:szCs w:val="22"/>
        </w:rPr>
        <w:t>bjectives of the Three-Year Business Plan</w:t>
      </w:r>
      <w:bookmarkEnd w:id="4"/>
      <w:r w:rsidRPr="0031133B">
        <w:rPr>
          <w:b/>
          <w:smallCaps/>
          <w:sz w:val="22"/>
          <w:szCs w:val="22"/>
        </w:rPr>
        <w:t xml:space="preserve"> </w:t>
      </w:r>
    </w:p>
    <w:p w14:paraId="702C1D27" w14:textId="77777777" w:rsidR="0088046C" w:rsidRPr="0031133B" w:rsidRDefault="0088046C" w:rsidP="00211845">
      <w:pPr>
        <w:pStyle w:val="Default"/>
        <w:rPr>
          <w:sz w:val="22"/>
          <w:szCs w:val="22"/>
        </w:rPr>
      </w:pPr>
    </w:p>
    <w:p w14:paraId="67674AF7" w14:textId="77777777" w:rsidR="00791B7D" w:rsidRPr="0031133B" w:rsidRDefault="002B6A8E" w:rsidP="00211845">
      <w:pPr>
        <w:pStyle w:val="Default"/>
        <w:rPr>
          <w:color w:val="auto"/>
          <w:sz w:val="22"/>
          <w:szCs w:val="22"/>
        </w:rPr>
      </w:pPr>
      <w:r w:rsidRPr="0031133B">
        <w:rPr>
          <w:sz w:val="22"/>
          <w:szCs w:val="22"/>
        </w:rPr>
        <w:t xml:space="preserve">The focus and orientation of UNEP’s work continues to be defined by the evolving needs of Article 5 countries as they progress in their implementation of the Montreal Protocol, and as they </w:t>
      </w:r>
      <w:r w:rsidRPr="0031133B">
        <w:rPr>
          <w:color w:val="auto"/>
          <w:sz w:val="22"/>
          <w:szCs w:val="22"/>
        </w:rPr>
        <w:t xml:space="preserve">meet and sustain compliance with specific obligations. </w:t>
      </w:r>
    </w:p>
    <w:p w14:paraId="00B3D1DB" w14:textId="77777777" w:rsidR="00791B7D" w:rsidRPr="0031133B" w:rsidRDefault="00791B7D" w:rsidP="00211845">
      <w:pPr>
        <w:pStyle w:val="Default"/>
        <w:rPr>
          <w:color w:val="auto"/>
          <w:sz w:val="22"/>
          <w:szCs w:val="22"/>
        </w:rPr>
      </w:pPr>
    </w:p>
    <w:p w14:paraId="0D867629" w14:textId="64BC8963" w:rsidR="002B6A8E" w:rsidRPr="0031133B" w:rsidRDefault="00822AA2" w:rsidP="00211845">
      <w:pPr>
        <w:pStyle w:val="Default"/>
        <w:rPr>
          <w:color w:val="auto"/>
          <w:sz w:val="22"/>
          <w:szCs w:val="22"/>
        </w:rPr>
      </w:pPr>
      <w:r w:rsidRPr="0031133B">
        <w:rPr>
          <w:color w:val="auto"/>
          <w:sz w:val="22"/>
          <w:szCs w:val="22"/>
        </w:rPr>
        <w:t xml:space="preserve">UNEP’s </w:t>
      </w:r>
      <w:r w:rsidR="00412616" w:rsidRPr="0031133B">
        <w:rPr>
          <w:color w:val="auto"/>
          <w:sz w:val="22"/>
          <w:szCs w:val="22"/>
        </w:rPr>
        <w:t xml:space="preserve">proposed </w:t>
      </w:r>
      <w:r w:rsidRPr="0031133B">
        <w:rPr>
          <w:color w:val="auto"/>
          <w:sz w:val="22"/>
          <w:szCs w:val="22"/>
        </w:rPr>
        <w:t>201</w:t>
      </w:r>
      <w:r w:rsidR="00206829">
        <w:rPr>
          <w:color w:val="auto"/>
          <w:sz w:val="22"/>
          <w:szCs w:val="22"/>
        </w:rPr>
        <w:t>7</w:t>
      </w:r>
      <w:r w:rsidRPr="0031133B">
        <w:rPr>
          <w:color w:val="auto"/>
          <w:sz w:val="22"/>
          <w:szCs w:val="22"/>
        </w:rPr>
        <w:t xml:space="preserve"> CAP </w:t>
      </w:r>
      <w:r w:rsidR="007F228F" w:rsidRPr="007F228F">
        <w:rPr>
          <w:color w:val="auto"/>
          <w:sz w:val="22"/>
          <w:szCs w:val="22"/>
        </w:rPr>
        <w:t xml:space="preserve">Work </w:t>
      </w:r>
      <w:proofErr w:type="spellStart"/>
      <w:r w:rsidR="007F228F" w:rsidRPr="007F228F">
        <w:rPr>
          <w:color w:val="auto"/>
          <w:sz w:val="22"/>
          <w:szCs w:val="22"/>
        </w:rPr>
        <w:t>Programme</w:t>
      </w:r>
      <w:proofErr w:type="spellEnd"/>
      <w:r w:rsidR="007F228F" w:rsidRPr="007F228F">
        <w:rPr>
          <w:color w:val="auto"/>
          <w:sz w:val="22"/>
          <w:szCs w:val="22"/>
        </w:rPr>
        <w:t xml:space="preserve"> and Budget</w:t>
      </w:r>
      <w:r w:rsidRPr="0031133B">
        <w:rPr>
          <w:color w:val="auto"/>
          <w:sz w:val="22"/>
          <w:szCs w:val="22"/>
        </w:rPr>
        <w:t xml:space="preserve"> </w:t>
      </w:r>
      <w:r w:rsidR="00412616" w:rsidRPr="0031133B">
        <w:rPr>
          <w:color w:val="auto"/>
          <w:sz w:val="22"/>
          <w:szCs w:val="22"/>
        </w:rPr>
        <w:t>submitted for the consideration of the 7</w:t>
      </w:r>
      <w:r w:rsidR="00206829">
        <w:rPr>
          <w:color w:val="auto"/>
          <w:sz w:val="22"/>
          <w:szCs w:val="22"/>
        </w:rPr>
        <w:t>7</w:t>
      </w:r>
      <w:r w:rsidR="00410106">
        <w:rPr>
          <w:color w:val="auto"/>
          <w:sz w:val="22"/>
          <w:szCs w:val="22"/>
        </w:rPr>
        <w:t>th</w:t>
      </w:r>
      <w:r w:rsidR="00004D4C" w:rsidRPr="0031133B">
        <w:rPr>
          <w:color w:val="auto"/>
          <w:sz w:val="22"/>
          <w:szCs w:val="22"/>
          <w:vertAlign w:val="superscript"/>
        </w:rPr>
        <w:t xml:space="preserve"> </w:t>
      </w:r>
      <w:r w:rsidR="00412616" w:rsidRPr="0031133B">
        <w:rPr>
          <w:color w:val="auto"/>
          <w:sz w:val="22"/>
          <w:szCs w:val="22"/>
        </w:rPr>
        <w:t xml:space="preserve">Executive Committee meeting </w:t>
      </w:r>
      <w:r w:rsidRPr="0031133B">
        <w:rPr>
          <w:color w:val="auto"/>
          <w:sz w:val="22"/>
          <w:szCs w:val="22"/>
        </w:rPr>
        <w:t xml:space="preserve">details </w:t>
      </w:r>
      <w:r w:rsidR="002B6A8E" w:rsidRPr="0031133B">
        <w:rPr>
          <w:color w:val="auto"/>
          <w:sz w:val="22"/>
          <w:szCs w:val="22"/>
        </w:rPr>
        <w:t>UNEP’s vi</w:t>
      </w:r>
      <w:r w:rsidR="00206829">
        <w:rPr>
          <w:color w:val="auto"/>
          <w:sz w:val="22"/>
          <w:szCs w:val="22"/>
        </w:rPr>
        <w:t>sion and approach for CAP in that year</w:t>
      </w:r>
      <w:r w:rsidR="00B657B9" w:rsidRPr="0031133B">
        <w:rPr>
          <w:color w:val="auto"/>
          <w:sz w:val="22"/>
          <w:szCs w:val="22"/>
        </w:rPr>
        <w:t xml:space="preserve">. Following that </w:t>
      </w:r>
      <w:r w:rsidRPr="0031133B">
        <w:rPr>
          <w:color w:val="auto"/>
          <w:sz w:val="22"/>
          <w:szCs w:val="22"/>
        </w:rPr>
        <w:t>approach</w:t>
      </w:r>
      <w:r w:rsidR="00B657B9" w:rsidRPr="0031133B">
        <w:rPr>
          <w:color w:val="auto"/>
          <w:sz w:val="22"/>
          <w:szCs w:val="22"/>
        </w:rPr>
        <w:t xml:space="preserve">, UNEP will provide </w:t>
      </w:r>
      <w:r w:rsidR="002B6A8E" w:rsidRPr="0031133B">
        <w:rPr>
          <w:color w:val="auto"/>
          <w:sz w:val="22"/>
          <w:szCs w:val="22"/>
        </w:rPr>
        <w:t xml:space="preserve">assistance </w:t>
      </w:r>
      <w:r w:rsidR="00B657B9" w:rsidRPr="0031133B">
        <w:rPr>
          <w:color w:val="auto"/>
          <w:sz w:val="22"/>
          <w:szCs w:val="22"/>
        </w:rPr>
        <w:t xml:space="preserve">to </w:t>
      </w:r>
      <w:r w:rsidR="002B6A8E" w:rsidRPr="0031133B">
        <w:rPr>
          <w:color w:val="auto"/>
          <w:sz w:val="22"/>
          <w:szCs w:val="22"/>
        </w:rPr>
        <w:t>Article 5 countries</w:t>
      </w:r>
      <w:r w:rsidR="00410106">
        <w:rPr>
          <w:color w:val="auto"/>
          <w:sz w:val="22"/>
          <w:szCs w:val="22"/>
        </w:rPr>
        <w:t xml:space="preserve"> according to four overarching objectives</w:t>
      </w:r>
      <w:r w:rsidR="002B6A8E" w:rsidRPr="0031133B">
        <w:rPr>
          <w:color w:val="auto"/>
          <w:sz w:val="22"/>
          <w:szCs w:val="22"/>
        </w:rPr>
        <w:t xml:space="preserve">: </w:t>
      </w:r>
    </w:p>
    <w:p w14:paraId="7A6FADD4" w14:textId="77777777" w:rsidR="008150C6" w:rsidRPr="0031133B" w:rsidRDefault="008150C6" w:rsidP="00211845">
      <w:pPr>
        <w:pStyle w:val="Default"/>
        <w:rPr>
          <w:color w:val="auto"/>
          <w:sz w:val="22"/>
          <w:szCs w:val="22"/>
        </w:rPr>
      </w:pPr>
    </w:p>
    <w:p w14:paraId="296C866E" w14:textId="2F81E4F4" w:rsidR="00F601B6" w:rsidRPr="00767564" w:rsidRDefault="00410106" w:rsidP="00A166CF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767564">
        <w:rPr>
          <w:color w:val="auto"/>
          <w:sz w:val="22"/>
          <w:szCs w:val="22"/>
        </w:rPr>
        <w:t>Assist</w:t>
      </w:r>
      <w:r w:rsidR="00A166CF" w:rsidRPr="00767564">
        <w:rPr>
          <w:color w:val="auto"/>
          <w:sz w:val="22"/>
          <w:szCs w:val="22"/>
        </w:rPr>
        <w:t>ing</w:t>
      </w:r>
      <w:r w:rsidRPr="00767564">
        <w:rPr>
          <w:color w:val="auto"/>
          <w:sz w:val="22"/>
          <w:szCs w:val="22"/>
        </w:rPr>
        <w:t xml:space="preserve"> countries to comply with their </w:t>
      </w:r>
      <w:r w:rsidR="00A166CF" w:rsidRPr="00767564">
        <w:rPr>
          <w:color w:val="auto"/>
          <w:sz w:val="22"/>
          <w:szCs w:val="22"/>
        </w:rPr>
        <w:t>upcoming HCFC phase-</w:t>
      </w:r>
      <w:r w:rsidRPr="00767564">
        <w:rPr>
          <w:color w:val="auto"/>
          <w:sz w:val="22"/>
          <w:szCs w:val="22"/>
        </w:rPr>
        <w:t>out commitments</w:t>
      </w:r>
      <w:r w:rsidR="00F601B6" w:rsidRPr="00767564">
        <w:rPr>
          <w:color w:val="auto"/>
          <w:sz w:val="22"/>
          <w:szCs w:val="22"/>
        </w:rPr>
        <w:t>.</w:t>
      </w:r>
    </w:p>
    <w:p w14:paraId="436DF51D" w14:textId="708E9BA3" w:rsidR="00F601B6" w:rsidRPr="00767564" w:rsidRDefault="00A166CF" w:rsidP="00410106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767564">
        <w:rPr>
          <w:color w:val="auto"/>
          <w:sz w:val="22"/>
          <w:szCs w:val="22"/>
        </w:rPr>
        <w:t>Sustaining and enforcing compliance of phase-out targets already met.</w:t>
      </w:r>
    </w:p>
    <w:p w14:paraId="6C613A7D" w14:textId="4FE07252" w:rsidR="0088046C" w:rsidRPr="00767564" w:rsidRDefault="00A166CF" w:rsidP="00410106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767564">
        <w:rPr>
          <w:color w:val="auto"/>
          <w:sz w:val="22"/>
          <w:szCs w:val="22"/>
        </w:rPr>
        <w:t xml:space="preserve">Building capacity </w:t>
      </w:r>
      <w:r w:rsidR="00410106" w:rsidRPr="00767564">
        <w:rPr>
          <w:color w:val="auto"/>
          <w:sz w:val="22"/>
          <w:szCs w:val="22"/>
        </w:rPr>
        <w:t>to adopt alternatives</w:t>
      </w:r>
      <w:r w:rsidRPr="00767564">
        <w:rPr>
          <w:color w:val="auto"/>
          <w:sz w:val="22"/>
          <w:szCs w:val="22"/>
        </w:rPr>
        <w:t xml:space="preserve"> to HCFCs</w:t>
      </w:r>
      <w:r w:rsidR="00410106" w:rsidRPr="00767564">
        <w:rPr>
          <w:color w:val="auto"/>
          <w:sz w:val="22"/>
          <w:szCs w:val="22"/>
        </w:rPr>
        <w:t xml:space="preserve"> </w:t>
      </w:r>
      <w:r w:rsidRPr="00767564">
        <w:rPr>
          <w:color w:val="auto"/>
          <w:sz w:val="22"/>
          <w:szCs w:val="22"/>
        </w:rPr>
        <w:t>to achieve climate co-benefits.</w:t>
      </w:r>
    </w:p>
    <w:p w14:paraId="690DCF42" w14:textId="41021ED2" w:rsidR="00410106" w:rsidRDefault="00A166CF" w:rsidP="00410106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767564">
        <w:rPr>
          <w:color w:val="auto"/>
          <w:sz w:val="22"/>
          <w:szCs w:val="22"/>
        </w:rPr>
        <w:t>Leveraging</w:t>
      </w:r>
      <w:r w:rsidR="00410106" w:rsidRPr="00767564">
        <w:rPr>
          <w:color w:val="auto"/>
          <w:sz w:val="22"/>
          <w:szCs w:val="22"/>
        </w:rPr>
        <w:t xml:space="preserve"> </w:t>
      </w:r>
      <w:r w:rsidRPr="00767564">
        <w:rPr>
          <w:color w:val="auto"/>
          <w:sz w:val="22"/>
          <w:szCs w:val="22"/>
        </w:rPr>
        <w:t xml:space="preserve">partnerships </w:t>
      </w:r>
      <w:r w:rsidR="00410106" w:rsidRPr="00767564">
        <w:rPr>
          <w:color w:val="auto"/>
          <w:sz w:val="22"/>
          <w:szCs w:val="22"/>
        </w:rPr>
        <w:t>for Montreal Protocol objectives complementary to the Multilateral Fund.</w:t>
      </w:r>
    </w:p>
    <w:p w14:paraId="18033FF4" w14:textId="4FB943BD" w:rsidR="00856ED8" w:rsidRPr="00767564" w:rsidRDefault="00856ED8" w:rsidP="00410106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Clearing house function, regional networks, capacity building, technical cooperation and awareness. </w:t>
      </w:r>
    </w:p>
    <w:p w14:paraId="51D50EF0" w14:textId="77777777" w:rsidR="00F601B6" w:rsidRPr="00767564" w:rsidRDefault="00F601B6" w:rsidP="00211845">
      <w:pPr>
        <w:pStyle w:val="Default"/>
        <w:outlineLvl w:val="1"/>
        <w:rPr>
          <w:b/>
          <w:bCs/>
          <w:iCs/>
          <w:smallCaps/>
          <w:color w:val="auto"/>
          <w:sz w:val="22"/>
          <w:szCs w:val="22"/>
        </w:rPr>
      </w:pPr>
    </w:p>
    <w:p w14:paraId="75AADF9B" w14:textId="77777777" w:rsidR="006B03DC" w:rsidRDefault="006B03DC" w:rsidP="00211845">
      <w:pPr>
        <w:pStyle w:val="Default"/>
        <w:outlineLvl w:val="1"/>
        <w:rPr>
          <w:b/>
          <w:bCs/>
          <w:iCs/>
          <w:smallCaps/>
          <w:sz w:val="22"/>
          <w:szCs w:val="22"/>
        </w:rPr>
      </w:pPr>
    </w:p>
    <w:p w14:paraId="37513605" w14:textId="77777777" w:rsidR="006B03DC" w:rsidRDefault="006B03DC" w:rsidP="00211845">
      <w:pPr>
        <w:pStyle w:val="Default"/>
        <w:outlineLvl w:val="1"/>
        <w:rPr>
          <w:b/>
          <w:bCs/>
          <w:iCs/>
          <w:smallCaps/>
          <w:sz w:val="22"/>
          <w:szCs w:val="22"/>
        </w:rPr>
      </w:pPr>
    </w:p>
    <w:p w14:paraId="41922945" w14:textId="77777777" w:rsidR="002B6A8E" w:rsidRPr="0031133B" w:rsidRDefault="0088046C" w:rsidP="00211845">
      <w:pPr>
        <w:pStyle w:val="Default"/>
        <w:outlineLvl w:val="1"/>
        <w:rPr>
          <w:b/>
          <w:bCs/>
          <w:iCs/>
          <w:smallCaps/>
          <w:sz w:val="22"/>
          <w:szCs w:val="22"/>
        </w:rPr>
      </w:pPr>
      <w:bookmarkStart w:id="5" w:name="_Toc456004117"/>
      <w:r w:rsidRPr="0031133B">
        <w:rPr>
          <w:b/>
          <w:bCs/>
          <w:iCs/>
          <w:smallCaps/>
          <w:sz w:val="22"/>
          <w:szCs w:val="22"/>
        </w:rPr>
        <w:t>B.  Resource Allocation</w:t>
      </w:r>
      <w:bookmarkEnd w:id="5"/>
    </w:p>
    <w:p w14:paraId="1F461289" w14:textId="77777777" w:rsidR="0088046C" w:rsidRPr="0031133B" w:rsidRDefault="0088046C" w:rsidP="00211845">
      <w:pPr>
        <w:pStyle w:val="Default"/>
        <w:rPr>
          <w:sz w:val="22"/>
          <w:szCs w:val="22"/>
        </w:rPr>
      </w:pPr>
    </w:p>
    <w:p w14:paraId="5E41DCC5" w14:textId="77777777" w:rsidR="002B6A8E" w:rsidRPr="0031133B" w:rsidRDefault="002B6A8E" w:rsidP="00211845">
      <w:pPr>
        <w:rPr>
          <w:rFonts w:ascii="Times New Roman" w:hAnsi="Times New Roman"/>
        </w:rPr>
      </w:pPr>
      <w:r w:rsidRPr="0031133B">
        <w:rPr>
          <w:rFonts w:ascii="Times New Roman" w:hAnsi="Times New Roman"/>
        </w:rPr>
        <w:t xml:space="preserve">During this Business Plan period, UNEP plans to prepare and submit for approval the projects as detailed in Annex I: Projects planned for submission </w:t>
      </w:r>
      <w:r w:rsidR="001615D2">
        <w:rPr>
          <w:rFonts w:ascii="Times New Roman" w:hAnsi="Times New Roman"/>
        </w:rPr>
        <w:t>2017-2019</w:t>
      </w:r>
      <w:r w:rsidRPr="0031133B">
        <w:rPr>
          <w:rFonts w:ascii="Times New Roman" w:hAnsi="Times New Roman"/>
        </w:rPr>
        <w:t>. UNEP’s proposed resource allocation plan for these projects is as follows:</w:t>
      </w:r>
    </w:p>
    <w:p w14:paraId="1FBF6AF4" w14:textId="77777777" w:rsidR="002B6A8E" w:rsidRPr="0031133B" w:rsidRDefault="002B6A8E" w:rsidP="00211845">
      <w:pPr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219"/>
        <w:gridCol w:w="1328"/>
        <w:gridCol w:w="1289"/>
        <w:gridCol w:w="1594"/>
        <w:gridCol w:w="1435"/>
      </w:tblGrid>
      <w:tr w:rsidR="00CF7FE4" w:rsidRPr="0031133B" w14:paraId="4A59E4F3" w14:textId="728AFEB7" w:rsidTr="00002080">
        <w:trPr>
          <w:tblHeader/>
        </w:trPr>
        <w:tc>
          <w:tcPr>
            <w:tcW w:w="2490" w:type="dxa"/>
            <w:vMerge w:val="restart"/>
            <w:shd w:val="clear" w:color="auto" w:fill="C6D9F1"/>
          </w:tcPr>
          <w:p w14:paraId="0D76D003" w14:textId="77777777" w:rsidR="00CF7FE4" w:rsidRPr="00580490" w:rsidRDefault="00CF7FE4" w:rsidP="00211845">
            <w:pPr>
              <w:jc w:val="center"/>
              <w:rPr>
                <w:rFonts w:ascii="Times New Roman" w:hAnsi="Times New Roman"/>
              </w:rPr>
            </w:pPr>
            <w:r w:rsidRPr="00580490">
              <w:rPr>
                <w:rFonts w:ascii="Times New Roman" w:hAnsi="Times New Roman"/>
              </w:rPr>
              <w:t>Project</w:t>
            </w:r>
          </w:p>
        </w:tc>
        <w:tc>
          <w:tcPr>
            <w:tcW w:w="1219" w:type="dxa"/>
            <w:vMerge w:val="restart"/>
            <w:shd w:val="clear" w:color="auto" w:fill="C6D9F1"/>
          </w:tcPr>
          <w:p w14:paraId="2216AD80" w14:textId="77777777" w:rsidR="00CF7FE4" w:rsidRPr="00580490" w:rsidRDefault="00CF7FE4" w:rsidP="00211845">
            <w:pPr>
              <w:jc w:val="center"/>
              <w:rPr>
                <w:rFonts w:ascii="Times New Roman" w:hAnsi="Times New Roman"/>
              </w:rPr>
            </w:pPr>
            <w:r w:rsidRPr="00580490">
              <w:rPr>
                <w:rFonts w:ascii="Times New Roman" w:hAnsi="Times New Roman"/>
              </w:rPr>
              <w:t>Type</w:t>
            </w:r>
          </w:p>
        </w:tc>
        <w:tc>
          <w:tcPr>
            <w:tcW w:w="4211" w:type="dxa"/>
            <w:gridSpan w:val="3"/>
            <w:shd w:val="clear" w:color="auto" w:fill="C6D9F1"/>
          </w:tcPr>
          <w:p w14:paraId="5B0AD9FF" w14:textId="77777777" w:rsidR="00CF7FE4" w:rsidRPr="00580490" w:rsidRDefault="00CF7FE4" w:rsidP="002118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 xml:space="preserve">Value (US$ inclusive of PSC) </w:t>
            </w:r>
          </w:p>
        </w:tc>
        <w:tc>
          <w:tcPr>
            <w:tcW w:w="1435" w:type="dxa"/>
            <w:vMerge w:val="restart"/>
            <w:shd w:val="clear" w:color="auto" w:fill="C6D9F1"/>
          </w:tcPr>
          <w:p w14:paraId="25DA1216" w14:textId="77777777" w:rsidR="00191267" w:rsidRDefault="00CF7FE4" w:rsidP="002118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  <w:p w14:paraId="595AB48E" w14:textId="39F4A27F" w:rsidR="00CF7FE4" w:rsidRPr="00580490" w:rsidRDefault="00191267" w:rsidP="002118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</w:tr>
      <w:tr w:rsidR="00CF7FE4" w:rsidRPr="0031133B" w14:paraId="1276F07D" w14:textId="07CD9204" w:rsidTr="00002080">
        <w:trPr>
          <w:tblHeader/>
        </w:trPr>
        <w:tc>
          <w:tcPr>
            <w:tcW w:w="2490" w:type="dxa"/>
            <w:vMerge/>
            <w:shd w:val="clear" w:color="auto" w:fill="C6D9F1"/>
          </w:tcPr>
          <w:p w14:paraId="75B12BE5" w14:textId="77777777" w:rsidR="00CF7FE4" w:rsidRPr="00580490" w:rsidRDefault="00CF7FE4" w:rsidP="00211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shd w:val="clear" w:color="auto" w:fill="C6D9F1"/>
          </w:tcPr>
          <w:p w14:paraId="28EDE66E" w14:textId="77777777" w:rsidR="00CF7FE4" w:rsidRPr="00580490" w:rsidRDefault="00CF7FE4" w:rsidP="00211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shd w:val="clear" w:color="auto" w:fill="C6D9F1"/>
          </w:tcPr>
          <w:p w14:paraId="49ADD5B7" w14:textId="259961BB" w:rsidR="00CF7FE4" w:rsidRPr="00580490" w:rsidRDefault="00CF7FE4" w:rsidP="008213AB">
            <w:pPr>
              <w:jc w:val="center"/>
              <w:rPr>
                <w:rFonts w:ascii="Times New Roman" w:hAnsi="Times New Roman"/>
              </w:rPr>
            </w:pPr>
            <w:r w:rsidRPr="00580490">
              <w:rPr>
                <w:rFonts w:ascii="Times New Roman" w:hAnsi="Times New Roman"/>
              </w:rPr>
              <w:t>2017</w:t>
            </w:r>
          </w:p>
        </w:tc>
        <w:tc>
          <w:tcPr>
            <w:tcW w:w="1289" w:type="dxa"/>
            <w:shd w:val="clear" w:color="auto" w:fill="C6D9F1"/>
          </w:tcPr>
          <w:p w14:paraId="2CEC9976" w14:textId="266AA02E" w:rsidR="00CF7FE4" w:rsidRPr="00580490" w:rsidRDefault="00CF7FE4" w:rsidP="008213AB">
            <w:pPr>
              <w:jc w:val="center"/>
              <w:rPr>
                <w:rFonts w:ascii="Times New Roman" w:hAnsi="Times New Roman"/>
              </w:rPr>
            </w:pPr>
            <w:r w:rsidRPr="00580490">
              <w:rPr>
                <w:rFonts w:ascii="Times New Roman" w:hAnsi="Times New Roman"/>
              </w:rPr>
              <w:t>2018</w:t>
            </w:r>
          </w:p>
        </w:tc>
        <w:tc>
          <w:tcPr>
            <w:tcW w:w="1594" w:type="dxa"/>
            <w:shd w:val="clear" w:color="auto" w:fill="C6D9F1"/>
          </w:tcPr>
          <w:p w14:paraId="0BC7FE64" w14:textId="1D7145E7" w:rsidR="00CF7FE4" w:rsidRPr="00580490" w:rsidRDefault="00CF7FE4" w:rsidP="008213AB">
            <w:pPr>
              <w:jc w:val="center"/>
              <w:rPr>
                <w:rFonts w:ascii="Times New Roman" w:hAnsi="Times New Roman"/>
              </w:rPr>
            </w:pPr>
            <w:r w:rsidRPr="00580490">
              <w:rPr>
                <w:rFonts w:ascii="Times New Roman" w:hAnsi="Times New Roman"/>
              </w:rPr>
              <w:t>2019</w:t>
            </w:r>
          </w:p>
        </w:tc>
        <w:tc>
          <w:tcPr>
            <w:tcW w:w="1435" w:type="dxa"/>
            <w:vMerge/>
            <w:shd w:val="clear" w:color="auto" w:fill="C6D9F1"/>
          </w:tcPr>
          <w:p w14:paraId="7467628A" w14:textId="77777777" w:rsidR="00CF7FE4" w:rsidRPr="00580490" w:rsidRDefault="00CF7FE4" w:rsidP="008213AB">
            <w:pPr>
              <w:jc w:val="center"/>
              <w:rPr>
                <w:rFonts w:ascii="Times New Roman" w:hAnsi="Times New Roman"/>
              </w:rPr>
            </w:pPr>
          </w:p>
        </w:tc>
      </w:tr>
      <w:tr w:rsidR="00CF7FE4" w:rsidRPr="0031133B" w14:paraId="7CCF3CAE" w14:textId="3D3C4616" w:rsidTr="00BE45E6">
        <w:tc>
          <w:tcPr>
            <w:tcW w:w="9355" w:type="dxa"/>
            <w:gridSpan w:val="6"/>
          </w:tcPr>
          <w:p w14:paraId="4C59A0DE" w14:textId="62DE5650" w:rsidR="00CF7FE4" w:rsidRPr="00580490" w:rsidRDefault="00CF7FE4" w:rsidP="00580490">
            <w:pPr>
              <w:rPr>
                <w:rFonts w:ascii="Times New Roman" w:hAnsi="Times New Roman"/>
                <w:b/>
                <w:bCs/>
              </w:rPr>
            </w:pPr>
            <w:r w:rsidRPr="00580490">
              <w:rPr>
                <w:rFonts w:ascii="Times New Roman" w:hAnsi="Times New Roman"/>
                <w:b/>
                <w:bCs/>
              </w:rPr>
              <w:t>Required for compliance</w:t>
            </w:r>
          </w:p>
        </w:tc>
      </w:tr>
      <w:tr w:rsidR="007B2B2E" w:rsidRPr="0031133B" w14:paraId="60569E89" w14:textId="1A21B6EB" w:rsidTr="00002080">
        <w:tc>
          <w:tcPr>
            <w:tcW w:w="2490" w:type="dxa"/>
          </w:tcPr>
          <w:p w14:paraId="19D8DCFD" w14:textId="4AEB18BC" w:rsidR="007B2B2E" w:rsidRPr="00580490" w:rsidRDefault="007B2B2E" w:rsidP="007B2B2E">
            <w:pPr>
              <w:pStyle w:val="Default"/>
              <w:rPr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>HPMP Stage I</w:t>
            </w:r>
          </w:p>
        </w:tc>
        <w:tc>
          <w:tcPr>
            <w:tcW w:w="1219" w:type="dxa"/>
          </w:tcPr>
          <w:p w14:paraId="2FA28484" w14:textId="3820CABA" w:rsidR="007B2B2E" w:rsidRPr="00580490" w:rsidRDefault="007B2B2E" w:rsidP="007B2B2E">
            <w:pPr>
              <w:pStyle w:val="Default"/>
              <w:rPr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>PHA</w:t>
            </w:r>
          </w:p>
        </w:tc>
        <w:tc>
          <w:tcPr>
            <w:tcW w:w="1328" w:type="dxa"/>
          </w:tcPr>
          <w:p w14:paraId="08C2950C" w14:textId="535E88C0" w:rsidR="007B2B2E" w:rsidRPr="00136284" w:rsidRDefault="005349A0" w:rsidP="005349A0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2,933,978</w:t>
            </w:r>
          </w:p>
        </w:tc>
        <w:tc>
          <w:tcPr>
            <w:tcW w:w="1289" w:type="dxa"/>
          </w:tcPr>
          <w:p w14:paraId="2BDC9FB6" w14:textId="5E65FE8F" w:rsidR="007B2B2E" w:rsidRPr="00136284" w:rsidRDefault="005349A0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2,069,964</w:t>
            </w:r>
          </w:p>
        </w:tc>
        <w:tc>
          <w:tcPr>
            <w:tcW w:w="1594" w:type="dxa"/>
          </w:tcPr>
          <w:p w14:paraId="49E7E55B" w14:textId="24CF5ACE" w:rsidR="007B2B2E" w:rsidRPr="00136284" w:rsidRDefault="005349A0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203,400</w:t>
            </w:r>
          </w:p>
        </w:tc>
        <w:tc>
          <w:tcPr>
            <w:tcW w:w="1435" w:type="dxa"/>
          </w:tcPr>
          <w:p w14:paraId="1A7322ED" w14:textId="2DA10339" w:rsidR="007B2B2E" w:rsidRPr="00136284" w:rsidRDefault="005349A0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5,207,342</w:t>
            </w:r>
          </w:p>
        </w:tc>
      </w:tr>
      <w:tr w:rsidR="007B2B2E" w:rsidRPr="0031133B" w14:paraId="0B015AE1" w14:textId="4E0F917F" w:rsidTr="00002080">
        <w:tc>
          <w:tcPr>
            <w:tcW w:w="2490" w:type="dxa"/>
          </w:tcPr>
          <w:p w14:paraId="26085CBF" w14:textId="5026438A" w:rsidR="007B2B2E" w:rsidRPr="00580490" w:rsidRDefault="007B2B2E" w:rsidP="007B2B2E">
            <w:pPr>
              <w:pStyle w:val="Default"/>
              <w:rPr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>HPMP Stage II preparation</w:t>
            </w:r>
          </w:p>
        </w:tc>
        <w:tc>
          <w:tcPr>
            <w:tcW w:w="1219" w:type="dxa"/>
          </w:tcPr>
          <w:p w14:paraId="29DADC76" w14:textId="66F9EB55" w:rsidR="007B2B2E" w:rsidRPr="00580490" w:rsidRDefault="007B2B2E" w:rsidP="007B2B2E">
            <w:pPr>
              <w:pStyle w:val="Default"/>
              <w:rPr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>PRP</w:t>
            </w:r>
          </w:p>
        </w:tc>
        <w:tc>
          <w:tcPr>
            <w:tcW w:w="1328" w:type="dxa"/>
          </w:tcPr>
          <w:p w14:paraId="4C4862DF" w14:textId="3F764389" w:rsidR="007B2B2E" w:rsidRPr="00580490" w:rsidRDefault="00E4330D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135,600</w:t>
            </w:r>
          </w:p>
        </w:tc>
        <w:tc>
          <w:tcPr>
            <w:tcW w:w="1289" w:type="dxa"/>
          </w:tcPr>
          <w:p w14:paraId="1005F435" w14:textId="39586EDC" w:rsidR="007B2B2E" w:rsidRPr="00580490" w:rsidRDefault="00E4330D" w:rsidP="00E4330D">
            <w:pPr>
              <w:jc w:val="center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2,316,048</w:t>
            </w:r>
          </w:p>
        </w:tc>
        <w:tc>
          <w:tcPr>
            <w:tcW w:w="1594" w:type="dxa"/>
          </w:tcPr>
          <w:p w14:paraId="4F765E02" w14:textId="38FA238C" w:rsidR="007B2B2E" w:rsidRPr="00580490" w:rsidRDefault="00F834D6" w:rsidP="007B2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</w:tcPr>
          <w:p w14:paraId="464DA634" w14:textId="3AA5FDCB" w:rsidR="007B2B2E" w:rsidRPr="00136284" w:rsidRDefault="00F834D6" w:rsidP="007B2B2E">
            <w:pPr>
              <w:jc w:val="right"/>
              <w:rPr>
                <w:rFonts w:ascii="Times New Roman" w:hAnsi="Times New Roman"/>
              </w:rPr>
            </w:pPr>
            <w:r w:rsidRPr="00F834D6">
              <w:rPr>
                <w:rFonts w:ascii="Times New Roman" w:hAnsi="Times New Roman"/>
              </w:rPr>
              <w:t>2,451,648</w:t>
            </w:r>
          </w:p>
        </w:tc>
      </w:tr>
      <w:tr w:rsidR="007B2B2E" w:rsidRPr="0031133B" w14:paraId="74FF6FA5" w14:textId="2BEDF667" w:rsidTr="00002080">
        <w:tc>
          <w:tcPr>
            <w:tcW w:w="2490" w:type="dxa"/>
          </w:tcPr>
          <w:p w14:paraId="4E082FA5" w14:textId="22983CF6" w:rsidR="007B2B2E" w:rsidRPr="00580490" w:rsidRDefault="007B2B2E" w:rsidP="007B2B2E">
            <w:pPr>
              <w:pStyle w:val="Default"/>
              <w:rPr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>HPMP Stage II</w:t>
            </w:r>
          </w:p>
        </w:tc>
        <w:tc>
          <w:tcPr>
            <w:tcW w:w="1219" w:type="dxa"/>
          </w:tcPr>
          <w:p w14:paraId="2B18B8D7" w14:textId="456761F0" w:rsidR="007B2B2E" w:rsidRPr="00580490" w:rsidRDefault="007B2B2E" w:rsidP="007B2B2E">
            <w:pPr>
              <w:pStyle w:val="Default"/>
              <w:rPr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>PHA</w:t>
            </w:r>
          </w:p>
        </w:tc>
        <w:tc>
          <w:tcPr>
            <w:tcW w:w="1328" w:type="dxa"/>
          </w:tcPr>
          <w:p w14:paraId="6E77D928" w14:textId="618CDA50" w:rsidR="007B2B2E" w:rsidRPr="00580490" w:rsidRDefault="00136284" w:rsidP="007832B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  <w:r w:rsidR="007832B3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</w:t>
            </w:r>
            <w:r w:rsidR="007832B3">
              <w:rPr>
                <w:rFonts w:ascii="Times New Roman" w:hAnsi="Times New Roman"/>
              </w:rPr>
              <w:t>219</w:t>
            </w:r>
          </w:p>
        </w:tc>
        <w:tc>
          <w:tcPr>
            <w:tcW w:w="1289" w:type="dxa"/>
          </w:tcPr>
          <w:p w14:paraId="06D2D78F" w14:textId="352F3A12" w:rsidR="007B2B2E" w:rsidRPr="00580490" w:rsidRDefault="00136284" w:rsidP="007832B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7832B3">
              <w:rPr>
                <w:rFonts w:ascii="Times New Roman" w:hAnsi="Times New Roman"/>
              </w:rPr>
              <w:t>930,518</w:t>
            </w:r>
          </w:p>
        </w:tc>
        <w:tc>
          <w:tcPr>
            <w:tcW w:w="1594" w:type="dxa"/>
          </w:tcPr>
          <w:p w14:paraId="61A43E85" w14:textId="6637B970" w:rsidR="007B2B2E" w:rsidRPr="00580490" w:rsidRDefault="00136284" w:rsidP="007B2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5,678,341</w:t>
            </w:r>
          </w:p>
        </w:tc>
        <w:tc>
          <w:tcPr>
            <w:tcW w:w="1435" w:type="dxa"/>
          </w:tcPr>
          <w:p w14:paraId="63129B44" w14:textId="0A5C1473" w:rsidR="007B2B2E" w:rsidRPr="00136284" w:rsidRDefault="007832B3" w:rsidP="007B2B2E">
            <w:pPr>
              <w:jc w:val="right"/>
              <w:rPr>
                <w:rFonts w:ascii="Times New Roman" w:hAnsi="Times New Roman"/>
              </w:rPr>
            </w:pPr>
            <w:r w:rsidRPr="007832B3">
              <w:rPr>
                <w:rFonts w:ascii="Times New Roman" w:hAnsi="Times New Roman"/>
              </w:rPr>
              <w:t>18,622,078</w:t>
            </w:r>
          </w:p>
        </w:tc>
      </w:tr>
      <w:tr w:rsidR="007B2B2E" w:rsidRPr="0031133B" w14:paraId="3D5328F7" w14:textId="79677413" w:rsidTr="00002080">
        <w:tc>
          <w:tcPr>
            <w:tcW w:w="2490" w:type="dxa"/>
          </w:tcPr>
          <w:p w14:paraId="2463082E" w14:textId="2653D9C8" w:rsidR="007B2B2E" w:rsidRPr="00580490" w:rsidRDefault="007B2B2E" w:rsidP="007B2B2E">
            <w:pPr>
              <w:pStyle w:val="Default"/>
              <w:rPr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 xml:space="preserve">Institutional Strengthening </w:t>
            </w:r>
          </w:p>
        </w:tc>
        <w:tc>
          <w:tcPr>
            <w:tcW w:w="1219" w:type="dxa"/>
          </w:tcPr>
          <w:p w14:paraId="063D84FC" w14:textId="79D68879" w:rsidR="007B2B2E" w:rsidRPr="00580490" w:rsidRDefault="007B2B2E" w:rsidP="007B2B2E">
            <w:pPr>
              <w:pStyle w:val="Default"/>
              <w:rPr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>INS</w:t>
            </w:r>
          </w:p>
        </w:tc>
        <w:tc>
          <w:tcPr>
            <w:tcW w:w="1328" w:type="dxa"/>
          </w:tcPr>
          <w:p w14:paraId="01237AD6" w14:textId="42B3BD71" w:rsidR="007B2B2E" w:rsidRPr="00136284" w:rsidRDefault="007B2B2E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7,053,227</w:t>
            </w:r>
          </w:p>
        </w:tc>
        <w:tc>
          <w:tcPr>
            <w:tcW w:w="1289" w:type="dxa"/>
          </w:tcPr>
          <w:p w14:paraId="492C1B90" w14:textId="2B011064" w:rsidR="007B2B2E" w:rsidRPr="00136284" w:rsidRDefault="007B2B2E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4,524,220</w:t>
            </w:r>
          </w:p>
        </w:tc>
        <w:tc>
          <w:tcPr>
            <w:tcW w:w="1594" w:type="dxa"/>
          </w:tcPr>
          <w:p w14:paraId="3C2A4984" w14:textId="2E8D1AF1" w:rsidR="007B2B2E" w:rsidRPr="00136284" w:rsidRDefault="007B2B2E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7,053,227</w:t>
            </w:r>
          </w:p>
        </w:tc>
        <w:tc>
          <w:tcPr>
            <w:tcW w:w="1435" w:type="dxa"/>
          </w:tcPr>
          <w:p w14:paraId="10DCE4FB" w14:textId="5BCC8EF2" w:rsidR="007B2B2E" w:rsidRPr="00136284" w:rsidRDefault="007B2B2E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18,630,674</w:t>
            </w:r>
          </w:p>
        </w:tc>
      </w:tr>
      <w:tr w:rsidR="007B2B2E" w:rsidRPr="0031133B" w14:paraId="2A2F50B4" w14:textId="05493034" w:rsidTr="00002080">
        <w:tc>
          <w:tcPr>
            <w:tcW w:w="2490" w:type="dxa"/>
          </w:tcPr>
          <w:p w14:paraId="249A611F" w14:textId="054BE543" w:rsidR="007B2B2E" w:rsidRPr="00580490" w:rsidRDefault="007B2B2E" w:rsidP="007B2B2E">
            <w:pPr>
              <w:pStyle w:val="Default"/>
              <w:rPr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 xml:space="preserve">Compliance Assistance </w:t>
            </w:r>
            <w:proofErr w:type="spellStart"/>
            <w:r w:rsidRPr="00580490"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219" w:type="dxa"/>
          </w:tcPr>
          <w:p w14:paraId="518CA5EC" w14:textId="4BA6E034" w:rsidR="007B2B2E" w:rsidRPr="00580490" w:rsidRDefault="007B2B2E" w:rsidP="007B2B2E">
            <w:pPr>
              <w:pStyle w:val="Default"/>
              <w:rPr>
                <w:sz w:val="22"/>
                <w:szCs w:val="22"/>
              </w:rPr>
            </w:pPr>
            <w:r w:rsidRPr="00580490">
              <w:rPr>
                <w:sz w:val="22"/>
                <w:szCs w:val="22"/>
              </w:rPr>
              <w:t>TAS</w:t>
            </w:r>
          </w:p>
        </w:tc>
        <w:tc>
          <w:tcPr>
            <w:tcW w:w="1328" w:type="dxa"/>
          </w:tcPr>
          <w:p w14:paraId="1BC62966" w14:textId="1F9041ED" w:rsidR="007B2B2E" w:rsidRPr="00136284" w:rsidRDefault="007B2B2E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10,930,665</w:t>
            </w:r>
          </w:p>
        </w:tc>
        <w:tc>
          <w:tcPr>
            <w:tcW w:w="1289" w:type="dxa"/>
          </w:tcPr>
          <w:p w14:paraId="1C2EFFA7" w14:textId="194BB892" w:rsidR="007B2B2E" w:rsidRPr="00136284" w:rsidRDefault="007B2B2E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11,258,585</w:t>
            </w:r>
          </w:p>
        </w:tc>
        <w:tc>
          <w:tcPr>
            <w:tcW w:w="1594" w:type="dxa"/>
          </w:tcPr>
          <w:p w14:paraId="52127C17" w14:textId="13593313" w:rsidR="007B2B2E" w:rsidRPr="00136284" w:rsidRDefault="007B2B2E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11,596,342</w:t>
            </w:r>
          </w:p>
        </w:tc>
        <w:tc>
          <w:tcPr>
            <w:tcW w:w="1435" w:type="dxa"/>
          </w:tcPr>
          <w:p w14:paraId="63CAE526" w14:textId="1FDBD0E9" w:rsidR="007B2B2E" w:rsidRPr="00136284" w:rsidRDefault="007B2B2E" w:rsidP="007B2B2E">
            <w:pPr>
              <w:jc w:val="right"/>
              <w:rPr>
                <w:rFonts w:ascii="Times New Roman" w:hAnsi="Times New Roman"/>
              </w:rPr>
            </w:pPr>
            <w:r w:rsidRPr="00136284">
              <w:rPr>
                <w:rFonts w:ascii="Times New Roman" w:hAnsi="Times New Roman"/>
              </w:rPr>
              <w:t>33,785,592</w:t>
            </w:r>
          </w:p>
        </w:tc>
      </w:tr>
      <w:tr w:rsidR="007B2B2E" w:rsidRPr="0031133B" w14:paraId="580EC0EA" w14:textId="79C5CDB9" w:rsidTr="00BE45E6">
        <w:tc>
          <w:tcPr>
            <w:tcW w:w="3709" w:type="dxa"/>
            <w:gridSpan w:val="2"/>
          </w:tcPr>
          <w:p w14:paraId="42B22439" w14:textId="124758D8" w:rsidR="007B2B2E" w:rsidRPr="00BE45E6" w:rsidRDefault="007B2B2E" w:rsidP="007B2B2E">
            <w:pPr>
              <w:pStyle w:val="Default"/>
              <w:rPr>
                <w:b/>
                <w:sz w:val="22"/>
                <w:szCs w:val="22"/>
              </w:rPr>
            </w:pPr>
            <w:r w:rsidRPr="00BE45E6">
              <w:rPr>
                <w:b/>
                <w:iCs/>
                <w:sz w:val="22"/>
                <w:szCs w:val="22"/>
              </w:rPr>
              <w:t xml:space="preserve">Grand total </w:t>
            </w:r>
          </w:p>
        </w:tc>
        <w:tc>
          <w:tcPr>
            <w:tcW w:w="1328" w:type="dxa"/>
          </w:tcPr>
          <w:p w14:paraId="47248848" w14:textId="21EAB40B" w:rsidR="007B2B2E" w:rsidRPr="00437938" w:rsidRDefault="007832B3" w:rsidP="00136284">
            <w:pPr>
              <w:jc w:val="right"/>
              <w:rPr>
                <w:rFonts w:ascii="Times New Roman" w:hAnsi="Times New Roman"/>
                <w:b/>
              </w:rPr>
            </w:pPr>
            <w:r w:rsidRPr="007832B3">
              <w:rPr>
                <w:rFonts w:ascii="Times New Roman" w:hAnsi="Times New Roman"/>
                <w:b/>
              </w:rPr>
              <w:t>26,066,689</w:t>
            </w:r>
          </w:p>
        </w:tc>
        <w:tc>
          <w:tcPr>
            <w:tcW w:w="1289" w:type="dxa"/>
          </w:tcPr>
          <w:p w14:paraId="5F8D095F" w14:textId="1234FC0A" w:rsidR="007B2B2E" w:rsidRPr="00580490" w:rsidRDefault="007832B3" w:rsidP="00136284">
            <w:pPr>
              <w:jc w:val="right"/>
              <w:rPr>
                <w:rFonts w:ascii="Times New Roman" w:hAnsi="Times New Roman"/>
              </w:rPr>
            </w:pPr>
            <w:r w:rsidRPr="007832B3">
              <w:rPr>
                <w:rFonts w:ascii="Times New Roman" w:hAnsi="Times New Roman"/>
                <w:b/>
              </w:rPr>
              <w:t>28,099,335</w:t>
            </w:r>
          </w:p>
        </w:tc>
        <w:tc>
          <w:tcPr>
            <w:tcW w:w="1594" w:type="dxa"/>
          </w:tcPr>
          <w:p w14:paraId="40AD6BD6" w14:textId="326D6D30" w:rsidR="007B2B2E" w:rsidRPr="00437938" w:rsidRDefault="00F834D6" w:rsidP="00136284">
            <w:pPr>
              <w:jc w:val="right"/>
              <w:rPr>
                <w:rFonts w:ascii="Times New Roman" w:hAnsi="Times New Roman"/>
                <w:b/>
              </w:rPr>
            </w:pPr>
            <w:r w:rsidRPr="00F834D6">
              <w:rPr>
                <w:rFonts w:ascii="Times New Roman" w:hAnsi="Times New Roman"/>
                <w:b/>
              </w:rPr>
              <w:t>24,531,310</w:t>
            </w:r>
          </w:p>
        </w:tc>
        <w:tc>
          <w:tcPr>
            <w:tcW w:w="1435" w:type="dxa"/>
          </w:tcPr>
          <w:p w14:paraId="34723A21" w14:textId="26C53284" w:rsidR="007B2B2E" w:rsidRPr="00136284" w:rsidRDefault="007832B3" w:rsidP="00136284">
            <w:pPr>
              <w:jc w:val="right"/>
              <w:rPr>
                <w:rFonts w:ascii="Times New Roman" w:hAnsi="Times New Roman"/>
              </w:rPr>
            </w:pPr>
            <w:r w:rsidRPr="007832B3">
              <w:rPr>
                <w:rFonts w:ascii="Times New Roman" w:hAnsi="Times New Roman"/>
                <w:b/>
              </w:rPr>
              <w:t>78,697,334</w:t>
            </w:r>
          </w:p>
        </w:tc>
      </w:tr>
    </w:tbl>
    <w:p w14:paraId="61B140F7" w14:textId="77777777" w:rsidR="0088046C" w:rsidRPr="0031133B" w:rsidRDefault="0088046C" w:rsidP="00211845">
      <w:pPr>
        <w:rPr>
          <w:rFonts w:ascii="Times New Roman" w:hAnsi="Times New Roman"/>
        </w:rPr>
      </w:pPr>
    </w:p>
    <w:p w14:paraId="68162E5A" w14:textId="77777777" w:rsidR="002B6A8E" w:rsidRPr="0031133B" w:rsidRDefault="002B6A8E" w:rsidP="00211845">
      <w:pPr>
        <w:pStyle w:val="Default"/>
        <w:outlineLvl w:val="0"/>
        <w:rPr>
          <w:smallCaps/>
          <w:sz w:val="22"/>
          <w:szCs w:val="22"/>
        </w:rPr>
      </w:pPr>
      <w:r w:rsidRPr="0031133B">
        <w:rPr>
          <w:smallCaps/>
          <w:sz w:val="22"/>
          <w:szCs w:val="22"/>
        </w:rPr>
        <w:t xml:space="preserve"> </w:t>
      </w:r>
      <w:bookmarkStart w:id="6" w:name="_Toc456004118"/>
      <w:r w:rsidRPr="0031133B">
        <w:rPr>
          <w:b/>
          <w:bCs/>
          <w:smallCaps/>
          <w:sz w:val="22"/>
          <w:szCs w:val="22"/>
        </w:rPr>
        <w:t>III. P</w:t>
      </w:r>
      <w:r w:rsidR="0088046C" w:rsidRPr="0031133B">
        <w:rPr>
          <w:b/>
          <w:bCs/>
          <w:smallCaps/>
          <w:sz w:val="22"/>
          <w:szCs w:val="22"/>
        </w:rPr>
        <w:t>lanned Business Plan Activities</w:t>
      </w:r>
      <w:bookmarkEnd w:id="6"/>
      <w:r w:rsidRPr="0031133B">
        <w:rPr>
          <w:b/>
          <w:bCs/>
          <w:smallCaps/>
          <w:sz w:val="22"/>
          <w:szCs w:val="22"/>
        </w:rPr>
        <w:t xml:space="preserve"> </w:t>
      </w:r>
    </w:p>
    <w:p w14:paraId="35FD1EBE" w14:textId="77777777" w:rsidR="0088046C" w:rsidRPr="0031133B" w:rsidRDefault="0088046C" w:rsidP="00211845">
      <w:pPr>
        <w:pStyle w:val="Default"/>
        <w:rPr>
          <w:b/>
          <w:bCs/>
          <w:sz w:val="22"/>
          <w:szCs w:val="22"/>
        </w:rPr>
      </w:pPr>
    </w:p>
    <w:p w14:paraId="4A913604" w14:textId="77777777" w:rsidR="00555658" w:rsidRPr="0031133B" w:rsidRDefault="00555658" w:rsidP="00211845">
      <w:pPr>
        <w:pStyle w:val="Default"/>
        <w:rPr>
          <w:bCs/>
          <w:sz w:val="22"/>
          <w:szCs w:val="22"/>
        </w:rPr>
      </w:pPr>
      <w:r w:rsidRPr="0031133B">
        <w:rPr>
          <w:bCs/>
          <w:sz w:val="22"/>
          <w:szCs w:val="22"/>
        </w:rPr>
        <w:t xml:space="preserve">This section describes </w:t>
      </w:r>
      <w:proofErr w:type="spellStart"/>
      <w:r w:rsidRPr="0031133B">
        <w:rPr>
          <w:bCs/>
          <w:sz w:val="22"/>
          <w:szCs w:val="22"/>
        </w:rPr>
        <w:t>costed</w:t>
      </w:r>
      <w:proofErr w:type="spellEnd"/>
      <w:r w:rsidRPr="0031133B">
        <w:rPr>
          <w:bCs/>
          <w:sz w:val="22"/>
          <w:szCs w:val="22"/>
        </w:rPr>
        <w:t xml:space="preserve"> projects at the national, regional and global levels proposed by UNEP in the </w:t>
      </w:r>
      <w:r w:rsidR="001615D2">
        <w:rPr>
          <w:sz w:val="22"/>
          <w:szCs w:val="22"/>
        </w:rPr>
        <w:t>2017-2019</w:t>
      </w:r>
      <w:r w:rsidRPr="0031133B">
        <w:rPr>
          <w:bCs/>
          <w:sz w:val="22"/>
          <w:szCs w:val="22"/>
        </w:rPr>
        <w:t xml:space="preserve"> Business Plan </w:t>
      </w:r>
      <w:r w:rsidR="00C54584" w:rsidRPr="0031133B">
        <w:rPr>
          <w:bCs/>
          <w:sz w:val="22"/>
          <w:szCs w:val="22"/>
        </w:rPr>
        <w:t>period. All of the projects are included in Annex I</w:t>
      </w:r>
      <w:r w:rsidR="0089656A" w:rsidRPr="0031133B">
        <w:rPr>
          <w:bCs/>
          <w:sz w:val="22"/>
          <w:szCs w:val="22"/>
        </w:rPr>
        <w:t>.</w:t>
      </w:r>
    </w:p>
    <w:p w14:paraId="3FD20CDF" w14:textId="77777777" w:rsidR="00C54584" w:rsidRPr="0031133B" w:rsidRDefault="00C54584" w:rsidP="00211845">
      <w:pPr>
        <w:pStyle w:val="Default"/>
        <w:rPr>
          <w:b/>
          <w:bCs/>
          <w:sz w:val="22"/>
          <w:szCs w:val="22"/>
        </w:rPr>
      </w:pPr>
    </w:p>
    <w:p w14:paraId="7844A38C" w14:textId="77777777" w:rsidR="0088046C" w:rsidRPr="0031133B" w:rsidRDefault="002B6A8E" w:rsidP="00211845">
      <w:pPr>
        <w:pStyle w:val="Default"/>
        <w:outlineLvl w:val="1"/>
        <w:rPr>
          <w:b/>
          <w:bCs/>
          <w:smallCaps/>
          <w:sz w:val="22"/>
          <w:szCs w:val="22"/>
        </w:rPr>
      </w:pPr>
      <w:bookmarkStart w:id="7" w:name="_Toc456004119"/>
      <w:r w:rsidRPr="0031133B">
        <w:rPr>
          <w:b/>
          <w:bCs/>
          <w:smallCaps/>
          <w:sz w:val="22"/>
          <w:szCs w:val="22"/>
        </w:rPr>
        <w:t>A. N</w:t>
      </w:r>
      <w:r w:rsidR="0088046C" w:rsidRPr="0031133B">
        <w:rPr>
          <w:b/>
          <w:bCs/>
          <w:smallCaps/>
          <w:sz w:val="22"/>
          <w:szCs w:val="22"/>
        </w:rPr>
        <w:t>ational Level</w:t>
      </w:r>
      <w:bookmarkEnd w:id="7"/>
    </w:p>
    <w:p w14:paraId="7C431835" w14:textId="77777777" w:rsidR="002B6A8E" w:rsidRPr="0031133B" w:rsidRDefault="002B6A8E" w:rsidP="00211845">
      <w:pPr>
        <w:pStyle w:val="Default"/>
        <w:rPr>
          <w:sz w:val="22"/>
          <w:szCs w:val="22"/>
        </w:rPr>
      </w:pPr>
      <w:r w:rsidRPr="0031133B">
        <w:rPr>
          <w:b/>
          <w:bCs/>
          <w:sz w:val="22"/>
          <w:szCs w:val="22"/>
        </w:rPr>
        <w:t xml:space="preserve"> </w:t>
      </w:r>
    </w:p>
    <w:p w14:paraId="3504AE41" w14:textId="77777777" w:rsidR="002B6A8E" w:rsidRPr="0031133B" w:rsidRDefault="002330DD" w:rsidP="00211845">
      <w:pPr>
        <w:pStyle w:val="Default"/>
        <w:rPr>
          <w:sz w:val="22"/>
          <w:szCs w:val="22"/>
        </w:rPr>
      </w:pPr>
      <w:r w:rsidRPr="0031133B">
        <w:rPr>
          <w:sz w:val="22"/>
          <w:szCs w:val="22"/>
        </w:rPr>
        <w:t xml:space="preserve">Through this Business Plan, </w:t>
      </w:r>
      <w:r w:rsidR="002B6A8E" w:rsidRPr="0031133B">
        <w:rPr>
          <w:sz w:val="22"/>
          <w:szCs w:val="22"/>
        </w:rPr>
        <w:t>UNEP plans to deliver the following project</w:t>
      </w:r>
      <w:r w:rsidRPr="0031133B">
        <w:rPr>
          <w:sz w:val="22"/>
          <w:szCs w:val="22"/>
        </w:rPr>
        <w:t>s</w:t>
      </w:r>
      <w:r w:rsidR="002B6A8E" w:rsidRPr="0031133B">
        <w:rPr>
          <w:sz w:val="22"/>
          <w:szCs w:val="22"/>
        </w:rPr>
        <w:t xml:space="preserve"> at the national level: </w:t>
      </w:r>
    </w:p>
    <w:p w14:paraId="0F9DB6FA" w14:textId="77777777" w:rsidR="002B6A8E" w:rsidRPr="0031133B" w:rsidRDefault="002B6A8E" w:rsidP="00211845">
      <w:pPr>
        <w:pStyle w:val="Default"/>
        <w:rPr>
          <w:sz w:val="22"/>
          <w:szCs w:val="22"/>
          <w:u w:val="single"/>
        </w:rPr>
      </w:pPr>
    </w:p>
    <w:p w14:paraId="3081539D" w14:textId="311E0ED1" w:rsidR="002B6A8E" w:rsidRPr="0031133B" w:rsidRDefault="002B6A8E" w:rsidP="0021184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31133B">
        <w:rPr>
          <w:sz w:val="22"/>
          <w:szCs w:val="22"/>
          <w:u w:val="single"/>
        </w:rPr>
        <w:t>HPMP project preparation and implementation</w:t>
      </w:r>
      <w:r w:rsidRPr="0031133B">
        <w:rPr>
          <w:i/>
          <w:iCs/>
          <w:sz w:val="22"/>
          <w:szCs w:val="22"/>
        </w:rPr>
        <w:t>.</w:t>
      </w:r>
      <w:r w:rsidR="00881176" w:rsidRPr="0031133B">
        <w:rPr>
          <w:i/>
          <w:iCs/>
          <w:sz w:val="22"/>
          <w:szCs w:val="22"/>
        </w:rPr>
        <w:t xml:space="preserve"> </w:t>
      </w:r>
      <w:r w:rsidRPr="0031133B">
        <w:rPr>
          <w:sz w:val="22"/>
          <w:szCs w:val="22"/>
        </w:rPr>
        <w:t>UNEP will assist</w:t>
      </w:r>
      <w:r w:rsidR="002D0DF2" w:rsidRPr="0031133B">
        <w:rPr>
          <w:sz w:val="22"/>
          <w:szCs w:val="22"/>
        </w:rPr>
        <w:t xml:space="preserve"> </w:t>
      </w:r>
      <w:r w:rsidR="002E2841" w:rsidRPr="002E2841">
        <w:rPr>
          <w:sz w:val="22"/>
          <w:szCs w:val="22"/>
        </w:rPr>
        <w:t>73</w:t>
      </w:r>
      <w:r w:rsidR="00A61E9A" w:rsidRPr="0031133B">
        <w:rPr>
          <w:sz w:val="22"/>
          <w:szCs w:val="22"/>
        </w:rPr>
        <w:t xml:space="preserve"> with </w:t>
      </w:r>
      <w:r w:rsidR="00A829FD">
        <w:rPr>
          <w:sz w:val="22"/>
          <w:szCs w:val="22"/>
        </w:rPr>
        <w:t>Stage</w:t>
      </w:r>
      <w:r w:rsidR="00A61E9A" w:rsidRPr="0031133B">
        <w:rPr>
          <w:sz w:val="22"/>
          <w:szCs w:val="22"/>
        </w:rPr>
        <w:t xml:space="preserve"> II preparation </w:t>
      </w:r>
      <w:r w:rsidRPr="0031133B">
        <w:rPr>
          <w:sz w:val="22"/>
          <w:szCs w:val="22"/>
        </w:rPr>
        <w:t>in accordance with Executive Committee policies and guidelines. UNEP will also assist countries with the</w:t>
      </w:r>
      <w:r w:rsidR="00A61E9A" w:rsidRPr="0031133B">
        <w:rPr>
          <w:sz w:val="22"/>
          <w:szCs w:val="22"/>
        </w:rPr>
        <w:t xml:space="preserve"> </w:t>
      </w:r>
      <w:r w:rsidRPr="0031133B">
        <w:rPr>
          <w:sz w:val="22"/>
          <w:szCs w:val="22"/>
        </w:rPr>
        <w:t>implementation of the non-investment components of the HPMPs</w:t>
      </w:r>
      <w:r w:rsidR="0089656A" w:rsidRPr="0031133B">
        <w:rPr>
          <w:sz w:val="22"/>
          <w:szCs w:val="22"/>
        </w:rPr>
        <w:t xml:space="preserve"> (both Stage</w:t>
      </w:r>
      <w:r w:rsidR="00A829FD">
        <w:rPr>
          <w:sz w:val="22"/>
          <w:szCs w:val="22"/>
        </w:rPr>
        <w:t>s</w:t>
      </w:r>
      <w:r w:rsidR="0089656A" w:rsidRPr="0031133B">
        <w:rPr>
          <w:sz w:val="22"/>
          <w:szCs w:val="22"/>
        </w:rPr>
        <w:t xml:space="preserve"> I and II)</w:t>
      </w:r>
      <w:r w:rsidRPr="0031133B">
        <w:rPr>
          <w:sz w:val="22"/>
          <w:szCs w:val="22"/>
        </w:rPr>
        <w:t>, in cooperation with other Implementing Agencies and bilateral agencies. In total, during this Business Plan UNEP will be the</w:t>
      </w:r>
      <w:r w:rsidR="00A61E9A" w:rsidRPr="0031133B">
        <w:rPr>
          <w:sz w:val="22"/>
          <w:szCs w:val="22"/>
        </w:rPr>
        <w:t xml:space="preserve"> HPMP Lead Agency for</w:t>
      </w:r>
      <w:r w:rsidRPr="0031133B">
        <w:rPr>
          <w:sz w:val="22"/>
          <w:szCs w:val="22"/>
        </w:rPr>
        <w:t xml:space="preserve"> </w:t>
      </w:r>
      <w:r w:rsidR="00F35BFA">
        <w:rPr>
          <w:sz w:val="22"/>
          <w:szCs w:val="22"/>
        </w:rPr>
        <w:t xml:space="preserve">72 </w:t>
      </w:r>
      <w:r w:rsidRPr="0031133B">
        <w:rPr>
          <w:color w:val="auto"/>
          <w:sz w:val="22"/>
          <w:szCs w:val="22"/>
        </w:rPr>
        <w:t xml:space="preserve">countries </w:t>
      </w:r>
      <w:r w:rsidR="00A61E9A" w:rsidRPr="0031133B">
        <w:rPr>
          <w:color w:val="auto"/>
          <w:sz w:val="22"/>
          <w:szCs w:val="22"/>
        </w:rPr>
        <w:t>and Cooperating A</w:t>
      </w:r>
      <w:r w:rsidRPr="0031133B">
        <w:rPr>
          <w:color w:val="auto"/>
          <w:sz w:val="22"/>
          <w:szCs w:val="22"/>
        </w:rPr>
        <w:t xml:space="preserve">gency </w:t>
      </w:r>
      <w:r w:rsidR="00A61E9A" w:rsidRPr="0031133B">
        <w:rPr>
          <w:color w:val="auto"/>
          <w:sz w:val="22"/>
          <w:szCs w:val="22"/>
        </w:rPr>
        <w:t xml:space="preserve">for </w:t>
      </w:r>
      <w:r w:rsidR="00F35BFA">
        <w:rPr>
          <w:color w:val="auto"/>
          <w:sz w:val="22"/>
          <w:szCs w:val="22"/>
        </w:rPr>
        <w:t xml:space="preserve">30 </w:t>
      </w:r>
      <w:r w:rsidR="00A61E9A" w:rsidRPr="0031133B">
        <w:rPr>
          <w:sz w:val="22"/>
          <w:szCs w:val="22"/>
        </w:rPr>
        <w:t>countries</w:t>
      </w:r>
      <w:r w:rsidRPr="0031133B">
        <w:rPr>
          <w:color w:val="auto"/>
          <w:sz w:val="22"/>
          <w:szCs w:val="22"/>
        </w:rPr>
        <w:t xml:space="preserve">. </w:t>
      </w:r>
    </w:p>
    <w:p w14:paraId="6C7169C0" w14:textId="77777777" w:rsidR="002B6A8E" w:rsidRPr="0031133B" w:rsidRDefault="002B6A8E" w:rsidP="00211845">
      <w:pPr>
        <w:pStyle w:val="Default"/>
        <w:rPr>
          <w:sz w:val="22"/>
          <w:szCs w:val="22"/>
          <w:u w:val="single"/>
        </w:rPr>
      </w:pPr>
    </w:p>
    <w:p w14:paraId="55F2E209" w14:textId="6E964F7D" w:rsidR="002B6A8E" w:rsidRPr="0031133B" w:rsidRDefault="002B6A8E" w:rsidP="00211845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31133B">
        <w:rPr>
          <w:sz w:val="22"/>
          <w:szCs w:val="22"/>
          <w:u w:val="single"/>
        </w:rPr>
        <w:t>Institutional Strengthening projects</w:t>
      </w:r>
      <w:r w:rsidRPr="0031133B">
        <w:rPr>
          <w:i/>
          <w:iCs/>
          <w:sz w:val="22"/>
          <w:szCs w:val="22"/>
        </w:rPr>
        <w:t xml:space="preserve">. </w:t>
      </w:r>
      <w:r w:rsidRPr="0031133B">
        <w:rPr>
          <w:sz w:val="22"/>
          <w:szCs w:val="22"/>
        </w:rPr>
        <w:t xml:space="preserve">UNEP </w:t>
      </w:r>
      <w:r w:rsidRPr="0031133B">
        <w:rPr>
          <w:color w:val="auto"/>
          <w:sz w:val="22"/>
          <w:szCs w:val="22"/>
        </w:rPr>
        <w:t xml:space="preserve">provides </w:t>
      </w:r>
      <w:r w:rsidR="00F35BFA">
        <w:rPr>
          <w:color w:val="auto"/>
          <w:sz w:val="22"/>
          <w:szCs w:val="22"/>
        </w:rPr>
        <w:t>104</w:t>
      </w:r>
      <w:r w:rsidR="003A0D23" w:rsidRPr="0031133B">
        <w:rPr>
          <w:color w:val="auto"/>
          <w:sz w:val="22"/>
          <w:szCs w:val="22"/>
        </w:rPr>
        <w:t xml:space="preserve"> </w:t>
      </w:r>
      <w:r w:rsidRPr="0031133B">
        <w:rPr>
          <w:color w:val="auto"/>
          <w:sz w:val="22"/>
          <w:szCs w:val="22"/>
        </w:rPr>
        <w:t xml:space="preserve">countries </w:t>
      </w:r>
      <w:r w:rsidRPr="0031133B">
        <w:rPr>
          <w:sz w:val="22"/>
          <w:szCs w:val="22"/>
        </w:rPr>
        <w:t xml:space="preserve">with ongoing technical assistance and administrative support for the implementation of their IS projects, including the submission of IS renewals and assistance with activities covered by these projects. </w:t>
      </w:r>
      <w:r w:rsidR="00C816C8" w:rsidRPr="0031133B">
        <w:rPr>
          <w:sz w:val="22"/>
          <w:szCs w:val="22"/>
        </w:rPr>
        <w:t xml:space="preserve">UNEP will submit such projects as per the appropriate timing and when all the necessary pre-conditions have been met (e.g. disbursal rate, reporting obligations). </w:t>
      </w:r>
      <w:r w:rsidRPr="0031133B">
        <w:rPr>
          <w:sz w:val="22"/>
          <w:szCs w:val="22"/>
        </w:rPr>
        <w:t xml:space="preserve">This service is performed as part of CAP services, with 0% PSC to UNEP. </w:t>
      </w:r>
    </w:p>
    <w:p w14:paraId="61D653B3" w14:textId="77777777" w:rsidR="002B6A8E" w:rsidRPr="0031133B" w:rsidRDefault="002B6A8E" w:rsidP="00211845">
      <w:pPr>
        <w:pStyle w:val="Default"/>
        <w:rPr>
          <w:sz w:val="22"/>
          <w:szCs w:val="22"/>
          <w:u w:val="single"/>
        </w:rPr>
      </w:pPr>
    </w:p>
    <w:p w14:paraId="2BEA2F11" w14:textId="5827C5DF" w:rsidR="002B6A8E" w:rsidRPr="002E2841" w:rsidRDefault="00514A72" w:rsidP="0057314F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2E2841">
        <w:rPr>
          <w:sz w:val="22"/>
          <w:szCs w:val="22"/>
          <w:u w:val="single"/>
        </w:rPr>
        <w:t>New project types</w:t>
      </w:r>
      <w:r w:rsidRPr="0031133B">
        <w:rPr>
          <w:sz w:val="22"/>
          <w:szCs w:val="22"/>
        </w:rPr>
        <w:t>.</w:t>
      </w:r>
      <w:r w:rsidRPr="002E2841">
        <w:rPr>
          <w:color w:val="00B050"/>
          <w:sz w:val="22"/>
          <w:szCs w:val="22"/>
        </w:rPr>
        <w:t xml:space="preserve"> </w:t>
      </w:r>
      <w:r w:rsidRPr="002E2841">
        <w:rPr>
          <w:sz w:val="22"/>
          <w:szCs w:val="22"/>
        </w:rPr>
        <w:t xml:space="preserve">There </w:t>
      </w:r>
      <w:r w:rsidR="00A61E9A" w:rsidRPr="002E2841">
        <w:rPr>
          <w:sz w:val="22"/>
          <w:szCs w:val="22"/>
        </w:rPr>
        <w:t xml:space="preserve">are </w:t>
      </w:r>
      <w:r w:rsidR="002E2841" w:rsidRPr="002E2841">
        <w:rPr>
          <w:sz w:val="22"/>
          <w:szCs w:val="22"/>
        </w:rPr>
        <w:t>no</w:t>
      </w:r>
      <w:r w:rsidR="00A61E9A" w:rsidRPr="002E2841">
        <w:rPr>
          <w:sz w:val="22"/>
          <w:szCs w:val="22"/>
        </w:rPr>
        <w:t xml:space="preserve"> </w:t>
      </w:r>
      <w:r w:rsidRPr="002E2841">
        <w:rPr>
          <w:sz w:val="22"/>
          <w:szCs w:val="22"/>
        </w:rPr>
        <w:t xml:space="preserve">new projects included in this Business Plan </w:t>
      </w:r>
      <w:r w:rsidR="002E2841" w:rsidRPr="002E2841">
        <w:rPr>
          <w:sz w:val="22"/>
          <w:szCs w:val="22"/>
        </w:rPr>
        <w:t xml:space="preserve">for the years of 2017-2019. </w:t>
      </w:r>
    </w:p>
    <w:p w14:paraId="5C69F034" w14:textId="77777777" w:rsidR="002E2841" w:rsidRPr="0031133B" w:rsidRDefault="002E2841" w:rsidP="002E2841">
      <w:pPr>
        <w:pStyle w:val="Default"/>
        <w:ind w:left="360"/>
        <w:rPr>
          <w:sz w:val="22"/>
          <w:szCs w:val="22"/>
        </w:rPr>
      </w:pPr>
    </w:p>
    <w:p w14:paraId="521C6EE6" w14:textId="77777777" w:rsidR="002B6A8E" w:rsidRPr="0031133B" w:rsidRDefault="002B6A8E" w:rsidP="00211845">
      <w:pPr>
        <w:pStyle w:val="Default"/>
        <w:outlineLvl w:val="1"/>
        <w:rPr>
          <w:smallCaps/>
          <w:sz w:val="22"/>
          <w:szCs w:val="22"/>
        </w:rPr>
      </w:pPr>
      <w:bookmarkStart w:id="8" w:name="_Toc456004120"/>
      <w:r w:rsidRPr="0031133B">
        <w:rPr>
          <w:b/>
          <w:bCs/>
          <w:smallCaps/>
          <w:sz w:val="22"/>
          <w:szCs w:val="22"/>
        </w:rPr>
        <w:t xml:space="preserve">B. </w:t>
      </w:r>
      <w:r w:rsidR="0088046C" w:rsidRPr="0031133B">
        <w:rPr>
          <w:b/>
          <w:bCs/>
          <w:smallCaps/>
          <w:sz w:val="22"/>
          <w:szCs w:val="22"/>
        </w:rPr>
        <w:t xml:space="preserve"> </w:t>
      </w:r>
      <w:r w:rsidRPr="0031133B">
        <w:rPr>
          <w:b/>
          <w:bCs/>
          <w:smallCaps/>
          <w:sz w:val="22"/>
          <w:szCs w:val="22"/>
        </w:rPr>
        <w:t>R</w:t>
      </w:r>
      <w:r w:rsidR="0088046C" w:rsidRPr="0031133B">
        <w:rPr>
          <w:b/>
          <w:bCs/>
          <w:smallCaps/>
          <w:sz w:val="22"/>
          <w:szCs w:val="22"/>
        </w:rPr>
        <w:t>egional Level</w:t>
      </w:r>
      <w:bookmarkEnd w:id="8"/>
      <w:r w:rsidRPr="0031133B">
        <w:rPr>
          <w:b/>
          <w:bCs/>
          <w:smallCaps/>
          <w:sz w:val="22"/>
          <w:szCs w:val="22"/>
        </w:rPr>
        <w:t xml:space="preserve"> </w:t>
      </w:r>
    </w:p>
    <w:p w14:paraId="27D75196" w14:textId="77777777" w:rsidR="0088046C" w:rsidRPr="0031133B" w:rsidRDefault="0088046C" w:rsidP="00211845">
      <w:pPr>
        <w:pStyle w:val="Default"/>
        <w:rPr>
          <w:sz w:val="22"/>
          <w:szCs w:val="22"/>
          <w:u w:val="single"/>
        </w:rPr>
      </w:pPr>
    </w:p>
    <w:p w14:paraId="0A61ADC7" w14:textId="77777777" w:rsidR="002330DD" w:rsidRPr="0031133B" w:rsidRDefault="002330DD" w:rsidP="00211845">
      <w:pPr>
        <w:pStyle w:val="Default"/>
        <w:rPr>
          <w:sz w:val="22"/>
          <w:szCs w:val="22"/>
        </w:rPr>
      </w:pPr>
      <w:r w:rsidRPr="0031133B">
        <w:rPr>
          <w:sz w:val="22"/>
          <w:szCs w:val="22"/>
        </w:rPr>
        <w:t xml:space="preserve">Through this Business Plan, UNEP plans to deliver the following projects at the regional level: </w:t>
      </w:r>
    </w:p>
    <w:p w14:paraId="60546D4E" w14:textId="77777777" w:rsidR="002330DD" w:rsidRPr="0031133B" w:rsidRDefault="002330DD" w:rsidP="00211845">
      <w:pPr>
        <w:pStyle w:val="Default"/>
        <w:ind w:left="284"/>
        <w:rPr>
          <w:sz w:val="22"/>
          <w:szCs w:val="22"/>
          <w:u w:val="single"/>
        </w:rPr>
      </w:pPr>
    </w:p>
    <w:p w14:paraId="3FACBF14" w14:textId="77777777" w:rsidR="002E2841" w:rsidRDefault="002E2841" w:rsidP="002E2841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2C56CB">
        <w:rPr>
          <w:sz w:val="22"/>
          <w:szCs w:val="22"/>
        </w:rPr>
        <w:t>Regional PIC HPMP preparation (Stage II)</w:t>
      </w:r>
      <w:r>
        <w:rPr>
          <w:sz w:val="22"/>
          <w:szCs w:val="22"/>
        </w:rPr>
        <w:t xml:space="preserve">. The preparation funds will be requested in the year of 2018. </w:t>
      </w:r>
    </w:p>
    <w:p w14:paraId="6161A556" w14:textId="77777777" w:rsidR="0089656A" w:rsidRPr="0031133B" w:rsidRDefault="00412616" w:rsidP="00211845">
      <w:pPr>
        <w:pStyle w:val="ListParagraph"/>
        <w:ind w:left="568"/>
        <w:rPr>
          <w:rFonts w:ascii="Times New Roman" w:hAnsi="Times New Roman"/>
          <w:b/>
          <w:bCs/>
          <w:smallCaps/>
        </w:rPr>
      </w:pPr>
      <w:r w:rsidRPr="0031133B">
        <w:rPr>
          <w:rFonts w:ascii="Times New Roman" w:hAnsi="Times New Roman"/>
        </w:rPr>
        <w:t xml:space="preserve"> </w:t>
      </w:r>
    </w:p>
    <w:p w14:paraId="7A10C4C8" w14:textId="77777777" w:rsidR="002330DD" w:rsidRPr="0031133B" w:rsidRDefault="002330DD" w:rsidP="00211845">
      <w:pPr>
        <w:pStyle w:val="Default"/>
        <w:outlineLvl w:val="1"/>
        <w:rPr>
          <w:smallCaps/>
          <w:sz w:val="22"/>
          <w:szCs w:val="22"/>
        </w:rPr>
      </w:pPr>
      <w:bookmarkStart w:id="9" w:name="_Toc456004121"/>
      <w:r w:rsidRPr="0031133B">
        <w:rPr>
          <w:b/>
          <w:bCs/>
          <w:smallCaps/>
          <w:sz w:val="22"/>
          <w:szCs w:val="22"/>
        </w:rPr>
        <w:t>C.  Global Level</w:t>
      </w:r>
      <w:bookmarkEnd w:id="9"/>
      <w:r w:rsidRPr="0031133B">
        <w:rPr>
          <w:b/>
          <w:bCs/>
          <w:smallCaps/>
          <w:sz w:val="22"/>
          <w:szCs w:val="22"/>
        </w:rPr>
        <w:t xml:space="preserve"> </w:t>
      </w:r>
    </w:p>
    <w:p w14:paraId="705A261D" w14:textId="77777777" w:rsidR="002330DD" w:rsidRPr="0031133B" w:rsidRDefault="002330DD" w:rsidP="00211845">
      <w:pPr>
        <w:pStyle w:val="Default"/>
        <w:rPr>
          <w:sz w:val="22"/>
          <w:szCs w:val="22"/>
          <w:u w:val="single"/>
        </w:rPr>
      </w:pPr>
    </w:p>
    <w:p w14:paraId="52F2A660" w14:textId="0726DED4" w:rsidR="002E2841" w:rsidRPr="0031133B" w:rsidRDefault="002E2841" w:rsidP="002E2841">
      <w:pPr>
        <w:pStyle w:val="Default"/>
        <w:rPr>
          <w:sz w:val="22"/>
          <w:szCs w:val="22"/>
        </w:rPr>
      </w:pPr>
      <w:r w:rsidRPr="0031133B">
        <w:rPr>
          <w:sz w:val="22"/>
          <w:szCs w:val="22"/>
        </w:rPr>
        <w:t xml:space="preserve">Through this Business Plan, UNEP </w:t>
      </w:r>
      <w:r>
        <w:rPr>
          <w:sz w:val="22"/>
          <w:szCs w:val="22"/>
        </w:rPr>
        <w:t xml:space="preserve">does not plan </w:t>
      </w:r>
      <w:r w:rsidRPr="0031133B">
        <w:rPr>
          <w:sz w:val="22"/>
          <w:szCs w:val="22"/>
        </w:rPr>
        <w:t xml:space="preserve">to deliver the </w:t>
      </w:r>
      <w:r>
        <w:rPr>
          <w:sz w:val="22"/>
          <w:szCs w:val="22"/>
        </w:rPr>
        <w:t>additional project at the global level.</w:t>
      </w:r>
    </w:p>
    <w:p w14:paraId="68867530" w14:textId="77777777" w:rsidR="00FD2A59" w:rsidRPr="0031133B" w:rsidRDefault="00FD2A59" w:rsidP="00211845">
      <w:pPr>
        <w:rPr>
          <w:rFonts w:ascii="Times New Roman" w:hAnsi="Times New Roman"/>
        </w:rPr>
      </w:pPr>
    </w:p>
    <w:p w14:paraId="094AAEAC" w14:textId="77777777" w:rsidR="002B6A8E" w:rsidRPr="0031133B" w:rsidRDefault="002B6A8E" w:rsidP="00211845">
      <w:pPr>
        <w:pStyle w:val="Default"/>
        <w:outlineLvl w:val="1"/>
        <w:rPr>
          <w:b/>
          <w:bCs/>
          <w:smallCaps/>
          <w:sz w:val="22"/>
          <w:szCs w:val="22"/>
        </w:rPr>
      </w:pPr>
      <w:bookmarkStart w:id="10" w:name="_Toc456004122"/>
      <w:r w:rsidRPr="0031133B">
        <w:rPr>
          <w:b/>
          <w:bCs/>
          <w:smallCaps/>
          <w:sz w:val="22"/>
          <w:szCs w:val="22"/>
        </w:rPr>
        <w:t xml:space="preserve">D. </w:t>
      </w:r>
      <w:r w:rsidR="00350DEF" w:rsidRPr="0031133B">
        <w:rPr>
          <w:b/>
          <w:bCs/>
          <w:smallCaps/>
          <w:sz w:val="22"/>
          <w:szCs w:val="22"/>
        </w:rPr>
        <w:t xml:space="preserve"> </w:t>
      </w:r>
      <w:r w:rsidRPr="0031133B">
        <w:rPr>
          <w:b/>
          <w:bCs/>
          <w:smallCaps/>
          <w:sz w:val="22"/>
          <w:szCs w:val="22"/>
        </w:rPr>
        <w:t>N</w:t>
      </w:r>
      <w:r w:rsidR="00350DEF" w:rsidRPr="0031133B">
        <w:rPr>
          <w:b/>
          <w:bCs/>
          <w:smallCaps/>
          <w:sz w:val="22"/>
          <w:szCs w:val="22"/>
        </w:rPr>
        <w:t>ew Project Types</w:t>
      </w:r>
      <w:bookmarkEnd w:id="10"/>
      <w:r w:rsidRPr="0031133B">
        <w:rPr>
          <w:b/>
          <w:bCs/>
          <w:smallCaps/>
          <w:sz w:val="22"/>
          <w:szCs w:val="22"/>
        </w:rPr>
        <w:t xml:space="preserve"> </w:t>
      </w:r>
    </w:p>
    <w:p w14:paraId="111BB61C" w14:textId="77777777" w:rsidR="00350DEF" w:rsidRPr="0031133B" w:rsidRDefault="00350DEF" w:rsidP="00211845">
      <w:pPr>
        <w:pStyle w:val="Default"/>
        <w:rPr>
          <w:sz w:val="22"/>
          <w:szCs w:val="22"/>
        </w:rPr>
      </w:pPr>
    </w:p>
    <w:p w14:paraId="383D14CD" w14:textId="67035D80" w:rsidR="00F27806" w:rsidRPr="0031133B" w:rsidRDefault="002E2841" w:rsidP="00211845">
      <w:pPr>
        <w:rPr>
          <w:rFonts w:ascii="Times New Roman" w:hAnsi="Times New Roman"/>
        </w:rPr>
      </w:pPr>
      <w:r w:rsidRPr="0031133B">
        <w:rPr>
          <w:rFonts w:ascii="Times New Roman" w:hAnsi="Times New Roman"/>
        </w:rPr>
        <w:t xml:space="preserve">UNEP </w:t>
      </w:r>
      <w:r>
        <w:rPr>
          <w:rFonts w:ascii="Times New Roman" w:hAnsi="Times New Roman"/>
        </w:rPr>
        <w:t>does not plan t</w:t>
      </w:r>
      <w:r w:rsidRPr="0031133B">
        <w:rPr>
          <w:rFonts w:ascii="Times New Roman" w:hAnsi="Times New Roman"/>
        </w:rPr>
        <w:t xml:space="preserve">o submit the </w:t>
      </w:r>
      <w:r>
        <w:rPr>
          <w:rFonts w:ascii="Times New Roman" w:hAnsi="Times New Roman"/>
        </w:rPr>
        <w:t xml:space="preserve">new type of projects </w:t>
      </w:r>
      <w:r w:rsidRPr="0031133B">
        <w:rPr>
          <w:rFonts w:ascii="Times New Roman" w:hAnsi="Times New Roman"/>
        </w:rPr>
        <w:t>during the 201</w:t>
      </w:r>
      <w:r>
        <w:rPr>
          <w:rFonts w:ascii="Times New Roman" w:hAnsi="Times New Roman"/>
        </w:rPr>
        <w:t>7</w:t>
      </w:r>
      <w:r w:rsidRPr="0031133B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31133B">
        <w:rPr>
          <w:rFonts w:ascii="Times New Roman" w:hAnsi="Times New Roman"/>
        </w:rPr>
        <w:t xml:space="preserve"> period</w:t>
      </w:r>
      <w:r>
        <w:rPr>
          <w:rFonts w:ascii="Times New Roman" w:hAnsi="Times New Roman"/>
        </w:rPr>
        <w:t>.</w:t>
      </w:r>
    </w:p>
    <w:p w14:paraId="1A53BE43" w14:textId="77777777" w:rsidR="00F27806" w:rsidRPr="0031133B" w:rsidRDefault="00F27806" w:rsidP="00211845">
      <w:pPr>
        <w:rPr>
          <w:rFonts w:ascii="Times New Roman" w:hAnsi="Times New Roman"/>
        </w:rPr>
      </w:pPr>
    </w:p>
    <w:p w14:paraId="19B6D640" w14:textId="77777777" w:rsidR="002B6A8E" w:rsidRPr="0031133B" w:rsidRDefault="002B6A8E" w:rsidP="00211845">
      <w:pPr>
        <w:pStyle w:val="Default"/>
        <w:outlineLvl w:val="0"/>
        <w:rPr>
          <w:smallCaps/>
          <w:sz w:val="22"/>
          <w:szCs w:val="22"/>
        </w:rPr>
      </w:pPr>
      <w:bookmarkStart w:id="11" w:name="_Toc456004123"/>
      <w:r w:rsidRPr="0031133B">
        <w:rPr>
          <w:b/>
          <w:bCs/>
          <w:smallCaps/>
          <w:sz w:val="22"/>
          <w:szCs w:val="22"/>
        </w:rPr>
        <w:t>IV. P</w:t>
      </w:r>
      <w:r w:rsidR="008150C6" w:rsidRPr="0031133B">
        <w:rPr>
          <w:b/>
          <w:bCs/>
          <w:smallCaps/>
          <w:sz w:val="22"/>
          <w:szCs w:val="22"/>
        </w:rPr>
        <w:t>erformance Indicators</w:t>
      </w:r>
      <w:bookmarkEnd w:id="11"/>
      <w:r w:rsidRPr="0031133B">
        <w:rPr>
          <w:b/>
          <w:bCs/>
          <w:smallCaps/>
          <w:sz w:val="22"/>
          <w:szCs w:val="22"/>
        </w:rPr>
        <w:t xml:space="preserve"> </w:t>
      </w:r>
    </w:p>
    <w:p w14:paraId="16461AC9" w14:textId="77777777" w:rsidR="0088046C" w:rsidRPr="0031133B" w:rsidRDefault="0088046C" w:rsidP="00211845">
      <w:pPr>
        <w:pStyle w:val="Default"/>
        <w:rPr>
          <w:sz w:val="22"/>
          <w:szCs w:val="22"/>
        </w:rPr>
      </w:pPr>
    </w:p>
    <w:p w14:paraId="1A7E5A14" w14:textId="5D0A11BC" w:rsidR="002B6A8E" w:rsidRPr="0031133B" w:rsidRDefault="002B6A8E" w:rsidP="00211845">
      <w:pPr>
        <w:pStyle w:val="Default"/>
        <w:rPr>
          <w:sz w:val="22"/>
          <w:szCs w:val="22"/>
        </w:rPr>
      </w:pPr>
      <w:r w:rsidRPr="0031133B">
        <w:rPr>
          <w:sz w:val="22"/>
          <w:szCs w:val="22"/>
        </w:rPr>
        <w:t xml:space="preserve">UNEP expects that the services, </w:t>
      </w:r>
      <w:r w:rsidR="0027612D" w:rsidRPr="0031133B">
        <w:rPr>
          <w:sz w:val="22"/>
          <w:szCs w:val="22"/>
        </w:rPr>
        <w:t xml:space="preserve">activities and </w:t>
      </w:r>
      <w:r w:rsidRPr="0031133B">
        <w:rPr>
          <w:sz w:val="22"/>
          <w:szCs w:val="22"/>
        </w:rPr>
        <w:t xml:space="preserve">projects </w:t>
      </w:r>
      <w:r w:rsidR="00AD55B1" w:rsidRPr="0031133B">
        <w:rPr>
          <w:sz w:val="22"/>
          <w:szCs w:val="22"/>
        </w:rPr>
        <w:t>identified in</w:t>
      </w:r>
      <w:r w:rsidR="0027612D" w:rsidRPr="0031133B">
        <w:rPr>
          <w:sz w:val="22"/>
          <w:szCs w:val="22"/>
        </w:rPr>
        <w:t xml:space="preserve"> the </w:t>
      </w:r>
      <w:r w:rsidR="00B1063B" w:rsidRPr="0031133B">
        <w:rPr>
          <w:sz w:val="22"/>
          <w:szCs w:val="22"/>
        </w:rPr>
        <w:t>proposed 201</w:t>
      </w:r>
      <w:r w:rsidR="00A829FD">
        <w:rPr>
          <w:sz w:val="22"/>
          <w:szCs w:val="22"/>
        </w:rPr>
        <w:t>7</w:t>
      </w:r>
      <w:r w:rsidR="00B1063B" w:rsidRPr="0031133B">
        <w:rPr>
          <w:sz w:val="22"/>
          <w:szCs w:val="22"/>
        </w:rPr>
        <w:t>-201</w:t>
      </w:r>
      <w:r w:rsidR="00A829FD">
        <w:rPr>
          <w:sz w:val="22"/>
          <w:szCs w:val="22"/>
        </w:rPr>
        <w:t>9</w:t>
      </w:r>
      <w:r w:rsidR="00B1063B" w:rsidRPr="0031133B">
        <w:rPr>
          <w:sz w:val="22"/>
          <w:szCs w:val="22"/>
        </w:rPr>
        <w:t xml:space="preserve"> Business Plan </w:t>
      </w:r>
      <w:r w:rsidR="00B1063B">
        <w:rPr>
          <w:sz w:val="22"/>
          <w:szCs w:val="22"/>
        </w:rPr>
        <w:t xml:space="preserve">and </w:t>
      </w:r>
      <w:r w:rsidR="0027612D" w:rsidRPr="0031133B">
        <w:rPr>
          <w:sz w:val="22"/>
          <w:szCs w:val="22"/>
        </w:rPr>
        <w:t>201</w:t>
      </w:r>
      <w:r w:rsidR="00A829FD">
        <w:rPr>
          <w:sz w:val="22"/>
          <w:szCs w:val="22"/>
        </w:rPr>
        <w:t>7</w:t>
      </w:r>
      <w:r w:rsidR="0027612D" w:rsidRPr="0031133B">
        <w:rPr>
          <w:sz w:val="22"/>
          <w:szCs w:val="22"/>
        </w:rPr>
        <w:t xml:space="preserve"> CAP </w:t>
      </w:r>
      <w:r w:rsidR="00090133" w:rsidRPr="00090133">
        <w:rPr>
          <w:sz w:val="22"/>
          <w:szCs w:val="22"/>
        </w:rPr>
        <w:t xml:space="preserve">Work </w:t>
      </w:r>
      <w:proofErr w:type="spellStart"/>
      <w:r w:rsidR="00090133" w:rsidRPr="00090133">
        <w:rPr>
          <w:sz w:val="22"/>
          <w:szCs w:val="22"/>
        </w:rPr>
        <w:t>Programme</w:t>
      </w:r>
      <w:proofErr w:type="spellEnd"/>
      <w:r w:rsidR="00090133" w:rsidRPr="00090133">
        <w:rPr>
          <w:sz w:val="22"/>
          <w:szCs w:val="22"/>
        </w:rPr>
        <w:t xml:space="preserve"> and Budget </w:t>
      </w:r>
      <w:r w:rsidR="00AD55B1" w:rsidRPr="0031133B">
        <w:rPr>
          <w:sz w:val="22"/>
          <w:szCs w:val="22"/>
        </w:rPr>
        <w:t xml:space="preserve">the </w:t>
      </w:r>
      <w:r w:rsidRPr="0031133B">
        <w:rPr>
          <w:sz w:val="22"/>
          <w:szCs w:val="22"/>
        </w:rPr>
        <w:t xml:space="preserve">will result in: </w:t>
      </w:r>
    </w:p>
    <w:p w14:paraId="7C52688F" w14:textId="77777777" w:rsidR="0088046C" w:rsidRPr="0031133B" w:rsidRDefault="0088046C" w:rsidP="00211845">
      <w:pPr>
        <w:pStyle w:val="Default"/>
        <w:rPr>
          <w:sz w:val="22"/>
          <w:szCs w:val="22"/>
        </w:rPr>
      </w:pPr>
    </w:p>
    <w:p w14:paraId="0082381B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Improved capabilities and technical skills of NOUs staff to effectively carry out approved phase-out </w:t>
      </w:r>
      <w:proofErr w:type="spellStart"/>
      <w:r w:rsidRPr="0031133B">
        <w:rPr>
          <w:sz w:val="22"/>
          <w:szCs w:val="22"/>
        </w:rPr>
        <w:t>programmes</w:t>
      </w:r>
      <w:proofErr w:type="spellEnd"/>
      <w:r w:rsidRPr="0031133B">
        <w:rPr>
          <w:sz w:val="22"/>
          <w:szCs w:val="22"/>
        </w:rPr>
        <w:t xml:space="preserve"> and thus ensure sustained compliance; </w:t>
      </w:r>
    </w:p>
    <w:p w14:paraId="1EAF048E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Countries in non-compliance received necessary support enabling swift return to compliance; </w:t>
      </w:r>
    </w:p>
    <w:p w14:paraId="3B4E7D86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Increased high level political commitment to the ozone agreements; </w:t>
      </w:r>
    </w:p>
    <w:p w14:paraId="4D325D07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ODS phase-out obligations mainstreamed into national environmental strategies/policies; </w:t>
      </w:r>
    </w:p>
    <w:p w14:paraId="2027A186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Early action taken by countries on the HCFC phase out due to HPMP preparation and information services. </w:t>
      </w:r>
    </w:p>
    <w:p w14:paraId="2B6C4C33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Increased number of Parties to the Montreal Protocol Amendments; </w:t>
      </w:r>
    </w:p>
    <w:p w14:paraId="74B4150B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Enhanced awareness of users and other relevant stakeholders of forthcoming reductions in ODS supply and availability of viable alternatives; </w:t>
      </w:r>
    </w:p>
    <w:p w14:paraId="3B984301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All client countries reported Article 7 data by established deadlines and quality of reported data improved; </w:t>
      </w:r>
    </w:p>
    <w:p w14:paraId="5B4F4884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Majority of client countries submitted outstanding reports on implementation of their Country </w:t>
      </w:r>
      <w:proofErr w:type="spellStart"/>
      <w:r w:rsidRPr="0031133B">
        <w:rPr>
          <w:sz w:val="22"/>
          <w:szCs w:val="22"/>
        </w:rPr>
        <w:t>Programmes</w:t>
      </w:r>
      <w:proofErr w:type="spellEnd"/>
      <w:r w:rsidRPr="0031133B">
        <w:rPr>
          <w:sz w:val="22"/>
          <w:szCs w:val="22"/>
        </w:rPr>
        <w:t xml:space="preserve"> to the Multilateral Fund Secretariat; </w:t>
      </w:r>
    </w:p>
    <w:p w14:paraId="0B9DD0EA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Improved and enforced ODS related legal instruments particularly the addition of HCFCs to licensing systems and initiation of HCFC quota systems; </w:t>
      </w:r>
    </w:p>
    <w:p w14:paraId="40645622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NOUs provided with best available information that enable them to make decisions on alternative technologies, sound approaches and methodologies; </w:t>
      </w:r>
    </w:p>
    <w:p w14:paraId="644927DF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Broadened and strengthened regional cooperation in the implementation of the ozone treaties; </w:t>
      </w:r>
    </w:p>
    <w:p w14:paraId="658B87D3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Increased number of countries benefiting from direct country-to-country assistance; </w:t>
      </w:r>
    </w:p>
    <w:p w14:paraId="34E6A67C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Concerted actions taken at national and regional levels to combat illegal trade in ODS; </w:t>
      </w:r>
    </w:p>
    <w:p w14:paraId="0F8DAE0E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Improved access to ODS-related technical information and enhanced experience exchange; </w:t>
      </w:r>
    </w:p>
    <w:p w14:paraId="495AFBBE" w14:textId="77777777" w:rsidR="002B6A8E" w:rsidRPr="0031133B" w:rsidRDefault="002B6A8E" w:rsidP="00211845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1133B">
        <w:rPr>
          <w:sz w:val="22"/>
          <w:szCs w:val="22"/>
        </w:rPr>
        <w:t xml:space="preserve">Indirect support provided for the implementation of investment projects through strengthened institutional and legal frameworks. </w:t>
      </w:r>
    </w:p>
    <w:p w14:paraId="42788BC1" w14:textId="77777777" w:rsidR="002B6A8E" w:rsidRPr="0031133B" w:rsidRDefault="002B6A8E" w:rsidP="00211845">
      <w:pPr>
        <w:pStyle w:val="Default"/>
        <w:rPr>
          <w:sz w:val="22"/>
          <w:szCs w:val="22"/>
        </w:rPr>
      </w:pPr>
    </w:p>
    <w:p w14:paraId="25963BE3" w14:textId="49002595" w:rsidR="002B6A8E" w:rsidRPr="0031133B" w:rsidRDefault="00A61E9A" w:rsidP="00211845">
      <w:pPr>
        <w:autoSpaceDE w:val="0"/>
        <w:autoSpaceDN w:val="0"/>
        <w:adjustRightInd w:val="0"/>
        <w:rPr>
          <w:rFonts w:ascii="Times New Roman" w:hAnsi="Times New Roman"/>
        </w:rPr>
      </w:pPr>
      <w:r w:rsidRPr="0031133B">
        <w:rPr>
          <w:rFonts w:ascii="Times New Roman" w:hAnsi="Times New Roman"/>
        </w:rPr>
        <w:t>F</w:t>
      </w:r>
      <w:r w:rsidR="0027612D" w:rsidRPr="0031133B">
        <w:rPr>
          <w:rFonts w:ascii="Times New Roman" w:hAnsi="Times New Roman"/>
        </w:rPr>
        <w:t>or 201</w:t>
      </w:r>
      <w:r w:rsidR="00D740A6">
        <w:rPr>
          <w:rFonts w:ascii="Times New Roman" w:hAnsi="Times New Roman"/>
        </w:rPr>
        <w:t>7</w:t>
      </w:r>
      <w:r w:rsidRPr="0031133B">
        <w:rPr>
          <w:rFonts w:ascii="Times New Roman" w:hAnsi="Times New Roman"/>
        </w:rPr>
        <w:t>,</w:t>
      </w:r>
      <w:r w:rsidR="0027612D" w:rsidRPr="0031133B">
        <w:rPr>
          <w:rFonts w:ascii="Times New Roman" w:hAnsi="Times New Roman"/>
        </w:rPr>
        <w:t xml:space="preserve"> </w:t>
      </w:r>
      <w:r w:rsidR="002B6A8E" w:rsidRPr="0031133B">
        <w:rPr>
          <w:rFonts w:ascii="Times New Roman" w:hAnsi="Times New Roman"/>
        </w:rPr>
        <w:t xml:space="preserve">UNEP proposes to use </w:t>
      </w:r>
      <w:r w:rsidR="0027612D" w:rsidRPr="0031133B">
        <w:rPr>
          <w:rFonts w:ascii="Times New Roman" w:hAnsi="Times New Roman"/>
        </w:rPr>
        <w:t>the following performance indicators</w:t>
      </w:r>
      <w:r w:rsidRPr="0031133B">
        <w:rPr>
          <w:rFonts w:ascii="Times New Roman" w:hAnsi="Times New Roman"/>
        </w:rPr>
        <w:t xml:space="preserve"> in line with </w:t>
      </w:r>
      <w:r w:rsidR="00BA29E1" w:rsidRPr="00BA29E1">
        <w:rPr>
          <w:rFonts w:ascii="Times New Roman" w:hAnsi="Times New Roman"/>
          <w:bCs/>
        </w:rPr>
        <w:t>Decision 75/25</w:t>
      </w:r>
      <w:r w:rsidR="00BA29E1">
        <w:rPr>
          <w:rFonts w:ascii="Times New Roman" w:hAnsi="Times New Roman"/>
          <w:b/>
          <w:bCs/>
        </w:rPr>
        <w:t xml:space="preserve"> </w:t>
      </w:r>
      <w:r w:rsidRPr="0031133B">
        <w:rPr>
          <w:rFonts w:ascii="Times New Roman" w:hAnsi="Times New Roman"/>
        </w:rPr>
        <w:t>and guidance received during the 201</w:t>
      </w:r>
      <w:r w:rsidR="00D740A6">
        <w:rPr>
          <w:rFonts w:ascii="Times New Roman" w:hAnsi="Times New Roman"/>
        </w:rPr>
        <w:t>6</w:t>
      </w:r>
      <w:r w:rsidRPr="0031133B">
        <w:rPr>
          <w:rFonts w:ascii="Times New Roman" w:hAnsi="Times New Roman"/>
        </w:rPr>
        <w:t xml:space="preserve"> Inter-Agency Coordination Meetings</w:t>
      </w:r>
      <w:r w:rsidR="002B6A8E" w:rsidRPr="0031133B">
        <w:rPr>
          <w:rFonts w:ascii="Times New Roman" w:hAnsi="Times New Roman"/>
        </w:rPr>
        <w:t>:</w:t>
      </w:r>
      <w:r w:rsidR="0027612D" w:rsidRPr="0031133B">
        <w:rPr>
          <w:rFonts w:ascii="Times New Roman" w:hAnsi="Times New Roman"/>
        </w:rPr>
        <w:t xml:space="preserve"> </w:t>
      </w:r>
    </w:p>
    <w:p w14:paraId="0F8445F7" w14:textId="77777777" w:rsidR="009D0F1D" w:rsidRPr="0031133B" w:rsidRDefault="009D0F1D" w:rsidP="00211845">
      <w:pPr>
        <w:rPr>
          <w:rFonts w:ascii="Times New Roman" w:hAnsi="Times New Roman"/>
        </w:rPr>
      </w:pPr>
    </w:p>
    <w:p w14:paraId="2E054BD5" w14:textId="77777777" w:rsidR="00264E87" w:rsidRPr="00FB7988" w:rsidRDefault="00264E87" w:rsidP="00211845">
      <w:pPr>
        <w:rPr>
          <w:rFonts w:ascii="Times New Roman" w:hAnsi="Times New Roman"/>
          <w:smallCaps/>
          <w:sz w:val="20"/>
        </w:rPr>
      </w:pPr>
      <w:r w:rsidRPr="00FB7988">
        <w:rPr>
          <w:rFonts w:ascii="Times New Roman" w:hAnsi="Times New Roman"/>
          <w:smallCaps/>
          <w:sz w:val="20"/>
        </w:rPr>
        <w:t xml:space="preserve">Table 1: Performance Indicators </w:t>
      </w:r>
      <w:r w:rsidR="0027612D" w:rsidRPr="00FB7988">
        <w:rPr>
          <w:rFonts w:ascii="Times New Roman" w:hAnsi="Times New Roman"/>
          <w:smallCaps/>
          <w:sz w:val="20"/>
        </w:rPr>
        <w:t>applicable to all agencies</w:t>
      </w:r>
    </w:p>
    <w:p w14:paraId="1C3AFA41" w14:textId="77777777" w:rsidR="00611AE2" w:rsidRPr="00611AE2" w:rsidRDefault="00611AE2" w:rsidP="00211845">
      <w:pPr>
        <w:rPr>
          <w:rFonts w:ascii="Times New Roman" w:hAnsi="Times New Roman"/>
          <w:smallCaps/>
          <w:color w:val="0070C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070"/>
        <w:gridCol w:w="3870"/>
        <w:gridCol w:w="1525"/>
      </w:tblGrid>
      <w:tr w:rsidR="00FB7988" w:rsidRPr="00FB7988" w14:paraId="50073A4B" w14:textId="77777777" w:rsidTr="00E44643">
        <w:trPr>
          <w:tblHeader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9F5B38" w14:textId="77777777" w:rsidR="00611AE2" w:rsidRPr="00FB7988" w:rsidRDefault="00611AE2" w:rsidP="00211845">
            <w:pPr>
              <w:rPr>
                <w:rFonts w:ascii="Times New Roman" w:hAnsi="Times New Roman"/>
                <w:bCs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bCs/>
                <w:sz w:val="18"/>
                <w:szCs w:val="20"/>
                <w:lang w:val="en-CA" w:eastAsia="en-CA"/>
              </w:rPr>
              <w:t>Type of Indicator (Existing, Modified, New)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7B3163" w14:textId="77777777" w:rsidR="00611AE2" w:rsidRPr="00FB7988" w:rsidRDefault="00611AE2" w:rsidP="00211845">
            <w:pPr>
              <w:jc w:val="center"/>
              <w:rPr>
                <w:rFonts w:ascii="Times New Roman" w:hAnsi="Times New Roman"/>
                <w:bCs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bCs/>
                <w:sz w:val="18"/>
                <w:szCs w:val="20"/>
                <w:lang w:val="en-CA" w:eastAsia="en-CA"/>
              </w:rPr>
              <w:t>Short Title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2265B9" w14:textId="77777777" w:rsidR="00611AE2" w:rsidRPr="00FB7988" w:rsidRDefault="00611AE2" w:rsidP="00211845">
            <w:pPr>
              <w:jc w:val="center"/>
              <w:rPr>
                <w:rFonts w:ascii="Times New Roman" w:hAnsi="Times New Roman"/>
                <w:bCs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bCs/>
                <w:sz w:val="18"/>
                <w:szCs w:val="20"/>
                <w:lang w:val="en-CA" w:eastAsia="en-CA"/>
              </w:rPr>
              <w:t>Calculation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A56457" w14:textId="2FF29AAA" w:rsidR="00611AE2" w:rsidRPr="00DD3F30" w:rsidRDefault="00611AE2" w:rsidP="00A63652">
            <w:pPr>
              <w:jc w:val="center"/>
              <w:rPr>
                <w:rFonts w:ascii="Times New Roman" w:hAnsi="Times New Roman"/>
                <w:bCs/>
                <w:color w:val="0070C0"/>
                <w:sz w:val="18"/>
                <w:szCs w:val="20"/>
                <w:lang w:val="en-CA" w:eastAsia="en-CA"/>
              </w:rPr>
            </w:pPr>
            <w:r w:rsidRPr="00DD3F30">
              <w:rPr>
                <w:rFonts w:ascii="Times New Roman" w:hAnsi="Times New Roman"/>
                <w:bCs/>
                <w:sz w:val="18"/>
                <w:szCs w:val="20"/>
                <w:lang w:val="en-CA" w:eastAsia="en-CA"/>
              </w:rPr>
              <w:t>UNEP proposal</w:t>
            </w:r>
            <w:r w:rsidR="00E44643" w:rsidRPr="00DD3F30">
              <w:rPr>
                <w:rFonts w:ascii="Times New Roman" w:hAnsi="Times New Roman"/>
                <w:bCs/>
                <w:sz w:val="18"/>
                <w:szCs w:val="20"/>
                <w:lang w:val="en-CA" w:eastAsia="en-CA"/>
              </w:rPr>
              <w:t xml:space="preserve"> for 201</w:t>
            </w:r>
            <w:r w:rsidR="00A63652" w:rsidRPr="00DD3F30">
              <w:rPr>
                <w:rFonts w:ascii="Times New Roman" w:hAnsi="Times New Roman"/>
                <w:bCs/>
                <w:sz w:val="18"/>
                <w:szCs w:val="20"/>
                <w:lang w:val="en-CA" w:eastAsia="en-CA"/>
              </w:rPr>
              <w:t>7</w:t>
            </w:r>
          </w:p>
        </w:tc>
      </w:tr>
      <w:tr w:rsidR="00FB7988" w:rsidRPr="002E2841" w14:paraId="216F6C08" w14:textId="77777777" w:rsidTr="00E44643">
        <w:trPr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1D2C" w14:textId="77777777" w:rsidR="00FB7988" w:rsidRPr="00252B33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2B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Planning--Approval </w:t>
            </w:r>
          </w:p>
          <w:p w14:paraId="75EFF739" w14:textId="77777777" w:rsidR="00611AE2" w:rsidRPr="00252B33" w:rsidRDefault="00611AE2" w:rsidP="00FB7988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889" w14:textId="77777777" w:rsidR="00611AE2" w:rsidRPr="00252B33" w:rsidRDefault="00FB7988" w:rsidP="00FB7988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252B33">
              <w:rPr>
                <w:rFonts w:ascii="Times New Roman" w:hAnsi="Times New Roman"/>
                <w:sz w:val="20"/>
                <w:szCs w:val="20"/>
              </w:rPr>
              <w:t xml:space="preserve">Tranches approved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68F1" w14:textId="77777777" w:rsidR="00611AE2" w:rsidRPr="00252B33" w:rsidRDefault="00FB7988" w:rsidP="00211845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252B33">
              <w:rPr>
                <w:rFonts w:ascii="Times New Roman" w:hAnsi="Times New Roman"/>
                <w:sz w:val="20"/>
                <w:szCs w:val="20"/>
              </w:rPr>
              <w:t>Number of tranches approved vs. those planned*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AFBB" w14:textId="09275782" w:rsidR="00611AE2" w:rsidRPr="00DD3F30" w:rsidRDefault="00252B33" w:rsidP="00FB7988">
            <w:pPr>
              <w:jc w:val="right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DD3F30">
              <w:rPr>
                <w:rFonts w:ascii="Times New Roman" w:hAnsi="Times New Roman"/>
                <w:sz w:val="18"/>
                <w:szCs w:val="20"/>
                <w:lang w:val="en-CA" w:eastAsia="en-CA"/>
              </w:rPr>
              <w:t>37</w:t>
            </w:r>
          </w:p>
        </w:tc>
      </w:tr>
      <w:tr w:rsidR="00FB7988" w:rsidRPr="00FB7988" w14:paraId="19B17676" w14:textId="77777777" w:rsidTr="00E44643">
        <w:trPr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333E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 xml:space="preserve">Planning--Approval </w:t>
            </w:r>
          </w:p>
          <w:p w14:paraId="190A9E2E" w14:textId="77777777" w:rsidR="00611AE2" w:rsidRPr="00FB7988" w:rsidRDefault="00611AE2" w:rsidP="00FB7988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F738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Projects/activities</w:t>
            </w:r>
          </w:p>
          <w:p w14:paraId="3AB2F523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approved</w:t>
            </w:r>
          </w:p>
          <w:p w14:paraId="7E7318BA" w14:textId="77777777" w:rsidR="00611AE2" w:rsidRPr="00FB7988" w:rsidRDefault="00611AE2" w:rsidP="00211845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8FAF" w14:textId="77777777" w:rsidR="00611AE2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 xml:space="preserve">Number of projects/activities approved vs. those planned (including project preparation activities)**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1903" w14:textId="5027747A" w:rsidR="00611AE2" w:rsidRPr="00DD3F30" w:rsidRDefault="00252B33" w:rsidP="00FB7988">
            <w:pPr>
              <w:jc w:val="right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DD3F30">
              <w:rPr>
                <w:rFonts w:ascii="Times New Roman" w:hAnsi="Times New Roman"/>
                <w:sz w:val="18"/>
                <w:szCs w:val="20"/>
                <w:lang w:val="en-CA" w:eastAsia="en-CA"/>
              </w:rPr>
              <w:t>63</w:t>
            </w:r>
          </w:p>
        </w:tc>
      </w:tr>
      <w:tr w:rsidR="00FB7988" w:rsidRPr="00FB7988" w14:paraId="1292A2D0" w14:textId="77777777" w:rsidTr="00E44643">
        <w:trPr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55B3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 xml:space="preserve">Implementation </w:t>
            </w:r>
          </w:p>
          <w:p w14:paraId="35567CC9" w14:textId="77777777" w:rsidR="00611AE2" w:rsidRPr="00FB7988" w:rsidRDefault="00611AE2" w:rsidP="00FB7988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ECCE" w14:textId="77777777" w:rsidR="00611AE2" w:rsidRPr="00FB7988" w:rsidRDefault="00FB7988" w:rsidP="00211845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Funds disbursed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871C" w14:textId="77777777" w:rsidR="00611AE2" w:rsidRPr="00FB7988" w:rsidRDefault="00FB7988" w:rsidP="00211845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Based on estimated disbursement in progress report US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02B4" w14:textId="5B996AE5" w:rsidR="00611AE2" w:rsidRPr="00DD3F30" w:rsidRDefault="00A63652" w:rsidP="003418B2">
            <w:pPr>
              <w:jc w:val="right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DD3F30">
              <w:rPr>
                <w:rFonts w:ascii="Times New Roman" w:hAnsi="Times New Roman"/>
                <w:sz w:val="20"/>
                <w:szCs w:val="20"/>
              </w:rPr>
              <w:t xml:space="preserve">US$ </w:t>
            </w:r>
            <w:r w:rsidR="003418B2" w:rsidRPr="00DD3F30">
              <w:rPr>
                <w:rFonts w:ascii="Times New Roman" w:hAnsi="Times New Roman"/>
                <w:sz w:val="20"/>
                <w:szCs w:val="20"/>
              </w:rPr>
              <w:t>8,151,324</w:t>
            </w:r>
          </w:p>
        </w:tc>
      </w:tr>
      <w:tr w:rsidR="00FB7988" w:rsidRPr="00FB7988" w14:paraId="1BAD991B" w14:textId="77777777" w:rsidTr="00E44643">
        <w:trPr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BCDD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 xml:space="preserve">Implementation </w:t>
            </w:r>
          </w:p>
          <w:p w14:paraId="32661FB6" w14:textId="77777777" w:rsidR="00611AE2" w:rsidRPr="00FB7988" w:rsidRDefault="00611AE2" w:rsidP="00FB7988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5027" w14:textId="77777777" w:rsidR="00611AE2" w:rsidRPr="00FB7988" w:rsidRDefault="00FB7988" w:rsidP="00211845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ODS phase-out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A324" w14:textId="77777777" w:rsidR="00611AE2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ODS phase-out for the tranche when the next tranche is approved vs. those planned per business plans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EF7E" w14:textId="3BEAEE15" w:rsidR="00611AE2" w:rsidRPr="00DD3F30" w:rsidRDefault="003418B2" w:rsidP="003418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DD3F30">
              <w:rPr>
                <w:rFonts w:ascii="Times New Roman" w:hAnsi="Times New Roman"/>
                <w:sz w:val="20"/>
                <w:szCs w:val="20"/>
              </w:rPr>
              <w:t>27</w:t>
            </w:r>
            <w:r w:rsidR="00A63652" w:rsidRPr="00DD3F30">
              <w:rPr>
                <w:rFonts w:ascii="Times New Roman" w:hAnsi="Times New Roman"/>
                <w:sz w:val="20"/>
                <w:szCs w:val="20"/>
              </w:rPr>
              <w:t>.</w:t>
            </w:r>
            <w:r w:rsidRPr="00DD3F30">
              <w:rPr>
                <w:rFonts w:ascii="Times New Roman" w:hAnsi="Times New Roman"/>
                <w:sz w:val="20"/>
                <w:szCs w:val="20"/>
              </w:rPr>
              <w:t>9</w:t>
            </w:r>
            <w:r w:rsidR="007B6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652" w:rsidRPr="00DD3F30">
              <w:rPr>
                <w:rFonts w:ascii="Times New Roman" w:hAnsi="Times New Roman"/>
                <w:sz w:val="20"/>
                <w:szCs w:val="20"/>
              </w:rPr>
              <w:t xml:space="preserve">ODP </w:t>
            </w:r>
            <w:proofErr w:type="spellStart"/>
            <w:r w:rsidR="00A63652" w:rsidRPr="00DD3F30">
              <w:rPr>
                <w:rFonts w:ascii="Times New Roman" w:hAnsi="Times New Roman"/>
                <w:sz w:val="20"/>
                <w:szCs w:val="20"/>
              </w:rPr>
              <w:t>tonnes</w:t>
            </w:r>
            <w:proofErr w:type="spellEnd"/>
          </w:p>
        </w:tc>
      </w:tr>
      <w:tr w:rsidR="00FB7988" w:rsidRPr="00FB7988" w14:paraId="29B804F5" w14:textId="77777777" w:rsidTr="00E44643">
        <w:trPr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5C99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 xml:space="preserve">Implementation </w:t>
            </w:r>
          </w:p>
          <w:p w14:paraId="7A0857D5" w14:textId="77777777" w:rsidR="00611AE2" w:rsidRPr="00FB7988" w:rsidRDefault="00611AE2" w:rsidP="00FB7988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8921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Project completion for</w:t>
            </w:r>
          </w:p>
          <w:p w14:paraId="077F8F7B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activities</w:t>
            </w:r>
          </w:p>
          <w:p w14:paraId="43B02904" w14:textId="77777777" w:rsidR="00611AE2" w:rsidRPr="00FB7988" w:rsidRDefault="00611AE2" w:rsidP="00211845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554B" w14:textId="77777777" w:rsidR="00611AE2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Project completion vs. planned in progress reports for all activities (excluding project preparation)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B321" w14:textId="333D7AE2" w:rsidR="00611AE2" w:rsidRPr="00DD3F30" w:rsidRDefault="003418B2" w:rsidP="00FB7988">
            <w:pPr>
              <w:jc w:val="right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DD3F30">
              <w:rPr>
                <w:rFonts w:ascii="Times New Roman" w:hAnsi="Times New Roman"/>
                <w:sz w:val="18"/>
                <w:szCs w:val="20"/>
                <w:lang w:val="en-CA" w:eastAsia="en-CA"/>
              </w:rPr>
              <w:t>51</w:t>
            </w:r>
          </w:p>
        </w:tc>
      </w:tr>
      <w:tr w:rsidR="00FB7988" w:rsidRPr="00FB7988" w14:paraId="6DA299DE" w14:textId="77777777" w:rsidTr="00E44643">
        <w:trPr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EA2C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 xml:space="preserve">Administrative </w:t>
            </w:r>
          </w:p>
          <w:p w14:paraId="6BFE522E" w14:textId="77777777" w:rsidR="00611AE2" w:rsidRPr="00FB7988" w:rsidRDefault="00611AE2" w:rsidP="00FB7988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9165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Speed of financial</w:t>
            </w:r>
          </w:p>
          <w:p w14:paraId="1C0D8BB6" w14:textId="77777777" w:rsidR="00611AE2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completion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8B8D" w14:textId="77777777" w:rsidR="00611AE2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The extent to which projects are financially completed 12 months after project completion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1A8F" w14:textId="68C73D23" w:rsidR="00611AE2" w:rsidRPr="00DD3F30" w:rsidRDefault="00A63652" w:rsidP="00FB79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DD3F30">
              <w:rPr>
                <w:rFonts w:ascii="Times New Roman" w:hAnsi="Times New Roman"/>
                <w:sz w:val="18"/>
                <w:szCs w:val="20"/>
                <w:lang w:val="en-CA" w:eastAsia="en-CA"/>
              </w:rPr>
              <w:t>14</w:t>
            </w:r>
          </w:p>
        </w:tc>
      </w:tr>
      <w:tr w:rsidR="00FB7988" w:rsidRPr="00FB7988" w14:paraId="649523AC" w14:textId="77777777" w:rsidTr="00E44643">
        <w:trPr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C327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 xml:space="preserve">Administrative </w:t>
            </w:r>
          </w:p>
          <w:p w14:paraId="1C4C590E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801362B" w14:textId="77777777" w:rsidR="00611AE2" w:rsidRPr="00FB7988" w:rsidRDefault="00611AE2" w:rsidP="00FB7988">
            <w:pPr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DF6C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Timely submission of project completion</w:t>
            </w:r>
          </w:p>
          <w:p w14:paraId="7492F6DE" w14:textId="77777777" w:rsidR="00611AE2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reports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8B2C" w14:textId="77777777" w:rsidR="00611AE2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Timely submission of project completion reports vs. those agreed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8676" w14:textId="587DC6C2" w:rsidR="00611AE2" w:rsidRPr="00DD3F30" w:rsidRDefault="003418B2" w:rsidP="00FB7988">
            <w:pPr>
              <w:jc w:val="right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DD3F30">
              <w:rPr>
                <w:rFonts w:ascii="Times New Roman" w:hAnsi="Times New Roman"/>
                <w:sz w:val="18"/>
                <w:szCs w:val="20"/>
                <w:lang w:val="en-CA" w:eastAsia="en-CA"/>
              </w:rPr>
              <w:t>On time</w:t>
            </w:r>
          </w:p>
        </w:tc>
      </w:tr>
      <w:tr w:rsidR="00FB7988" w:rsidRPr="00FB7988" w14:paraId="59CBE39B" w14:textId="77777777" w:rsidTr="00E44643">
        <w:trPr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7046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 xml:space="preserve">Administrative </w:t>
            </w:r>
          </w:p>
          <w:p w14:paraId="688E11C2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D4C21A2" w14:textId="77777777" w:rsidR="00611AE2" w:rsidRPr="00FB7988" w:rsidRDefault="00611AE2" w:rsidP="00FB7988">
            <w:pPr>
              <w:keepNext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1BBE" w14:textId="77777777" w:rsidR="00FB7988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Timely submission of</w:t>
            </w:r>
          </w:p>
          <w:p w14:paraId="5E3C2455" w14:textId="77777777" w:rsidR="00611AE2" w:rsidRPr="00FB7988" w:rsidRDefault="00FB7988" w:rsidP="00FB7988">
            <w:pPr>
              <w:keepNext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progress reports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C8B0" w14:textId="77777777" w:rsidR="00611AE2" w:rsidRPr="00FB7988" w:rsidRDefault="00FB7988" w:rsidP="00FB7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FB7988">
              <w:rPr>
                <w:rFonts w:ascii="Times New Roman" w:hAnsi="Times New Roman"/>
                <w:sz w:val="20"/>
                <w:szCs w:val="20"/>
              </w:rPr>
              <w:t>Timely submission of progress reports and business plans and responses unless otherwise agreed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F2CA" w14:textId="29B2BEF1" w:rsidR="00611AE2" w:rsidRPr="00DD3F30" w:rsidRDefault="003418B2" w:rsidP="00FB7988">
            <w:pPr>
              <w:keepNext/>
              <w:jc w:val="right"/>
              <w:rPr>
                <w:rFonts w:ascii="Times New Roman" w:hAnsi="Times New Roman"/>
                <w:sz w:val="18"/>
                <w:szCs w:val="20"/>
                <w:lang w:val="en-CA" w:eastAsia="en-CA"/>
              </w:rPr>
            </w:pPr>
            <w:r w:rsidRPr="00DD3F30">
              <w:rPr>
                <w:rFonts w:ascii="Times New Roman" w:hAnsi="Times New Roman"/>
                <w:sz w:val="18"/>
                <w:szCs w:val="20"/>
                <w:lang w:val="en-CA" w:eastAsia="en-CA"/>
              </w:rPr>
              <w:t>On time</w:t>
            </w:r>
          </w:p>
        </w:tc>
      </w:tr>
    </w:tbl>
    <w:p w14:paraId="7DE7A24C" w14:textId="77777777" w:rsidR="00FB7988" w:rsidRDefault="00FB7988" w:rsidP="00FB7988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The target of an agency would be reduced if it could not submit a tranche owing to another cooperating or lead agency, if agreed by that agency.</w:t>
      </w:r>
    </w:p>
    <w:p w14:paraId="3A4A3A84" w14:textId="77777777" w:rsidR="00611AE2" w:rsidRPr="00611AE2" w:rsidRDefault="00FB7988" w:rsidP="00FB7988">
      <w:pPr>
        <w:rPr>
          <w:rFonts w:ascii="Times New Roman" w:hAnsi="Times New Roman"/>
          <w:smallCaps/>
          <w:color w:val="0070C0"/>
          <w:sz w:val="20"/>
        </w:rPr>
      </w:pPr>
      <w:r>
        <w:rPr>
          <w:rFonts w:ascii="Times New Roman" w:hAnsi="Times New Roman"/>
          <w:sz w:val="16"/>
          <w:szCs w:val="16"/>
        </w:rPr>
        <w:t>** Project preparation should not be assessed if the Executive Committee has not taken a decision on its funding.</w:t>
      </w:r>
    </w:p>
    <w:p w14:paraId="4CB3AC00" w14:textId="77777777" w:rsidR="00611AE2" w:rsidRDefault="00611AE2" w:rsidP="00211845">
      <w:pPr>
        <w:rPr>
          <w:rFonts w:ascii="Times New Roman" w:hAnsi="Times New Roman"/>
          <w:smallCaps/>
          <w:color w:val="0070C0"/>
          <w:sz w:val="20"/>
        </w:rPr>
      </w:pPr>
    </w:p>
    <w:p w14:paraId="715E5BBD" w14:textId="77777777" w:rsidR="00B8592E" w:rsidRDefault="00B8592E" w:rsidP="00211845">
      <w:pPr>
        <w:rPr>
          <w:rFonts w:ascii="Times New Roman" w:hAnsi="Times New Roman"/>
          <w:smallCaps/>
          <w:sz w:val="20"/>
        </w:rPr>
      </w:pPr>
    </w:p>
    <w:p w14:paraId="1776C17B" w14:textId="77777777" w:rsidR="002B6A8E" w:rsidRPr="00E44643" w:rsidRDefault="002B6A8E" w:rsidP="00211845">
      <w:pPr>
        <w:rPr>
          <w:rFonts w:ascii="Times New Roman" w:hAnsi="Times New Roman"/>
          <w:smallCaps/>
          <w:sz w:val="20"/>
        </w:rPr>
      </w:pPr>
      <w:r w:rsidRPr="00E44643">
        <w:rPr>
          <w:rFonts w:ascii="Times New Roman" w:hAnsi="Times New Roman"/>
          <w:smallCaps/>
          <w:sz w:val="20"/>
        </w:rPr>
        <w:t xml:space="preserve">Table 2: Performance Indicators </w:t>
      </w:r>
      <w:r w:rsidR="0027612D" w:rsidRPr="00E44643">
        <w:rPr>
          <w:rFonts w:ascii="Times New Roman" w:hAnsi="Times New Roman"/>
          <w:smallCaps/>
          <w:sz w:val="20"/>
        </w:rPr>
        <w:t>applicable to</w:t>
      </w:r>
      <w:r w:rsidRPr="00E44643">
        <w:rPr>
          <w:rFonts w:ascii="Times New Roman" w:hAnsi="Times New Roman"/>
          <w:smallCaps/>
          <w:sz w:val="20"/>
        </w:rPr>
        <w:t xml:space="preserve"> UNEP’s Compliance Assistance </w:t>
      </w:r>
      <w:proofErr w:type="spellStart"/>
      <w:r w:rsidRPr="00E44643">
        <w:rPr>
          <w:rFonts w:ascii="Times New Roman" w:hAnsi="Times New Roman"/>
          <w:smallCaps/>
          <w:sz w:val="20"/>
        </w:rPr>
        <w:t>Prog</w:t>
      </w:r>
      <w:r w:rsidR="0027612D" w:rsidRPr="00E44643">
        <w:rPr>
          <w:rFonts w:ascii="Times New Roman" w:hAnsi="Times New Roman"/>
          <w:smallCaps/>
          <w:sz w:val="20"/>
        </w:rPr>
        <w:t>ramme</w:t>
      </w:r>
      <w:proofErr w:type="spellEnd"/>
    </w:p>
    <w:p w14:paraId="41E9460E" w14:textId="77777777" w:rsidR="00911347" w:rsidRPr="00E44643" w:rsidRDefault="00911347" w:rsidP="00211845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238"/>
      </w:tblGrid>
      <w:tr w:rsidR="00E44643" w:rsidRPr="00E44643" w14:paraId="084B955C" w14:textId="77777777" w:rsidTr="00C20ECE">
        <w:trPr>
          <w:tblHeader/>
        </w:trPr>
        <w:tc>
          <w:tcPr>
            <w:tcW w:w="2235" w:type="dxa"/>
            <w:shd w:val="clear" w:color="auto" w:fill="C6D9F1"/>
          </w:tcPr>
          <w:p w14:paraId="2D314DAB" w14:textId="77777777" w:rsidR="00264E87" w:rsidRPr="00E44643" w:rsidRDefault="00264E87" w:rsidP="00211845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E44643">
              <w:rPr>
                <w:color w:val="auto"/>
                <w:sz w:val="18"/>
                <w:szCs w:val="20"/>
              </w:rPr>
              <w:t>Performance Indicator</w:t>
            </w:r>
          </w:p>
        </w:tc>
        <w:tc>
          <w:tcPr>
            <w:tcW w:w="2551" w:type="dxa"/>
            <w:shd w:val="clear" w:color="auto" w:fill="C6D9F1"/>
          </w:tcPr>
          <w:p w14:paraId="577D7701" w14:textId="77777777" w:rsidR="00264E87" w:rsidRPr="00E44643" w:rsidRDefault="00264E87" w:rsidP="00211845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E44643">
              <w:rPr>
                <w:color w:val="auto"/>
                <w:sz w:val="18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C6D9F1"/>
          </w:tcPr>
          <w:p w14:paraId="034B520F" w14:textId="77777777" w:rsidR="00264E87" w:rsidRPr="00DD3F30" w:rsidRDefault="00264E87" w:rsidP="00211845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D3F30">
              <w:rPr>
                <w:color w:val="auto"/>
                <w:sz w:val="18"/>
                <w:szCs w:val="20"/>
              </w:rPr>
              <w:t>Assessment</w:t>
            </w:r>
          </w:p>
        </w:tc>
        <w:tc>
          <w:tcPr>
            <w:tcW w:w="2238" w:type="dxa"/>
            <w:shd w:val="clear" w:color="auto" w:fill="C6D9F1"/>
          </w:tcPr>
          <w:p w14:paraId="7B97C41D" w14:textId="59391905" w:rsidR="00264E87" w:rsidRPr="00027158" w:rsidRDefault="00E44643" w:rsidP="00BA29E1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8"/>
                <w:szCs w:val="20"/>
              </w:rPr>
              <w:t>UNEP’s proposal for 201</w:t>
            </w:r>
            <w:r w:rsidR="00BA29E1" w:rsidRPr="00027158">
              <w:rPr>
                <w:color w:val="auto"/>
                <w:sz w:val="18"/>
                <w:szCs w:val="20"/>
              </w:rPr>
              <w:t>7</w:t>
            </w:r>
          </w:p>
        </w:tc>
      </w:tr>
      <w:tr w:rsidR="00C20ECE" w:rsidRPr="00611AE2" w14:paraId="7B53B2CC" w14:textId="77777777" w:rsidTr="00C20ECE">
        <w:tc>
          <w:tcPr>
            <w:tcW w:w="2235" w:type="dxa"/>
          </w:tcPr>
          <w:p w14:paraId="56ADA889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Efficient follow-up to </w:t>
            </w:r>
          </w:p>
          <w:p w14:paraId="5F277FDC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regional network/  </w:t>
            </w:r>
          </w:p>
          <w:p w14:paraId="096110F0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thematic meetings </w:t>
            </w:r>
          </w:p>
        </w:tc>
        <w:tc>
          <w:tcPr>
            <w:tcW w:w="2551" w:type="dxa"/>
          </w:tcPr>
          <w:p w14:paraId="6BD37DE2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List of recommendations </w:t>
            </w:r>
          </w:p>
          <w:p w14:paraId="2B9137DF" w14:textId="17FCFF51" w:rsidR="00264E87" w:rsidRPr="008B2A8B" w:rsidRDefault="00BA29E1" w:rsidP="00211845">
            <w:pPr>
              <w:pStyle w:val="Defaul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emanating from 201</w:t>
            </w:r>
            <w:r w:rsidR="00475B24">
              <w:rPr>
                <w:color w:val="auto"/>
                <w:sz w:val="18"/>
                <w:szCs w:val="20"/>
              </w:rPr>
              <w:t>5</w:t>
            </w:r>
            <w:r>
              <w:rPr>
                <w:color w:val="auto"/>
                <w:sz w:val="18"/>
                <w:szCs w:val="20"/>
              </w:rPr>
              <w:t>-201</w:t>
            </w:r>
            <w:r w:rsidR="00475B24">
              <w:rPr>
                <w:color w:val="auto"/>
                <w:sz w:val="18"/>
                <w:szCs w:val="20"/>
              </w:rPr>
              <w:t>6</w:t>
            </w:r>
            <w:r w:rsidR="00264E87" w:rsidRPr="008B2A8B">
              <w:rPr>
                <w:color w:val="auto"/>
                <w:sz w:val="18"/>
                <w:szCs w:val="20"/>
              </w:rPr>
              <w:t xml:space="preserve"> </w:t>
            </w:r>
          </w:p>
          <w:p w14:paraId="7D1927B8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regional network/thematic </w:t>
            </w:r>
          </w:p>
          <w:p w14:paraId="4915C983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meetings </w:t>
            </w:r>
          </w:p>
        </w:tc>
        <w:tc>
          <w:tcPr>
            <w:tcW w:w="2552" w:type="dxa"/>
          </w:tcPr>
          <w:p w14:paraId="63E0703E" w14:textId="77777777" w:rsidR="00264E87" w:rsidRPr="00475B24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475B24">
              <w:rPr>
                <w:color w:val="auto"/>
                <w:sz w:val="18"/>
                <w:szCs w:val="20"/>
              </w:rPr>
              <w:t xml:space="preserve">Implementation rate of those </w:t>
            </w:r>
          </w:p>
          <w:p w14:paraId="343EE991" w14:textId="3F7D076B" w:rsidR="00264E87" w:rsidRPr="00475B24" w:rsidRDefault="00264E87" w:rsidP="00BA29E1">
            <w:pPr>
              <w:pStyle w:val="Default"/>
              <w:rPr>
                <w:color w:val="auto"/>
                <w:sz w:val="18"/>
                <w:szCs w:val="20"/>
              </w:rPr>
            </w:pPr>
            <w:r w:rsidRPr="00475B24">
              <w:rPr>
                <w:color w:val="auto"/>
                <w:sz w:val="18"/>
                <w:szCs w:val="20"/>
              </w:rPr>
              <w:t>meeting recommendations that are to be implemented in 201</w:t>
            </w:r>
            <w:r w:rsidR="00BA29E1" w:rsidRPr="00475B24">
              <w:rPr>
                <w:color w:val="auto"/>
                <w:sz w:val="18"/>
                <w:szCs w:val="20"/>
              </w:rPr>
              <w:t>7</w:t>
            </w:r>
            <w:r w:rsidRPr="00475B24">
              <w:rPr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2238" w:type="dxa"/>
          </w:tcPr>
          <w:p w14:paraId="682C01F3" w14:textId="1C5CE9C0" w:rsidR="00264E87" w:rsidRPr="00027158" w:rsidRDefault="00BA29E1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9"/>
                <w:szCs w:val="19"/>
              </w:rPr>
              <w:t>90% implementation rate</w:t>
            </w:r>
          </w:p>
        </w:tc>
      </w:tr>
      <w:tr w:rsidR="00C20ECE" w:rsidRPr="00611AE2" w14:paraId="4FE5FC93" w14:textId="77777777" w:rsidTr="00C20ECE">
        <w:tc>
          <w:tcPr>
            <w:tcW w:w="2235" w:type="dxa"/>
          </w:tcPr>
          <w:p w14:paraId="54FF2F0C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Effective support to </w:t>
            </w:r>
          </w:p>
          <w:p w14:paraId="5CBCD1C6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NOUs in their work, </w:t>
            </w:r>
          </w:p>
          <w:p w14:paraId="52C880C8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particularly guidance to new NOUs </w:t>
            </w:r>
          </w:p>
        </w:tc>
        <w:tc>
          <w:tcPr>
            <w:tcW w:w="2551" w:type="dxa"/>
          </w:tcPr>
          <w:p w14:paraId="7101490D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List of innovative </w:t>
            </w:r>
          </w:p>
          <w:p w14:paraId="595C741A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ways/means/products/ services for supporting NOUs in their work, with </w:t>
            </w:r>
          </w:p>
          <w:p w14:paraId="4ADEF75D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specification of those </w:t>
            </w:r>
          </w:p>
          <w:p w14:paraId="66C49688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destined for new NOUs </w:t>
            </w:r>
          </w:p>
        </w:tc>
        <w:tc>
          <w:tcPr>
            <w:tcW w:w="2552" w:type="dxa"/>
          </w:tcPr>
          <w:p w14:paraId="1ECFC0E4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Number of innovative </w:t>
            </w:r>
            <w:r w:rsidR="001F5745" w:rsidRPr="008B2A8B">
              <w:rPr>
                <w:color w:val="auto"/>
                <w:sz w:val="18"/>
                <w:szCs w:val="20"/>
              </w:rPr>
              <w:t>w</w:t>
            </w:r>
            <w:r w:rsidRPr="008B2A8B">
              <w:rPr>
                <w:color w:val="auto"/>
                <w:sz w:val="18"/>
                <w:szCs w:val="20"/>
              </w:rPr>
              <w:t>ays</w:t>
            </w:r>
            <w:r w:rsidR="001F5745" w:rsidRPr="008B2A8B">
              <w:rPr>
                <w:color w:val="auto"/>
                <w:sz w:val="18"/>
                <w:szCs w:val="20"/>
              </w:rPr>
              <w:t xml:space="preserve">, </w:t>
            </w:r>
            <w:r w:rsidRPr="008B2A8B">
              <w:rPr>
                <w:color w:val="auto"/>
                <w:sz w:val="18"/>
                <w:szCs w:val="20"/>
              </w:rPr>
              <w:t>means</w:t>
            </w:r>
            <w:r w:rsidR="001F5745" w:rsidRPr="008B2A8B">
              <w:rPr>
                <w:color w:val="auto"/>
                <w:sz w:val="18"/>
                <w:szCs w:val="20"/>
              </w:rPr>
              <w:t xml:space="preserve">, </w:t>
            </w:r>
            <w:r w:rsidRPr="008B2A8B">
              <w:rPr>
                <w:color w:val="auto"/>
                <w:sz w:val="18"/>
                <w:szCs w:val="20"/>
              </w:rPr>
              <w:t>products</w:t>
            </w:r>
            <w:r w:rsidR="001F5745" w:rsidRPr="008B2A8B">
              <w:rPr>
                <w:color w:val="auto"/>
                <w:sz w:val="18"/>
                <w:szCs w:val="20"/>
              </w:rPr>
              <w:t xml:space="preserve">, </w:t>
            </w:r>
            <w:r w:rsidRPr="008B2A8B">
              <w:rPr>
                <w:color w:val="auto"/>
                <w:sz w:val="18"/>
                <w:szCs w:val="20"/>
              </w:rPr>
              <w:t xml:space="preserve">services for supporting NOUs in their </w:t>
            </w:r>
          </w:p>
          <w:p w14:paraId="2327AA5F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work, with specification of </w:t>
            </w:r>
          </w:p>
          <w:p w14:paraId="43BFB330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those destined for new NOUs </w:t>
            </w:r>
          </w:p>
        </w:tc>
        <w:tc>
          <w:tcPr>
            <w:tcW w:w="2238" w:type="dxa"/>
          </w:tcPr>
          <w:p w14:paraId="64A31A15" w14:textId="263E053A" w:rsidR="00BA29E1" w:rsidRPr="00027158" w:rsidRDefault="00BA29E1" w:rsidP="00BA29E1">
            <w:pPr>
              <w:pStyle w:val="Default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8"/>
                <w:szCs w:val="20"/>
              </w:rPr>
              <w:t xml:space="preserve">- </w:t>
            </w:r>
            <w:r w:rsidR="00730D82" w:rsidRPr="00027158">
              <w:rPr>
                <w:color w:val="auto"/>
                <w:sz w:val="18"/>
                <w:szCs w:val="20"/>
              </w:rPr>
              <w:t xml:space="preserve">7 </w:t>
            </w:r>
            <w:r w:rsidRPr="00027158">
              <w:rPr>
                <w:color w:val="auto"/>
                <w:sz w:val="18"/>
                <w:szCs w:val="20"/>
              </w:rPr>
              <w:t>such ways, means,</w:t>
            </w:r>
          </w:p>
          <w:p w14:paraId="602C7DFB" w14:textId="77777777" w:rsidR="00BA29E1" w:rsidRPr="00027158" w:rsidRDefault="00BA29E1" w:rsidP="00BA29E1">
            <w:pPr>
              <w:pStyle w:val="Default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8"/>
                <w:szCs w:val="20"/>
              </w:rPr>
              <w:t>products, services;</w:t>
            </w:r>
          </w:p>
          <w:p w14:paraId="25E9E4AC" w14:textId="77777777" w:rsidR="00BA29E1" w:rsidRPr="00027158" w:rsidRDefault="00BA29E1" w:rsidP="00BA29E1">
            <w:pPr>
              <w:pStyle w:val="Default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8"/>
                <w:szCs w:val="20"/>
              </w:rPr>
              <w:t>-All new NOUs receive</w:t>
            </w:r>
          </w:p>
          <w:p w14:paraId="18F64FD6" w14:textId="77777777" w:rsidR="00BA29E1" w:rsidRPr="00027158" w:rsidRDefault="00BA29E1" w:rsidP="00BA29E1">
            <w:pPr>
              <w:pStyle w:val="Default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8"/>
                <w:szCs w:val="20"/>
              </w:rPr>
              <w:t>capacity building support.</w:t>
            </w:r>
          </w:p>
          <w:p w14:paraId="3C6184CE" w14:textId="0BADAB6B" w:rsidR="00730D82" w:rsidRPr="00027158" w:rsidRDefault="00730D82" w:rsidP="00730D82">
            <w:pPr>
              <w:pStyle w:val="Default"/>
              <w:rPr>
                <w:color w:val="auto"/>
                <w:sz w:val="18"/>
                <w:szCs w:val="20"/>
              </w:rPr>
            </w:pPr>
          </w:p>
          <w:p w14:paraId="19E3B6BC" w14:textId="1024811C" w:rsidR="00264E87" w:rsidRPr="00027158" w:rsidRDefault="00730D82" w:rsidP="00BA29E1">
            <w:pPr>
              <w:pStyle w:val="Default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8"/>
                <w:szCs w:val="20"/>
              </w:rPr>
              <w:t xml:space="preserve"> </w:t>
            </w:r>
          </w:p>
        </w:tc>
      </w:tr>
      <w:tr w:rsidR="00C20ECE" w:rsidRPr="00611AE2" w14:paraId="42A470A4" w14:textId="77777777" w:rsidTr="00C20ECE">
        <w:tc>
          <w:tcPr>
            <w:tcW w:w="2235" w:type="dxa"/>
          </w:tcPr>
          <w:p w14:paraId="451768AC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Assistance to countries in actual or potential </w:t>
            </w:r>
          </w:p>
          <w:p w14:paraId="2E175D16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noncompliance (as per </w:t>
            </w:r>
          </w:p>
          <w:p w14:paraId="515ADD39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MOP decisions and/or as per reported Article 7 data and trend analysis) </w:t>
            </w:r>
          </w:p>
        </w:tc>
        <w:tc>
          <w:tcPr>
            <w:tcW w:w="2551" w:type="dxa"/>
          </w:tcPr>
          <w:p w14:paraId="25E5B172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List of countries in actual </w:t>
            </w:r>
          </w:p>
          <w:p w14:paraId="77D51ECE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or potential on compliance </w:t>
            </w:r>
          </w:p>
          <w:p w14:paraId="460BAE1C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that received CAP assistance outside the network meetings </w:t>
            </w:r>
          </w:p>
        </w:tc>
        <w:tc>
          <w:tcPr>
            <w:tcW w:w="2552" w:type="dxa"/>
          </w:tcPr>
          <w:p w14:paraId="492349F4" w14:textId="77777777" w:rsidR="00264E87" w:rsidRPr="008B2A8B" w:rsidRDefault="00264E87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Number of countries in actual or potential non-compliance that received CAP assistance </w:t>
            </w:r>
            <w:r w:rsidR="001F5745" w:rsidRPr="008B2A8B">
              <w:rPr>
                <w:color w:val="auto"/>
                <w:sz w:val="18"/>
                <w:szCs w:val="20"/>
              </w:rPr>
              <w:t xml:space="preserve"> </w:t>
            </w:r>
            <w:r w:rsidRPr="008B2A8B">
              <w:rPr>
                <w:color w:val="auto"/>
                <w:sz w:val="18"/>
                <w:szCs w:val="20"/>
              </w:rPr>
              <w:t>outside the network meetings</w:t>
            </w:r>
          </w:p>
        </w:tc>
        <w:tc>
          <w:tcPr>
            <w:tcW w:w="2238" w:type="dxa"/>
          </w:tcPr>
          <w:p w14:paraId="69D8F10D" w14:textId="15120984" w:rsidR="00264E87" w:rsidRPr="00027158" w:rsidRDefault="00BA29E1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8"/>
                <w:szCs w:val="20"/>
              </w:rPr>
              <w:t>All such countries</w:t>
            </w:r>
          </w:p>
        </w:tc>
      </w:tr>
      <w:tr w:rsidR="00C20ECE" w:rsidRPr="00611AE2" w14:paraId="136BF6E2" w14:textId="77777777" w:rsidTr="00C20ECE">
        <w:tc>
          <w:tcPr>
            <w:tcW w:w="2235" w:type="dxa"/>
          </w:tcPr>
          <w:p w14:paraId="39821327" w14:textId="77777777" w:rsidR="00C20ECE" w:rsidRPr="008B2A8B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Innovations in production and delivery of global and regional information products and services </w:t>
            </w:r>
          </w:p>
        </w:tc>
        <w:tc>
          <w:tcPr>
            <w:tcW w:w="2551" w:type="dxa"/>
          </w:tcPr>
          <w:p w14:paraId="4E259543" w14:textId="77777777" w:rsidR="00C20ECE" w:rsidRPr="008B2A8B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List of global and regional information products and services destined for new target audiences or that reach existing target audiences in new ways </w:t>
            </w:r>
          </w:p>
        </w:tc>
        <w:tc>
          <w:tcPr>
            <w:tcW w:w="2552" w:type="dxa"/>
          </w:tcPr>
          <w:p w14:paraId="12DBF9DE" w14:textId="77777777" w:rsidR="00C20ECE" w:rsidRPr="008B2A8B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Number of global and regional information products and services destined for new target audiences or that reach existing target audiences in new ways </w:t>
            </w:r>
          </w:p>
        </w:tc>
        <w:tc>
          <w:tcPr>
            <w:tcW w:w="2238" w:type="dxa"/>
          </w:tcPr>
          <w:p w14:paraId="1C0D7AEA" w14:textId="77777777" w:rsidR="00C20ECE" w:rsidRPr="00027158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8"/>
                <w:szCs w:val="20"/>
              </w:rPr>
              <w:t xml:space="preserve">7 such products and </w:t>
            </w:r>
          </w:p>
          <w:p w14:paraId="4C311E80" w14:textId="77777777" w:rsidR="00C20ECE" w:rsidRPr="00027158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8"/>
                <w:szCs w:val="20"/>
              </w:rPr>
              <w:t xml:space="preserve">services </w:t>
            </w:r>
          </w:p>
        </w:tc>
      </w:tr>
      <w:tr w:rsidR="00C20ECE" w:rsidRPr="00611AE2" w14:paraId="0379D53F" w14:textId="77777777" w:rsidTr="00C20ECE">
        <w:tc>
          <w:tcPr>
            <w:tcW w:w="2235" w:type="dxa"/>
          </w:tcPr>
          <w:p w14:paraId="2FEB0289" w14:textId="77777777" w:rsidR="00C20ECE" w:rsidRPr="008B2A8B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Close cooperation </w:t>
            </w:r>
          </w:p>
          <w:p w14:paraId="65CD11B7" w14:textId="77777777" w:rsidR="00C20ECE" w:rsidRPr="008B2A8B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between CAP regional </w:t>
            </w:r>
          </w:p>
          <w:p w14:paraId="072D926B" w14:textId="77777777" w:rsidR="00C20ECE" w:rsidRPr="008B2A8B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teams and </w:t>
            </w:r>
            <w:r w:rsidR="00B53D12" w:rsidRPr="008B2A8B">
              <w:rPr>
                <w:color w:val="auto"/>
                <w:sz w:val="18"/>
                <w:szCs w:val="20"/>
              </w:rPr>
              <w:t xml:space="preserve">Implementing and bilateral agencies </w:t>
            </w:r>
            <w:r w:rsidRPr="008B2A8B">
              <w:rPr>
                <w:color w:val="auto"/>
                <w:sz w:val="18"/>
                <w:szCs w:val="20"/>
              </w:rPr>
              <w:t xml:space="preserve">working in the regions </w:t>
            </w:r>
          </w:p>
        </w:tc>
        <w:tc>
          <w:tcPr>
            <w:tcW w:w="2551" w:type="dxa"/>
          </w:tcPr>
          <w:p w14:paraId="7A56CCCA" w14:textId="77777777" w:rsidR="00C20ECE" w:rsidRPr="008B2A8B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List of joint missions/ </w:t>
            </w:r>
          </w:p>
          <w:p w14:paraId="6EFB4AE1" w14:textId="77777777" w:rsidR="00C20ECE" w:rsidRPr="008B2A8B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undertakings of CAP </w:t>
            </w:r>
          </w:p>
          <w:p w14:paraId="3974905A" w14:textId="77777777" w:rsidR="00C20ECE" w:rsidRPr="008B2A8B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>regional staff with I</w:t>
            </w:r>
            <w:r w:rsidR="00B53D12" w:rsidRPr="008B2A8B">
              <w:rPr>
                <w:color w:val="auto"/>
                <w:sz w:val="18"/>
                <w:szCs w:val="20"/>
              </w:rPr>
              <w:t>mplementing and bilateral agencies</w:t>
            </w:r>
          </w:p>
        </w:tc>
        <w:tc>
          <w:tcPr>
            <w:tcW w:w="2552" w:type="dxa"/>
          </w:tcPr>
          <w:p w14:paraId="47D294DA" w14:textId="77777777" w:rsidR="00C20ECE" w:rsidRPr="008B2A8B" w:rsidRDefault="00C20ECE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8B2A8B">
              <w:rPr>
                <w:color w:val="auto"/>
                <w:sz w:val="18"/>
                <w:szCs w:val="20"/>
              </w:rPr>
              <w:t xml:space="preserve">Number of joint missions/undertakings </w:t>
            </w:r>
          </w:p>
        </w:tc>
        <w:tc>
          <w:tcPr>
            <w:tcW w:w="2238" w:type="dxa"/>
          </w:tcPr>
          <w:p w14:paraId="74A545F6" w14:textId="318825EF" w:rsidR="00C20ECE" w:rsidRPr="00027158" w:rsidRDefault="00027158" w:rsidP="00211845">
            <w:pPr>
              <w:pStyle w:val="Default"/>
              <w:rPr>
                <w:color w:val="auto"/>
                <w:sz w:val="18"/>
                <w:szCs w:val="20"/>
              </w:rPr>
            </w:pPr>
            <w:r w:rsidRPr="00027158">
              <w:rPr>
                <w:color w:val="auto"/>
                <w:sz w:val="18"/>
                <w:szCs w:val="20"/>
              </w:rPr>
              <w:t>3</w:t>
            </w:r>
            <w:r w:rsidR="00C20ECE" w:rsidRPr="00027158">
              <w:rPr>
                <w:color w:val="auto"/>
                <w:sz w:val="18"/>
                <w:szCs w:val="20"/>
              </w:rPr>
              <w:t xml:space="preserve"> in each region </w:t>
            </w:r>
          </w:p>
        </w:tc>
      </w:tr>
    </w:tbl>
    <w:p w14:paraId="73F6947F" w14:textId="77777777" w:rsidR="00B32091" w:rsidRPr="00611AE2" w:rsidRDefault="00B32091" w:rsidP="00211845">
      <w:pPr>
        <w:rPr>
          <w:rFonts w:ascii="Times New Roman" w:hAnsi="Times New Roman"/>
          <w:color w:val="0070C0"/>
          <w:szCs w:val="24"/>
        </w:rPr>
      </w:pPr>
    </w:p>
    <w:p w14:paraId="37CB79CF" w14:textId="77777777" w:rsidR="0088046C" w:rsidRPr="00611AE2" w:rsidRDefault="0088046C" w:rsidP="00211845">
      <w:pPr>
        <w:pStyle w:val="Default"/>
        <w:outlineLvl w:val="0"/>
        <w:rPr>
          <w:b/>
          <w:bCs/>
          <w:smallCaps/>
          <w:sz w:val="22"/>
        </w:rPr>
      </w:pPr>
      <w:bookmarkStart w:id="12" w:name="_Toc456004124"/>
      <w:r w:rsidRPr="00611AE2">
        <w:rPr>
          <w:b/>
          <w:bCs/>
          <w:smallCaps/>
          <w:sz w:val="22"/>
        </w:rPr>
        <w:t>V.   POLICY, ADMINISTRATIVE AND FINANCIAL ISSUES</w:t>
      </w:r>
      <w:bookmarkEnd w:id="12"/>
      <w:r w:rsidRPr="00611AE2">
        <w:rPr>
          <w:b/>
          <w:bCs/>
          <w:smallCaps/>
          <w:sz w:val="22"/>
        </w:rPr>
        <w:t xml:space="preserve"> </w:t>
      </w:r>
    </w:p>
    <w:p w14:paraId="140CC761" w14:textId="77777777" w:rsidR="002A6436" w:rsidRPr="00611AE2" w:rsidRDefault="002A6436" w:rsidP="00211845">
      <w:pPr>
        <w:rPr>
          <w:rFonts w:ascii="Times New Roman" w:hAnsi="Times New Roman"/>
          <w:color w:val="000000"/>
          <w:szCs w:val="24"/>
        </w:rPr>
      </w:pPr>
      <w:bookmarkStart w:id="13" w:name="_Toc348965842"/>
    </w:p>
    <w:bookmarkEnd w:id="13"/>
    <w:p w14:paraId="49498B29" w14:textId="77777777" w:rsidR="000C3EA5" w:rsidRPr="00611AE2" w:rsidRDefault="00412616" w:rsidP="00211845">
      <w:pPr>
        <w:rPr>
          <w:rFonts w:ascii="Times New Roman" w:hAnsi="Times New Roman"/>
          <w:szCs w:val="24"/>
        </w:rPr>
      </w:pPr>
      <w:r w:rsidRPr="00611AE2">
        <w:rPr>
          <w:rFonts w:ascii="Times New Roman" w:hAnsi="Times New Roman"/>
          <w:color w:val="000000"/>
          <w:szCs w:val="24"/>
        </w:rPr>
        <w:t>None.</w:t>
      </w:r>
    </w:p>
    <w:p w14:paraId="256C8335" w14:textId="77777777" w:rsidR="006622F7" w:rsidRPr="00611AE2" w:rsidRDefault="006622F7" w:rsidP="00211845">
      <w:pPr>
        <w:rPr>
          <w:rFonts w:ascii="Times New Roman" w:hAnsi="Times New Roman"/>
          <w:szCs w:val="24"/>
        </w:rPr>
      </w:pPr>
    </w:p>
    <w:sectPr w:rsidR="006622F7" w:rsidRPr="00611AE2" w:rsidSect="00602710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CAA41" w14:textId="77777777" w:rsidR="00CE2DEC" w:rsidRDefault="00CE2DEC" w:rsidP="00C219EA">
      <w:r>
        <w:separator/>
      </w:r>
    </w:p>
  </w:endnote>
  <w:endnote w:type="continuationSeparator" w:id="0">
    <w:p w14:paraId="21FD9E8B" w14:textId="77777777" w:rsidR="00CE2DEC" w:rsidRDefault="00CE2DEC" w:rsidP="00C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F3055" w14:textId="77777777" w:rsidR="00DC5810" w:rsidRPr="00C219EA" w:rsidRDefault="00E854D4">
    <w:pPr>
      <w:pStyle w:val="Footer"/>
      <w:jc w:val="center"/>
      <w:rPr>
        <w:rFonts w:ascii="Times New Roman" w:hAnsi="Times New Roman"/>
        <w:sz w:val="20"/>
        <w:szCs w:val="20"/>
      </w:rPr>
    </w:pPr>
    <w:r w:rsidRPr="00C219EA">
      <w:rPr>
        <w:rFonts w:ascii="Times New Roman" w:hAnsi="Times New Roman"/>
        <w:sz w:val="20"/>
        <w:szCs w:val="20"/>
      </w:rPr>
      <w:fldChar w:fldCharType="begin"/>
    </w:r>
    <w:r w:rsidR="00DC5810" w:rsidRPr="00C219EA">
      <w:rPr>
        <w:rFonts w:ascii="Times New Roman" w:hAnsi="Times New Roman"/>
        <w:sz w:val="20"/>
        <w:szCs w:val="20"/>
      </w:rPr>
      <w:instrText xml:space="preserve"> PAGE   \* MERGEFORMAT </w:instrText>
    </w:r>
    <w:r w:rsidRPr="00C219EA">
      <w:rPr>
        <w:rFonts w:ascii="Times New Roman" w:hAnsi="Times New Roman"/>
        <w:sz w:val="20"/>
        <w:szCs w:val="20"/>
      </w:rPr>
      <w:fldChar w:fldCharType="separate"/>
    </w:r>
    <w:r w:rsidR="00F41AA8">
      <w:rPr>
        <w:rFonts w:ascii="Times New Roman" w:hAnsi="Times New Roman"/>
        <w:noProof/>
        <w:sz w:val="20"/>
        <w:szCs w:val="20"/>
      </w:rPr>
      <w:t>8</w:t>
    </w:r>
    <w:r w:rsidRPr="00C219EA">
      <w:rPr>
        <w:rFonts w:ascii="Times New Roman" w:hAnsi="Times New Roman"/>
        <w:sz w:val="20"/>
        <w:szCs w:val="20"/>
      </w:rPr>
      <w:fldChar w:fldCharType="end"/>
    </w:r>
  </w:p>
  <w:p w14:paraId="796DEDFD" w14:textId="77777777" w:rsidR="00DC5810" w:rsidRDefault="00DC5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082E9" w14:textId="77777777" w:rsidR="00CE2DEC" w:rsidRDefault="00CE2DEC" w:rsidP="00C219EA">
      <w:r>
        <w:separator/>
      </w:r>
    </w:p>
  </w:footnote>
  <w:footnote w:type="continuationSeparator" w:id="0">
    <w:p w14:paraId="34171FD8" w14:textId="77777777" w:rsidR="00CE2DEC" w:rsidRDefault="00CE2DEC" w:rsidP="00C219EA">
      <w:r>
        <w:continuationSeparator/>
      </w:r>
    </w:p>
  </w:footnote>
  <w:footnote w:id="1">
    <w:p w14:paraId="13DBBA49" w14:textId="6AE10434" w:rsidR="00B70B18" w:rsidRPr="00737AEE" w:rsidRDefault="00B70B18">
      <w:pPr>
        <w:pStyle w:val="FootnoteText"/>
        <w:rPr>
          <w:rFonts w:ascii="Times New Roman" w:hAnsi="Times New Roman"/>
        </w:rPr>
      </w:pPr>
      <w:r w:rsidRPr="00737AEE">
        <w:rPr>
          <w:rStyle w:val="FootnoteReference"/>
          <w:rFonts w:ascii="Times New Roman" w:hAnsi="Times New Roman"/>
        </w:rPr>
        <w:footnoteRef/>
      </w:r>
      <w:r w:rsidRPr="00737AEE">
        <w:rPr>
          <w:rFonts w:ascii="Times New Roman" w:hAnsi="Times New Roman"/>
        </w:rPr>
        <w:t xml:space="preserve"> In addition to the projects indicated in this Business Plan, during 201</w:t>
      </w:r>
      <w:r w:rsidR="001615D2">
        <w:rPr>
          <w:rFonts w:ascii="Times New Roman" w:hAnsi="Times New Roman"/>
        </w:rPr>
        <w:t>7</w:t>
      </w:r>
      <w:r w:rsidRPr="00737AEE">
        <w:rPr>
          <w:rFonts w:ascii="Times New Roman" w:hAnsi="Times New Roman"/>
        </w:rPr>
        <w:t xml:space="preserve"> UNEP wi</w:t>
      </w:r>
      <w:r w:rsidR="00274EE7" w:rsidRPr="00737AEE">
        <w:rPr>
          <w:rFonts w:ascii="Times New Roman" w:hAnsi="Times New Roman"/>
        </w:rPr>
        <w:t xml:space="preserve">ll also provide through its CAP </w:t>
      </w:r>
      <w:r w:rsidR="00765C39">
        <w:rPr>
          <w:rFonts w:ascii="Times New Roman" w:hAnsi="Times New Roman"/>
        </w:rPr>
        <w:t>1,062</w:t>
      </w:r>
      <w:r w:rsidR="00274EE7" w:rsidRPr="00765C39">
        <w:rPr>
          <w:rFonts w:ascii="Times New Roman" w:hAnsi="Times New Roman"/>
        </w:rPr>
        <w:t xml:space="preserve"> </w:t>
      </w:r>
      <w:r w:rsidRPr="00765C39">
        <w:rPr>
          <w:rFonts w:ascii="Times New Roman" w:hAnsi="Times New Roman"/>
        </w:rPr>
        <w:t>country-specific</w:t>
      </w:r>
      <w:r w:rsidRPr="00737AEE">
        <w:rPr>
          <w:rFonts w:ascii="Times New Roman" w:hAnsi="Times New Roman"/>
        </w:rPr>
        <w:t xml:space="preserve"> special compliance services, the operation of 10 Regional/sub-Regional Networks of Ozone Officers, facilitation of South-South cooperation, assistance with regional awareness activities, and provision of a global Information Clearinghouse that provides National Ozone Units with services that include information, communication, education, electronic knowledge management and capacity building.</w:t>
      </w:r>
    </w:p>
  </w:footnote>
  <w:footnote w:id="2">
    <w:p w14:paraId="6F863325" w14:textId="77777777" w:rsidR="007F228F" w:rsidRPr="004028F3" w:rsidRDefault="007F228F" w:rsidP="007F228F">
      <w:pPr>
        <w:pStyle w:val="FootnoteText"/>
        <w:rPr>
          <w:rFonts w:ascii="Times New Roman" w:hAnsi="Times New Roman"/>
          <w:sz w:val="18"/>
          <w:szCs w:val="18"/>
        </w:rPr>
      </w:pPr>
      <w:r w:rsidRPr="00737AEE">
        <w:rPr>
          <w:rStyle w:val="FootnoteReference"/>
          <w:rFonts w:ascii="Times New Roman" w:hAnsi="Times New Roman"/>
        </w:rPr>
        <w:footnoteRef/>
      </w:r>
      <w:r w:rsidRPr="00737AEE">
        <w:rPr>
          <w:rFonts w:ascii="Times New Roman" w:hAnsi="Times New Roman"/>
        </w:rPr>
        <w:t xml:space="preserve"> This Business Plan provides details about the individual </w:t>
      </w:r>
      <w:r w:rsidRPr="00737AEE">
        <w:rPr>
          <w:rFonts w:ascii="Times New Roman" w:hAnsi="Times New Roman"/>
          <w:i/>
        </w:rPr>
        <w:t>projects</w:t>
      </w:r>
      <w:r w:rsidRPr="00737AEE">
        <w:rPr>
          <w:rFonts w:ascii="Times New Roman" w:hAnsi="Times New Roman"/>
        </w:rPr>
        <w:t xml:space="preserve"> proposed for UNEP implementation </w:t>
      </w:r>
      <w:r>
        <w:rPr>
          <w:rFonts w:ascii="Times New Roman" w:hAnsi="Times New Roman"/>
        </w:rPr>
        <w:t>from</w:t>
      </w:r>
      <w:r w:rsidRPr="00737AEE">
        <w:rPr>
          <w:rFonts w:ascii="Times New Roman" w:hAnsi="Times New Roman"/>
        </w:rPr>
        <w:t xml:space="preserve"> 201</w:t>
      </w:r>
      <w:r w:rsidR="001615D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through </w:t>
      </w:r>
      <w:r w:rsidRPr="00737AEE">
        <w:rPr>
          <w:rFonts w:ascii="Times New Roman" w:hAnsi="Times New Roman"/>
        </w:rPr>
        <w:t>201</w:t>
      </w:r>
      <w:r w:rsidR="001615D2">
        <w:rPr>
          <w:rFonts w:ascii="Times New Roman" w:hAnsi="Times New Roman"/>
        </w:rPr>
        <w:t>9</w:t>
      </w:r>
      <w:r w:rsidRPr="00737AEE">
        <w:rPr>
          <w:rFonts w:ascii="Times New Roman" w:hAnsi="Times New Roman"/>
        </w:rPr>
        <w:t xml:space="preserve">. UNEP will report details on its performance with implementing the projects through its UNEP’s Annual and Financial Progress Report.  For details about </w:t>
      </w:r>
      <w:r w:rsidRPr="00737AEE">
        <w:rPr>
          <w:rFonts w:ascii="Times New Roman" w:hAnsi="Times New Roman"/>
          <w:i/>
        </w:rPr>
        <w:t>non-project-related</w:t>
      </w:r>
      <w:r w:rsidRPr="00737AEE">
        <w:rPr>
          <w:rFonts w:ascii="Times New Roman" w:hAnsi="Times New Roman"/>
        </w:rPr>
        <w:t xml:space="preserve"> activities and services delivered by UNEP through the CAP, please refer to the 201</w:t>
      </w:r>
      <w:r w:rsidR="001615D2">
        <w:rPr>
          <w:rFonts w:ascii="Times New Roman" w:hAnsi="Times New Roman"/>
        </w:rPr>
        <w:t>7</w:t>
      </w:r>
      <w:r w:rsidRPr="00737AEE">
        <w:rPr>
          <w:rFonts w:ascii="Times New Roman" w:hAnsi="Times New Roman"/>
        </w:rPr>
        <w:t xml:space="preserve"> CAP </w:t>
      </w:r>
      <w:r>
        <w:rPr>
          <w:rFonts w:ascii="Times New Roman" w:hAnsi="Times New Roman"/>
        </w:rPr>
        <w:t xml:space="preserve">Work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and</w:t>
      </w:r>
      <w:r w:rsidRPr="0031133B">
        <w:rPr>
          <w:rFonts w:ascii="Times New Roman" w:hAnsi="Times New Roman"/>
        </w:rPr>
        <w:t xml:space="preserve"> Budget</w:t>
      </w:r>
      <w:r w:rsidRPr="00737AEE">
        <w:rPr>
          <w:rFonts w:ascii="Times New Roman" w:hAnsi="Times New Roman"/>
        </w:rPr>
        <w:t xml:space="preserve"> submitted to this same meeting.</w:t>
      </w:r>
      <w:r w:rsidRPr="004028F3">
        <w:rPr>
          <w:rFonts w:ascii="Times New Roman" w:hAnsi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665"/>
    <w:multiLevelType w:val="hybridMultilevel"/>
    <w:tmpl w:val="578A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E17"/>
    <w:multiLevelType w:val="hybridMultilevel"/>
    <w:tmpl w:val="689A3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50BA0"/>
    <w:multiLevelType w:val="hybridMultilevel"/>
    <w:tmpl w:val="9E5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4542C"/>
    <w:multiLevelType w:val="hybridMultilevel"/>
    <w:tmpl w:val="BC1E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6FC5"/>
    <w:multiLevelType w:val="hybridMultilevel"/>
    <w:tmpl w:val="2B4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2298C"/>
    <w:multiLevelType w:val="hybridMultilevel"/>
    <w:tmpl w:val="599C5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691FD2"/>
    <w:multiLevelType w:val="hybridMultilevel"/>
    <w:tmpl w:val="499C71A0"/>
    <w:lvl w:ilvl="0" w:tplc="C7442E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92984"/>
    <w:multiLevelType w:val="hybridMultilevel"/>
    <w:tmpl w:val="BCAE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60F74"/>
    <w:multiLevelType w:val="hybridMultilevel"/>
    <w:tmpl w:val="F3BA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435F3"/>
    <w:multiLevelType w:val="hybridMultilevel"/>
    <w:tmpl w:val="026A03BC"/>
    <w:lvl w:ilvl="0" w:tplc="C7442E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026C0"/>
    <w:multiLevelType w:val="hybridMultilevel"/>
    <w:tmpl w:val="F4D6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752E"/>
    <w:multiLevelType w:val="hybridMultilevel"/>
    <w:tmpl w:val="4FD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07D1D"/>
    <w:multiLevelType w:val="hybridMultilevel"/>
    <w:tmpl w:val="446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D3E34"/>
    <w:multiLevelType w:val="hybridMultilevel"/>
    <w:tmpl w:val="3F78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E2E3F"/>
    <w:multiLevelType w:val="hybridMultilevel"/>
    <w:tmpl w:val="EF9E1C36"/>
    <w:lvl w:ilvl="0" w:tplc="C7442E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B5D1D"/>
    <w:multiLevelType w:val="hybridMultilevel"/>
    <w:tmpl w:val="F986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0069F"/>
    <w:multiLevelType w:val="hybridMultilevel"/>
    <w:tmpl w:val="3DCE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46606"/>
    <w:multiLevelType w:val="hybridMultilevel"/>
    <w:tmpl w:val="A70E64A4"/>
    <w:lvl w:ilvl="0" w:tplc="21F629F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720DB"/>
    <w:multiLevelType w:val="hybridMultilevel"/>
    <w:tmpl w:val="6A605A4E"/>
    <w:lvl w:ilvl="0" w:tplc="C7442E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B515B"/>
    <w:multiLevelType w:val="hybridMultilevel"/>
    <w:tmpl w:val="9A86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D2431"/>
    <w:multiLevelType w:val="hybridMultilevel"/>
    <w:tmpl w:val="61F4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F3586"/>
    <w:multiLevelType w:val="hybridMultilevel"/>
    <w:tmpl w:val="108C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92350"/>
    <w:multiLevelType w:val="hybridMultilevel"/>
    <w:tmpl w:val="E108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63AFF"/>
    <w:multiLevelType w:val="hybridMultilevel"/>
    <w:tmpl w:val="36F84A48"/>
    <w:lvl w:ilvl="0" w:tplc="C7442E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E0505"/>
    <w:multiLevelType w:val="hybridMultilevel"/>
    <w:tmpl w:val="689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825D0"/>
    <w:multiLevelType w:val="hybridMultilevel"/>
    <w:tmpl w:val="03A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E9DE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F2333"/>
    <w:multiLevelType w:val="hybridMultilevel"/>
    <w:tmpl w:val="9E941D2C"/>
    <w:lvl w:ilvl="0" w:tplc="C7442E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50FE1"/>
    <w:multiLevelType w:val="hybridMultilevel"/>
    <w:tmpl w:val="229A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20"/>
  </w:num>
  <w:num w:numId="10">
    <w:abstractNumId w:val="22"/>
  </w:num>
  <w:num w:numId="11">
    <w:abstractNumId w:val="26"/>
  </w:num>
  <w:num w:numId="12">
    <w:abstractNumId w:val="25"/>
  </w:num>
  <w:num w:numId="13">
    <w:abstractNumId w:val="11"/>
  </w:num>
  <w:num w:numId="14">
    <w:abstractNumId w:val="9"/>
  </w:num>
  <w:num w:numId="15">
    <w:abstractNumId w:val="0"/>
  </w:num>
  <w:num w:numId="16">
    <w:abstractNumId w:val="21"/>
  </w:num>
  <w:num w:numId="17">
    <w:abstractNumId w:val="4"/>
  </w:num>
  <w:num w:numId="18">
    <w:abstractNumId w:val="24"/>
  </w:num>
  <w:num w:numId="19">
    <w:abstractNumId w:val="7"/>
  </w:num>
  <w:num w:numId="20">
    <w:abstractNumId w:val="19"/>
  </w:num>
  <w:num w:numId="21">
    <w:abstractNumId w:val="2"/>
  </w:num>
  <w:num w:numId="22">
    <w:abstractNumId w:val="27"/>
  </w:num>
  <w:num w:numId="23">
    <w:abstractNumId w:val="1"/>
  </w:num>
  <w:num w:numId="24">
    <w:abstractNumId w:val="5"/>
  </w:num>
  <w:num w:numId="25">
    <w:abstractNumId w:val="13"/>
  </w:num>
  <w:num w:numId="26">
    <w:abstractNumId w:val="15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EA"/>
    <w:rsid w:val="00002080"/>
    <w:rsid w:val="00004D4C"/>
    <w:rsid w:val="00017FC9"/>
    <w:rsid w:val="00026BC3"/>
    <w:rsid w:val="00027158"/>
    <w:rsid w:val="00027E8C"/>
    <w:rsid w:val="00035ABF"/>
    <w:rsid w:val="0003727C"/>
    <w:rsid w:val="00042DF0"/>
    <w:rsid w:val="00045509"/>
    <w:rsid w:val="00053008"/>
    <w:rsid w:val="000530A0"/>
    <w:rsid w:val="00054B98"/>
    <w:rsid w:val="000769CA"/>
    <w:rsid w:val="000856E9"/>
    <w:rsid w:val="00090133"/>
    <w:rsid w:val="0009264A"/>
    <w:rsid w:val="00094662"/>
    <w:rsid w:val="000A42B0"/>
    <w:rsid w:val="000C084C"/>
    <w:rsid w:val="000C1D4F"/>
    <w:rsid w:val="000C3117"/>
    <w:rsid w:val="000C3EA5"/>
    <w:rsid w:val="000D4A3E"/>
    <w:rsid w:val="000E0308"/>
    <w:rsid w:val="000F1374"/>
    <w:rsid w:val="00100194"/>
    <w:rsid w:val="001263BF"/>
    <w:rsid w:val="0013050C"/>
    <w:rsid w:val="00133868"/>
    <w:rsid w:val="00136284"/>
    <w:rsid w:val="001428E8"/>
    <w:rsid w:val="001615D2"/>
    <w:rsid w:val="00174C18"/>
    <w:rsid w:val="001807C1"/>
    <w:rsid w:val="00191267"/>
    <w:rsid w:val="0019282B"/>
    <w:rsid w:val="001A327C"/>
    <w:rsid w:val="001B3415"/>
    <w:rsid w:val="001C4780"/>
    <w:rsid w:val="001D6D16"/>
    <w:rsid w:val="001F5745"/>
    <w:rsid w:val="00202D30"/>
    <w:rsid w:val="0020661A"/>
    <w:rsid w:val="00206829"/>
    <w:rsid w:val="00210666"/>
    <w:rsid w:val="00211845"/>
    <w:rsid w:val="002157A7"/>
    <w:rsid w:val="00216643"/>
    <w:rsid w:val="00217937"/>
    <w:rsid w:val="00220EF2"/>
    <w:rsid w:val="00222C23"/>
    <w:rsid w:val="00224C07"/>
    <w:rsid w:val="00232B9C"/>
    <w:rsid w:val="002330DD"/>
    <w:rsid w:val="00242DEC"/>
    <w:rsid w:val="002512C7"/>
    <w:rsid w:val="0025131C"/>
    <w:rsid w:val="00252B33"/>
    <w:rsid w:val="00257DAB"/>
    <w:rsid w:val="00260739"/>
    <w:rsid w:val="00264E87"/>
    <w:rsid w:val="00274EE7"/>
    <w:rsid w:val="0027612D"/>
    <w:rsid w:val="002765B4"/>
    <w:rsid w:val="00287215"/>
    <w:rsid w:val="002A6436"/>
    <w:rsid w:val="002B2D4D"/>
    <w:rsid w:val="002B5892"/>
    <w:rsid w:val="002B6A8E"/>
    <w:rsid w:val="002C10A9"/>
    <w:rsid w:val="002C5127"/>
    <w:rsid w:val="002D0DF2"/>
    <w:rsid w:val="002E2841"/>
    <w:rsid w:val="002F50CB"/>
    <w:rsid w:val="002F6C88"/>
    <w:rsid w:val="00300E00"/>
    <w:rsid w:val="003029BA"/>
    <w:rsid w:val="0031133B"/>
    <w:rsid w:val="00313EEE"/>
    <w:rsid w:val="00320CD5"/>
    <w:rsid w:val="003418B2"/>
    <w:rsid w:val="00350DEF"/>
    <w:rsid w:val="003534E8"/>
    <w:rsid w:val="00357AA5"/>
    <w:rsid w:val="00366A38"/>
    <w:rsid w:val="00386023"/>
    <w:rsid w:val="003869C9"/>
    <w:rsid w:val="003A0D23"/>
    <w:rsid w:val="003A15EE"/>
    <w:rsid w:val="003A4783"/>
    <w:rsid w:val="003B26F7"/>
    <w:rsid w:val="003B3097"/>
    <w:rsid w:val="003B4215"/>
    <w:rsid w:val="003C4C9D"/>
    <w:rsid w:val="003E0E00"/>
    <w:rsid w:val="003E7784"/>
    <w:rsid w:val="00404C6D"/>
    <w:rsid w:val="00405DE2"/>
    <w:rsid w:val="00410106"/>
    <w:rsid w:val="00412616"/>
    <w:rsid w:val="00417743"/>
    <w:rsid w:val="0042264D"/>
    <w:rsid w:val="0043786C"/>
    <w:rsid w:val="00437938"/>
    <w:rsid w:val="004524DC"/>
    <w:rsid w:val="00457D9B"/>
    <w:rsid w:val="00467489"/>
    <w:rsid w:val="00475B24"/>
    <w:rsid w:val="004953C1"/>
    <w:rsid w:val="0049681B"/>
    <w:rsid w:val="00496E85"/>
    <w:rsid w:val="004A1095"/>
    <w:rsid w:val="004A4CD3"/>
    <w:rsid w:val="004B2DC0"/>
    <w:rsid w:val="004C20BB"/>
    <w:rsid w:val="004F21EA"/>
    <w:rsid w:val="00514A72"/>
    <w:rsid w:val="0052096A"/>
    <w:rsid w:val="005216CD"/>
    <w:rsid w:val="00526B90"/>
    <w:rsid w:val="0052789C"/>
    <w:rsid w:val="005349A0"/>
    <w:rsid w:val="00546AA0"/>
    <w:rsid w:val="005470D9"/>
    <w:rsid w:val="0054771E"/>
    <w:rsid w:val="00552AB4"/>
    <w:rsid w:val="00552B10"/>
    <w:rsid w:val="00555658"/>
    <w:rsid w:val="00556E96"/>
    <w:rsid w:val="00573DC0"/>
    <w:rsid w:val="00573F88"/>
    <w:rsid w:val="00580490"/>
    <w:rsid w:val="005863E9"/>
    <w:rsid w:val="00586D06"/>
    <w:rsid w:val="00586D7B"/>
    <w:rsid w:val="0059524D"/>
    <w:rsid w:val="005B7D12"/>
    <w:rsid w:val="005F29C5"/>
    <w:rsid w:val="005F2C3F"/>
    <w:rsid w:val="00602710"/>
    <w:rsid w:val="0060563E"/>
    <w:rsid w:val="00611AE2"/>
    <w:rsid w:val="00616310"/>
    <w:rsid w:val="00621726"/>
    <w:rsid w:val="00621FC1"/>
    <w:rsid w:val="00644217"/>
    <w:rsid w:val="00653416"/>
    <w:rsid w:val="0065400F"/>
    <w:rsid w:val="006576D7"/>
    <w:rsid w:val="006622F7"/>
    <w:rsid w:val="00674B1B"/>
    <w:rsid w:val="006772D8"/>
    <w:rsid w:val="006853C3"/>
    <w:rsid w:val="00685CA2"/>
    <w:rsid w:val="00687208"/>
    <w:rsid w:val="00696BB0"/>
    <w:rsid w:val="006A70A5"/>
    <w:rsid w:val="006B03DC"/>
    <w:rsid w:val="006C3D38"/>
    <w:rsid w:val="006F3C0C"/>
    <w:rsid w:val="006F4F05"/>
    <w:rsid w:val="00704941"/>
    <w:rsid w:val="0071473B"/>
    <w:rsid w:val="0071773B"/>
    <w:rsid w:val="0072020B"/>
    <w:rsid w:val="00720F06"/>
    <w:rsid w:val="00730D82"/>
    <w:rsid w:val="00733B9C"/>
    <w:rsid w:val="00736E24"/>
    <w:rsid w:val="00737AEE"/>
    <w:rsid w:val="00744A65"/>
    <w:rsid w:val="0074590E"/>
    <w:rsid w:val="007520FB"/>
    <w:rsid w:val="00765C39"/>
    <w:rsid w:val="00767564"/>
    <w:rsid w:val="0077422A"/>
    <w:rsid w:val="00782006"/>
    <w:rsid w:val="007832B3"/>
    <w:rsid w:val="00784E06"/>
    <w:rsid w:val="00787AE9"/>
    <w:rsid w:val="00791B7D"/>
    <w:rsid w:val="00796E15"/>
    <w:rsid w:val="007A6952"/>
    <w:rsid w:val="007B2B2E"/>
    <w:rsid w:val="007B5B5A"/>
    <w:rsid w:val="007B65EB"/>
    <w:rsid w:val="007B6937"/>
    <w:rsid w:val="007C0287"/>
    <w:rsid w:val="007C74D1"/>
    <w:rsid w:val="007D7617"/>
    <w:rsid w:val="007F228F"/>
    <w:rsid w:val="007F6B0C"/>
    <w:rsid w:val="00802EDE"/>
    <w:rsid w:val="00804175"/>
    <w:rsid w:val="00805983"/>
    <w:rsid w:val="00813573"/>
    <w:rsid w:val="008150C6"/>
    <w:rsid w:val="00816E72"/>
    <w:rsid w:val="008213AB"/>
    <w:rsid w:val="00821B60"/>
    <w:rsid w:val="0082295A"/>
    <w:rsid w:val="00822AA2"/>
    <w:rsid w:val="00823F07"/>
    <w:rsid w:val="00856ED8"/>
    <w:rsid w:val="008621D7"/>
    <w:rsid w:val="00862D63"/>
    <w:rsid w:val="0087644C"/>
    <w:rsid w:val="00876CEA"/>
    <w:rsid w:val="0088046C"/>
    <w:rsid w:val="00881176"/>
    <w:rsid w:val="00891586"/>
    <w:rsid w:val="008915A4"/>
    <w:rsid w:val="00892308"/>
    <w:rsid w:val="0089656A"/>
    <w:rsid w:val="008A0C4F"/>
    <w:rsid w:val="008B2A8B"/>
    <w:rsid w:val="008B645E"/>
    <w:rsid w:val="008C0270"/>
    <w:rsid w:val="008C326E"/>
    <w:rsid w:val="008C67E2"/>
    <w:rsid w:val="008D7286"/>
    <w:rsid w:val="008E2E82"/>
    <w:rsid w:val="008F4401"/>
    <w:rsid w:val="00900EE2"/>
    <w:rsid w:val="00911347"/>
    <w:rsid w:val="009236F2"/>
    <w:rsid w:val="00992BA4"/>
    <w:rsid w:val="009A08CB"/>
    <w:rsid w:val="009A0AF4"/>
    <w:rsid w:val="009B22E0"/>
    <w:rsid w:val="009D0F1D"/>
    <w:rsid w:val="009D1A2A"/>
    <w:rsid w:val="009D2091"/>
    <w:rsid w:val="009E6FAB"/>
    <w:rsid w:val="009E758A"/>
    <w:rsid w:val="009F166A"/>
    <w:rsid w:val="00A07BD1"/>
    <w:rsid w:val="00A10BC1"/>
    <w:rsid w:val="00A13003"/>
    <w:rsid w:val="00A166CF"/>
    <w:rsid w:val="00A2796E"/>
    <w:rsid w:val="00A27D7F"/>
    <w:rsid w:val="00A37B88"/>
    <w:rsid w:val="00A40EDD"/>
    <w:rsid w:val="00A44147"/>
    <w:rsid w:val="00A451A8"/>
    <w:rsid w:val="00A45FBA"/>
    <w:rsid w:val="00A47FC7"/>
    <w:rsid w:val="00A61E9A"/>
    <w:rsid w:val="00A63652"/>
    <w:rsid w:val="00A6743E"/>
    <w:rsid w:val="00A73679"/>
    <w:rsid w:val="00A773C1"/>
    <w:rsid w:val="00A80738"/>
    <w:rsid w:val="00A829FD"/>
    <w:rsid w:val="00A92022"/>
    <w:rsid w:val="00A95E44"/>
    <w:rsid w:val="00AA66F2"/>
    <w:rsid w:val="00AB3624"/>
    <w:rsid w:val="00AB62C9"/>
    <w:rsid w:val="00AC1AD1"/>
    <w:rsid w:val="00AD55B1"/>
    <w:rsid w:val="00AD735E"/>
    <w:rsid w:val="00AE611F"/>
    <w:rsid w:val="00AF053F"/>
    <w:rsid w:val="00AF17DC"/>
    <w:rsid w:val="00B042E3"/>
    <w:rsid w:val="00B0620A"/>
    <w:rsid w:val="00B1063B"/>
    <w:rsid w:val="00B12D4F"/>
    <w:rsid w:val="00B16C49"/>
    <w:rsid w:val="00B32091"/>
    <w:rsid w:val="00B361E6"/>
    <w:rsid w:val="00B5054C"/>
    <w:rsid w:val="00B53D12"/>
    <w:rsid w:val="00B55320"/>
    <w:rsid w:val="00B657B9"/>
    <w:rsid w:val="00B65D34"/>
    <w:rsid w:val="00B6755E"/>
    <w:rsid w:val="00B70B18"/>
    <w:rsid w:val="00B73BC3"/>
    <w:rsid w:val="00B74A74"/>
    <w:rsid w:val="00B83D1A"/>
    <w:rsid w:val="00B8592E"/>
    <w:rsid w:val="00B977DA"/>
    <w:rsid w:val="00BA1DB5"/>
    <w:rsid w:val="00BA29E1"/>
    <w:rsid w:val="00BA4136"/>
    <w:rsid w:val="00BA6778"/>
    <w:rsid w:val="00BB76D5"/>
    <w:rsid w:val="00BC0D51"/>
    <w:rsid w:val="00BE45E6"/>
    <w:rsid w:val="00BF123C"/>
    <w:rsid w:val="00BF2C56"/>
    <w:rsid w:val="00BF56B8"/>
    <w:rsid w:val="00BF618B"/>
    <w:rsid w:val="00C01049"/>
    <w:rsid w:val="00C06DE7"/>
    <w:rsid w:val="00C109AE"/>
    <w:rsid w:val="00C126B4"/>
    <w:rsid w:val="00C12932"/>
    <w:rsid w:val="00C169D3"/>
    <w:rsid w:val="00C20ECE"/>
    <w:rsid w:val="00C219EA"/>
    <w:rsid w:val="00C366E1"/>
    <w:rsid w:val="00C43245"/>
    <w:rsid w:val="00C52C28"/>
    <w:rsid w:val="00C54584"/>
    <w:rsid w:val="00C708A8"/>
    <w:rsid w:val="00C715CE"/>
    <w:rsid w:val="00C816C8"/>
    <w:rsid w:val="00CA791A"/>
    <w:rsid w:val="00CC4607"/>
    <w:rsid w:val="00CD056A"/>
    <w:rsid w:val="00CE2DEC"/>
    <w:rsid w:val="00CF7071"/>
    <w:rsid w:val="00CF7FE4"/>
    <w:rsid w:val="00D06389"/>
    <w:rsid w:val="00D12E55"/>
    <w:rsid w:val="00D13760"/>
    <w:rsid w:val="00D61B9F"/>
    <w:rsid w:val="00D712DE"/>
    <w:rsid w:val="00D740A6"/>
    <w:rsid w:val="00D80543"/>
    <w:rsid w:val="00D80913"/>
    <w:rsid w:val="00D8270B"/>
    <w:rsid w:val="00DB3150"/>
    <w:rsid w:val="00DC1A15"/>
    <w:rsid w:val="00DC28CA"/>
    <w:rsid w:val="00DC57C0"/>
    <w:rsid w:val="00DC5810"/>
    <w:rsid w:val="00DD3F30"/>
    <w:rsid w:val="00DD4C9B"/>
    <w:rsid w:val="00E014EE"/>
    <w:rsid w:val="00E27300"/>
    <w:rsid w:val="00E27B6E"/>
    <w:rsid w:val="00E31621"/>
    <w:rsid w:val="00E4330D"/>
    <w:rsid w:val="00E44643"/>
    <w:rsid w:val="00E52C39"/>
    <w:rsid w:val="00E737EF"/>
    <w:rsid w:val="00E854D4"/>
    <w:rsid w:val="00EA148A"/>
    <w:rsid w:val="00EB3DDE"/>
    <w:rsid w:val="00EB429E"/>
    <w:rsid w:val="00EB7DF8"/>
    <w:rsid w:val="00EC7040"/>
    <w:rsid w:val="00EE1D2E"/>
    <w:rsid w:val="00F136DB"/>
    <w:rsid w:val="00F16A15"/>
    <w:rsid w:val="00F231D6"/>
    <w:rsid w:val="00F25F38"/>
    <w:rsid w:val="00F26D17"/>
    <w:rsid w:val="00F27806"/>
    <w:rsid w:val="00F322B5"/>
    <w:rsid w:val="00F35BFA"/>
    <w:rsid w:val="00F36A00"/>
    <w:rsid w:val="00F41AA8"/>
    <w:rsid w:val="00F43773"/>
    <w:rsid w:val="00F53E7F"/>
    <w:rsid w:val="00F55894"/>
    <w:rsid w:val="00F563B9"/>
    <w:rsid w:val="00F57674"/>
    <w:rsid w:val="00F601B6"/>
    <w:rsid w:val="00F7557B"/>
    <w:rsid w:val="00F8238C"/>
    <w:rsid w:val="00F834D6"/>
    <w:rsid w:val="00F97EE8"/>
    <w:rsid w:val="00FB7988"/>
    <w:rsid w:val="00FB7C16"/>
    <w:rsid w:val="00FC6166"/>
    <w:rsid w:val="00FD2A59"/>
    <w:rsid w:val="00FD664A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200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0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EA"/>
  </w:style>
  <w:style w:type="paragraph" w:styleId="Footer">
    <w:name w:val="footer"/>
    <w:basedOn w:val="Normal"/>
    <w:link w:val="FooterChar"/>
    <w:uiPriority w:val="99"/>
    <w:unhideWhenUsed/>
    <w:rsid w:val="00C21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EA"/>
  </w:style>
  <w:style w:type="paragraph" w:customStyle="1" w:styleId="Default">
    <w:name w:val="Default"/>
    <w:rsid w:val="002B6A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B76D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B76D5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76D5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76D5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76D5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76D5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76D5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76D5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76D5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6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3EA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F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A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0B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B18"/>
  </w:style>
  <w:style w:type="character" w:styleId="FootnoteReference">
    <w:name w:val="footnote reference"/>
    <w:basedOn w:val="DefaultParagraphFont"/>
    <w:uiPriority w:val="99"/>
    <w:semiHidden/>
    <w:unhideWhenUsed/>
    <w:rsid w:val="00B70B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1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5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0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EA"/>
  </w:style>
  <w:style w:type="paragraph" w:styleId="Footer">
    <w:name w:val="footer"/>
    <w:basedOn w:val="Normal"/>
    <w:link w:val="FooterChar"/>
    <w:uiPriority w:val="99"/>
    <w:unhideWhenUsed/>
    <w:rsid w:val="00C21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EA"/>
  </w:style>
  <w:style w:type="paragraph" w:customStyle="1" w:styleId="Default">
    <w:name w:val="Default"/>
    <w:rsid w:val="002B6A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B76D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B76D5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76D5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76D5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76D5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76D5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76D5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76D5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76D5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6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3EA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F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A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0B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B18"/>
  </w:style>
  <w:style w:type="character" w:styleId="FootnoteReference">
    <w:name w:val="footnote reference"/>
    <w:basedOn w:val="DefaultParagraphFont"/>
    <w:uiPriority w:val="99"/>
    <w:semiHidden/>
    <w:unhideWhenUsed/>
    <w:rsid w:val="00B70B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1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5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F5B17BF82F4083D32896D3516BC1" ma:contentTypeVersion="5" ma:contentTypeDescription="Create a new document." ma:contentTypeScope="" ma:versionID="9f63a1ae771723600515f0cbb06b691e">
  <xsd:schema xmlns:xsd="http://www.w3.org/2001/XMLSchema" xmlns:p="http://schemas.microsoft.com/office/2006/metadata/properties" xmlns:ns2="6b03d5a6-c642-4a08-93b6-965b66bfac2e" xmlns:ns3="64e33b30-101d-41de-b951-961aab25ea29" xmlns:ns4="c784fa88-afe8-45ea-98cb-6e454791397f" targetNamespace="http://schemas.microsoft.com/office/2006/metadata/properties" ma:root="true" ma:fieldsID="f8fc196be62d1ae30cc7684257f0f14d" ns2:_="" ns3:_="" ns4:_="">
    <xsd:import namespace="6b03d5a6-c642-4a08-93b6-965b66bfac2e"/>
    <xsd:import namespace="64e33b30-101d-41de-b951-961aab25ea29"/>
    <xsd:import namespace="c784fa88-afe8-45ea-98cb-6e454791397f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Forma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b03d5a6-c642-4a08-93b6-965b66bfac2e" elementFormDefault="qualified">
    <xsd:import namespace="http://schemas.microsoft.com/office/2006/documentManagement/types"/>
    <xsd:element name="Document_x0020_Number" ma:index="8" nillable="true" ma:displayName="Document Number" ma:default="UNEP/OzL.Pro/ExCom/77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4e33b30-101d-41de-b951-961aab25ea29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c784fa88-afe8-45ea-98cb-6e454791397f" elementFormDefault="qualified">
    <xsd:import namespace="http://schemas.microsoft.com/office/2006/documentManagement/types"/>
    <xsd:element name="Format" ma:index="10" nillable="true" ma:displayName="Format" ma:default="Word" ma:format="Dropdown" ma:internalName="Format">
      <xsd:simpleType>
        <xsd:restriction base="dms:Choice">
          <xsd:enumeration value="Word"/>
          <xsd:enumeration value="PDF"/>
          <xsd:enumeration value="Exc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Format xmlns="c784fa88-afe8-45ea-98cb-6e454791397f">Word</Format>
    <Document_x0020_Number xmlns="6b03d5a6-c642-4a08-93b6-965b66bfac2e">UNEP/OzL.Pro/ExCom/77/23</Document_x0020_Number>
    <DocumentType xmlns="64e33b30-101d-41de-b951-961aab25ea29">Pre-session</DocumentType>
  </documentManagement>
</p:properties>
</file>

<file path=customXml/itemProps1.xml><?xml version="1.0" encoding="utf-8"?>
<ds:datastoreItem xmlns:ds="http://schemas.openxmlformats.org/officeDocument/2006/customXml" ds:itemID="{C9B2C2EB-CD3E-4EF6-97DB-53900DBEF83A}"/>
</file>

<file path=customXml/itemProps2.xml><?xml version="1.0" encoding="utf-8"?>
<ds:datastoreItem xmlns:ds="http://schemas.openxmlformats.org/officeDocument/2006/customXml" ds:itemID="{A645A106-42C6-4C81-8B57-ECCD07BB82E2}"/>
</file>

<file path=customXml/itemProps3.xml><?xml version="1.0" encoding="utf-8"?>
<ds:datastoreItem xmlns:ds="http://schemas.openxmlformats.org/officeDocument/2006/customXml" ds:itemID="{9EAE0E31-4BB2-4F38-8BD4-146E7F81D0DB}"/>
</file>

<file path=customXml/itemProps4.xml><?xml version="1.0" encoding="utf-8"?>
<ds:datastoreItem xmlns:ds="http://schemas.openxmlformats.org/officeDocument/2006/customXml" ds:itemID="{9ADD6DCF-CB39-49F8-9FE9-CBF79FBB7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 business plan for 2017-2019 (part 2)</vt:lpstr>
    </vt:vector>
  </TitlesOfParts>
  <Company/>
  <LinksUpToDate>false</LinksUpToDate>
  <CharactersWithSpaces>15348</CharactersWithSpaces>
  <SharedDoc>false</SharedDoc>
  <HLinks>
    <vt:vector size="84" baseType="variant">
      <vt:variant>
        <vt:i4>1703999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_Toc346789279</vt:lpwstr>
      </vt:variant>
      <vt:variant>
        <vt:i4>1703999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_Toc346789278</vt:lpwstr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_Toc346789277</vt:lpwstr>
      </vt:variant>
      <vt:variant>
        <vt:i4>1703999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_Toc346789276</vt:lpwstr>
      </vt:variant>
      <vt:variant>
        <vt:i4>1703999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_Toc346789275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_Toc346789274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_Toc346789273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_Toc346789272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_Toc346789271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_Toc346789270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_Toc346789269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_Toc346789268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_Toc346789267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_Toc346789266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 business plan for 2017-2019 (part 2)</dc:title>
  <dc:subject>UNEP/OzL.Pro/ExCom/77/23</dc:subject>
  <dc:creator/>
  <cp:keywords/>
  <dc:description/>
  <cp:lastModifiedBy>muriel Aguiar</cp:lastModifiedBy>
  <cp:revision>35</cp:revision>
  <cp:lastPrinted>2016-09-30T08:28:00Z</cp:lastPrinted>
  <dcterms:created xsi:type="dcterms:W3CDTF">2016-09-30T08:29:00Z</dcterms:created>
  <dcterms:modified xsi:type="dcterms:W3CDTF">2016-10-26T15:12:00Z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0x010100F409F5B17BF82F4083D32896D3516BC1</vt:lpwstr>
  </property>
</Properties>
</file>