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237FAB" w:rsidTr="007C65C5">
        <w:trPr>
          <w:trHeight w:val="720"/>
        </w:trPr>
        <w:tc>
          <w:tcPr>
            <w:tcW w:w="5490" w:type="dxa"/>
            <w:gridSpan w:val="2"/>
            <w:tcBorders>
              <w:bottom w:val="single" w:sz="18" w:space="0" w:color="auto"/>
            </w:tcBorders>
          </w:tcPr>
          <w:p w:rsidR="00C15867" w:rsidRPr="00237FAB" w:rsidRDefault="00C15867" w:rsidP="007C65C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237FAB">
              <w:rPr>
                <w:rFonts w:ascii="Univers" w:hAnsi="Univers"/>
                <w:b/>
                <w:sz w:val="28"/>
                <w:szCs w:val="28"/>
              </w:rPr>
              <w:t>UNITED</w:t>
            </w:r>
            <w:r w:rsidRPr="00237FAB">
              <w:rPr>
                <w:rFonts w:ascii="Univers" w:hAnsi="Univers"/>
                <w:b/>
                <w:sz w:val="28"/>
                <w:szCs w:val="28"/>
              </w:rPr>
              <w:br/>
              <w:t>NATIONS</w:t>
            </w:r>
          </w:p>
        </w:tc>
        <w:tc>
          <w:tcPr>
            <w:tcW w:w="4590" w:type="dxa"/>
            <w:tcBorders>
              <w:bottom w:val="single" w:sz="18" w:space="0" w:color="auto"/>
            </w:tcBorders>
          </w:tcPr>
          <w:p w:rsidR="00C15867" w:rsidRPr="00237FAB" w:rsidRDefault="00C15867" w:rsidP="007C65C5">
            <w:pPr>
              <w:jc w:val="right"/>
              <w:rPr>
                <w:sz w:val="52"/>
                <w:szCs w:val="52"/>
              </w:rPr>
            </w:pPr>
            <w:r w:rsidRPr="00237FAB">
              <w:rPr>
                <w:rFonts w:ascii="Univers Bold" w:hAnsi="Univers Bold"/>
                <w:b/>
                <w:sz w:val="72"/>
              </w:rPr>
              <w:t>EP</w:t>
            </w:r>
          </w:p>
        </w:tc>
      </w:tr>
      <w:tr w:rsidR="00C15867" w:rsidRPr="00237FAB" w:rsidTr="007C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237FAB" w:rsidRDefault="00C15867" w:rsidP="007C65C5">
            <w:pPr>
              <w:spacing w:before="120"/>
            </w:pPr>
            <w:bookmarkStart w:id="0" w:name="_GoBack"/>
            <w:r w:rsidRPr="00237FAB">
              <w:rPr>
                <w:noProof/>
                <w:lang w:val="en-CA" w:eastAsia="zh-CN"/>
              </w:rPr>
              <w:drawing>
                <wp:anchor distT="0" distB="0" distL="114300" distR="114300" simplePos="0" relativeHeight="251660288" behindDoc="0" locked="0" layoutInCell="1" allowOverlap="1" wp14:anchorId="7FE99D72" wp14:editId="404A1480">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bookmarkEnd w:id="0"/>
            <w:r w:rsidRPr="00237FAB">
              <w:rPr>
                <w:noProof/>
                <w:lang w:val="en-CA" w:eastAsia="zh-CN"/>
              </w:rPr>
              <w:drawing>
                <wp:anchor distT="0" distB="0" distL="114300" distR="114300" simplePos="0" relativeHeight="251661312" behindDoc="1" locked="0" layoutInCell="0" allowOverlap="1" wp14:anchorId="75015687" wp14:editId="4F6165B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237FAB" w:rsidRDefault="00C15867" w:rsidP="007C65C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237FAB">
              <w:rPr>
                <w:rFonts w:ascii="Univers" w:hAnsi="Univers"/>
                <w:b/>
                <w:sz w:val="32"/>
              </w:rPr>
              <w:t>United Nations</w:t>
            </w:r>
          </w:p>
          <w:p w:rsidR="00C15867" w:rsidRPr="00237FAB" w:rsidRDefault="00C15867" w:rsidP="007C65C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237FAB">
              <w:rPr>
                <w:rFonts w:ascii="Univers" w:hAnsi="Univers"/>
                <w:b/>
                <w:sz w:val="32"/>
              </w:rPr>
              <w:t>Environment</w:t>
            </w:r>
          </w:p>
          <w:p w:rsidR="00C15867" w:rsidRPr="00237FAB" w:rsidRDefault="00C15867" w:rsidP="007C65C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237FAB">
              <w:rPr>
                <w:rFonts w:ascii="Univers" w:hAnsi="Univers"/>
                <w:b/>
                <w:sz w:val="32"/>
              </w:rPr>
              <w:t>Programme</w:t>
            </w:r>
          </w:p>
          <w:p w:rsidR="00C15867" w:rsidRPr="00237FAB" w:rsidRDefault="00C15867" w:rsidP="007C65C5">
            <w:pPr>
              <w:spacing w:before="720"/>
              <w:ind w:left="158"/>
            </w:pPr>
          </w:p>
        </w:tc>
        <w:tc>
          <w:tcPr>
            <w:tcW w:w="4590" w:type="dxa"/>
            <w:tcBorders>
              <w:top w:val="nil"/>
              <w:left w:val="nil"/>
              <w:bottom w:val="single" w:sz="36" w:space="0" w:color="auto"/>
              <w:right w:val="nil"/>
            </w:tcBorders>
          </w:tcPr>
          <w:p w:rsidR="00C15867" w:rsidRPr="00237FAB" w:rsidRDefault="00C15867" w:rsidP="007C65C5">
            <w:r w:rsidRPr="00237FAB">
              <w:t>Distr.</w:t>
            </w:r>
          </w:p>
          <w:p w:rsidR="00923540" w:rsidRPr="00237FAB" w:rsidRDefault="00923540" w:rsidP="00923540">
            <w:r w:rsidRPr="00237FAB">
              <w:t>GENERAL</w:t>
            </w:r>
          </w:p>
          <w:p w:rsidR="00C15867" w:rsidRPr="00237FAB" w:rsidRDefault="00C15867" w:rsidP="007C65C5"/>
          <w:p w:rsidR="00C15867" w:rsidRPr="00237FAB" w:rsidRDefault="00C15867" w:rsidP="007C65C5"/>
          <w:p w:rsidR="00C15867" w:rsidRPr="00237FAB" w:rsidRDefault="00967367" w:rsidP="007C65C5">
            <w:r w:rsidRPr="00237FAB">
              <w:fldChar w:fldCharType="begin"/>
            </w:r>
            <w:r w:rsidRPr="00237FAB">
              <w:instrText xml:space="preserve"> DOCPROPERTY "Document number"  \* MERGEFORMAT </w:instrText>
            </w:r>
            <w:r w:rsidRPr="00237FAB">
              <w:fldChar w:fldCharType="separate"/>
            </w:r>
            <w:r w:rsidR="00CD289D" w:rsidRPr="00237FAB">
              <w:t>UNEP/OzL.Pro/</w:t>
            </w:r>
            <w:proofErr w:type="spellStart"/>
            <w:r w:rsidR="00CD289D" w:rsidRPr="00237FAB">
              <w:t>ExCom</w:t>
            </w:r>
            <w:proofErr w:type="spellEnd"/>
            <w:r w:rsidR="00CD289D" w:rsidRPr="00237FAB">
              <w:t>/77/16</w:t>
            </w:r>
            <w:r w:rsidRPr="00237FAB">
              <w:fldChar w:fldCharType="end"/>
            </w:r>
          </w:p>
          <w:p w:rsidR="00C15867" w:rsidRPr="00237FAB" w:rsidRDefault="00BC2495" w:rsidP="007C65C5">
            <w:r w:rsidRPr="00237FAB">
              <w:fldChar w:fldCharType="begin"/>
            </w:r>
            <w:r w:rsidR="00851352" w:rsidRPr="00237FAB">
              <w:instrText xml:space="preserve"> DOCPROPERTY "Revision date" \@ "d MMMM YYYY"  \* MERGEFORMAT </w:instrText>
            </w:r>
            <w:r w:rsidRPr="00237FAB">
              <w:fldChar w:fldCharType="separate"/>
            </w:r>
            <w:r w:rsidR="00000626" w:rsidRPr="00237FAB">
              <w:t>10 November 2016</w:t>
            </w:r>
            <w:r w:rsidRPr="00237FAB">
              <w:fldChar w:fldCharType="end"/>
            </w:r>
          </w:p>
          <w:p w:rsidR="00C15867" w:rsidRPr="00237FAB" w:rsidRDefault="00C15867" w:rsidP="007C65C5">
            <w:pPr>
              <w:rPr>
                <w:caps/>
              </w:rPr>
            </w:pPr>
          </w:p>
          <w:p w:rsidR="00C15867" w:rsidRPr="00237FAB" w:rsidRDefault="00C15867" w:rsidP="007C65C5">
            <w:r w:rsidRPr="00237FAB">
              <w:t>ORIGINAL: ENGLISH</w:t>
            </w:r>
          </w:p>
        </w:tc>
      </w:tr>
    </w:tbl>
    <w:p w:rsidR="00667244" w:rsidRPr="00237FAB" w:rsidRDefault="00C15867" w:rsidP="00667244">
      <w:pPr>
        <w:jc w:val="left"/>
      </w:pPr>
      <w:r w:rsidRPr="00237FAB">
        <w:t>EXECUTIVE COMMITTEE OF</w:t>
      </w:r>
      <w:r w:rsidRPr="00237FAB">
        <w:br/>
        <w:t xml:space="preserve">  THE MULTILATERAL FUND FOR THE</w:t>
      </w:r>
      <w:r w:rsidRPr="00237FAB">
        <w:br/>
        <w:t xml:space="preserve">  IMPLEMENTATION OF THE MONTREAL PROTOCOL</w:t>
      </w:r>
      <w:r w:rsidRPr="00237FAB">
        <w:br/>
      </w:r>
      <w:r w:rsidR="00667244" w:rsidRPr="00237FAB">
        <w:rPr>
          <w:lang w:val="en-CA"/>
        </w:rPr>
        <w:t>Seventy-</w:t>
      </w:r>
      <w:r w:rsidR="00822233" w:rsidRPr="00237FAB">
        <w:rPr>
          <w:lang w:val="en-CA"/>
        </w:rPr>
        <w:t>seventh</w:t>
      </w:r>
      <w:r w:rsidR="00667244" w:rsidRPr="00237FAB">
        <w:t xml:space="preserve"> Meeting</w:t>
      </w:r>
    </w:p>
    <w:p w:rsidR="00667244" w:rsidRPr="00237FAB" w:rsidRDefault="00667244" w:rsidP="00667244">
      <w:pPr>
        <w:jc w:val="left"/>
        <w:rPr>
          <w:lang w:val="en-CA"/>
        </w:rPr>
      </w:pPr>
      <w:r w:rsidRPr="00237FAB">
        <w:t>Montreal</w:t>
      </w:r>
      <w:r w:rsidRPr="00237FAB">
        <w:rPr>
          <w:lang w:val="en-CA"/>
        </w:rPr>
        <w:t xml:space="preserve">, </w:t>
      </w:r>
      <w:r w:rsidR="00822233" w:rsidRPr="00237FAB">
        <w:t xml:space="preserve">28 November </w:t>
      </w:r>
      <w:r w:rsidR="002E44DE" w:rsidRPr="00237FAB">
        <w:t>-</w:t>
      </w:r>
      <w:r w:rsidR="00822233" w:rsidRPr="00237FAB">
        <w:t xml:space="preserve"> 2 December 2016</w:t>
      </w:r>
    </w:p>
    <w:p w:rsidR="00C15867" w:rsidRPr="00237FAB" w:rsidRDefault="00C15867" w:rsidP="00667244">
      <w:pPr>
        <w:jc w:val="left"/>
        <w:rPr>
          <w:lang w:val="en-US"/>
        </w:rPr>
      </w:pPr>
    </w:p>
    <w:p w:rsidR="00C15867" w:rsidRPr="00237FAB" w:rsidRDefault="00C15867" w:rsidP="00CD7E6F">
      <w:pPr>
        <w:pStyle w:val="Heading3"/>
        <w:numPr>
          <w:ilvl w:val="0"/>
          <w:numId w:val="0"/>
        </w:numPr>
        <w:spacing w:after="0"/>
        <w:rPr>
          <w:lang w:val="en-US"/>
        </w:rPr>
      </w:pPr>
    </w:p>
    <w:p w:rsidR="00F9511C" w:rsidRPr="00237FAB" w:rsidRDefault="00F9511C" w:rsidP="00237FAB">
      <w:pPr>
        <w:jc w:val="center"/>
        <w:rPr>
          <w:b/>
          <w:bCs/>
          <w:lang w:val="en-CA"/>
        </w:rPr>
      </w:pPr>
      <w:r w:rsidRPr="00237FAB">
        <w:rPr>
          <w:b/>
          <w:bCs/>
          <w:lang w:val="en-CA"/>
        </w:rPr>
        <w:t>PROGRESS REPORT OF THE WORLD BANK AS AT 31 DECEMBER 2015</w:t>
      </w:r>
    </w:p>
    <w:p w:rsidR="00F9511C" w:rsidRPr="00237FAB" w:rsidRDefault="00F9511C" w:rsidP="00237FAB">
      <w:pPr>
        <w:jc w:val="center"/>
        <w:rPr>
          <w:b/>
          <w:bCs/>
          <w:lang w:val="en-CA"/>
        </w:rPr>
      </w:pPr>
    </w:p>
    <w:p w:rsidR="00F9511C" w:rsidRPr="00237FAB" w:rsidRDefault="00F9511C" w:rsidP="00237FAB">
      <w:pPr>
        <w:pStyle w:val="Heading1"/>
        <w:rPr>
          <w:lang w:val="en-CA"/>
        </w:rPr>
      </w:pPr>
      <w:r w:rsidRPr="00237FAB">
        <w:rPr>
          <w:lang w:val="en-CA"/>
        </w:rPr>
        <w:t>This document presents the progress report of the World Bank as of 31 December 2015</w:t>
      </w:r>
      <w:r w:rsidRPr="00237FAB">
        <w:rPr>
          <w:rStyle w:val="FootnoteReference"/>
          <w:lang w:val="en-CA"/>
        </w:rPr>
        <w:footnoteReference w:id="1"/>
      </w:r>
      <w:r w:rsidRPr="00237FAB">
        <w:rPr>
          <w:lang w:val="en-CA"/>
        </w:rPr>
        <w:t>, and consists of:</w:t>
      </w:r>
    </w:p>
    <w:p w:rsidR="00F9511C" w:rsidRPr="00237FAB" w:rsidRDefault="00F9511C" w:rsidP="00237FAB">
      <w:pPr>
        <w:pStyle w:val="Heading1"/>
        <w:numPr>
          <w:ilvl w:val="0"/>
          <w:numId w:val="0"/>
        </w:numPr>
        <w:tabs>
          <w:tab w:val="left" w:pos="2160"/>
        </w:tabs>
        <w:spacing w:after="0"/>
        <w:ind w:firstLine="720"/>
        <w:rPr>
          <w:lang w:val="en-CA"/>
        </w:rPr>
      </w:pPr>
      <w:r w:rsidRPr="00237FAB">
        <w:rPr>
          <w:lang w:val="en-CA"/>
        </w:rPr>
        <w:t>Executive summary</w:t>
      </w:r>
    </w:p>
    <w:p w:rsidR="00F9511C" w:rsidRPr="00237FAB" w:rsidRDefault="00F9511C" w:rsidP="00237FAB">
      <w:pPr>
        <w:pStyle w:val="Heading1"/>
        <w:numPr>
          <w:ilvl w:val="0"/>
          <w:numId w:val="0"/>
        </w:numPr>
        <w:tabs>
          <w:tab w:val="left" w:pos="2160"/>
        </w:tabs>
        <w:spacing w:after="0"/>
        <w:ind w:firstLine="720"/>
        <w:rPr>
          <w:lang w:val="en-CA"/>
        </w:rPr>
      </w:pPr>
      <w:r w:rsidRPr="00237FAB">
        <w:rPr>
          <w:lang w:val="en-CA"/>
        </w:rPr>
        <w:t>Part I:</w:t>
      </w:r>
      <w:r w:rsidRPr="00237FAB">
        <w:rPr>
          <w:lang w:val="en-CA"/>
        </w:rPr>
        <w:tab/>
        <w:t>Implementation progress as at 31 December 2015 (cumulative)</w:t>
      </w:r>
    </w:p>
    <w:p w:rsidR="00F9511C" w:rsidRPr="00237FAB" w:rsidRDefault="00F9511C" w:rsidP="00237FAB">
      <w:pPr>
        <w:pStyle w:val="Heading1"/>
        <w:numPr>
          <w:ilvl w:val="0"/>
          <w:numId w:val="0"/>
        </w:numPr>
        <w:tabs>
          <w:tab w:val="left" w:pos="2160"/>
        </w:tabs>
        <w:spacing w:after="0"/>
        <w:ind w:firstLine="720"/>
        <w:rPr>
          <w:lang w:val="en-CA"/>
        </w:rPr>
      </w:pPr>
      <w:r w:rsidRPr="00237FAB">
        <w:rPr>
          <w:lang w:val="en-CA"/>
        </w:rPr>
        <w:t>Part II:</w:t>
      </w:r>
      <w:r w:rsidRPr="00237FAB">
        <w:rPr>
          <w:lang w:val="en-CA"/>
        </w:rPr>
        <w:tab/>
        <w:t>Project implementation progress in 2015</w:t>
      </w:r>
    </w:p>
    <w:p w:rsidR="00F9511C" w:rsidRPr="00237FAB" w:rsidRDefault="00F9511C" w:rsidP="00237FAB">
      <w:pPr>
        <w:pStyle w:val="Heading1"/>
        <w:numPr>
          <w:ilvl w:val="0"/>
          <w:numId w:val="0"/>
        </w:numPr>
        <w:tabs>
          <w:tab w:val="left" w:pos="2160"/>
        </w:tabs>
        <w:spacing w:after="0"/>
        <w:ind w:firstLine="720"/>
        <w:rPr>
          <w:lang w:val="en-CA"/>
        </w:rPr>
      </w:pPr>
      <w:r w:rsidRPr="00237FAB">
        <w:rPr>
          <w:lang w:val="en-CA"/>
        </w:rPr>
        <w:t>Part III:</w:t>
      </w:r>
      <w:r w:rsidRPr="00237FAB">
        <w:rPr>
          <w:lang w:val="en-CA"/>
        </w:rPr>
        <w:tab/>
      </w:r>
      <w:r w:rsidR="000652F6" w:rsidRPr="00237FAB">
        <w:rPr>
          <w:lang w:val="en-CA"/>
        </w:rPr>
        <w:t>R</w:t>
      </w:r>
      <w:r w:rsidRPr="00237FAB">
        <w:rPr>
          <w:lang w:val="en-CA"/>
        </w:rPr>
        <w:t>ecommendations by the Secretariat</w:t>
      </w:r>
    </w:p>
    <w:p w:rsidR="00F9511C" w:rsidRPr="00237FAB" w:rsidRDefault="00F9511C" w:rsidP="00237FAB">
      <w:pPr>
        <w:pStyle w:val="Heading1"/>
        <w:numPr>
          <w:ilvl w:val="0"/>
          <w:numId w:val="0"/>
        </w:numPr>
        <w:tabs>
          <w:tab w:val="left" w:pos="2160"/>
        </w:tabs>
        <w:spacing w:after="0"/>
        <w:ind w:firstLine="720"/>
        <w:rPr>
          <w:lang w:val="en-CA"/>
        </w:rPr>
      </w:pPr>
      <w:r w:rsidRPr="00237FAB">
        <w:rPr>
          <w:lang w:val="en-CA"/>
        </w:rPr>
        <w:t>Annex I:</w:t>
      </w:r>
      <w:r w:rsidRPr="00237FAB">
        <w:rPr>
          <w:lang w:val="en-CA"/>
        </w:rPr>
        <w:tab/>
        <w:t xml:space="preserve">Project implementation data in 2015 by country </w:t>
      </w:r>
    </w:p>
    <w:p w:rsidR="00F9511C" w:rsidRPr="00237FAB" w:rsidRDefault="00F9511C" w:rsidP="00237FAB">
      <w:pPr>
        <w:rPr>
          <w:lang w:val="en-CA"/>
        </w:rPr>
      </w:pPr>
    </w:p>
    <w:p w:rsidR="00F9511C" w:rsidRPr="00237FAB" w:rsidRDefault="00F9511C" w:rsidP="00237FAB">
      <w:pPr>
        <w:pStyle w:val="Heading1"/>
        <w:numPr>
          <w:ilvl w:val="0"/>
          <w:numId w:val="0"/>
        </w:numPr>
        <w:rPr>
          <w:b/>
          <w:lang w:val="en-CA"/>
        </w:rPr>
      </w:pPr>
      <w:r w:rsidRPr="00237FAB">
        <w:rPr>
          <w:b/>
          <w:lang w:val="en-CA"/>
        </w:rPr>
        <w:t>Executive summary</w:t>
      </w:r>
    </w:p>
    <w:p w:rsidR="00F9511C" w:rsidRPr="00237FAB" w:rsidRDefault="00F9511C" w:rsidP="00237FAB">
      <w:pPr>
        <w:pStyle w:val="Heading1"/>
        <w:rPr>
          <w:lang w:val="en-CA"/>
        </w:rPr>
      </w:pPr>
      <w:r w:rsidRPr="00237FAB">
        <w:rPr>
          <w:lang w:val="en-CA"/>
        </w:rPr>
        <w:t>The following is a summary of progress in the implementation of projects and activities implemented by the World Bank up to 31 December 2015 for the year 2015 and cumulative since 1991:</w:t>
      </w:r>
    </w:p>
    <w:p w:rsidR="00F9511C" w:rsidRPr="00237FAB" w:rsidRDefault="00F9511C" w:rsidP="00237FAB">
      <w:pPr>
        <w:pStyle w:val="Heading2"/>
        <w:rPr>
          <w:lang w:val="en-CA"/>
        </w:rPr>
      </w:pPr>
      <w:r w:rsidRPr="00237FAB">
        <w:rPr>
          <w:b/>
          <w:bCs/>
          <w:lang w:val="en-CA"/>
        </w:rPr>
        <w:t>Phase-out:</w:t>
      </w:r>
      <w:r w:rsidRPr="00237FAB">
        <w:rPr>
          <w:lang w:val="en-CA"/>
        </w:rPr>
        <w:t xml:space="preserve"> In 2015 alone, </w:t>
      </w:r>
      <w:r w:rsidR="00D24D47" w:rsidRPr="00237FAB">
        <w:rPr>
          <w:lang w:val="en-CA"/>
        </w:rPr>
        <w:t>4,449.5</w:t>
      </w:r>
      <w:r w:rsidRPr="00237FAB">
        <w:rPr>
          <w:lang w:val="en-CA"/>
        </w:rPr>
        <w:t> ODP tonnes of consumption</w:t>
      </w:r>
      <w:r w:rsidR="003D5706" w:rsidRPr="00237FAB">
        <w:rPr>
          <w:lang w:val="en-CA"/>
        </w:rPr>
        <w:t xml:space="preserve"> and production</w:t>
      </w:r>
      <w:r w:rsidRPr="00237FAB">
        <w:rPr>
          <w:lang w:val="en-CA"/>
        </w:rPr>
        <w:t xml:space="preserve"> </w:t>
      </w:r>
      <w:r w:rsidR="007760A9" w:rsidRPr="00237FAB">
        <w:rPr>
          <w:lang w:val="en-CA"/>
        </w:rPr>
        <w:t xml:space="preserve">of ODS </w:t>
      </w:r>
      <w:r w:rsidRPr="00237FAB">
        <w:rPr>
          <w:lang w:val="en-CA"/>
        </w:rPr>
        <w:t xml:space="preserve">were phased out and an additional </w:t>
      </w:r>
      <w:r w:rsidR="003D5706" w:rsidRPr="00237FAB">
        <w:rPr>
          <w:lang w:val="en-CA"/>
        </w:rPr>
        <w:t>3,459.8</w:t>
      </w:r>
      <w:r w:rsidRPr="00237FAB">
        <w:rPr>
          <w:lang w:val="en-CA"/>
        </w:rPr>
        <w:t xml:space="preserve"> ODP tonnes of consumption </w:t>
      </w:r>
      <w:r w:rsidR="003D5706" w:rsidRPr="00237FAB">
        <w:rPr>
          <w:lang w:val="en-CA"/>
        </w:rPr>
        <w:t>and production</w:t>
      </w:r>
      <w:r w:rsidR="007760A9" w:rsidRPr="00237FAB">
        <w:rPr>
          <w:lang w:val="en-CA"/>
        </w:rPr>
        <w:t xml:space="preserve"> of HCFCs</w:t>
      </w:r>
      <w:r w:rsidR="003D5706" w:rsidRPr="00237FAB">
        <w:rPr>
          <w:lang w:val="en-CA"/>
        </w:rPr>
        <w:t xml:space="preserve"> </w:t>
      </w:r>
      <w:r w:rsidRPr="00237FAB">
        <w:rPr>
          <w:lang w:val="en-CA"/>
        </w:rPr>
        <w:t xml:space="preserve">were approved for phase-out. Since 1991, </w:t>
      </w:r>
      <w:r w:rsidR="003D5706" w:rsidRPr="00237FAB">
        <w:rPr>
          <w:lang w:val="en-CA"/>
        </w:rPr>
        <w:t>145,326</w:t>
      </w:r>
      <w:r w:rsidRPr="00237FAB">
        <w:rPr>
          <w:lang w:val="en-CA"/>
        </w:rPr>
        <w:t xml:space="preserve"> ODP tonnes of </w:t>
      </w:r>
      <w:r w:rsidR="007760A9" w:rsidRPr="00237FAB">
        <w:rPr>
          <w:lang w:val="en-CA"/>
        </w:rPr>
        <w:t xml:space="preserve">ODS </w:t>
      </w:r>
      <w:r w:rsidRPr="00237FAB">
        <w:rPr>
          <w:lang w:val="en-CA"/>
        </w:rPr>
        <w:t xml:space="preserve">consumption and </w:t>
      </w:r>
      <w:r w:rsidR="00C674BE" w:rsidRPr="00237FAB">
        <w:rPr>
          <w:lang w:val="en-CA"/>
        </w:rPr>
        <w:t>186,808 </w:t>
      </w:r>
      <w:r w:rsidRPr="00237FAB">
        <w:rPr>
          <w:lang w:val="en-CA"/>
        </w:rPr>
        <w:t xml:space="preserve">ODP tonnes of </w:t>
      </w:r>
      <w:r w:rsidR="007760A9" w:rsidRPr="00237FAB">
        <w:rPr>
          <w:lang w:val="en-CA"/>
        </w:rPr>
        <w:t xml:space="preserve">ODS </w:t>
      </w:r>
      <w:r w:rsidRPr="00237FAB">
        <w:rPr>
          <w:lang w:val="en-CA"/>
        </w:rPr>
        <w:t>production had been phased out at the end of 201</w:t>
      </w:r>
      <w:r w:rsidR="003D5706" w:rsidRPr="00237FAB">
        <w:rPr>
          <w:lang w:val="en-CA"/>
        </w:rPr>
        <w:t>5</w:t>
      </w:r>
      <w:r w:rsidRPr="00237FAB">
        <w:rPr>
          <w:lang w:val="en-CA"/>
        </w:rPr>
        <w:t xml:space="preserve">, of an expected total of </w:t>
      </w:r>
      <w:r w:rsidR="003D5706" w:rsidRPr="00237FAB">
        <w:rPr>
          <w:lang w:val="en-CA"/>
        </w:rPr>
        <w:t xml:space="preserve">308,326 </w:t>
      </w:r>
      <w:r w:rsidRPr="00237FAB">
        <w:rPr>
          <w:lang w:val="en-CA"/>
        </w:rPr>
        <w:t>ODP tonnes from projects approved up to the end of 201</w:t>
      </w:r>
      <w:r w:rsidR="003D5706" w:rsidRPr="00237FAB">
        <w:rPr>
          <w:lang w:val="en-CA"/>
        </w:rPr>
        <w:t>5</w:t>
      </w:r>
      <w:r w:rsidRPr="00237FAB">
        <w:rPr>
          <w:lang w:val="en-CA"/>
        </w:rPr>
        <w:t xml:space="preserve"> (excluding cancelled and transferred projects);</w:t>
      </w:r>
    </w:p>
    <w:p w:rsidR="00F9511C" w:rsidRPr="00237FAB" w:rsidRDefault="00F9511C" w:rsidP="00237FAB">
      <w:pPr>
        <w:pStyle w:val="Heading2"/>
        <w:numPr>
          <w:ilvl w:val="1"/>
          <w:numId w:val="1"/>
        </w:numPr>
        <w:rPr>
          <w:lang w:val="en-CA"/>
        </w:rPr>
      </w:pPr>
      <w:r w:rsidRPr="00237FAB">
        <w:rPr>
          <w:b/>
          <w:bCs/>
          <w:lang w:val="en-CA"/>
        </w:rPr>
        <w:t>Disbursements/Approvals:</w:t>
      </w:r>
      <w:r w:rsidR="0006718D" w:rsidRPr="00237FAB">
        <w:rPr>
          <w:lang w:val="en-CA"/>
        </w:rPr>
        <w:t xml:space="preserve"> In 2015, US $43.95</w:t>
      </w:r>
      <w:r w:rsidRPr="00237FAB">
        <w:rPr>
          <w:lang w:val="en-CA"/>
        </w:rPr>
        <w:t> million was disbursed and</w:t>
      </w:r>
      <w:r w:rsidR="0006718D" w:rsidRPr="00237FAB">
        <w:rPr>
          <w:lang w:val="en-CA"/>
        </w:rPr>
        <w:t xml:space="preserve"> US $30.8</w:t>
      </w:r>
      <w:r w:rsidRPr="00237FAB">
        <w:rPr>
          <w:lang w:val="en-CA"/>
        </w:rPr>
        <w:t> million was planned for disbursement based on the 201</w:t>
      </w:r>
      <w:r w:rsidR="0006718D" w:rsidRPr="00237FAB">
        <w:rPr>
          <w:lang w:val="en-CA"/>
        </w:rPr>
        <w:t>4</w:t>
      </w:r>
      <w:r w:rsidRPr="00237FAB">
        <w:rPr>
          <w:lang w:val="en-CA"/>
        </w:rPr>
        <w:t xml:space="preserve"> progress report representi</w:t>
      </w:r>
      <w:r w:rsidR="0006718D" w:rsidRPr="00237FAB">
        <w:rPr>
          <w:lang w:val="en-CA"/>
        </w:rPr>
        <w:t>ng a rate of disbursement of 143</w:t>
      </w:r>
      <w:r w:rsidRPr="00237FAB">
        <w:rPr>
          <w:lang w:val="en-CA"/>
        </w:rPr>
        <w:t xml:space="preserve"> per cent of that p</w:t>
      </w:r>
      <w:r w:rsidR="001F377E" w:rsidRPr="00237FAB">
        <w:rPr>
          <w:lang w:val="en-CA"/>
        </w:rPr>
        <w:t>lanned. Cumulatively, US $1.04 b</w:t>
      </w:r>
      <w:r w:rsidRPr="00237FAB">
        <w:rPr>
          <w:lang w:val="en-CA"/>
        </w:rPr>
        <w:t>illion had been disbursed out of the total US $1.</w:t>
      </w:r>
      <w:r w:rsidR="001F377E" w:rsidRPr="00237FAB">
        <w:rPr>
          <w:lang w:val="en-CA"/>
        </w:rPr>
        <w:t>12</w:t>
      </w:r>
      <w:r w:rsidRPr="00237FAB">
        <w:rPr>
          <w:lang w:val="en-CA"/>
        </w:rPr>
        <w:t xml:space="preserve"> billion approved for di</w:t>
      </w:r>
      <w:r w:rsidR="001F377E" w:rsidRPr="00237FAB">
        <w:rPr>
          <w:lang w:val="en-CA"/>
        </w:rPr>
        <w:t>sbursement up to the end of 2015</w:t>
      </w:r>
      <w:r w:rsidRPr="00237FAB">
        <w:rPr>
          <w:lang w:val="en-CA"/>
        </w:rPr>
        <w:t xml:space="preserve"> (excluding agency fees). This represents a rate of </w:t>
      </w:r>
      <w:r w:rsidR="001F377E" w:rsidRPr="00237FAB">
        <w:rPr>
          <w:lang w:val="en-CA"/>
        </w:rPr>
        <w:t>disbursement of 93</w:t>
      </w:r>
      <w:r w:rsidRPr="00237FAB">
        <w:rPr>
          <w:lang w:val="en-CA"/>
        </w:rPr>
        <w:t xml:space="preserve"> per cent. In 201</w:t>
      </w:r>
      <w:r w:rsidR="003B003B" w:rsidRPr="00237FAB">
        <w:rPr>
          <w:lang w:val="en-CA"/>
        </w:rPr>
        <w:t>5</w:t>
      </w:r>
      <w:r w:rsidRPr="00237FAB">
        <w:rPr>
          <w:lang w:val="en-CA"/>
        </w:rPr>
        <w:t>,</w:t>
      </w:r>
      <w:r w:rsidR="003B003B" w:rsidRPr="00237FAB">
        <w:rPr>
          <w:lang w:val="en-CA"/>
        </w:rPr>
        <w:t xml:space="preserve"> US $69.35</w:t>
      </w:r>
      <w:r w:rsidRPr="00237FAB">
        <w:rPr>
          <w:lang w:val="en-CA"/>
        </w:rPr>
        <w:t xml:space="preserve"> million was approved for implementation;</w:t>
      </w:r>
    </w:p>
    <w:p w:rsidR="00F9511C" w:rsidRPr="00237FAB" w:rsidRDefault="00F9511C" w:rsidP="00237FAB">
      <w:pPr>
        <w:pStyle w:val="Heading2"/>
        <w:rPr>
          <w:lang w:val="en-CA"/>
        </w:rPr>
      </w:pPr>
      <w:r w:rsidRPr="00237FAB">
        <w:rPr>
          <w:b/>
          <w:lang w:val="en-CA"/>
        </w:rPr>
        <w:lastRenderedPageBreak/>
        <w:t xml:space="preserve">Cost-effectiveness (in ODP): </w:t>
      </w:r>
      <w:r w:rsidRPr="00237FAB">
        <w:rPr>
          <w:lang w:val="en-CA"/>
        </w:rPr>
        <w:t>Since 1991, the average cost-effectiveness of investment projects approved leading to a permanent reduc</w:t>
      </w:r>
      <w:r w:rsidR="00782ED9" w:rsidRPr="00237FAB">
        <w:rPr>
          <w:lang w:val="en-CA"/>
        </w:rPr>
        <w:t>tion in consumption was US $</w:t>
      </w:r>
      <w:r w:rsidR="001C02ED" w:rsidRPr="00237FAB">
        <w:rPr>
          <w:lang w:val="en-CA"/>
        </w:rPr>
        <w:t>4.95</w:t>
      </w:r>
      <w:r w:rsidRPr="00237FAB">
        <w:rPr>
          <w:lang w:val="en-CA"/>
        </w:rPr>
        <w:t>/kg. The cost-effectiveness for the production sector was US $</w:t>
      </w:r>
      <w:r w:rsidR="004577A3" w:rsidRPr="00237FAB">
        <w:rPr>
          <w:lang w:val="en-CA"/>
        </w:rPr>
        <w:t>4.39</w:t>
      </w:r>
      <w:r w:rsidRPr="00237FAB">
        <w:rPr>
          <w:lang w:val="en-CA"/>
        </w:rPr>
        <w:t>/kg. The average cost</w:t>
      </w:r>
      <w:r w:rsidRPr="00237FAB">
        <w:rPr>
          <w:lang w:val="en-CA"/>
        </w:rPr>
        <w:noBreakHyphen/>
        <w:t>effectiveness of investment projects per ODP tonne was US $2.</w:t>
      </w:r>
      <w:r w:rsidR="00E273B5" w:rsidRPr="00237FAB">
        <w:rPr>
          <w:lang w:val="en-CA"/>
        </w:rPr>
        <w:t>74</w:t>
      </w:r>
      <w:r w:rsidRPr="00237FAB">
        <w:rPr>
          <w:lang w:val="en-CA"/>
        </w:rPr>
        <w:t>/kg for completed projects and US $</w:t>
      </w:r>
      <w:r w:rsidR="00E273B5" w:rsidRPr="00237FAB">
        <w:rPr>
          <w:lang w:val="en-CA"/>
        </w:rPr>
        <w:t>41.34</w:t>
      </w:r>
      <w:r w:rsidRPr="00237FAB">
        <w:rPr>
          <w:lang w:val="en-CA"/>
        </w:rPr>
        <w:t>/kg for ongoing projects</w:t>
      </w:r>
      <w:r w:rsidRPr="00237FAB">
        <w:rPr>
          <w:rStyle w:val="FootnoteReference"/>
          <w:lang w:val="en-CA"/>
        </w:rPr>
        <w:footnoteReference w:id="2"/>
      </w:r>
      <w:r w:rsidRPr="00237FAB">
        <w:rPr>
          <w:lang w:val="en-CA"/>
        </w:rPr>
        <w:t xml:space="preserve">; </w:t>
      </w:r>
    </w:p>
    <w:p w:rsidR="00F9511C" w:rsidRPr="00237FAB" w:rsidRDefault="00F9511C" w:rsidP="00237FAB">
      <w:pPr>
        <w:pStyle w:val="Heading2"/>
        <w:rPr>
          <w:lang w:val="en-CA"/>
        </w:rPr>
      </w:pPr>
      <w:r w:rsidRPr="00237FAB">
        <w:rPr>
          <w:b/>
          <w:bCs/>
          <w:lang w:val="en-CA"/>
        </w:rPr>
        <w:t>Number of projects completed:</w:t>
      </w:r>
      <w:r w:rsidRPr="00237FAB">
        <w:rPr>
          <w:lang w:val="en-CA"/>
        </w:rPr>
        <w:t xml:space="preserve"> In 2015, </w:t>
      </w:r>
      <w:r w:rsidR="007C65C5" w:rsidRPr="00237FAB">
        <w:rPr>
          <w:lang w:val="en-CA"/>
        </w:rPr>
        <w:t>four</w:t>
      </w:r>
      <w:r w:rsidRPr="00237FAB">
        <w:rPr>
          <w:lang w:val="en-CA"/>
        </w:rPr>
        <w:t xml:space="preserve"> projects were completed. Since 1991, </w:t>
      </w:r>
      <w:r w:rsidR="007C65C5" w:rsidRPr="00237FAB">
        <w:rPr>
          <w:lang w:val="en-CA"/>
        </w:rPr>
        <w:t xml:space="preserve">1,016 </w:t>
      </w:r>
      <w:r w:rsidRPr="00237FAB">
        <w:rPr>
          <w:lang w:val="en-CA"/>
        </w:rPr>
        <w:t xml:space="preserve">projects of the </w:t>
      </w:r>
      <w:r w:rsidR="007C65C5" w:rsidRPr="00237FAB">
        <w:rPr>
          <w:lang w:val="en-CA"/>
        </w:rPr>
        <w:t xml:space="preserve">1,057 </w:t>
      </w:r>
      <w:r w:rsidRPr="00237FAB">
        <w:rPr>
          <w:lang w:val="en-CA"/>
        </w:rPr>
        <w:t>projects approved (excluding closed or transferred projects) were completed by the end of 201</w:t>
      </w:r>
      <w:r w:rsidR="007C65C5" w:rsidRPr="00237FAB">
        <w:rPr>
          <w:lang w:val="en-CA"/>
        </w:rPr>
        <w:t>5</w:t>
      </w:r>
      <w:r w:rsidRPr="00237FAB">
        <w:rPr>
          <w:lang w:val="en-CA"/>
        </w:rPr>
        <w:t>. This represents a completion rate of 9</w:t>
      </w:r>
      <w:r w:rsidR="007C65C5" w:rsidRPr="00237FAB">
        <w:rPr>
          <w:lang w:val="en-CA"/>
        </w:rPr>
        <w:t>6</w:t>
      </w:r>
      <w:r w:rsidRPr="00237FAB">
        <w:rPr>
          <w:lang w:val="en-CA"/>
        </w:rPr>
        <w:t xml:space="preserve"> per cent; </w:t>
      </w:r>
    </w:p>
    <w:p w:rsidR="00F9511C" w:rsidRPr="00237FAB" w:rsidRDefault="00F9511C" w:rsidP="00237FAB">
      <w:pPr>
        <w:pStyle w:val="Heading2"/>
        <w:numPr>
          <w:ilvl w:val="1"/>
          <w:numId w:val="1"/>
        </w:numPr>
        <w:rPr>
          <w:lang w:val="en-CA"/>
        </w:rPr>
      </w:pPr>
      <w:r w:rsidRPr="00237FAB">
        <w:rPr>
          <w:b/>
          <w:lang w:val="en-CA"/>
        </w:rPr>
        <w:t xml:space="preserve">Speed of delivery </w:t>
      </w:r>
      <w:r w:rsidR="00C674BE" w:rsidRPr="00237FAB">
        <w:rPr>
          <w:b/>
          <w:lang w:val="en-CA"/>
        </w:rPr>
        <w:t>–</w:t>
      </w:r>
      <w:r w:rsidRPr="00237FAB">
        <w:rPr>
          <w:b/>
          <w:lang w:val="en-CA"/>
        </w:rPr>
        <w:t xml:space="preserve"> investment</w:t>
      </w:r>
      <w:r w:rsidR="00C674BE" w:rsidRPr="00237FAB">
        <w:rPr>
          <w:b/>
          <w:lang w:val="en-CA"/>
        </w:rPr>
        <w:t xml:space="preserve"> </w:t>
      </w:r>
      <w:r w:rsidRPr="00237FAB">
        <w:rPr>
          <w:b/>
          <w:lang w:val="en-CA"/>
        </w:rPr>
        <w:t xml:space="preserve">projects: </w:t>
      </w:r>
      <w:r w:rsidRPr="00237FAB">
        <w:rPr>
          <w:lang w:val="en-CA"/>
        </w:rPr>
        <w:t>Projects that were completed in 2</w:t>
      </w:r>
      <w:r w:rsidR="001F377E" w:rsidRPr="00237FAB">
        <w:rPr>
          <w:lang w:val="en-CA"/>
        </w:rPr>
        <w:t>015 were completed on average 56</w:t>
      </w:r>
      <w:r w:rsidRPr="00237FAB">
        <w:rPr>
          <w:lang w:val="en-CA"/>
        </w:rPr>
        <w:t xml:space="preserve"> months after their approval. Since 1991, the average time for completion of investment projects has been 40 months after their approval. First disbursements under these projects occurred, on average, 24 months after they had been approved;</w:t>
      </w:r>
    </w:p>
    <w:p w:rsidR="00F9511C" w:rsidRPr="00237FAB" w:rsidRDefault="00F9511C" w:rsidP="00237FAB">
      <w:pPr>
        <w:pStyle w:val="Heading2"/>
        <w:numPr>
          <w:ilvl w:val="1"/>
          <w:numId w:val="1"/>
        </w:numPr>
        <w:rPr>
          <w:lang w:val="en-CA"/>
        </w:rPr>
      </w:pPr>
      <w:r w:rsidRPr="00237FAB">
        <w:rPr>
          <w:b/>
          <w:lang w:val="en-CA"/>
        </w:rPr>
        <w:t xml:space="preserve">Speed of delivery </w:t>
      </w:r>
      <w:r w:rsidR="00C674BE" w:rsidRPr="00237FAB">
        <w:rPr>
          <w:b/>
          <w:lang w:val="en-CA"/>
        </w:rPr>
        <w:t>–</w:t>
      </w:r>
      <w:r w:rsidRPr="00237FAB">
        <w:rPr>
          <w:b/>
          <w:lang w:val="en-CA"/>
        </w:rPr>
        <w:t xml:space="preserve"> non-investment projects:</w:t>
      </w:r>
      <w:r w:rsidRPr="00237FAB">
        <w:rPr>
          <w:lang w:val="en-CA"/>
        </w:rPr>
        <w:t xml:space="preserve"> Projects that were completed in 2015 were completed on average 1</w:t>
      </w:r>
      <w:r w:rsidR="001F377E" w:rsidRPr="00237FAB">
        <w:rPr>
          <w:lang w:val="en-CA"/>
        </w:rPr>
        <w:t>3</w:t>
      </w:r>
      <w:r w:rsidRPr="00237FAB">
        <w:rPr>
          <w:lang w:val="en-CA"/>
        </w:rPr>
        <w:t xml:space="preserve"> months after their approval. Since 1991, the average time for completion of non-investment projects has been 35 months after their approval. First disbursements under these projects occurred, on average, 19 months after they had been approved;</w:t>
      </w:r>
    </w:p>
    <w:p w:rsidR="00F9511C" w:rsidRPr="00237FAB" w:rsidRDefault="00F9511C" w:rsidP="00237FAB">
      <w:pPr>
        <w:pStyle w:val="Heading2"/>
        <w:numPr>
          <w:ilvl w:val="1"/>
          <w:numId w:val="1"/>
        </w:numPr>
        <w:rPr>
          <w:lang w:val="en-CA"/>
        </w:rPr>
      </w:pPr>
      <w:r w:rsidRPr="00237FAB">
        <w:rPr>
          <w:b/>
          <w:bCs/>
          <w:lang w:val="en-CA"/>
        </w:rPr>
        <w:t xml:space="preserve">Project preparation: </w:t>
      </w:r>
      <w:r w:rsidRPr="00237FAB">
        <w:rPr>
          <w:lang w:val="en-CA"/>
        </w:rPr>
        <w:t>Of the 28</w:t>
      </w:r>
      <w:r w:rsidR="009A7444" w:rsidRPr="00237FAB">
        <w:rPr>
          <w:lang w:val="en-CA"/>
        </w:rPr>
        <w:t>6</w:t>
      </w:r>
      <w:r w:rsidRPr="00237FAB">
        <w:rPr>
          <w:lang w:val="en-CA"/>
        </w:rPr>
        <w:t xml:space="preserve"> project preparation activities approved by the end of 2015, 274 have been completed, leaving </w:t>
      </w:r>
      <w:r w:rsidR="009A7444" w:rsidRPr="00237FAB">
        <w:rPr>
          <w:lang w:val="en-CA"/>
        </w:rPr>
        <w:t>12</w:t>
      </w:r>
      <w:r w:rsidRPr="00237FAB">
        <w:rPr>
          <w:lang w:val="en-CA"/>
        </w:rPr>
        <w:t xml:space="preserve"> ongoing; </w:t>
      </w:r>
    </w:p>
    <w:p w:rsidR="00F9511C" w:rsidRPr="00237FAB" w:rsidRDefault="00F9511C" w:rsidP="00237FAB">
      <w:pPr>
        <w:pStyle w:val="Heading2"/>
        <w:numPr>
          <w:ilvl w:val="1"/>
          <w:numId w:val="1"/>
        </w:numPr>
        <w:rPr>
          <w:lang w:val="en-CA"/>
        </w:rPr>
      </w:pPr>
      <w:r w:rsidRPr="00237FAB">
        <w:rPr>
          <w:b/>
          <w:bCs/>
          <w:lang w:val="en-CA"/>
        </w:rPr>
        <w:t>Implementation delays:</w:t>
      </w:r>
      <w:r w:rsidRPr="00237FAB">
        <w:rPr>
          <w:lang w:val="en-CA"/>
        </w:rPr>
        <w:t xml:space="preserve"> There were a total of 1</w:t>
      </w:r>
      <w:r w:rsidR="00204A40" w:rsidRPr="00237FAB">
        <w:rPr>
          <w:lang w:val="en-CA"/>
        </w:rPr>
        <w:t>7</w:t>
      </w:r>
      <w:r w:rsidRPr="00237FAB">
        <w:rPr>
          <w:lang w:val="en-CA"/>
        </w:rPr>
        <w:t xml:space="preserve"> ongoing investment projects under implementation at the end of 2015. These projects, on average,</w:t>
      </w:r>
      <w:r w:rsidR="00204A40" w:rsidRPr="00237FAB">
        <w:rPr>
          <w:lang w:val="en-CA"/>
        </w:rPr>
        <w:t xml:space="preserve"> are experiencing a delay of 39</w:t>
      </w:r>
      <w:r w:rsidRPr="00237FAB">
        <w:rPr>
          <w:lang w:val="en-CA"/>
        </w:rPr>
        <w:t xml:space="preserve"> months. However, projects classified as “projects with implementation delays” that are subject to the procedures of project cancellation amount to one project (as multi-year agreements (MYAs) are not subject to those procedures);</w:t>
      </w:r>
    </w:p>
    <w:p w:rsidR="00F9511C" w:rsidRPr="00237FAB" w:rsidRDefault="00F9511C" w:rsidP="00237FAB">
      <w:pPr>
        <w:pStyle w:val="Heading2"/>
        <w:numPr>
          <w:ilvl w:val="1"/>
          <w:numId w:val="1"/>
        </w:numPr>
        <w:rPr>
          <w:lang w:val="en-CA"/>
        </w:rPr>
      </w:pPr>
      <w:r w:rsidRPr="00237FAB">
        <w:rPr>
          <w:b/>
          <w:lang w:val="en-CA"/>
        </w:rPr>
        <w:t>MYAs</w:t>
      </w:r>
      <w:r w:rsidRPr="00237FAB">
        <w:rPr>
          <w:lang w:val="en-CA"/>
        </w:rPr>
        <w:t xml:space="preserve">: In 2015, the World Bank was implementing </w:t>
      </w:r>
      <w:r w:rsidR="00604BBB" w:rsidRPr="00237FAB">
        <w:rPr>
          <w:lang w:val="en-CA"/>
        </w:rPr>
        <w:t>six</w:t>
      </w:r>
      <w:r w:rsidRPr="00237FAB">
        <w:rPr>
          <w:lang w:val="en-CA"/>
        </w:rPr>
        <w:t xml:space="preserve"> MYAs for HCFC phase-out management plans (HPMPs) and one MYA for the HCFC production phase-out management plan (HPPMP) in China. Since 1991, 3</w:t>
      </w:r>
      <w:r w:rsidR="00604BBB" w:rsidRPr="00237FAB">
        <w:rPr>
          <w:lang w:val="en-CA"/>
        </w:rPr>
        <w:t>6</w:t>
      </w:r>
      <w:r w:rsidRPr="00237FAB">
        <w:rPr>
          <w:lang w:val="en-CA"/>
        </w:rPr>
        <w:t xml:space="preserve"> MYAs have been approved and 27 MYAs have been completed. </w:t>
      </w:r>
    </w:p>
    <w:p w:rsidR="00F9511C" w:rsidRPr="00237FAB" w:rsidRDefault="00F9511C" w:rsidP="00237FAB">
      <w:pPr>
        <w:pStyle w:val="a--"/>
        <w:keepNext/>
        <w:keepLines/>
        <w:suppressAutoHyphens w:val="0"/>
        <w:rPr>
          <w:sz w:val="22"/>
          <w:szCs w:val="22"/>
          <w:lang w:val="en-CA"/>
        </w:rPr>
      </w:pPr>
      <w:r w:rsidRPr="00237FAB">
        <w:rPr>
          <w:sz w:val="22"/>
          <w:szCs w:val="22"/>
          <w:lang w:val="en-CA"/>
        </w:rPr>
        <w:t xml:space="preserve">Part I: Implementation progress as at 31 December </w:t>
      </w:r>
      <w:r w:rsidRPr="00237FAB">
        <w:rPr>
          <w:lang w:val="en-CA"/>
        </w:rPr>
        <w:t>2015</w:t>
      </w:r>
      <w:r w:rsidRPr="00237FAB">
        <w:rPr>
          <w:sz w:val="22"/>
          <w:szCs w:val="22"/>
          <w:lang w:val="en-CA"/>
        </w:rPr>
        <w:t xml:space="preserve"> (cumulative)</w:t>
      </w:r>
    </w:p>
    <w:p w:rsidR="00F9511C" w:rsidRPr="00237FAB" w:rsidRDefault="00F9511C" w:rsidP="00237FAB">
      <w:pPr>
        <w:pStyle w:val="a--"/>
        <w:keepNext/>
        <w:keepLines/>
        <w:suppressAutoHyphens w:val="0"/>
        <w:rPr>
          <w:sz w:val="22"/>
          <w:szCs w:val="22"/>
          <w:lang w:val="en-CA"/>
        </w:rPr>
      </w:pPr>
    </w:p>
    <w:p w:rsidR="00F9511C" w:rsidRPr="00237FAB" w:rsidRDefault="00F9511C" w:rsidP="00237FAB">
      <w:pPr>
        <w:pStyle w:val="Heading1"/>
        <w:rPr>
          <w:lang w:val="en-CA"/>
        </w:rPr>
      </w:pPr>
      <w:r w:rsidRPr="00237FAB">
        <w:rPr>
          <w:lang w:val="en-CA"/>
        </w:rPr>
        <w:t>As of that date, the Executive Committee had approved approximately US $1.</w:t>
      </w:r>
      <w:r w:rsidR="007C6190" w:rsidRPr="00237FAB">
        <w:rPr>
          <w:lang w:val="en-CA"/>
        </w:rPr>
        <w:t>23</w:t>
      </w:r>
      <w:r w:rsidRPr="00237FAB">
        <w:rPr>
          <w:lang w:val="en-CA"/>
        </w:rPr>
        <w:t xml:space="preserve"> billion consisting of US $1.</w:t>
      </w:r>
      <w:r w:rsidR="007C6190" w:rsidRPr="00237FAB">
        <w:rPr>
          <w:lang w:val="en-CA"/>
        </w:rPr>
        <w:t>12</w:t>
      </w:r>
      <w:r w:rsidRPr="00237FAB">
        <w:rPr>
          <w:lang w:val="en-CA"/>
        </w:rPr>
        <w:t> billion for the implementation of investment and non-investment projects and US $10</w:t>
      </w:r>
      <w:r w:rsidR="007C6190" w:rsidRPr="00237FAB">
        <w:rPr>
          <w:lang w:val="en-CA"/>
        </w:rPr>
        <w:t>9</w:t>
      </w:r>
      <w:r w:rsidRPr="00237FAB">
        <w:rPr>
          <w:lang w:val="en-CA"/>
        </w:rPr>
        <w:t>.</w:t>
      </w:r>
      <w:r w:rsidR="007C6190" w:rsidRPr="00237FAB">
        <w:rPr>
          <w:lang w:val="en-CA"/>
        </w:rPr>
        <w:t>83</w:t>
      </w:r>
      <w:r w:rsidRPr="00237FAB">
        <w:rPr>
          <w:lang w:val="en-CA"/>
        </w:rPr>
        <w:t xml:space="preserve"> million for agency fees and administrative support costs, as shown in Table 1. In 2015, 13 new projects and activities were approved. This level of funding is expected to result in the phase-out of </w:t>
      </w:r>
      <w:r w:rsidR="00C462A4" w:rsidRPr="00237FAB">
        <w:rPr>
          <w:lang w:val="en-CA"/>
        </w:rPr>
        <w:t xml:space="preserve">308,326 </w:t>
      </w:r>
      <w:r w:rsidRPr="00237FAB">
        <w:rPr>
          <w:lang w:val="en-CA"/>
        </w:rPr>
        <w:t xml:space="preserve">ODP tonnes of ODS consumption and production. </w:t>
      </w:r>
    </w:p>
    <w:p w:rsidR="00F9511C" w:rsidRPr="00237FAB" w:rsidRDefault="00F9511C" w:rsidP="00237FAB">
      <w:pPr>
        <w:pStyle w:val="Heading1"/>
        <w:keepNext/>
        <w:numPr>
          <w:ilvl w:val="0"/>
          <w:numId w:val="0"/>
        </w:numPr>
        <w:suppressAutoHyphens/>
        <w:spacing w:after="0"/>
        <w:jc w:val="left"/>
        <w:rPr>
          <w:b/>
          <w:lang w:val="en-CA"/>
        </w:rPr>
      </w:pPr>
      <w:r w:rsidRPr="00237FAB">
        <w:rPr>
          <w:b/>
          <w:spacing w:val="-3"/>
          <w:lang w:val="en-CA"/>
        </w:rPr>
        <w:t xml:space="preserve">Table 1: Approved funding by sector for the World Bank as at 31 December </w:t>
      </w:r>
      <w:r w:rsidRPr="00237FAB">
        <w:rPr>
          <w:b/>
          <w:lang w:val="en-CA"/>
        </w:rPr>
        <w:t>2015</w:t>
      </w:r>
    </w:p>
    <w:tbl>
      <w:tblPr>
        <w:tblW w:w="9361" w:type="dxa"/>
        <w:tblInd w:w="103" w:type="dxa"/>
        <w:tblLook w:val="04A0" w:firstRow="1" w:lastRow="0" w:firstColumn="1" w:lastColumn="0" w:noHBand="0" w:noVBand="1"/>
      </w:tblPr>
      <w:tblGrid>
        <w:gridCol w:w="4683"/>
        <w:gridCol w:w="4678"/>
      </w:tblGrid>
      <w:tr w:rsidR="00F11A00" w:rsidRPr="00237FAB" w:rsidTr="00F11A00">
        <w:trPr>
          <w:trHeight w:val="304"/>
          <w:tblHeader/>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F11A00" w:rsidRPr="00237FAB" w:rsidRDefault="00F11A00" w:rsidP="00237FAB">
            <w:pPr>
              <w:keepNext/>
              <w:jc w:val="center"/>
              <w:rPr>
                <w:b/>
                <w:bCs/>
                <w:lang w:val="en-CA" w:eastAsia="en-CA"/>
              </w:rPr>
            </w:pPr>
            <w:r w:rsidRPr="00237FAB">
              <w:rPr>
                <w:b/>
                <w:bCs/>
                <w:lang w:val="en-CA" w:eastAsia="en-CA"/>
              </w:rPr>
              <w:t>Sector</w:t>
            </w:r>
          </w:p>
        </w:tc>
        <w:tc>
          <w:tcPr>
            <w:tcW w:w="4678" w:type="dxa"/>
            <w:tcBorders>
              <w:top w:val="single" w:sz="4" w:space="0" w:color="auto"/>
              <w:left w:val="nil"/>
              <w:bottom w:val="single" w:sz="4" w:space="0" w:color="auto"/>
              <w:right w:val="single" w:sz="4" w:space="0" w:color="auto"/>
            </w:tcBorders>
            <w:shd w:val="clear" w:color="auto" w:fill="auto"/>
            <w:hideMark/>
          </w:tcPr>
          <w:p w:rsidR="00F11A00" w:rsidRPr="00237FAB" w:rsidRDefault="00F11A00" w:rsidP="00237FAB">
            <w:pPr>
              <w:keepNext/>
              <w:jc w:val="center"/>
              <w:rPr>
                <w:b/>
                <w:bCs/>
                <w:lang w:val="en-CA" w:eastAsia="en-CA"/>
              </w:rPr>
            </w:pPr>
            <w:r w:rsidRPr="00237FAB">
              <w:rPr>
                <w:b/>
                <w:bCs/>
              </w:rPr>
              <w:t>Funding (US $)</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keepNext/>
              <w:jc w:val="left"/>
              <w:rPr>
                <w:lang w:val="en-CA" w:eastAsia="en-CA"/>
              </w:rPr>
            </w:pPr>
            <w:r w:rsidRPr="00237FAB">
              <w:rPr>
                <w:lang w:val="en-CA" w:eastAsia="en-CA"/>
              </w:rPr>
              <w:t>Aerosol</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keepNext/>
              <w:jc w:val="right"/>
              <w:rPr>
                <w:lang w:val="en-CA" w:eastAsia="en-CA"/>
              </w:rPr>
            </w:pPr>
            <w:r w:rsidRPr="00237FAB">
              <w:rPr>
                <w:lang w:val="en-CA" w:eastAsia="en-CA"/>
              </w:rPr>
              <w:t>22,984,030</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Destruction</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400,000</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Foam</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135,816,693</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lastRenderedPageBreak/>
              <w:t>Halon</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70,221,038</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Fumigants</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5,837,887</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476A6A" w:rsidP="00237FAB">
            <w:pPr>
              <w:jc w:val="left"/>
              <w:rPr>
                <w:lang w:val="en-CA" w:eastAsia="en-CA"/>
              </w:rPr>
            </w:pPr>
            <w:r w:rsidRPr="00237FAB">
              <w:rPr>
                <w:lang w:val="en-CA" w:eastAsia="en-CA"/>
              </w:rPr>
              <w:t>Multiple s</w:t>
            </w:r>
            <w:r w:rsidR="00F11A00" w:rsidRPr="00237FAB">
              <w:rPr>
                <w:lang w:val="en-CA" w:eastAsia="en-CA"/>
              </w:rPr>
              <w:t>ectors</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2,341,168</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Other</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5,059,360</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Phase</w:t>
            </w:r>
            <w:r w:rsidR="00476A6A" w:rsidRPr="00237FAB">
              <w:rPr>
                <w:lang w:val="en-CA" w:eastAsia="en-CA"/>
              </w:rPr>
              <w:t>-out p</w:t>
            </w:r>
            <w:r w:rsidRPr="00237FAB">
              <w:rPr>
                <w:lang w:val="en-CA" w:eastAsia="en-CA"/>
              </w:rPr>
              <w:t>lan</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185,932,969</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476A6A" w:rsidP="00237FAB">
            <w:pPr>
              <w:jc w:val="left"/>
              <w:rPr>
                <w:lang w:val="en-CA" w:eastAsia="en-CA"/>
              </w:rPr>
            </w:pPr>
            <w:r w:rsidRPr="00237FAB">
              <w:rPr>
                <w:lang w:val="en-CA" w:eastAsia="en-CA"/>
              </w:rPr>
              <w:t>Process a</w:t>
            </w:r>
            <w:r w:rsidR="00F11A00" w:rsidRPr="00237FAB">
              <w:rPr>
                <w:lang w:val="en-CA" w:eastAsia="en-CA"/>
              </w:rPr>
              <w:t>gent</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114,342,497</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Production</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359,729,770</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Refrigeration</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181,169,335</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Several</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27,650,089</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rPr>
                <w:lang w:val="en-CA" w:eastAsia="en-CA"/>
              </w:rPr>
              <w:t>Solvents</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10,147,394</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proofErr w:type="spellStart"/>
            <w:r w:rsidRPr="00237FAB">
              <w:rPr>
                <w:lang w:val="en-CA" w:eastAsia="en-CA"/>
              </w:rPr>
              <w:t>Sterilant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661,227</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b/>
                <w:bCs/>
                <w:lang w:val="en-CA" w:eastAsia="en-CA"/>
              </w:rPr>
            </w:pPr>
            <w:r w:rsidRPr="00237FAB">
              <w:rPr>
                <w:b/>
                <w:bCs/>
                <w:lang w:val="en-CA" w:eastAsia="en-CA"/>
              </w:rPr>
              <w:t>Sub-total</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b/>
                <w:lang w:val="en-CA" w:eastAsia="en-CA"/>
              </w:rPr>
            </w:pPr>
            <w:r w:rsidRPr="00237FAB">
              <w:rPr>
                <w:b/>
                <w:lang w:val="en-CA" w:eastAsia="en-CA"/>
              </w:rPr>
              <w:t>1,122,293,457</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lang w:val="en-CA" w:eastAsia="en-CA"/>
              </w:rPr>
            </w:pPr>
            <w:r w:rsidRPr="00237FAB">
              <w:t>Administrative cost</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lang w:val="en-CA" w:eastAsia="en-CA"/>
              </w:rPr>
            </w:pPr>
            <w:r w:rsidRPr="00237FAB">
              <w:rPr>
                <w:lang w:val="en-CA" w:eastAsia="en-CA"/>
              </w:rPr>
              <w:t>109,831,157</w:t>
            </w:r>
          </w:p>
        </w:tc>
      </w:tr>
      <w:tr w:rsidR="00F11A00" w:rsidRPr="00237FAB" w:rsidTr="00F11A00">
        <w:trPr>
          <w:trHeight w:val="22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F11A00" w:rsidRPr="00237FAB" w:rsidRDefault="00F11A00" w:rsidP="00237FAB">
            <w:pPr>
              <w:jc w:val="left"/>
              <w:rPr>
                <w:b/>
                <w:bCs/>
                <w:lang w:val="en-CA" w:eastAsia="en-CA"/>
              </w:rPr>
            </w:pPr>
            <w:r w:rsidRPr="00237FAB">
              <w:rPr>
                <w:b/>
              </w:rPr>
              <w:t>Total</w:t>
            </w:r>
          </w:p>
        </w:tc>
        <w:tc>
          <w:tcPr>
            <w:tcW w:w="4678" w:type="dxa"/>
            <w:tcBorders>
              <w:top w:val="nil"/>
              <w:left w:val="nil"/>
              <w:bottom w:val="single" w:sz="4" w:space="0" w:color="auto"/>
              <w:right w:val="single" w:sz="4" w:space="0" w:color="auto"/>
            </w:tcBorders>
            <w:shd w:val="clear" w:color="auto" w:fill="auto"/>
            <w:noWrap/>
            <w:vAlign w:val="bottom"/>
            <w:hideMark/>
          </w:tcPr>
          <w:p w:rsidR="00F11A00" w:rsidRPr="00237FAB" w:rsidRDefault="00F11A00" w:rsidP="00237FAB">
            <w:pPr>
              <w:jc w:val="right"/>
              <w:rPr>
                <w:b/>
                <w:lang w:val="en-CA" w:eastAsia="en-CA"/>
              </w:rPr>
            </w:pPr>
            <w:r w:rsidRPr="00237FAB">
              <w:rPr>
                <w:b/>
                <w:lang w:val="en-CA" w:eastAsia="en-CA"/>
              </w:rPr>
              <w:t>1,232,124,615</w:t>
            </w:r>
          </w:p>
        </w:tc>
      </w:tr>
    </w:tbl>
    <w:p w:rsidR="00F11A00" w:rsidRPr="00237FAB" w:rsidRDefault="00F11A00" w:rsidP="00237FAB">
      <w:pPr>
        <w:rPr>
          <w:lang w:val="en-CA"/>
        </w:rPr>
      </w:pPr>
    </w:p>
    <w:p w:rsidR="00F9511C" w:rsidRPr="00237FAB" w:rsidRDefault="00F9511C" w:rsidP="00237FAB">
      <w:pPr>
        <w:pStyle w:val="Heading1"/>
        <w:rPr>
          <w:lang w:val="en-CA"/>
        </w:rPr>
      </w:pPr>
      <w:r w:rsidRPr="00237FAB">
        <w:rPr>
          <w:lang w:val="en-CA"/>
        </w:rPr>
        <w:t xml:space="preserve">A summary of the status of projects implemented by category is presented in Table 2. </w:t>
      </w:r>
    </w:p>
    <w:p w:rsidR="00F9511C" w:rsidRPr="00237FAB" w:rsidRDefault="00F9511C" w:rsidP="00237FAB">
      <w:pPr>
        <w:keepNext/>
        <w:jc w:val="left"/>
        <w:rPr>
          <w:b/>
          <w:lang w:val="en-CA"/>
        </w:rPr>
      </w:pPr>
      <w:r w:rsidRPr="00237FAB">
        <w:rPr>
          <w:b/>
          <w:lang w:val="en-CA"/>
        </w:rPr>
        <w:t xml:space="preserve">Table 2: </w:t>
      </w:r>
      <w:r w:rsidRPr="00237FAB">
        <w:rPr>
          <w:b/>
          <w:spacing w:val="-3"/>
          <w:lang w:val="en-CA"/>
        </w:rPr>
        <w:t xml:space="preserve">Status of project implementation by </w:t>
      </w:r>
      <w:r w:rsidRPr="00237FAB">
        <w:rPr>
          <w:b/>
          <w:lang w:val="en-CA"/>
        </w:rPr>
        <w:t>category</w:t>
      </w:r>
    </w:p>
    <w:tbl>
      <w:tblPr>
        <w:tblW w:w="9752" w:type="dxa"/>
        <w:tblInd w:w="-176" w:type="dxa"/>
        <w:tblLook w:val="04A0" w:firstRow="1" w:lastRow="0" w:firstColumn="1" w:lastColumn="0" w:noHBand="0" w:noVBand="1"/>
      </w:tblPr>
      <w:tblGrid>
        <w:gridCol w:w="1700"/>
        <w:gridCol w:w="1029"/>
        <w:gridCol w:w="1103"/>
        <w:gridCol w:w="1050"/>
        <w:gridCol w:w="1309"/>
        <w:gridCol w:w="1418"/>
        <w:gridCol w:w="1134"/>
        <w:gridCol w:w="1009"/>
      </w:tblGrid>
      <w:tr w:rsidR="00563FB5" w:rsidRPr="00237FAB" w:rsidTr="000B08E0">
        <w:trPr>
          <w:trHeight w:val="255"/>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b/>
                <w:bCs/>
                <w:sz w:val="19"/>
                <w:szCs w:val="19"/>
                <w:lang w:val="en-CA" w:eastAsia="en-CA"/>
              </w:rPr>
            </w:pPr>
            <w:r w:rsidRPr="00237FAB">
              <w:rPr>
                <w:b/>
                <w:bCs/>
                <w:sz w:val="19"/>
                <w:szCs w:val="19"/>
                <w:lang w:val="en-CA" w:eastAsia="en-CA"/>
              </w:rPr>
              <w:t>Type</w:t>
            </w:r>
          </w:p>
        </w:tc>
        <w:tc>
          <w:tcPr>
            <w:tcW w:w="3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563FB5" w:rsidRPr="00237FAB" w:rsidRDefault="00563FB5" w:rsidP="00237FAB">
            <w:pPr>
              <w:jc w:val="center"/>
              <w:rPr>
                <w:b/>
                <w:bCs/>
                <w:sz w:val="19"/>
                <w:szCs w:val="19"/>
                <w:lang w:val="en-CA" w:eastAsia="en-CA"/>
              </w:rPr>
            </w:pPr>
            <w:r w:rsidRPr="00237FAB">
              <w:rPr>
                <w:b/>
                <w:bCs/>
                <w:sz w:val="19"/>
                <w:szCs w:val="19"/>
                <w:lang w:val="en-CA" w:eastAsia="en-CA"/>
              </w:rPr>
              <w:t>Number of projects*</w:t>
            </w:r>
          </w:p>
        </w:tc>
        <w:tc>
          <w:tcPr>
            <w:tcW w:w="48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3FB5" w:rsidRPr="00237FAB" w:rsidRDefault="00563FB5" w:rsidP="00237FAB">
            <w:pPr>
              <w:jc w:val="center"/>
              <w:rPr>
                <w:b/>
                <w:bCs/>
                <w:sz w:val="19"/>
                <w:szCs w:val="19"/>
                <w:lang w:val="en-CA" w:eastAsia="en-CA"/>
              </w:rPr>
            </w:pPr>
            <w:r w:rsidRPr="00237FAB">
              <w:rPr>
                <w:b/>
                <w:bCs/>
                <w:sz w:val="19"/>
                <w:szCs w:val="19"/>
                <w:lang w:val="en-CA" w:eastAsia="en-CA"/>
              </w:rPr>
              <w:t>Funding (US $)</w:t>
            </w:r>
          </w:p>
        </w:tc>
      </w:tr>
      <w:tr w:rsidR="000B08E0" w:rsidRPr="00237FAB" w:rsidTr="000B08E0">
        <w:trPr>
          <w:trHeight w:val="51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563FB5" w:rsidRPr="00237FAB" w:rsidRDefault="00563FB5" w:rsidP="00237FAB">
            <w:pPr>
              <w:jc w:val="left"/>
              <w:rPr>
                <w:b/>
                <w:bCs/>
                <w:sz w:val="19"/>
                <w:szCs w:val="19"/>
                <w:lang w:val="en-CA" w:eastAsia="en-CA"/>
              </w:rPr>
            </w:pPr>
          </w:p>
        </w:tc>
        <w:tc>
          <w:tcPr>
            <w:tcW w:w="1029"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Approved</w:t>
            </w:r>
          </w:p>
        </w:tc>
        <w:tc>
          <w:tcPr>
            <w:tcW w:w="1103"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Completed</w:t>
            </w:r>
          </w:p>
        </w:tc>
        <w:tc>
          <w:tcPr>
            <w:tcW w:w="1050"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 completed</w:t>
            </w:r>
          </w:p>
        </w:tc>
        <w:tc>
          <w:tcPr>
            <w:tcW w:w="1309"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Approved</w:t>
            </w:r>
          </w:p>
        </w:tc>
        <w:tc>
          <w:tcPr>
            <w:tcW w:w="1418"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Disbursed</w:t>
            </w:r>
          </w:p>
        </w:tc>
        <w:tc>
          <w:tcPr>
            <w:tcW w:w="1134"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Balance</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center"/>
              <w:rPr>
                <w:b/>
                <w:bCs/>
                <w:sz w:val="19"/>
                <w:szCs w:val="19"/>
                <w:lang w:val="en-CA" w:eastAsia="en-CA"/>
              </w:rPr>
            </w:pPr>
            <w:r w:rsidRPr="00237FAB">
              <w:rPr>
                <w:b/>
                <w:bCs/>
                <w:sz w:val="19"/>
                <w:szCs w:val="19"/>
                <w:lang w:val="en-US" w:eastAsia="en-CA"/>
              </w:rPr>
              <w:t>% disbursed</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Country programme</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29</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29</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100</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1,627,732</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1,627,732</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0</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100</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Demonstration</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6</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67</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6,897,462</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4,718,932</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2,178,531</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68</w:t>
            </w:r>
          </w:p>
        </w:tc>
      </w:tr>
      <w:tr w:rsidR="000B08E0" w:rsidRPr="00237FAB" w:rsidTr="000B08E0">
        <w:trPr>
          <w:trHeight w:val="450"/>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Institutional strengthening (IS)</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46</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44</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96</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8,305,339</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8,090,823</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214,516</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97</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Investment</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620</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603</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97</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1,067,692,472</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993,093,887</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74,598,586</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93</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Project preparation</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286</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274</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96</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26,161,525</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25,062,747</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1,098,778</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96</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Technical assistance</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66</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58</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88</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11,303,161</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10,807,036</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496,124</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96</w:t>
            </w:r>
          </w:p>
        </w:tc>
      </w:tr>
      <w:tr w:rsidR="000B08E0" w:rsidRPr="00237FAB" w:rsidTr="000B08E0">
        <w:trPr>
          <w:trHeight w:val="225"/>
        </w:trPr>
        <w:tc>
          <w:tcPr>
            <w:tcW w:w="1700" w:type="dxa"/>
            <w:tcBorders>
              <w:top w:val="nil"/>
              <w:left w:val="single" w:sz="4" w:space="0" w:color="auto"/>
              <w:bottom w:val="single" w:sz="4" w:space="0" w:color="auto"/>
              <w:right w:val="single" w:sz="4" w:space="0" w:color="auto"/>
            </w:tcBorders>
            <w:shd w:val="clear" w:color="auto" w:fill="auto"/>
            <w:hideMark/>
          </w:tcPr>
          <w:p w:rsidR="00563FB5" w:rsidRPr="00237FAB" w:rsidRDefault="00563FB5" w:rsidP="00237FAB">
            <w:pPr>
              <w:jc w:val="left"/>
              <w:rPr>
                <w:sz w:val="19"/>
                <w:szCs w:val="19"/>
                <w:lang w:val="en-CA" w:eastAsia="en-CA"/>
              </w:rPr>
            </w:pPr>
            <w:r w:rsidRPr="00237FAB">
              <w:rPr>
                <w:sz w:val="19"/>
                <w:szCs w:val="19"/>
                <w:lang w:val="en-CA" w:eastAsia="en-CA"/>
              </w:rPr>
              <w:t>Training projects</w:t>
            </w:r>
          </w:p>
        </w:tc>
        <w:tc>
          <w:tcPr>
            <w:tcW w:w="102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w:t>
            </w:r>
          </w:p>
        </w:tc>
        <w:tc>
          <w:tcPr>
            <w:tcW w:w="1103"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4</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sz w:val="19"/>
                <w:szCs w:val="19"/>
                <w:lang w:val="en-CA" w:eastAsia="en-CA"/>
              </w:rPr>
            </w:pPr>
            <w:r w:rsidRPr="00237FAB">
              <w:rPr>
                <w:sz w:val="19"/>
                <w:szCs w:val="19"/>
                <w:lang w:val="en-CA" w:eastAsia="en-CA"/>
              </w:rPr>
              <w:t>100</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305,766</w:t>
            </w:r>
          </w:p>
        </w:tc>
        <w:tc>
          <w:tcPr>
            <w:tcW w:w="1418"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305,766</w:t>
            </w:r>
          </w:p>
        </w:tc>
        <w:tc>
          <w:tcPr>
            <w:tcW w:w="1134"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sz w:val="19"/>
                <w:szCs w:val="19"/>
                <w:lang w:val="en-CA" w:eastAsia="en-CA"/>
              </w:rPr>
            </w:pPr>
            <w:r w:rsidRPr="00237FAB">
              <w:rPr>
                <w:sz w:val="19"/>
                <w:szCs w:val="19"/>
                <w:lang w:val="en-CA" w:eastAsia="en-CA"/>
              </w:rPr>
              <w:t>0</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sz w:val="19"/>
                <w:szCs w:val="19"/>
                <w:lang w:val="en-CA" w:eastAsia="en-CA"/>
              </w:rPr>
            </w:pPr>
            <w:r w:rsidRPr="00237FAB">
              <w:rPr>
                <w:sz w:val="19"/>
                <w:szCs w:val="19"/>
                <w:lang w:val="en-CA" w:eastAsia="en-CA"/>
              </w:rPr>
              <w:t>100</w:t>
            </w:r>
          </w:p>
        </w:tc>
      </w:tr>
      <w:tr w:rsidR="000B08E0" w:rsidRPr="00237FAB" w:rsidTr="000B08E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63FB5" w:rsidRPr="00237FAB" w:rsidRDefault="00563FB5" w:rsidP="00237FAB">
            <w:pPr>
              <w:jc w:val="left"/>
              <w:rPr>
                <w:b/>
                <w:bCs/>
                <w:sz w:val="19"/>
                <w:szCs w:val="19"/>
                <w:lang w:val="en-CA" w:eastAsia="en-CA"/>
              </w:rPr>
            </w:pPr>
            <w:r w:rsidRPr="00237FAB">
              <w:rPr>
                <w:b/>
                <w:bCs/>
                <w:sz w:val="19"/>
                <w:szCs w:val="19"/>
                <w:lang w:val="en-CA" w:eastAsia="en-CA"/>
              </w:rPr>
              <w:t>Total</w:t>
            </w:r>
          </w:p>
        </w:tc>
        <w:tc>
          <w:tcPr>
            <w:tcW w:w="1029"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right"/>
              <w:rPr>
                <w:b/>
                <w:bCs/>
                <w:sz w:val="19"/>
                <w:szCs w:val="19"/>
                <w:lang w:val="en-CA" w:eastAsia="en-CA"/>
              </w:rPr>
            </w:pPr>
            <w:r w:rsidRPr="00237FAB">
              <w:rPr>
                <w:b/>
                <w:bCs/>
                <w:sz w:val="19"/>
                <w:szCs w:val="19"/>
                <w:lang w:val="en-CA" w:eastAsia="en-CA"/>
              </w:rPr>
              <w:t>1,057</w:t>
            </w:r>
          </w:p>
        </w:tc>
        <w:tc>
          <w:tcPr>
            <w:tcW w:w="1103"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right"/>
              <w:rPr>
                <w:b/>
                <w:bCs/>
                <w:sz w:val="19"/>
                <w:szCs w:val="19"/>
                <w:lang w:val="en-CA" w:eastAsia="en-CA"/>
              </w:rPr>
            </w:pPr>
            <w:r w:rsidRPr="00237FAB">
              <w:rPr>
                <w:b/>
                <w:bCs/>
                <w:sz w:val="19"/>
                <w:szCs w:val="19"/>
                <w:lang w:val="en-CA" w:eastAsia="en-CA"/>
              </w:rPr>
              <w:t>1,016</w:t>
            </w:r>
          </w:p>
        </w:tc>
        <w:tc>
          <w:tcPr>
            <w:tcW w:w="1050" w:type="dxa"/>
            <w:tcBorders>
              <w:top w:val="nil"/>
              <w:left w:val="nil"/>
              <w:bottom w:val="single" w:sz="4" w:space="0" w:color="auto"/>
              <w:right w:val="single" w:sz="4" w:space="0" w:color="auto"/>
            </w:tcBorders>
            <w:shd w:val="clear" w:color="auto" w:fill="auto"/>
            <w:noWrap/>
            <w:hideMark/>
          </w:tcPr>
          <w:p w:rsidR="00563FB5" w:rsidRPr="00237FAB" w:rsidRDefault="00C674BE" w:rsidP="00237FAB">
            <w:pPr>
              <w:jc w:val="right"/>
              <w:rPr>
                <w:b/>
                <w:bCs/>
                <w:sz w:val="19"/>
                <w:szCs w:val="19"/>
                <w:lang w:val="en-CA" w:eastAsia="en-CA"/>
              </w:rPr>
            </w:pPr>
            <w:r w:rsidRPr="00237FAB">
              <w:rPr>
                <w:b/>
                <w:bCs/>
                <w:sz w:val="19"/>
                <w:szCs w:val="19"/>
                <w:lang w:val="en-CA" w:eastAsia="en-CA"/>
              </w:rPr>
              <w:t>96</w:t>
            </w:r>
          </w:p>
        </w:tc>
        <w:tc>
          <w:tcPr>
            <w:tcW w:w="1309" w:type="dxa"/>
            <w:tcBorders>
              <w:top w:val="nil"/>
              <w:left w:val="nil"/>
              <w:bottom w:val="single" w:sz="4" w:space="0" w:color="auto"/>
              <w:right w:val="single" w:sz="4" w:space="0" w:color="auto"/>
            </w:tcBorders>
            <w:shd w:val="clear" w:color="auto" w:fill="auto"/>
            <w:noWrap/>
            <w:hideMark/>
          </w:tcPr>
          <w:p w:rsidR="00563FB5" w:rsidRPr="00237FAB" w:rsidRDefault="00563FB5" w:rsidP="00237FAB">
            <w:pPr>
              <w:jc w:val="right"/>
              <w:rPr>
                <w:b/>
                <w:bCs/>
                <w:sz w:val="19"/>
                <w:szCs w:val="19"/>
                <w:lang w:val="en-CA" w:eastAsia="en-CA"/>
              </w:rPr>
            </w:pPr>
            <w:r w:rsidRPr="00237FAB">
              <w:rPr>
                <w:b/>
                <w:bCs/>
                <w:sz w:val="19"/>
                <w:szCs w:val="19"/>
                <w:lang w:val="en-CA" w:eastAsia="en-CA"/>
              </w:rPr>
              <w:t>1,122,293,457</w:t>
            </w:r>
          </w:p>
        </w:tc>
        <w:tc>
          <w:tcPr>
            <w:tcW w:w="1418"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right"/>
              <w:rPr>
                <w:b/>
                <w:bCs/>
                <w:sz w:val="19"/>
                <w:szCs w:val="19"/>
                <w:lang w:val="en-CA" w:eastAsia="en-CA"/>
              </w:rPr>
            </w:pPr>
            <w:r w:rsidRPr="00237FAB">
              <w:rPr>
                <w:b/>
                <w:bCs/>
                <w:sz w:val="19"/>
                <w:szCs w:val="19"/>
                <w:lang w:val="en-CA" w:eastAsia="en-CA"/>
              </w:rPr>
              <w:t>1,043,706,922</w:t>
            </w:r>
          </w:p>
        </w:tc>
        <w:tc>
          <w:tcPr>
            <w:tcW w:w="1134" w:type="dxa"/>
            <w:tcBorders>
              <w:top w:val="nil"/>
              <w:left w:val="nil"/>
              <w:bottom w:val="single" w:sz="4" w:space="0" w:color="auto"/>
              <w:right w:val="single" w:sz="4" w:space="0" w:color="auto"/>
            </w:tcBorders>
            <w:shd w:val="clear" w:color="auto" w:fill="auto"/>
            <w:hideMark/>
          </w:tcPr>
          <w:p w:rsidR="00563FB5" w:rsidRPr="00237FAB" w:rsidRDefault="00563FB5" w:rsidP="00237FAB">
            <w:pPr>
              <w:jc w:val="right"/>
              <w:rPr>
                <w:b/>
                <w:bCs/>
                <w:sz w:val="19"/>
                <w:szCs w:val="19"/>
                <w:lang w:val="en-CA" w:eastAsia="en-CA"/>
              </w:rPr>
            </w:pPr>
            <w:r w:rsidRPr="00237FAB">
              <w:rPr>
                <w:b/>
                <w:bCs/>
                <w:sz w:val="19"/>
                <w:szCs w:val="19"/>
                <w:lang w:val="en-CA" w:eastAsia="en-CA"/>
              </w:rPr>
              <w:t>78,586,535</w:t>
            </w:r>
          </w:p>
        </w:tc>
        <w:tc>
          <w:tcPr>
            <w:tcW w:w="1009" w:type="dxa"/>
            <w:tcBorders>
              <w:top w:val="nil"/>
              <w:left w:val="nil"/>
              <w:bottom w:val="single" w:sz="4" w:space="0" w:color="auto"/>
              <w:right w:val="single" w:sz="4" w:space="0" w:color="auto"/>
            </w:tcBorders>
            <w:shd w:val="clear" w:color="auto" w:fill="auto"/>
            <w:hideMark/>
          </w:tcPr>
          <w:p w:rsidR="00563FB5" w:rsidRPr="00237FAB" w:rsidRDefault="00C674BE" w:rsidP="00237FAB">
            <w:pPr>
              <w:jc w:val="right"/>
              <w:rPr>
                <w:b/>
                <w:bCs/>
                <w:sz w:val="19"/>
                <w:szCs w:val="19"/>
                <w:lang w:val="en-CA" w:eastAsia="en-CA"/>
              </w:rPr>
            </w:pPr>
            <w:r w:rsidRPr="00237FAB">
              <w:rPr>
                <w:b/>
                <w:bCs/>
                <w:sz w:val="19"/>
                <w:szCs w:val="19"/>
                <w:lang w:val="en-CA" w:eastAsia="en-CA"/>
              </w:rPr>
              <w:t>93</w:t>
            </w:r>
          </w:p>
        </w:tc>
      </w:tr>
    </w:tbl>
    <w:p w:rsidR="00F9511C" w:rsidRPr="00237FAB" w:rsidRDefault="00F9511C" w:rsidP="00237FAB">
      <w:pPr>
        <w:keepNext/>
        <w:jc w:val="left"/>
        <w:rPr>
          <w:sz w:val="20"/>
          <w:szCs w:val="20"/>
          <w:lang w:val="en-CA"/>
        </w:rPr>
      </w:pPr>
      <w:r w:rsidRPr="00237FAB">
        <w:rPr>
          <w:sz w:val="20"/>
          <w:szCs w:val="20"/>
          <w:lang w:val="en-CA"/>
        </w:rPr>
        <w:t>*Excludes closed and transferred projects.</w:t>
      </w:r>
    </w:p>
    <w:p w:rsidR="00F9511C" w:rsidRPr="00237FAB" w:rsidRDefault="00F9511C" w:rsidP="00237FAB">
      <w:pPr>
        <w:pStyle w:val="a--"/>
        <w:suppressAutoHyphens w:val="0"/>
        <w:rPr>
          <w:sz w:val="22"/>
          <w:szCs w:val="22"/>
          <w:lang w:val="en-CA"/>
        </w:rPr>
      </w:pPr>
    </w:p>
    <w:p w:rsidR="00F9511C" w:rsidRPr="00237FAB" w:rsidRDefault="00F9511C" w:rsidP="00237FAB">
      <w:pPr>
        <w:pStyle w:val="Heading1"/>
        <w:rPr>
          <w:lang w:val="en-CA"/>
        </w:rPr>
      </w:pPr>
      <w:r w:rsidRPr="00237FAB">
        <w:rPr>
          <w:lang w:val="en-CA"/>
        </w:rPr>
        <w:t>Table 3 presents an overview of the status of project implementation by year</w:t>
      </w:r>
      <w:r w:rsidRPr="00237FAB">
        <w:rPr>
          <w:rStyle w:val="FootnoteReference"/>
          <w:lang w:val="en-CA"/>
        </w:rPr>
        <w:footnoteReference w:id="3"/>
      </w:r>
      <w:r w:rsidRPr="00237FAB">
        <w:rPr>
          <w:lang w:val="en-CA"/>
        </w:rPr>
        <w:t xml:space="preserve">. All projects and activities approved between 1991 and the end of 2004, as well as 2006, </w:t>
      </w:r>
      <w:r w:rsidR="00C11E86" w:rsidRPr="00237FAB">
        <w:rPr>
          <w:lang w:val="en-CA"/>
        </w:rPr>
        <w:t xml:space="preserve">2007, </w:t>
      </w:r>
      <w:r w:rsidRPr="00237FAB">
        <w:rPr>
          <w:lang w:val="en-CA"/>
        </w:rPr>
        <w:t xml:space="preserve">2008 and 2010, have now been completed. </w:t>
      </w:r>
    </w:p>
    <w:p w:rsidR="00F9511C" w:rsidRPr="00237FAB" w:rsidRDefault="00F9511C" w:rsidP="00237FAB">
      <w:pPr>
        <w:keepNext/>
        <w:suppressAutoHyphens/>
        <w:jc w:val="left"/>
        <w:rPr>
          <w:b/>
          <w:spacing w:val="-3"/>
          <w:lang w:val="en-CA"/>
        </w:rPr>
      </w:pPr>
      <w:r w:rsidRPr="00237FAB">
        <w:rPr>
          <w:b/>
          <w:spacing w:val="-3"/>
          <w:lang w:val="en-CA"/>
        </w:rPr>
        <w:t xml:space="preserve">Table 3: Status of project implementation by year </w:t>
      </w:r>
    </w:p>
    <w:tbl>
      <w:tblPr>
        <w:tblW w:w="9588" w:type="dxa"/>
        <w:tblInd w:w="-34" w:type="dxa"/>
        <w:tblLook w:val="04A0" w:firstRow="1" w:lastRow="0" w:firstColumn="1" w:lastColumn="0" w:noHBand="0" w:noVBand="1"/>
      </w:tblPr>
      <w:tblGrid>
        <w:gridCol w:w="740"/>
        <w:gridCol w:w="1103"/>
        <w:gridCol w:w="1150"/>
        <w:gridCol w:w="1402"/>
        <w:gridCol w:w="1366"/>
        <w:gridCol w:w="1507"/>
        <w:gridCol w:w="1186"/>
        <w:gridCol w:w="1134"/>
      </w:tblGrid>
      <w:tr w:rsidR="009374B4" w:rsidRPr="00237FAB" w:rsidTr="00903B21">
        <w:trPr>
          <w:trHeight w:val="255"/>
          <w:tblHead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74B4" w:rsidRPr="00237FAB" w:rsidRDefault="009374B4" w:rsidP="00237FAB">
            <w:pPr>
              <w:keepNext/>
              <w:jc w:val="center"/>
              <w:rPr>
                <w:b/>
                <w:bCs/>
                <w:color w:val="000000"/>
                <w:sz w:val="20"/>
                <w:szCs w:val="20"/>
                <w:lang w:val="en-CA" w:eastAsia="en-CA"/>
              </w:rPr>
            </w:pPr>
            <w:r w:rsidRPr="00237FAB">
              <w:rPr>
                <w:b/>
                <w:bCs/>
                <w:color w:val="000000"/>
                <w:sz w:val="20"/>
                <w:szCs w:val="20"/>
                <w:lang w:val="en-US" w:eastAsia="en-CA"/>
              </w:rPr>
              <w:t>Year</w:t>
            </w:r>
          </w:p>
        </w:tc>
        <w:tc>
          <w:tcPr>
            <w:tcW w:w="3655" w:type="dxa"/>
            <w:gridSpan w:val="3"/>
            <w:tcBorders>
              <w:top w:val="single" w:sz="4" w:space="0" w:color="auto"/>
              <w:left w:val="nil"/>
              <w:bottom w:val="single" w:sz="4" w:space="0" w:color="auto"/>
              <w:right w:val="single" w:sz="4" w:space="0" w:color="auto"/>
            </w:tcBorders>
            <w:shd w:val="clear" w:color="auto" w:fill="auto"/>
            <w:noWrap/>
            <w:vAlign w:val="center"/>
            <w:hideMark/>
          </w:tcPr>
          <w:p w:rsidR="009374B4" w:rsidRPr="00237FAB" w:rsidRDefault="009374B4" w:rsidP="00237FAB">
            <w:pPr>
              <w:keepNext/>
              <w:jc w:val="center"/>
              <w:rPr>
                <w:b/>
                <w:bCs/>
                <w:color w:val="000000"/>
                <w:sz w:val="20"/>
                <w:szCs w:val="20"/>
                <w:lang w:val="en-CA" w:eastAsia="en-CA"/>
              </w:rPr>
            </w:pPr>
            <w:r w:rsidRPr="00237FAB">
              <w:rPr>
                <w:b/>
                <w:bCs/>
                <w:color w:val="000000"/>
                <w:sz w:val="20"/>
                <w:szCs w:val="20"/>
                <w:lang w:val="en-US" w:eastAsia="en-CA"/>
              </w:rPr>
              <w:t>Number of projects*</w:t>
            </w:r>
          </w:p>
        </w:tc>
        <w:tc>
          <w:tcPr>
            <w:tcW w:w="5193" w:type="dxa"/>
            <w:gridSpan w:val="4"/>
            <w:tcBorders>
              <w:top w:val="single" w:sz="4" w:space="0" w:color="auto"/>
              <w:left w:val="nil"/>
              <w:bottom w:val="single" w:sz="4" w:space="0" w:color="auto"/>
              <w:right w:val="single" w:sz="4" w:space="0" w:color="auto"/>
            </w:tcBorders>
            <w:shd w:val="clear" w:color="auto" w:fill="auto"/>
            <w:noWrap/>
            <w:vAlign w:val="center"/>
            <w:hideMark/>
          </w:tcPr>
          <w:p w:rsidR="009374B4" w:rsidRPr="00237FAB" w:rsidRDefault="009374B4" w:rsidP="00237FAB">
            <w:pPr>
              <w:keepNext/>
              <w:jc w:val="center"/>
              <w:rPr>
                <w:b/>
                <w:bCs/>
                <w:color w:val="000000"/>
                <w:sz w:val="20"/>
                <w:szCs w:val="20"/>
                <w:lang w:val="en-CA" w:eastAsia="en-CA"/>
              </w:rPr>
            </w:pPr>
            <w:r w:rsidRPr="00237FAB">
              <w:rPr>
                <w:b/>
                <w:bCs/>
                <w:color w:val="000000"/>
                <w:sz w:val="20"/>
                <w:szCs w:val="20"/>
                <w:lang w:val="en-US" w:eastAsia="en-CA"/>
              </w:rPr>
              <w:t>Funding (US$)</w:t>
            </w:r>
          </w:p>
        </w:tc>
      </w:tr>
      <w:tr w:rsidR="009374B4" w:rsidRPr="00237FAB" w:rsidTr="00903B21">
        <w:trPr>
          <w:trHeight w:val="255"/>
          <w:tblHeader/>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9374B4" w:rsidRPr="00237FAB" w:rsidRDefault="009374B4" w:rsidP="00237FAB">
            <w:pPr>
              <w:jc w:val="left"/>
              <w:rPr>
                <w:b/>
                <w:bCs/>
                <w:color w:val="000000"/>
                <w:sz w:val="20"/>
                <w:szCs w:val="20"/>
                <w:lang w:val="en-CA" w:eastAsia="en-CA"/>
              </w:rPr>
            </w:pP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Approved</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left"/>
              <w:rPr>
                <w:b/>
                <w:bCs/>
                <w:color w:val="000000"/>
                <w:sz w:val="20"/>
                <w:szCs w:val="20"/>
                <w:lang w:val="en-CA" w:eastAsia="en-CA"/>
              </w:rPr>
            </w:pPr>
            <w:r w:rsidRPr="00237FAB">
              <w:rPr>
                <w:b/>
                <w:bCs/>
                <w:color w:val="000000"/>
                <w:sz w:val="20"/>
                <w:szCs w:val="20"/>
                <w:lang w:val="en-US" w:eastAsia="en-CA"/>
              </w:rPr>
              <w:t>Completed</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 completed</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Approved</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Disbursed</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Balance</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center"/>
              <w:rPr>
                <w:b/>
                <w:bCs/>
                <w:color w:val="000000"/>
                <w:sz w:val="20"/>
                <w:szCs w:val="20"/>
                <w:lang w:val="en-CA" w:eastAsia="en-CA"/>
              </w:rPr>
            </w:pPr>
            <w:r w:rsidRPr="00237FAB">
              <w:rPr>
                <w:b/>
                <w:bCs/>
                <w:color w:val="000000"/>
                <w:sz w:val="20"/>
                <w:szCs w:val="20"/>
                <w:lang w:val="en-US" w:eastAsia="en-CA"/>
              </w:rPr>
              <w:t>% disbursed</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1991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42</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42</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5,429,404</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5,429,404</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1992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76</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76</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28,047,705</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28,047,705</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1993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79</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79</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42,538,405</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42,538,405</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lastRenderedPageBreak/>
              <w:t xml:space="preserve">1994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91</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91</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41,081,267</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41,081,267</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1995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112</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112</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47,224,186</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47,224,186</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1996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55</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55</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29,319,479</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29,319,479</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1997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95</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95</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56,173,103</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56,173,103</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1998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59</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35,959,418</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35,959,418</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1999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73</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73</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64,173,138</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64,173,138</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2000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67</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67</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36,982,135</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36,982,135</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2001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55,212,853</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55,212,854</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2002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32</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32</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64,357,778</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64,357,778</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2003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24</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24</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72,734,119</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72,734,119</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2004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29</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77,111,770</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77,111,770</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2005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27</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96</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70,105,524</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68,154,103</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1,951,421</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97</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2006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22</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22</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64,473,260</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64,473,260</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2007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25</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25</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66,005,270</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66,005,270</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2008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40,214,774</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40,214,774</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2009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22</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21</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95</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25,563,461</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25,336,351</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227,110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99</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2010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16</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16</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1,148,623</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1,148,623</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100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2011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10</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5</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50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44,703,997</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35,571,497</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9,132,500</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80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2012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10</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30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11,745,779</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6,834,401</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4,911,378</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58</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2013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7</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57</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44,296,067</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33,765,216</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10,530,851</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76</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2014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13</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15</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28,341,138</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25,518,981</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2,822,157</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90</w:t>
            </w:r>
          </w:p>
        </w:tc>
      </w:tr>
      <w:tr w:rsidR="009374B4" w:rsidRPr="00237FAB" w:rsidTr="00903B21">
        <w:trPr>
          <w:trHeight w:val="225"/>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sz w:val="20"/>
                <w:szCs w:val="20"/>
                <w:lang w:val="en-CA" w:eastAsia="en-CA"/>
              </w:rPr>
            </w:pPr>
            <w:r w:rsidRPr="00237FAB">
              <w:rPr>
                <w:sz w:val="20"/>
                <w:szCs w:val="20"/>
                <w:lang w:val="en-CA" w:eastAsia="en-CA"/>
              </w:rPr>
              <w:t xml:space="preserve">2015 </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13</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0</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0</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69,350,804</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20,339,683</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sz w:val="20"/>
                <w:szCs w:val="20"/>
                <w:lang w:val="en-CA" w:eastAsia="en-CA"/>
              </w:rPr>
            </w:pPr>
            <w:r w:rsidRPr="00237FAB">
              <w:rPr>
                <w:sz w:val="20"/>
                <w:szCs w:val="20"/>
                <w:lang w:val="en-CA" w:eastAsia="en-CA"/>
              </w:rPr>
              <w:t>49,011,121</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sz w:val="20"/>
                <w:szCs w:val="20"/>
                <w:lang w:val="en-CA" w:eastAsia="en-CA"/>
              </w:rPr>
            </w:pPr>
            <w:r w:rsidRPr="00237FAB">
              <w:rPr>
                <w:sz w:val="20"/>
                <w:szCs w:val="20"/>
                <w:lang w:val="en-CA" w:eastAsia="en-CA"/>
              </w:rPr>
              <w:t>29</w:t>
            </w:r>
          </w:p>
        </w:tc>
      </w:tr>
      <w:tr w:rsidR="009374B4" w:rsidRPr="00237FAB" w:rsidTr="00903B21">
        <w:trPr>
          <w:trHeight w:val="210"/>
        </w:trPr>
        <w:tc>
          <w:tcPr>
            <w:tcW w:w="740" w:type="dxa"/>
            <w:tcBorders>
              <w:top w:val="nil"/>
              <w:left w:val="single" w:sz="4" w:space="0" w:color="auto"/>
              <w:bottom w:val="single" w:sz="4" w:space="0" w:color="auto"/>
              <w:right w:val="single" w:sz="4" w:space="0" w:color="auto"/>
            </w:tcBorders>
            <w:shd w:val="clear" w:color="auto" w:fill="auto"/>
            <w:noWrap/>
            <w:hideMark/>
          </w:tcPr>
          <w:p w:rsidR="009374B4" w:rsidRPr="00237FAB" w:rsidRDefault="009374B4" w:rsidP="00237FAB">
            <w:pPr>
              <w:jc w:val="left"/>
              <w:rPr>
                <w:b/>
                <w:bCs/>
                <w:sz w:val="20"/>
                <w:szCs w:val="20"/>
                <w:lang w:val="en-CA" w:eastAsia="en-CA"/>
              </w:rPr>
            </w:pPr>
            <w:r w:rsidRPr="00237FAB">
              <w:rPr>
                <w:b/>
                <w:bCs/>
                <w:sz w:val="20"/>
                <w:szCs w:val="20"/>
                <w:lang w:val="en-CA" w:eastAsia="en-CA"/>
              </w:rPr>
              <w:t>Total</w:t>
            </w:r>
          </w:p>
        </w:tc>
        <w:tc>
          <w:tcPr>
            <w:tcW w:w="1103"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b/>
                <w:bCs/>
                <w:sz w:val="20"/>
                <w:szCs w:val="20"/>
                <w:lang w:val="en-CA" w:eastAsia="en-CA"/>
              </w:rPr>
            </w:pPr>
            <w:r w:rsidRPr="00237FAB">
              <w:rPr>
                <w:b/>
                <w:bCs/>
                <w:sz w:val="20"/>
                <w:szCs w:val="20"/>
                <w:lang w:val="en-CA" w:eastAsia="en-CA"/>
              </w:rPr>
              <w:t>1,057</w:t>
            </w:r>
          </w:p>
        </w:tc>
        <w:tc>
          <w:tcPr>
            <w:tcW w:w="1150"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b/>
                <w:bCs/>
                <w:sz w:val="20"/>
                <w:szCs w:val="20"/>
                <w:lang w:val="en-CA" w:eastAsia="en-CA"/>
              </w:rPr>
            </w:pPr>
            <w:r w:rsidRPr="00237FAB">
              <w:rPr>
                <w:b/>
                <w:bCs/>
                <w:sz w:val="20"/>
                <w:szCs w:val="20"/>
                <w:lang w:val="en-CA" w:eastAsia="en-CA"/>
              </w:rPr>
              <w:t>1,016</w:t>
            </w:r>
          </w:p>
        </w:tc>
        <w:tc>
          <w:tcPr>
            <w:tcW w:w="1402"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b/>
                <w:bCs/>
                <w:sz w:val="20"/>
                <w:szCs w:val="20"/>
                <w:lang w:val="en-CA" w:eastAsia="en-CA"/>
              </w:rPr>
            </w:pPr>
            <w:r w:rsidRPr="00237FAB">
              <w:rPr>
                <w:b/>
                <w:bCs/>
                <w:sz w:val="20"/>
                <w:szCs w:val="20"/>
                <w:lang w:val="en-CA" w:eastAsia="en-CA"/>
              </w:rPr>
              <w:t>96</w:t>
            </w:r>
          </w:p>
        </w:tc>
        <w:tc>
          <w:tcPr>
            <w:tcW w:w="136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b/>
                <w:bCs/>
                <w:sz w:val="20"/>
                <w:szCs w:val="20"/>
                <w:lang w:val="en-CA" w:eastAsia="en-CA"/>
              </w:rPr>
            </w:pPr>
            <w:r w:rsidRPr="00237FAB">
              <w:rPr>
                <w:b/>
                <w:bCs/>
                <w:sz w:val="20"/>
                <w:szCs w:val="20"/>
                <w:lang w:val="en-CA" w:eastAsia="en-CA"/>
              </w:rPr>
              <w:t>1,122,293,457</w:t>
            </w:r>
          </w:p>
        </w:tc>
        <w:tc>
          <w:tcPr>
            <w:tcW w:w="1507"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b/>
                <w:bCs/>
                <w:sz w:val="20"/>
                <w:szCs w:val="20"/>
                <w:lang w:val="en-CA" w:eastAsia="en-CA"/>
              </w:rPr>
            </w:pPr>
            <w:r w:rsidRPr="00237FAB">
              <w:rPr>
                <w:b/>
                <w:bCs/>
                <w:sz w:val="20"/>
                <w:szCs w:val="20"/>
                <w:lang w:val="en-CA" w:eastAsia="en-CA"/>
              </w:rPr>
              <w:t>1,043,706,922</w:t>
            </w:r>
          </w:p>
        </w:tc>
        <w:tc>
          <w:tcPr>
            <w:tcW w:w="1186" w:type="dxa"/>
            <w:tcBorders>
              <w:top w:val="nil"/>
              <w:left w:val="nil"/>
              <w:bottom w:val="single" w:sz="4" w:space="0" w:color="auto"/>
              <w:right w:val="single" w:sz="4" w:space="0" w:color="auto"/>
            </w:tcBorders>
            <w:shd w:val="clear" w:color="auto" w:fill="auto"/>
            <w:noWrap/>
            <w:vAlign w:val="bottom"/>
            <w:hideMark/>
          </w:tcPr>
          <w:p w:rsidR="009374B4" w:rsidRPr="00237FAB" w:rsidRDefault="009374B4" w:rsidP="00237FAB">
            <w:pPr>
              <w:jc w:val="right"/>
              <w:rPr>
                <w:b/>
                <w:bCs/>
                <w:sz w:val="20"/>
                <w:szCs w:val="20"/>
                <w:lang w:val="en-CA" w:eastAsia="en-CA"/>
              </w:rPr>
            </w:pPr>
            <w:r w:rsidRPr="00237FAB">
              <w:rPr>
                <w:b/>
                <w:bCs/>
                <w:sz w:val="20"/>
                <w:szCs w:val="20"/>
                <w:lang w:val="en-CA" w:eastAsia="en-CA"/>
              </w:rPr>
              <w:t>78,586,535</w:t>
            </w:r>
          </w:p>
        </w:tc>
        <w:tc>
          <w:tcPr>
            <w:tcW w:w="1134" w:type="dxa"/>
            <w:tcBorders>
              <w:top w:val="nil"/>
              <w:left w:val="nil"/>
              <w:bottom w:val="single" w:sz="4" w:space="0" w:color="auto"/>
              <w:right w:val="single" w:sz="4" w:space="0" w:color="auto"/>
            </w:tcBorders>
            <w:shd w:val="clear" w:color="auto" w:fill="auto"/>
            <w:noWrap/>
            <w:vAlign w:val="bottom"/>
            <w:hideMark/>
          </w:tcPr>
          <w:p w:rsidR="009374B4" w:rsidRPr="00237FAB" w:rsidRDefault="00903B21" w:rsidP="00237FAB">
            <w:pPr>
              <w:jc w:val="right"/>
              <w:rPr>
                <w:b/>
                <w:bCs/>
                <w:sz w:val="20"/>
                <w:szCs w:val="20"/>
                <w:lang w:val="en-CA" w:eastAsia="en-CA"/>
              </w:rPr>
            </w:pPr>
            <w:r w:rsidRPr="00237FAB">
              <w:rPr>
                <w:b/>
                <w:bCs/>
                <w:sz w:val="20"/>
                <w:szCs w:val="20"/>
                <w:lang w:val="en-CA" w:eastAsia="en-CA"/>
              </w:rPr>
              <w:t>93</w:t>
            </w:r>
          </w:p>
        </w:tc>
      </w:tr>
    </w:tbl>
    <w:p w:rsidR="00F9511C" w:rsidRPr="00237FAB" w:rsidRDefault="00F9511C" w:rsidP="00237FAB">
      <w:pPr>
        <w:rPr>
          <w:sz w:val="20"/>
          <w:szCs w:val="20"/>
          <w:lang w:val="en-CA"/>
        </w:rPr>
      </w:pPr>
      <w:r w:rsidRPr="00237FAB">
        <w:rPr>
          <w:sz w:val="20"/>
          <w:szCs w:val="20"/>
          <w:lang w:val="en-CA"/>
        </w:rPr>
        <w:t>*Excludes closed and transferred projects.</w:t>
      </w:r>
    </w:p>
    <w:p w:rsidR="00F9511C" w:rsidRPr="00237FAB" w:rsidRDefault="00F9511C" w:rsidP="00237FAB">
      <w:pPr>
        <w:keepNext/>
        <w:suppressAutoHyphens/>
        <w:jc w:val="left"/>
        <w:rPr>
          <w:lang w:val="en-CA"/>
        </w:rPr>
      </w:pPr>
    </w:p>
    <w:p w:rsidR="00861742" w:rsidRPr="00237FAB" w:rsidRDefault="00F9511C" w:rsidP="00237FAB">
      <w:pPr>
        <w:pStyle w:val="a--"/>
        <w:tabs>
          <w:tab w:val="left" w:pos="5055"/>
        </w:tabs>
        <w:suppressAutoHyphens w:val="0"/>
        <w:rPr>
          <w:sz w:val="22"/>
          <w:szCs w:val="22"/>
          <w:lang w:val="en-CA"/>
        </w:rPr>
      </w:pPr>
      <w:r w:rsidRPr="00237FAB">
        <w:rPr>
          <w:sz w:val="22"/>
          <w:szCs w:val="22"/>
          <w:lang w:val="en-CA"/>
        </w:rPr>
        <w:t>Part II:</w:t>
      </w:r>
      <w:r w:rsidRPr="00237FAB">
        <w:rPr>
          <w:sz w:val="22"/>
          <w:szCs w:val="22"/>
          <w:lang w:val="en-CA"/>
        </w:rPr>
        <w:tab/>
        <w:t xml:space="preserve"> Project implementation progress in 2015</w:t>
      </w:r>
    </w:p>
    <w:p w:rsidR="00F9511C" w:rsidRPr="00237FAB" w:rsidRDefault="00F9511C" w:rsidP="00237FAB">
      <w:pPr>
        <w:pStyle w:val="a--"/>
        <w:suppressAutoHyphens w:val="0"/>
        <w:rPr>
          <w:sz w:val="22"/>
          <w:szCs w:val="22"/>
          <w:lang w:val="en-CA"/>
        </w:rPr>
      </w:pPr>
    </w:p>
    <w:p w:rsidR="00861742" w:rsidRPr="00237FAB" w:rsidRDefault="00F9511C" w:rsidP="00237FAB">
      <w:pPr>
        <w:pStyle w:val="Heading1"/>
        <w:rPr>
          <w:lang w:val="en-CA"/>
        </w:rPr>
      </w:pPr>
      <w:r w:rsidRPr="00237FAB">
        <w:rPr>
          <w:lang w:val="en-CA"/>
        </w:rPr>
        <w:t>The Secretariat reviewed the status of implementation on a country-by-country basis taking into account implementation delays that have occurred with respect to planned completion dates that had been reported in 201</w:t>
      </w:r>
      <w:r w:rsidR="00155825" w:rsidRPr="00237FAB">
        <w:rPr>
          <w:lang w:val="en-CA"/>
        </w:rPr>
        <w:t>5</w:t>
      </w:r>
      <w:r w:rsidRPr="00237FAB">
        <w:rPr>
          <w:lang w:val="en-CA"/>
        </w:rPr>
        <w:t xml:space="preserve">, the potential impact of these delays on phase-out and the rate of planned disbursements. </w:t>
      </w:r>
    </w:p>
    <w:p w:rsidR="00861742" w:rsidRPr="00237FAB" w:rsidRDefault="00861742" w:rsidP="00237FAB">
      <w:pPr>
        <w:keepNext/>
        <w:keepLines/>
        <w:rPr>
          <w:i/>
          <w:lang w:val="en-CA"/>
        </w:rPr>
      </w:pPr>
      <w:r w:rsidRPr="00237FAB">
        <w:rPr>
          <w:i/>
          <w:lang w:val="en-CA"/>
        </w:rPr>
        <w:t>Implementation delays</w:t>
      </w:r>
    </w:p>
    <w:p w:rsidR="00861742" w:rsidRPr="00237FAB" w:rsidRDefault="00861742" w:rsidP="00237FAB">
      <w:pPr>
        <w:keepNext/>
        <w:keepLines/>
        <w:rPr>
          <w:bCs/>
          <w:lang w:val="en-CA"/>
        </w:rPr>
      </w:pPr>
    </w:p>
    <w:p w:rsidR="00861742" w:rsidRPr="00237FAB" w:rsidRDefault="00861742" w:rsidP="00237FAB">
      <w:pPr>
        <w:pStyle w:val="Heading1"/>
        <w:spacing w:after="0"/>
        <w:rPr>
          <w:lang w:val="en-CA"/>
        </w:rPr>
      </w:pPr>
      <w:r w:rsidRPr="00237FAB">
        <w:rPr>
          <w:lang w:val="en-CA"/>
        </w:rPr>
        <w:t xml:space="preserve">The review of the 2015 progress report revealed that, of the </w:t>
      </w:r>
      <w:r w:rsidR="004E662F" w:rsidRPr="00237FAB">
        <w:rPr>
          <w:lang w:val="en-CA"/>
        </w:rPr>
        <w:t>18</w:t>
      </w:r>
      <w:r w:rsidRPr="00237FAB">
        <w:rPr>
          <w:lang w:val="en-CA"/>
        </w:rPr>
        <w:t xml:space="preserve"> ongoing projects excluding IS and project preparation, </w:t>
      </w:r>
      <w:r w:rsidR="00BD1BC0" w:rsidRPr="00237FAB">
        <w:rPr>
          <w:lang w:val="en-CA"/>
        </w:rPr>
        <w:t>five</w:t>
      </w:r>
      <w:r w:rsidRPr="00237FAB">
        <w:rPr>
          <w:lang w:val="en-CA"/>
        </w:rPr>
        <w:t> have extended planned dates of completion since the 2014 progress report. The Executive Committee may wish to note that the World Bank will report to the 78</w:t>
      </w:r>
      <w:r w:rsidRPr="00237FAB">
        <w:rPr>
          <w:vertAlign w:val="superscript"/>
          <w:lang w:val="en-CA"/>
        </w:rPr>
        <w:t>th</w:t>
      </w:r>
      <w:r w:rsidRPr="00237FAB">
        <w:rPr>
          <w:lang w:val="en-CA"/>
        </w:rPr>
        <w:t xml:space="preserve"> meeting on one project with implementation delays</w:t>
      </w:r>
      <w:r w:rsidRPr="00237FAB">
        <w:rPr>
          <w:rStyle w:val="FootnoteReference"/>
          <w:lang w:val="en-CA"/>
        </w:rPr>
        <w:footnoteReference w:id="4"/>
      </w:r>
      <w:r w:rsidRPr="00237FAB">
        <w:rPr>
          <w:lang w:val="en-CA"/>
        </w:rPr>
        <w:t xml:space="preserve">, which can be found </w:t>
      </w:r>
      <w:r w:rsidRPr="00237FAB">
        <w:t>in Appendix I of Annex III to the consolidated progress report (UNEP/OzL.Pro/</w:t>
      </w:r>
      <w:proofErr w:type="spellStart"/>
      <w:r w:rsidRPr="00237FAB">
        <w:t>ExCom</w:t>
      </w:r>
      <w:proofErr w:type="spellEnd"/>
      <w:r w:rsidRPr="00237FAB">
        <w:t>/77/11)</w:t>
      </w:r>
      <w:r w:rsidRPr="00237FAB">
        <w:rPr>
          <w:lang w:val="en-CA"/>
        </w:rPr>
        <w:t>.</w:t>
      </w:r>
    </w:p>
    <w:p w:rsidR="000652F6" w:rsidRPr="00237FAB" w:rsidRDefault="000652F6" w:rsidP="00237FAB">
      <w:pPr>
        <w:rPr>
          <w:lang w:val="en-CA"/>
        </w:rPr>
      </w:pPr>
    </w:p>
    <w:p w:rsidR="00F9511C" w:rsidRPr="00237FAB" w:rsidRDefault="00891FD1" w:rsidP="00237FAB">
      <w:pPr>
        <w:pStyle w:val="Heading1"/>
        <w:rPr>
          <w:lang w:val="en-CA"/>
        </w:rPr>
      </w:pPr>
      <w:r w:rsidRPr="00237FAB">
        <w:rPr>
          <w:snapToGrid w:val="0"/>
          <w:lang w:val="en-CA"/>
        </w:rPr>
        <w:t>The World Bank completed 67</w:t>
      </w:r>
      <w:r w:rsidR="00F9511C" w:rsidRPr="00237FAB">
        <w:rPr>
          <w:snapToGrid w:val="0"/>
          <w:lang w:val="en-CA"/>
        </w:rPr>
        <w:t xml:space="preserve"> per cent of the projects it had planned to complete in 201</w:t>
      </w:r>
      <w:r w:rsidR="00155825" w:rsidRPr="00237FAB">
        <w:rPr>
          <w:snapToGrid w:val="0"/>
          <w:lang w:val="en-CA"/>
        </w:rPr>
        <w:t>5</w:t>
      </w:r>
      <w:r w:rsidR="00F9511C" w:rsidRPr="00237FAB">
        <w:rPr>
          <w:snapToGrid w:val="0"/>
          <w:lang w:val="en-CA"/>
        </w:rPr>
        <w:t xml:space="preserve"> and met 99.</w:t>
      </w:r>
      <w:r w:rsidRPr="00237FAB">
        <w:rPr>
          <w:snapToGrid w:val="0"/>
          <w:lang w:val="en-CA"/>
        </w:rPr>
        <w:t>9</w:t>
      </w:r>
      <w:r w:rsidR="00F9511C" w:rsidRPr="00237FAB">
        <w:rPr>
          <w:snapToGrid w:val="0"/>
          <w:lang w:val="en-CA"/>
        </w:rPr>
        <w:t xml:space="preserve"> per cent of the phase-out target planned. The World Bank had planned disbursements in </w:t>
      </w:r>
      <w:r w:rsidRPr="00237FAB">
        <w:rPr>
          <w:snapToGrid w:val="0"/>
          <w:lang w:val="en-CA"/>
        </w:rPr>
        <w:t>eight</w:t>
      </w:r>
      <w:r w:rsidR="00F9511C" w:rsidRPr="00237FAB">
        <w:rPr>
          <w:snapToGrid w:val="0"/>
          <w:lang w:val="en-CA"/>
        </w:rPr>
        <w:t xml:space="preserve"> countries or regions, and achieved an ove</w:t>
      </w:r>
      <w:r w:rsidRPr="00237FAB">
        <w:rPr>
          <w:snapToGrid w:val="0"/>
          <w:lang w:val="en-CA"/>
        </w:rPr>
        <w:t>rall rate of disbursement of 143</w:t>
      </w:r>
      <w:r w:rsidR="00F9511C" w:rsidRPr="00237FAB">
        <w:rPr>
          <w:snapToGrid w:val="0"/>
          <w:lang w:val="en-CA"/>
        </w:rPr>
        <w:t xml:space="preserve"> per cent in 201</w:t>
      </w:r>
      <w:r w:rsidR="00155825" w:rsidRPr="00237FAB">
        <w:rPr>
          <w:snapToGrid w:val="0"/>
          <w:lang w:val="en-CA"/>
        </w:rPr>
        <w:t>5</w:t>
      </w:r>
      <w:r w:rsidR="00F9511C" w:rsidRPr="00237FAB">
        <w:rPr>
          <w:snapToGrid w:val="0"/>
          <w:lang w:val="en-CA"/>
        </w:rPr>
        <w:t>.</w:t>
      </w:r>
    </w:p>
    <w:p w:rsidR="00861742" w:rsidRPr="00237FAB" w:rsidRDefault="00861742" w:rsidP="00237FAB">
      <w:pPr>
        <w:pStyle w:val="Heading1"/>
        <w:rPr>
          <w:lang w:val="en-CA"/>
        </w:rPr>
      </w:pPr>
      <w:r w:rsidRPr="00237FAB">
        <w:rPr>
          <w:lang w:val="en-CA"/>
        </w:rPr>
        <w:lastRenderedPageBreak/>
        <w:t xml:space="preserve">This part of the progress report summarises progress and financial information, </w:t>
      </w:r>
      <w:r w:rsidR="000652F6" w:rsidRPr="00237FAB">
        <w:rPr>
          <w:lang w:val="en-CA"/>
        </w:rPr>
        <w:t xml:space="preserve">and </w:t>
      </w:r>
      <w:r w:rsidRPr="00237FAB">
        <w:rPr>
          <w:lang w:val="en-CA"/>
        </w:rPr>
        <w:t>highlights implementation delays or impediments on the following ongoing projects</w:t>
      </w:r>
      <w:r w:rsidRPr="00237FAB">
        <w:rPr>
          <w:rStyle w:val="FootnoteReference"/>
          <w:lang w:val="en-CA"/>
        </w:rPr>
        <w:footnoteReference w:id="5"/>
      </w:r>
      <w:r w:rsidRPr="00237FAB">
        <w:rPr>
          <w:lang w:val="en-CA"/>
        </w:rPr>
        <w:t>:</w:t>
      </w:r>
    </w:p>
    <w:p w:rsidR="00F9511C" w:rsidRPr="00237FAB" w:rsidRDefault="00F9511C" w:rsidP="00237FAB">
      <w:pPr>
        <w:pStyle w:val="Heading2"/>
        <w:numPr>
          <w:ilvl w:val="1"/>
          <w:numId w:val="1"/>
        </w:numPr>
        <w:rPr>
          <w:lang w:val="en-CA"/>
        </w:rPr>
      </w:pPr>
      <w:r w:rsidRPr="00237FAB">
        <w:rPr>
          <w:lang w:val="en-CA"/>
        </w:rPr>
        <w:t>Projects related to chillers;</w:t>
      </w:r>
    </w:p>
    <w:p w:rsidR="00F9511C" w:rsidRPr="00237FAB" w:rsidRDefault="00F9511C" w:rsidP="00237FAB">
      <w:pPr>
        <w:pStyle w:val="Heading2"/>
        <w:numPr>
          <w:ilvl w:val="1"/>
          <w:numId w:val="1"/>
        </w:numPr>
        <w:rPr>
          <w:lang w:val="en-CA"/>
        </w:rPr>
      </w:pPr>
      <w:r w:rsidRPr="00237FAB">
        <w:rPr>
          <w:lang w:val="en-CA"/>
        </w:rPr>
        <w:t xml:space="preserve">Projects related to the phase-out of HCFCs, including project preparation, </w:t>
      </w:r>
      <w:r w:rsidR="003C0EBD" w:rsidRPr="00237FAB">
        <w:rPr>
          <w:lang w:val="en-CA"/>
        </w:rPr>
        <w:t xml:space="preserve">ODS alternative surveys, </w:t>
      </w:r>
      <w:r w:rsidRPr="00237FAB">
        <w:rPr>
          <w:lang w:val="en-CA"/>
        </w:rPr>
        <w:t>demonstration projects, HPMPs</w:t>
      </w:r>
      <w:r w:rsidR="00514E08" w:rsidRPr="00237FAB">
        <w:rPr>
          <w:lang w:val="en-CA"/>
        </w:rPr>
        <w:t>,</w:t>
      </w:r>
      <w:r w:rsidR="003C0EBD" w:rsidRPr="00237FAB">
        <w:rPr>
          <w:lang w:val="en-CA"/>
        </w:rPr>
        <w:t xml:space="preserve"> pro</w:t>
      </w:r>
      <w:r w:rsidR="009A76EE" w:rsidRPr="00237FAB">
        <w:rPr>
          <w:lang w:val="en-CA"/>
        </w:rPr>
        <w:t>ject</w:t>
      </w:r>
      <w:r w:rsidR="003C0EBD" w:rsidRPr="00237FAB">
        <w:rPr>
          <w:lang w:val="en-CA"/>
        </w:rPr>
        <w:t xml:space="preserve"> management unit (PMU) activities,</w:t>
      </w:r>
      <w:r w:rsidRPr="00237FAB">
        <w:rPr>
          <w:lang w:val="en-CA"/>
        </w:rPr>
        <w:t xml:space="preserve"> </w:t>
      </w:r>
      <w:r w:rsidR="003C0EBD" w:rsidRPr="00237FAB">
        <w:rPr>
          <w:lang w:val="en-CA"/>
        </w:rPr>
        <w:t xml:space="preserve">and </w:t>
      </w:r>
      <w:r w:rsidRPr="00237FAB">
        <w:rPr>
          <w:lang w:val="en-CA"/>
        </w:rPr>
        <w:t>HPPMP;</w:t>
      </w:r>
      <w:r w:rsidR="000652F6" w:rsidRPr="00237FAB">
        <w:rPr>
          <w:lang w:val="en-CA"/>
        </w:rPr>
        <w:t xml:space="preserve"> and</w:t>
      </w:r>
    </w:p>
    <w:p w:rsidR="00F9511C" w:rsidRPr="00237FAB" w:rsidRDefault="000652F6" w:rsidP="00237FAB">
      <w:pPr>
        <w:pStyle w:val="Heading2"/>
        <w:numPr>
          <w:ilvl w:val="1"/>
          <w:numId w:val="1"/>
        </w:numPr>
        <w:rPr>
          <w:lang w:val="en-CA"/>
        </w:rPr>
      </w:pPr>
      <w:proofErr w:type="gramStart"/>
      <w:r w:rsidRPr="00237FAB">
        <w:rPr>
          <w:lang w:val="en-CA"/>
        </w:rPr>
        <w:t>IS projects.</w:t>
      </w:r>
      <w:proofErr w:type="gramEnd"/>
    </w:p>
    <w:p w:rsidR="00F9511C" w:rsidRPr="00237FAB" w:rsidRDefault="00F9511C" w:rsidP="00237FAB">
      <w:pPr>
        <w:rPr>
          <w:u w:val="single"/>
          <w:lang w:val="en-CA"/>
        </w:rPr>
      </w:pPr>
      <w:r w:rsidRPr="00237FAB">
        <w:rPr>
          <w:u w:val="single"/>
          <w:lang w:val="en-CA"/>
        </w:rPr>
        <w:t>Chiller projects</w:t>
      </w:r>
    </w:p>
    <w:p w:rsidR="00F9511C" w:rsidRPr="00237FAB" w:rsidRDefault="00F9511C" w:rsidP="00237FAB">
      <w:pPr>
        <w:rPr>
          <w:lang w:val="en-CA"/>
        </w:rPr>
      </w:pPr>
    </w:p>
    <w:p w:rsidR="00F9511C" w:rsidRPr="00237FAB" w:rsidRDefault="00F9511C" w:rsidP="00237FAB">
      <w:pPr>
        <w:pStyle w:val="Heading1"/>
        <w:rPr>
          <w:lang w:val="en-CA"/>
        </w:rPr>
      </w:pPr>
      <w:r w:rsidRPr="00237FAB">
        <w:rPr>
          <w:lang w:val="en-CA"/>
        </w:rPr>
        <w:t>The World Bank is implementing a global chiller replacement proje</w:t>
      </w:r>
      <w:r w:rsidR="00903B21" w:rsidRPr="00237FAB">
        <w:rPr>
          <w:lang w:val="en-CA"/>
        </w:rPr>
        <w:t>ct</w:t>
      </w:r>
      <w:r w:rsidR="00BA3B99" w:rsidRPr="00237FAB">
        <w:rPr>
          <w:lang w:val="en-CA"/>
        </w:rPr>
        <w:t xml:space="preserve"> (GLO/REF/47/DEM/268),</w:t>
      </w:r>
      <w:r w:rsidR="00903B21" w:rsidRPr="00237FAB">
        <w:rPr>
          <w:lang w:val="en-CA"/>
        </w:rPr>
        <w:t xml:space="preserve"> comprising of five countries,</w:t>
      </w:r>
      <w:r w:rsidRPr="00237FAB">
        <w:rPr>
          <w:lang w:val="en-CA"/>
        </w:rPr>
        <w:t xml:space="preserve"> approved in November 2005, and for which only US $</w:t>
      </w:r>
      <w:r w:rsidR="00603B51" w:rsidRPr="00237FAB">
        <w:rPr>
          <w:lang w:val="en-CA"/>
        </w:rPr>
        <w:t xml:space="preserve">1,784,135 </w:t>
      </w:r>
      <w:r w:rsidR="00BA3B99" w:rsidRPr="00237FAB">
        <w:rPr>
          <w:lang w:val="en-CA"/>
        </w:rPr>
        <w:t>of the US </w:t>
      </w:r>
      <w:r w:rsidRPr="00237FAB">
        <w:rPr>
          <w:lang w:val="en-CA"/>
        </w:rPr>
        <w:t>$</w:t>
      </w:r>
      <w:r w:rsidR="00603B51" w:rsidRPr="00237FAB">
        <w:rPr>
          <w:lang w:val="en-CA"/>
        </w:rPr>
        <w:t xml:space="preserve">3,735,556 </w:t>
      </w:r>
      <w:r w:rsidRPr="00237FAB">
        <w:rPr>
          <w:lang w:val="en-CA"/>
        </w:rPr>
        <w:t>approved has been disbursed. Table 4 provides information on the status of the implementation of this project.</w:t>
      </w:r>
    </w:p>
    <w:p w:rsidR="00F9511C" w:rsidRPr="00237FAB" w:rsidRDefault="00F9511C" w:rsidP="00237FAB">
      <w:pPr>
        <w:rPr>
          <w:b/>
          <w:lang w:val="en-CA"/>
        </w:rPr>
      </w:pPr>
      <w:r w:rsidRPr="00237FAB">
        <w:rPr>
          <w:b/>
          <w:lang w:val="en-CA"/>
        </w:rPr>
        <w:t>Table 4: Status on the implementation of the chiller project</w:t>
      </w:r>
    </w:p>
    <w:tbl>
      <w:tblPr>
        <w:tblStyle w:val="TableGrid"/>
        <w:tblW w:w="9356" w:type="dxa"/>
        <w:tblInd w:w="108" w:type="dxa"/>
        <w:tblLook w:val="04A0" w:firstRow="1" w:lastRow="0" w:firstColumn="1" w:lastColumn="0" w:noHBand="0" w:noVBand="1"/>
      </w:tblPr>
      <w:tblGrid>
        <w:gridCol w:w="1560"/>
        <w:gridCol w:w="7796"/>
      </w:tblGrid>
      <w:tr w:rsidR="00F9511C" w:rsidRPr="00237FAB" w:rsidTr="007C65C5">
        <w:trPr>
          <w:tblHeader/>
        </w:trPr>
        <w:tc>
          <w:tcPr>
            <w:tcW w:w="1560" w:type="dxa"/>
          </w:tcPr>
          <w:p w:rsidR="00F9511C" w:rsidRPr="00237FAB" w:rsidRDefault="00F9511C" w:rsidP="00237FAB">
            <w:pPr>
              <w:jc w:val="center"/>
              <w:rPr>
                <w:b/>
                <w:sz w:val="20"/>
                <w:szCs w:val="20"/>
                <w:lang w:val="en-CA"/>
              </w:rPr>
            </w:pPr>
            <w:r w:rsidRPr="00237FAB">
              <w:rPr>
                <w:b/>
                <w:sz w:val="20"/>
                <w:szCs w:val="20"/>
                <w:lang w:val="en-CA"/>
              </w:rPr>
              <w:t>Country</w:t>
            </w:r>
          </w:p>
        </w:tc>
        <w:tc>
          <w:tcPr>
            <w:tcW w:w="7796" w:type="dxa"/>
          </w:tcPr>
          <w:p w:rsidR="00F9511C" w:rsidRPr="00237FAB" w:rsidRDefault="00F9511C" w:rsidP="00237FAB">
            <w:pPr>
              <w:jc w:val="center"/>
              <w:rPr>
                <w:b/>
                <w:sz w:val="20"/>
                <w:szCs w:val="20"/>
                <w:lang w:val="en-CA"/>
              </w:rPr>
            </w:pPr>
            <w:r w:rsidRPr="00237FAB">
              <w:rPr>
                <w:b/>
                <w:sz w:val="20"/>
                <w:szCs w:val="20"/>
                <w:lang w:val="en-CA"/>
              </w:rPr>
              <w:t>Project status</w:t>
            </w:r>
          </w:p>
        </w:tc>
      </w:tr>
      <w:tr w:rsidR="00F9511C" w:rsidRPr="00237FAB" w:rsidTr="007C65C5">
        <w:tc>
          <w:tcPr>
            <w:tcW w:w="1560" w:type="dxa"/>
          </w:tcPr>
          <w:p w:rsidR="00F9511C" w:rsidRPr="00237FAB" w:rsidRDefault="00F9511C" w:rsidP="00237FAB">
            <w:pPr>
              <w:rPr>
                <w:sz w:val="20"/>
                <w:szCs w:val="20"/>
                <w:lang w:val="en-CA"/>
              </w:rPr>
            </w:pPr>
            <w:r w:rsidRPr="00237FAB">
              <w:rPr>
                <w:sz w:val="20"/>
                <w:szCs w:val="20"/>
                <w:lang w:val="en-CA"/>
              </w:rPr>
              <w:t>Argentina</w:t>
            </w:r>
          </w:p>
        </w:tc>
        <w:tc>
          <w:tcPr>
            <w:tcW w:w="7796" w:type="dxa"/>
          </w:tcPr>
          <w:p w:rsidR="00F9511C" w:rsidRPr="00237FAB" w:rsidRDefault="00F9511C" w:rsidP="00237FAB">
            <w:pPr>
              <w:rPr>
                <w:sz w:val="20"/>
                <w:szCs w:val="20"/>
                <w:lang w:val="en-CA"/>
              </w:rPr>
            </w:pPr>
            <w:r w:rsidRPr="00237FAB">
              <w:rPr>
                <w:sz w:val="20"/>
                <w:szCs w:val="20"/>
                <w:lang w:val="en-CA"/>
              </w:rPr>
              <w:t>The project was incorporated into a new grant agreement between the Government and the World Bank that became effective in January 2015.</w:t>
            </w:r>
            <w:r w:rsidR="002636B8" w:rsidRPr="00237FAB">
              <w:rPr>
                <w:sz w:val="20"/>
                <w:szCs w:val="20"/>
                <w:lang w:val="en-CA"/>
              </w:rPr>
              <w:t xml:space="preserve"> </w:t>
            </w:r>
            <w:r w:rsidR="007760A9" w:rsidRPr="00237FAB">
              <w:rPr>
                <w:sz w:val="20"/>
                <w:szCs w:val="20"/>
                <w:lang w:val="en-CA"/>
              </w:rPr>
              <w:t>I</w:t>
            </w:r>
            <w:r w:rsidR="002636B8" w:rsidRPr="00237FAB">
              <w:rPr>
                <w:sz w:val="20"/>
                <w:szCs w:val="20"/>
                <w:lang w:val="en-CA"/>
              </w:rPr>
              <w:t xml:space="preserve">nformation dissemination to interested chiller owners </w:t>
            </w:r>
            <w:r w:rsidR="00FA07F4" w:rsidRPr="00237FAB">
              <w:rPr>
                <w:sz w:val="20"/>
                <w:szCs w:val="20"/>
                <w:lang w:val="en-CA"/>
              </w:rPr>
              <w:t>was</w:t>
            </w:r>
            <w:r w:rsidR="007760A9" w:rsidRPr="00237FAB">
              <w:rPr>
                <w:sz w:val="20"/>
                <w:szCs w:val="20"/>
                <w:lang w:val="en-CA"/>
              </w:rPr>
              <w:t xml:space="preserve"> </w:t>
            </w:r>
            <w:r w:rsidR="002636B8" w:rsidRPr="00237FAB">
              <w:rPr>
                <w:sz w:val="20"/>
                <w:szCs w:val="20"/>
                <w:lang w:val="en-CA"/>
              </w:rPr>
              <w:t>carried out. The first sub-grant agreements (SGAs</w:t>
            </w:r>
            <w:r w:rsidR="00985BF0" w:rsidRPr="00237FAB">
              <w:rPr>
                <w:sz w:val="20"/>
                <w:szCs w:val="20"/>
                <w:lang w:val="en-CA"/>
              </w:rPr>
              <w:t>)</w:t>
            </w:r>
            <w:r w:rsidR="002636B8" w:rsidRPr="00237FAB">
              <w:rPr>
                <w:sz w:val="20"/>
                <w:szCs w:val="20"/>
                <w:lang w:val="en-CA"/>
              </w:rPr>
              <w:t xml:space="preserve"> </w:t>
            </w:r>
            <w:r w:rsidR="002F418E" w:rsidRPr="00237FAB">
              <w:rPr>
                <w:sz w:val="20"/>
                <w:szCs w:val="20"/>
                <w:lang w:val="en-CA"/>
              </w:rPr>
              <w:t>were prepared for sign</w:t>
            </w:r>
            <w:r w:rsidR="006F2AB4" w:rsidRPr="00237FAB">
              <w:rPr>
                <w:sz w:val="20"/>
                <w:szCs w:val="20"/>
                <w:lang w:val="en-CA"/>
              </w:rPr>
              <w:t>ing</w:t>
            </w:r>
            <w:r w:rsidR="002F418E" w:rsidRPr="00237FAB">
              <w:rPr>
                <w:sz w:val="20"/>
                <w:szCs w:val="20"/>
                <w:lang w:val="en-CA"/>
              </w:rPr>
              <w:t xml:space="preserve"> by the </w:t>
            </w:r>
            <w:proofErr w:type="spellStart"/>
            <w:r w:rsidR="007760A9" w:rsidRPr="00237FAB">
              <w:rPr>
                <w:sz w:val="20"/>
                <w:szCs w:val="20"/>
                <w:lang w:val="en-CA"/>
              </w:rPr>
              <w:t>Fundación</w:t>
            </w:r>
            <w:proofErr w:type="spellEnd"/>
            <w:r w:rsidR="007760A9" w:rsidRPr="00237FAB">
              <w:rPr>
                <w:sz w:val="20"/>
                <w:szCs w:val="20"/>
                <w:lang w:val="en-CA"/>
              </w:rPr>
              <w:t xml:space="preserve"> </w:t>
            </w:r>
            <w:proofErr w:type="spellStart"/>
            <w:r w:rsidR="007760A9" w:rsidRPr="00237FAB">
              <w:rPr>
                <w:sz w:val="20"/>
                <w:szCs w:val="20"/>
                <w:lang w:val="en-CA"/>
              </w:rPr>
              <w:t>Favaloro</w:t>
            </w:r>
            <w:proofErr w:type="spellEnd"/>
            <w:r w:rsidR="002636B8" w:rsidRPr="00237FAB">
              <w:rPr>
                <w:sz w:val="20"/>
                <w:szCs w:val="20"/>
                <w:lang w:val="en-CA"/>
              </w:rPr>
              <w:t xml:space="preserve"> Hospital </w:t>
            </w:r>
            <w:proofErr w:type="spellStart"/>
            <w:r w:rsidR="002636B8" w:rsidRPr="00237FAB">
              <w:rPr>
                <w:sz w:val="20"/>
                <w:szCs w:val="20"/>
                <w:lang w:val="en-CA"/>
              </w:rPr>
              <w:t>Universitario</w:t>
            </w:r>
            <w:proofErr w:type="spellEnd"/>
            <w:r w:rsidR="002636B8" w:rsidRPr="00237FAB">
              <w:rPr>
                <w:sz w:val="20"/>
                <w:szCs w:val="20"/>
                <w:lang w:val="en-CA"/>
              </w:rPr>
              <w:t xml:space="preserve"> y de </w:t>
            </w:r>
            <w:proofErr w:type="spellStart"/>
            <w:r w:rsidR="002636B8" w:rsidRPr="00237FAB">
              <w:rPr>
                <w:sz w:val="20"/>
                <w:szCs w:val="20"/>
                <w:lang w:val="en-CA"/>
              </w:rPr>
              <w:t>Investigación</w:t>
            </w:r>
            <w:proofErr w:type="spellEnd"/>
            <w:r w:rsidR="002636B8" w:rsidRPr="00237FAB">
              <w:rPr>
                <w:sz w:val="20"/>
                <w:szCs w:val="20"/>
                <w:lang w:val="en-CA"/>
              </w:rPr>
              <w:t xml:space="preserve"> </w:t>
            </w:r>
            <w:proofErr w:type="spellStart"/>
            <w:r w:rsidR="002636B8" w:rsidRPr="00237FAB">
              <w:rPr>
                <w:sz w:val="20"/>
                <w:szCs w:val="20"/>
                <w:lang w:val="en-CA"/>
              </w:rPr>
              <w:t>Médica</w:t>
            </w:r>
            <w:proofErr w:type="spellEnd"/>
            <w:r w:rsidR="002636B8" w:rsidRPr="00237FAB">
              <w:rPr>
                <w:sz w:val="20"/>
                <w:szCs w:val="20"/>
                <w:lang w:val="en-CA"/>
              </w:rPr>
              <w:t xml:space="preserve"> for two chiller units.</w:t>
            </w:r>
          </w:p>
        </w:tc>
      </w:tr>
      <w:tr w:rsidR="00F9511C" w:rsidRPr="00237FAB" w:rsidTr="007C65C5">
        <w:tc>
          <w:tcPr>
            <w:tcW w:w="1560" w:type="dxa"/>
          </w:tcPr>
          <w:p w:rsidR="00F9511C" w:rsidRPr="00237FAB" w:rsidRDefault="00F9511C" w:rsidP="00237FAB">
            <w:pPr>
              <w:rPr>
                <w:sz w:val="20"/>
                <w:szCs w:val="20"/>
                <w:lang w:val="en-CA"/>
              </w:rPr>
            </w:pPr>
            <w:r w:rsidRPr="00237FAB">
              <w:rPr>
                <w:sz w:val="20"/>
                <w:szCs w:val="20"/>
                <w:lang w:val="en-CA"/>
              </w:rPr>
              <w:t>India</w:t>
            </w:r>
          </w:p>
        </w:tc>
        <w:tc>
          <w:tcPr>
            <w:tcW w:w="7796" w:type="dxa"/>
          </w:tcPr>
          <w:p w:rsidR="00F9511C" w:rsidRPr="00237FAB" w:rsidRDefault="00F9511C" w:rsidP="00237FAB">
            <w:pPr>
              <w:rPr>
                <w:sz w:val="20"/>
                <w:szCs w:val="20"/>
                <w:lang w:val="en-CA"/>
              </w:rPr>
            </w:pPr>
            <w:r w:rsidRPr="00237FAB">
              <w:rPr>
                <w:sz w:val="20"/>
                <w:szCs w:val="20"/>
                <w:lang w:val="en-CA"/>
              </w:rPr>
              <w:t>The project was closed in December 2014 and financially completed in April 2015.</w:t>
            </w:r>
          </w:p>
        </w:tc>
      </w:tr>
      <w:tr w:rsidR="00F9511C" w:rsidRPr="00237FAB" w:rsidTr="007C65C5">
        <w:tc>
          <w:tcPr>
            <w:tcW w:w="1560" w:type="dxa"/>
          </w:tcPr>
          <w:p w:rsidR="00F9511C" w:rsidRPr="00237FAB" w:rsidRDefault="00F9511C" w:rsidP="00237FAB">
            <w:pPr>
              <w:rPr>
                <w:sz w:val="20"/>
                <w:szCs w:val="20"/>
                <w:lang w:val="en-CA"/>
              </w:rPr>
            </w:pPr>
            <w:r w:rsidRPr="00237FAB">
              <w:rPr>
                <w:sz w:val="20"/>
                <w:szCs w:val="20"/>
                <w:lang w:val="en-CA"/>
              </w:rPr>
              <w:t>Indonesia</w:t>
            </w:r>
          </w:p>
        </w:tc>
        <w:tc>
          <w:tcPr>
            <w:tcW w:w="7796" w:type="dxa"/>
          </w:tcPr>
          <w:p w:rsidR="00F9511C" w:rsidRPr="00237FAB" w:rsidRDefault="00F9511C" w:rsidP="00237FAB">
            <w:pPr>
              <w:rPr>
                <w:sz w:val="20"/>
                <w:szCs w:val="20"/>
                <w:lang w:val="en-CA"/>
              </w:rPr>
            </w:pPr>
            <w:r w:rsidRPr="00237FAB">
              <w:rPr>
                <w:sz w:val="20"/>
                <w:szCs w:val="20"/>
                <w:lang w:val="en-CA"/>
              </w:rPr>
              <w:t xml:space="preserve">The project </w:t>
            </w:r>
            <w:r w:rsidR="007760A9" w:rsidRPr="00237FAB">
              <w:rPr>
                <w:sz w:val="20"/>
                <w:szCs w:val="20"/>
                <w:lang w:val="en-CA"/>
              </w:rPr>
              <w:t>w</w:t>
            </w:r>
            <w:r w:rsidRPr="00237FAB">
              <w:rPr>
                <w:sz w:val="20"/>
                <w:szCs w:val="20"/>
                <w:lang w:val="en-CA"/>
              </w:rPr>
              <w:t xml:space="preserve">as canceled after failure to obtain endorsement from the Global Environment Facility (GEF) due to objections on possible use of HFC-based </w:t>
            </w:r>
            <w:r w:rsidR="007760A9" w:rsidRPr="00237FAB">
              <w:rPr>
                <w:sz w:val="20"/>
                <w:szCs w:val="20"/>
                <w:lang w:val="en-CA"/>
              </w:rPr>
              <w:t>chillers</w:t>
            </w:r>
            <w:r w:rsidRPr="00237FAB">
              <w:rPr>
                <w:sz w:val="20"/>
                <w:szCs w:val="20"/>
                <w:lang w:val="en-CA"/>
              </w:rPr>
              <w:t>.</w:t>
            </w:r>
          </w:p>
        </w:tc>
      </w:tr>
      <w:tr w:rsidR="00F9511C" w:rsidRPr="00237FAB" w:rsidTr="007C65C5">
        <w:tc>
          <w:tcPr>
            <w:tcW w:w="1560" w:type="dxa"/>
          </w:tcPr>
          <w:p w:rsidR="00F9511C" w:rsidRPr="00237FAB" w:rsidRDefault="00F9511C" w:rsidP="00237FAB">
            <w:pPr>
              <w:rPr>
                <w:sz w:val="20"/>
                <w:szCs w:val="20"/>
                <w:lang w:val="en-CA"/>
              </w:rPr>
            </w:pPr>
            <w:r w:rsidRPr="00237FAB">
              <w:rPr>
                <w:sz w:val="20"/>
                <w:szCs w:val="20"/>
                <w:lang w:val="en-CA"/>
              </w:rPr>
              <w:t>Jordan</w:t>
            </w:r>
          </w:p>
        </w:tc>
        <w:tc>
          <w:tcPr>
            <w:tcW w:w="7796" w:type="dxa"/>
          </w:tcPr>
          <w:p w:rsidR="00F9511C" w:rsidRPr="00237FAB" w:rsidRDefault="00F9511C" w:rsidP="00237FAB">
            <w:pPr>
              <w:rPr>
                <w:sz w:val="20"/>
                <w:szCs w:val="20"/>
                <w:lang w:val="en-CA"/>
              </w:rPr>
            </w:pPr>
            <w:r w:rsidRPr="00237FAB">
              <w:rPr>
                <w:sz w:val="20"/>
                <w:szCs w:val="20"/>
                <w:lang w:val="en-CA"/>
              </w:rPr>
              <w:t>The project was completed in 2013.</w:t>
            </w:r>
          </w:p>
        </w:tc>
      </w:tr>
      <w:tr w:rsidR="00F9511C" w:rsidRPr="00237FAB" w:rsidTr="007C65C5">
        <w:tc>
          <w:tcPr>
            <w:tcW w:w="1560" w:type="dxa"/>
          </w:tcPr>
          <w:p w:rsidR="00F9511C" w:rsidRPr="00237FAB" w:rsidRDefault="00F9511C" w:rsidP="00237FAB">
            <w:pPr>
              <w:rPr>
                <w:sz w:val="20"/>
                <w:szCs w:val="20"/>
                <w:lang w:val="en-CA"/>
              </w:rPr>
            </w:pPr>
            <w:r w:rsidRPr="00237FAB">
              <w:rPr>
                <w:sz w:val="20"/>
                <w:szCs w:val="20"/>
                <w:lang w:val="en-CA"/>
              </w:rPr>
              <w:t>Philippines (the)</w:t>
            </w:r>
          </w:p>
        </w:tc>
        <w:tc>
          <w:tcPr>
            <w:tcW w:w="7796" w:type="dxa"/>
          </w:tcPr>
          <w:p w:rsidR="002636B8" w:rsidRPr="00237FAB" w:rsidRDefault="002636B8" w:rsidP="00237FAB">
            <w:pPr>
              <w:rPr>
                <w:sz w:val="20"/>
                <w:szCs w:val="20"/>
                <w:lang w:val="en-CA"/>
              </w:rPr>
            </w:pPr>
            <w:r w:rsidRPr="00237FAB">
              <w:rPr>
                <w:sz w:val="20"/>
                <w:szCs w:val="20"/>
                <w:lang w:val="en-CA"/>
              </w:rPr>
              <w:t xml:space="preserve">Thirteen </w:t>
            </w:r>
            <w:r w:rsidR="007760A9" w:rsidRPr="00237FAB">
              <w:rPr>
                <w:sz w:val="20"/>
                <w:szCs w:val="20"/>
                <w:lang w:val="en-CA"/>
              </w:rPr>
              <w:t xml:space="preserve">additional </w:t>
            </w:r>
            <w:r w:rsidRPr="00237FAB">
              <w:rPr>
                <w:sz w:val="20"/>
                <w:szCs w:val="20"/>
                <w:lang w:val="en-CA"/>
              </w:rPr>
              <w:t xml:space="preserve">SGAs were signed resulting in a total </w:t>
            </w:r>
            <w:r w:rsidR="00985BF0" w:rsidRPr="00237FAB">
              <w:rPr>
                <w:sz w:val="20"/>
                <w:szCs w:val="20"/>
                <w:lang w:val="en-CA"/>
              </w:rPr>
              <w:t xml:space="preserve">of </w:t>
            </w:r>
            <w:r w:rsidR="006F2AB4" w:rsidRPr="00237FAB">
              <w:rPr>
                <w:sz w:val="20"/>
                <w:szCs w:val="20"/>
                <w:lang w:val="en-CA"/>
              </w:rPr>
              <w:t>37 SGAs signed covering 82 </w:t>
            </w:r>
            <w:r w:rsidRPr="00237FAB">
              <w:rPr>
                <w:sz w:val="20"/>
                <w:szCs w:val="20"/>
                <w:lang w:val="en-CA"/>
              </w:rPr>
              <w:t xml:space="preserve">chiller replacements, of which 42 </w:t>
            </w:r>
            <w:r w:rsidR="00985BF0" w:rsidRPr="00237FAB">
              <w:rPr>
                <w:sz w:val="20"/>
                <w:szCs w:val="20"/>
                <w:lang w:val="en-CA"/>
              </w:rPr>
              <w:t xml:space="preserve">were </w:t>
            </w:r>
            <w:r w:rsidRPr="00237FAB">
              <w:rPr>
                <w:sz w:val="20"/>
                <w:szCs w:val="20"/>
                <w:lang w:val="en-CA"/>
              </w:rPr>
              <w:t xml:space="preserve">completed by </w:t>
            </w:r>
            <w:r w:rsidR="00985BF0" w:rsidRPr="00237FAB">
              <w:rPr>
                <w:sz w:val="20"/>
                <w:szCs w:val="20"/>
                <w:lang w:val="en-CA"/>
              </w:rPr>
              <w:t xml:space="preserve">the </w:t>
            </w:r>
            <w:r w:rsidRPr="00237FAB">
              <w:rPr>
                <w:sz w:val="20"/>
                <w:szCs w:val="20"/>
                <w:lang w:val="en-CA"/>
              </w:rPr>
              <w:t>end 2015.</w:t>
            </w:r>
          </w:p>
        </w:tc>
      </w:tr>
    </w:tbl>
    <w:p w:rsidR="00F9511C" w:rsidRPr="00237FAB" w:rsidRDefault="00F9511C" w:rsidP="00237FAB">
      <w:pPr>
        <w:pStyle w:val="Heading1"/>
        <w:numPr>
          <w:ilvl w:val="0"/>
          <w:numId w:val="0"/>
        </w:numPr>
        <w:spacing w:after="0"/>
        <w:rPr>
          <w:lang w:val="en-CA"/>
        </w:rPr>
      </w:pPr>
    </w:p>
    <w:p w:rsidR="00CF2269" w:rsidRPr="00237FAB" w:rsidRDefault="0029659C" w:rsidP="00237FAB">
      <w:pPr>
        <w:pStyle w:val="Heading1"/>
        <w:spacing w:after="0"/>
        <w:rPr>
          <w:lang w:val="en-CA"/>
        </w:rPr>
      </w:pPr>
      <w:r w:rsidRPr="00237FAB">
        <w:rPr>
          <w:lang w:val="en-CA"/>
        </w:rPr>
        <w:t>A specific report is being requested</w:t>
      </w:r>
      <w:r w:rsidR="00CE18C2" w:rsidRPr="00237FAB">
        <w:rPr>
          <w:lang w:val="en-CA"/>
        </w:rPr>
        <w:t xml:space="preserve"> in the consolidated progress report</w:t>
      </w:r>
      <w:r w:rsidRPr="00237FAB">
        <w:rPr>
          <w:lang w:val="en-CA"/>
        </w:rPr>
        <w:t>, given the excessive delay in implementation</w:t>
      </w:r>
      <w:r w:rsidR="00CE18C2" w:rsidRPr="00237FAB">
        <w:rPr>
          <w:lang w:val="en-CA"/>
        </w:rPr>
        <w:t xml:space="preserve">. </w:t>
      </w:r>
    </w:p>
    <w:p w:rsidR="005E635B" w:rsidRPr="00237FAB" w:rsidRDefault="005E635B" w:rsidP="00237FAB">
      <w:pPr>
        <w:rPr>
          <w:lang w:val="en-CA"/>
        </w:rPr>
      </w:pPr>
    </w:p>
    <w:p w:rsidR="00F9511C" w:rsidRPr="00237FAB" w:rsidRDefault="00F9511C" w:rsidP="00237FAB">
      <w:pPr>
        <w:rPr>
          <w:u w:val="single"/>
          <w:lang w:val="en-CA"/>
        </w:rPr>
      </w:pPr>
      <w:r w:rsidRPr="00237FAB">
        <w:rPr>
          <w:u w:val="single"/>
          <w:lang w:val="en-CA"/>
        </w:rPr>
        <w:t>Projects related to the phase-out of HCFCs</w:t>
      </w:r>
    </w:p>
    <w:p w:rsidR="00F9511C" w:rsidRPr="00237FAB" w:rsidRDefault="00F9511C" w:rsidP="00237FAB">
      <w:pPr>
        <w:rPr>
          <w:u w:val="single"/>
          <w:lang w:val="en-CA"/>
        </w:rPr>
      </w:pPr>
    </w:p>
    <w:p w:rsidR="00F9511C" w:rsidRPr="00237FAB" w:rsidRDefault="00F9511C" w:rsidP="00237FAB">
      <w:pPr>
        <w:rPr>
          <w:i/>
          <w:lang w:val="en-CA"/>
        </w:rPr>
      </w:pPr>
      <w:r w:rsidRPr="00237FAB">
        <w:rPr>
          <w:i/>
          <w:lang w:val="en-CA"/>
        </w:rPr>
        <w:t>HPMP preparation</w:t>
      </w:r>
    </w:p>
    <w:p w:rsidR="00F9511C" w:rsidRPr="00237FAB" w:rsidRDefault="00F9511C" w:rsidP="00237FAB">
      <w:pPr>
        <w:rPr>
          <w:lang w:val="en-CA"/>
        </w:rPr>
      </w:pPr>
    </w:p>
    <w:p w:rsidR="00E755B4" w:rsidRPr="00237FAB" w:rsidRDefault="0032012B" w:rsidP="00237FAB">
      <w:pPr>
        <w:pStyle w:val="Heading1"/>
        <w:rPr>
          <w:lang w:val="en-CA"/>
        </w:rPr>
      </w:pPr>
      <w:r w:rsidRPr="00237FAB">
        <w:rPr>
          <w:lang w:val="en-CA"/>
        </w:rPr>
        <w:t>As of 31 December 2015</w:t>
      </w:r>
      <w:r w:rsidR="00F9511C" w:rsidRPr="00237FAB">
        <w:rPr>
          <w:lang w:val="en-CA"/>
        </w:rPr>
        <w:t>, the Executive Committee has approved US $</w:t>
      </w:r>
      <w:r w:rsidR="00EC4BDF" w:rsidRPr="00237FAB">
        <w:rPr>
          <w:lang w:val="en-CA"/>
        </w:rPr>
        <w:t xml:space="preserve">4.08 </w:t>
      </w:r>
      <w:r w:rsidR="00F9511C" w:rsidRPr="00237FAB">
        <w:rPr>
          <w:lang w:val="en-CA"/>
        </w:rPr>
        <w:t xml:space="preserve">million for </w:t>
      </w:r>
      <w:r w:rsidR="00EC4BDF" w:rsidRPr="00237FAB">
        <w:rPr>
          <w:lang w:val="en-CA"/>
        </w:rPr>
        <w:t>30</w:t>
      </w:r>
      <w:r w:rsidR="00F9511C" w:rsidRPr="00237FAB">
        <w:rPr>
          <w:lang w:val="en-CA"/>
        </w:rPr>
        <w:t> project preparation activities in seven Article 5 countries to address HCFC control measures. Implementation of these activities resulted in the approval of stage I of HPMPs in six Article 5 countries</w:t>
      </w:r>
      <w:r w:rsidR="00F9511C" w:rsidRPr="00237FAB">
        <w:rPr>
          <w:rStyle w:val="FootnoteReference"/>
          <w:lang w:val="en-CA"/>
        </w:rPr>
        <w:footnoteReference w:id="6"/>
      </w:r>
      <w:r w:rsidR="00F9511C" w:rsidRPr="00237FAB">
        <w:rPr>
          <w:lang w:val="en-CA"/>
        </w:rPr>
        <w:t>.</w:t>
      </w:r>
      <w:r w:rsidR="00281FF9" w:rsidRPr="00237FAB">
        <w:rPr>
          <w:lang w:val="en-CA"/>
        </w:rPr>
        <w:t xml:space="preserve"> No major issue has been identified in reviewing ongoing </w:t>
      </w:r>
      <w:r w:rsidR="00903B21" w:rsidRPr="00237FAB">
        <w:rPr>
          <w:lang w:val="en-CA"/>
        </w:rPr>
        <w:t>s</w:t>
      </w:r>
      <w:r w:rsidR="00F9511C" w:rsidRPr="00237FAB">
        <w:rPr>
          <w:lang w:val="en-CA"/>
        </w:rPr>
        <w:t>tage II of HPMP</w:t>
      </w:r>
      <w:r w:rsidR="00281FF9" w:rsidRPr="00237FAB">
        <w:rPr>
          <w:lang w:val="en-CA"/>
        </w:rPr>
        <w:t xml:space="preserve"> preparation. Nevertheless, it should be highlighted that in the case of </w:t>
      </w:r>
      <w:r w:rsidR="00903B21" w:rsidRPr="00237FAB">
        <w:rPr>
          <w:lang w:val="en-CA"/>
        </w:rPr>
        <w:t xml:space="preserve">the HPMP in the </w:t>
      </w:r>
      <w:r w:rsidR="00BE386C" w:rsidRPr="00237FAB">
        <w:rPr>
          <w:lang w:val="en-CA"/>
        </w:rPr>
        <w:t xml:space="preserve">Philippines </w:t>
      </w:r>
      <w:r w:rsidR="00281FF9" w:rsidRPr="00237FAB">
        <w:rPr>
          <w:lang w:val="en-CA"/>
        </w:rPr>
        <w:t xml:space="preserve">which is planned for submission to the </w:t>
      </w:r>
      <w:r w:rsidR="00281FF9" w:rsidRPr="00237FAB">
        <w:rPr>
          <w:lang w:val="en-CA"/>
        </w:rPr>
        <w:lastRenderedPageBreak/>
        <w:t>78</w:t>
      </w:r>
      <w:r w:rsidR="00281FF9" w:rsidRPr="00237FAB">
        <w:rPr>
          <w:vertAlign w:val="superscript"/>
          <w:lang w:val="en-CA"/>
        </w:rPr>
        <w:t>th</w:t>
      </w:r>
      <w:r w:rsidR="00903B21" w:rsidRPr="00237FAB">
        <w:rPr>
          <w:lang w:val="en-CA"/>
        </w:rPr>
        <w:t> meeting, a possible over-</w:t>
      </w:r>
      <w:r w:rsidR="00281FF9" w:rsidRPr="00237FAB">
        <w:rPr>
          <w:lang w:val="en-CA"/>
        </w:rPr>
        <w:t xml:space="preserve">expenditure was noted by the Secretariat. This issue would be addressed by future balances reports. </w:t>
      </w:r>
    </w:p>
    <w:p w:rsidR="006F2D06" w:rsidRPr="00237FAB" w:rsidRDefault="006F2D06" w:rsidP="00237FAB">
      <w:pPr>
        <w:rPr>
          <w:i/>
          <w:lang w:val="en-CA"/>
        </w:rPr>
      </w:pPr>
      <w:r w:rsidRPr="00237FAB">
        <w:rPr>
          <w:i/>
          <w:lang w:val="en-CA"/>
        </w:rPr>
        <w:t>ODS alternative surveys</w:t>
      </w:r>
    </w:p>
    <w:p w:rsidR="00642340" w:rsidRPr="00237FAB" w:rsidRDefault="00642340" w:rsidP="00237FAB">
      <w:pPr>
        <w:rPr>
          <w:i/>
          <w:lang w:val="en-CA"/>
        </w:rPr>
      </w:pPr>
    </w:p>
    <w:p w:rsidR="00642340" w:rsidRPr="00237FAB" w:rsidRDefault="00642340" w:rsidP="00237FAB">
      <w:pPr>
        <w:pStyle w:val="Heading1"/>
        <w:rPr>
          <w:lang w:val="en-CA"/>
        </w:rPr>
      </w:pPr>
      <w:r w:rsidRPr="00237FAB">
        <w:rPr>
          <w:lang w:val="en-CA"/>
        </w:rPr>
        <w:t>The Executive Committee has approved three</w:t>
      </w:r>
      <w:r w:rsidRPr="00237FAB">
        <w:t xml:space="preserve"> </w:t>
      </w:r>
      <w:r w:rsidR="0032012B" w:rsidRPr="00237FAB">
        <w:rPr>
          <w:lang w:val="en-CA"/>
        </w:rPr>
        <w:t>ODS alternative surveys</w:t>
      </w:r>
      <w:r w:rsidR="007760A9" w:rsidRPr="00237FAB">
        <w:rPr>
          <w:rStyle w:val="FootnoteReference"/>
          <w:lang w:val="en-CA"/>
        </w:rPr>
        <w:footnoteReference w:id="7"/>
      </w:r>
      <w:r w:rsidR="0032012B" w:rsidRPr="00237FAB">
        <w:rPr>
          <w:i/>
          <w:lang w:val="en-CA"/>
        </w:rPr>
        <w:t xml:space="preserve"> </w:t>
      </w:r>
      <w:r w:rsidR="0032012B" w:rsidRPr="00237FAB">
        <w:rPr>
          <w:lang w:val="en-CA"/>
        </w:rPr>
        <w:t>(</w:t>
      </w:r>
      <w:r w:rsidR="00903B21" w:rsidRPr="00237FAB">
        <w:rPr>
          <w:lang w:val="en-CA"/>
        </w:rPr>
        <w:t xml:space="preserve">in </w:t>
      </w:r>
      <w:r w:rsidR="00985BF0" w:rsidRPr="00237FAB">
        <w:rPr>
          <w:lang w:val="en-CA"/>
        </w:rPr>
        <w:t xml:space="preserve">the </w:t>
      </w:r>
      <w:r w:rsidR="0032012B" w:rsidRPr="00237FAB">
        <w:rPr>
          <w:lang w:val="en-CA"/>
        </w:rPr>
        <w:t>Philippines, Thailand and Viet</w:t>
      </w:r>
      <w:r w:rsidR="00985BF0" w:rsidRPr="00237FAB">
        <w:rPr>
          <w:lang w:val="en-CA"/>
        </w:rPr>
        <w:t> N</w:t>
      </w:r>
      <w:r w:rsidR="007760A9" w:rsidRPr="00237FAB">
        <w:rPr>
          <w:lang w:val="en-CA"/>
        </w:rPr>
        <w:t xml:space="preserve">am). The implementation of the </w:t>
      </w:r>
      <w:r w:rsidR="005E635B" w:rsidRPr="00237FAB">
        <w:rPr>
          <w:lang w:val="en-CA"/>
        </w:rPr>
        <w:t>th</w:t>
      </w:r>
      <w:r w:rsidR="00CD3936" w:rsidRPr="00237FAB">
        <w:rPr>
          <w:lang w:val="en-CA"/>
        </w:rPr>
        <w:t xml:space="preserve">ree surveys </w:t>
      </w:r>
      <w:r w:rsidR="007760A9" w:rsidRPr="00237FAB">
        <w:rPr>
          <w:lang w:val="en-CA"/>
        </w:rPr>
        <w:t>has been delayed and the results are expected to be submitted to the 78</w:t>
      </w:r>
      <w:r w:rsidR="007760A9" w:rsidRPr="00237FAB">
        <w:rPr>
          <w:vertAlign w:val="superscript"/>
          <w:lang w:val="en-CA"/>
        </w:rPr>
        <w:t>th</w:t>
      </w:r>
      <w:r w:rsidR="007760A9" w:rsidRPr="00237FAB">
        <w:rPr>
          <w:lang w:val="en-CA"/>
        </w:rPr>
        <w:t> meeting</w:t>
      </w:r>
      <w:r w:rsidR="005E635B" w:rsidRPr="00237FAB">
        <w:rPr>
          <w:lang w:val="en-CA"/>
        </w:rPr>
        <w:t xml:space="preserve">. </w:t>
      </w:r>
    </w:p>
    <w:p w:rsidR="003B5B21" w:rsidRPr="00237FAB" w:rsidRDefault="002C6B0B" w:rsidP="00237FAB">
      <w:pPr>
        <w:pStyle w:val="Heading1"/>
        <w:rPr>
          <w:lang w:val="en-CA"/>
        </w:rPr>
      </w:pPr>
      <w:r w:rsidRPr="00237FAB">
        <w:rPr>
          <w:lang w:val="en-CA"/>
        </w:rPr>
        <w:t>The need to complete and submit all surveys of ODS alternatives by January 2017 is addressed in the consolidated progress report.</w:t>
      </w:r>
    </w:p>
    <w:p w:rsidR="00F9511C" w:rsidRPr="00237FAB" w:rsidRDefault="00F9511C" w:rsidP="00237FAB">
      <w:pPr>
        <w:rPr>
          <w:i/>
          <w:lang w:val="en-CA"/>
        </w:rPr>
      </w:pPr>
      <w:r w:rsidRPr="00237FAB">
        <w:rPr>
          <w:i/>
          <w:lang w:val="en-CA"/>
        </w:rPr>
        <w:t>HCFC demonstration projects</w:t>
      </w:r>
    </w:p>
    <w:p w:rsidR="00F9511C" w:rsidRPr="00237FAB" w:rsidRDefault="00F9511C" w:rsidP="00237FAB">
      <w:pPr>
        <w:rPr>
          <w:i/>
          <w:lang w:val="en-CA"/>
        </w:rPr>
      </w:pPr>
    </w:p>
    <w:p w:rsidR="00F9511C" w:rsidRPr="00237FAB" w:rsidRDefault="00F9511C" w:rsidP="00237FAB">
      <w:pPr>
        <w:pStyle w:val="Heading1"/>
        <w:rPr>
          <w:lang w:val="en-CA"/>
        </w:rPr>
      </w:pPr>
      <w:r w:rsidRPr="00237FAB">
        <w:rPr>
          <w:lang w:val="en-CA"/>
        </w:rPr>
        <w:t>As of 31 December 201</w:t>
      </w:r>
      <w:r w:rsidR="00642340" w:rsidRPr="00237FAB">
        <w:rPr>
          <w:lang w:val="en-CA"/>
        </w:rPr>
        <w:t>5</w:t>
      </w:r>
      <w:r w:rsidRPr="00237FAB">
        <w:rPr>
          <w:lang w:val="en-CA"/>
        </w:rPr>
        <w:t xml:space="preserve">, </w:t>
      </w:r>
      <w:r w:rsidR="003C0EBD" w:rsidRPr="00237FAB">
        <w:rPr>
          <w:lang w:val="en-CA"/>
        </w:rPr>
        <w:t xml:space="preserve">of the two approved HCFC demonstration projects in the foam sector for China, </w:t>
      </w:r>
      <w:r w:rsidRPr="00237FAB">
        <w:rPr>
          <w:lang w:val="en-CA"/>
        </w:rPr>
        <w:t>one has been completed</w:t>
      </w:r>
      <w:r w:rsidR="003C0EBD" w:rsidRPr="00237FAB">
        <w:rPr>
          <w:lang w:val="en-CA"/>
        </w:rPr>
        <w:t>;</w:t>
      </w:r>
      <w:r w:rsidRPr="00237FAB">
        <w:rPr>
          <w:lang w:val="en-CA"/>
        </w:rPr>
        <w:t xml:space="preserve"> </w:t>
      </w:r>
      <w:r w:rsidR="003C0EBD" w:rsidRPr="00237FAB">
        <w:rPr>
          <w:lang w:val="en-CA"/>
        </w:rPr>
        <w:t>t</w:t>
      </w:r>
      <w:r w:rsidR="00BE386C" w:rsidRPr="00237FAB">
        <w:rPr>
          <w:lang w:val="en-CA"/>
        </w:rPr>
        <w:t>he</w:t>
      </w:r>
      <w:r w:rsidR="003C0EBD" w:rsidRPr="00237FAB">
        <w:rPr>
          <w:lang w:val="en-CA"/>
        </w:rPr>
        <w:t xml:space="preserve"> </w:t>
      </w:r>
      <w:r w:rsidR="00BE386C" w:rsidRPr="00237FAB">
        <w:rPr>
          <w:lang w:val="en-CA"/>
        </w:rPr>
        <w:t xml:space="preserve">other </w:t>
      </w:r>
      <w:r w:rsidR="00B432EE" w:rsidRPr="00237FAB">
        <w:rPr>
          <w:lang w:val="en-CA"/>
        </w:rPr>
        <w:t>(</w:t>
      </w:r>
      <w:r w:rsidR="006459AC" w:rsidRPr="00237FAB">
        <w:rPr>
          <w:lang w:val="en-CA"/>
        </w:rPr>
        <w:t>conversion demonstration from HCFC</w:t>
      </w:r>
      <w:r w:rsidR="006459AC" w:rsidRPr="00237FAB">
        <w:rPr>
          <w:lang w:val="en-CA"/>
        </w:rPr>
        <w:noBreakHyphen/>
        <w:t>141b</w:t>
      </w:r>
      <w:r w:rsidR="006459AC" w:rsidRPr="00237FAB">
        <w:rPr>
          <w:lang w:val="en-CA"/>
        </w:rPr>
        <w:noBreakHyphen/>
        <w:t xml:space="preserve">based to </w:t>
      </w:r>
      <w:proofErr w:type="spellStart"/>
      <w:r w:rsidR="006459AC" w:rsidRPr="00237FAB">
        <w:rPr>
          <w:lang w:val="en-CA"/>
        </w:rPr>
        <w:t>cyclopentane</w:t>
      </w:r>
      <w:proofErr w:type="spellEnd"/>
      <w:r w:rsidR="006459AC" w:rsidRPr="00237FAB">
        <w:rPr>
          <w:lang w:val="en-CA"/>
        </w:rPr>
        <w:t xml:space="preserve">-based pre-blended polyol in the manufacture of rigid polyurethane foam at Guangdong </w:t>
      </w:r>
      <w:proofErr w:type="spellStart"/>
      <w:r w:rsidR="006459AC" w:rsidRPr="00237FAB">
        <w:rPr>
          <w:lang w:val="en-CA"/>
        </w:rPr>
        <w:t>Wanhua</w:t>
      </w:r>
      <w:proofErr w:type="spellEnd"/>
      <w:r w:rsidR="006459AC" w:rsidRPr="00237FAB">
        <w:rPr>
          <w:lang w:val="en-CA"/>
        </w:rPr>
        <w:t xml:space="preserve"> </w:t>
      </w:r>
      <w:proofErr w:type="spellStart"/>
      <w:r w:rsidR="006459AC" w:rsidRPr="00237FAB">
        <w:rPr>
          <w:lang w:val="en-CA"/>
        </w:rPr>
        <w:t>Rongwei</w:t>
      </w:r>
      <w:proofErr w:type="spellEnd"/>
      <w:r w:rsidR="006459AC" w:rsidRPr="00237FAB">
        <w:rPr>
          <w:lang w:val="en-CA"/>
        </w:rPr>
        <w:t xml:space="preserve"> Polyurethane Co. Ltd</w:t>
      </w:r>
      <w:r w:rsidRPr="00237FAB">
        <w:rPr>
          <w:lang w:val="en-CA"/>
        </w:rPr>
        <w:t>, (CPR/FOA/59/DEM/491)</w:t>
      </w:r>
      <w:r w:rsidR="00B432EE" w:rsidRPr="00237FAB">
        <w:rPr>
          <w:lang w:val="en-CA"/>
        </w:rPr>
        <w:t>)</w:t>
      </w:r>
      <w:r w:rsidRPr="00237FAB">
        <w:rPr>
          <w:lang w:val="en-CA"/>
        </w:rPr>
        <w:t xml:space="preserve"> covering three enter</w:t>
      </w:r>
      <w:r w:rsidR="007760A9" w:rsidRPr="00237FAB">
        <w:rPr>
          <w:lang w:val="en-CA"/>
        </w:rPr>
        <w:t>prises and approved in November </w:t>
      </w:r>
      <w:r w:rsidRPr="00237FAB">
        <w:rPr>
          <w:lang w:val="en-CA"/>
        </w:rPr>
        <w:t>2009,</w:t>
      </w:r>
      <w:r w:rsidR="007760A9" w:rsidRPr="00237FAB">
        <w:rPr>
          <w:lang w:val="en-CA"/>
        </w:rPr>
        <w:t xml:space="preserve"> is still ongoing</w:t>
      </w:r>
      <w:r w:rsidRPr="00237FAB">
        <w:rPr>
          <w:lang w:val="en-CA"/>
        </w:rPr>
        <w:t xml:space="preserve">. </w:t>
      </w:r>
      <w:r w:rsidR="003C0EBD" w:rsidRPr="00237FAB">
        <w:rPr>
          <w:lang w:val="en-CA"/>
        </w:rPr>
        <w:t>T</w:t>
      </w:r>
      <w:r w:rsidRPr="00237FAB">
        <w:rPr>
          <w:lang w:val="en-CA"/>
        </w:rPr>
        <w:t>wo enterprises are fully o</w:t>
      </w:r>
      <w:r w:rsidR="00CD7E6F" w:rsidRPr="00237FAB">
        <w:rPr>
          <w:lang w:val="en-CA"/>
        </w:rPr>
        <w:t>perational with hydrocarbon pre</w:t>
      </w:r>
      <w:r w:rsidR="00CD7E6F" w:rsidRPr="00237FAB">
        <w:rPr>
          <w:lang w:val="en-CA"/>
        </w:rPr>
        <w:noBreakHyphen/>
      </w:r>
      <w:r w:rsidRPr="00237FAB">
        <w:rPr>
          <w:lang w:val="en-CA"/>
        </w:rPr>
        <w:t>blende</w:t>
      </w:r>
      <w:r w:rsidR="00BE386C" w:rsidRPr="00237FAB">
        <w:rPr>
          <w:lang w:val="en-CA"/>
        </w:rPr>
        <w:t>d polyols</w:t>
      </w:r>
      <w:r w:rsidR="007760A9" w:rsidRPr="00237FAB">
        <w:rPr>
          <w:lang w:val="en-CA"/>
        </w:rPr>
        <w:t xml:space="preserve"> since 2015</w:t>
      </w:r>
      <w:r w:rsidRPr="00237FAB">
        <w:rPr>
          <w:lang w:val="en-CA"/>
        </w:rPr>
        <w:t xml:space="preserve">. The </w:t>
      </w:r>
      <w:r w:rsidR="007760A9" w:rsidRPr="00237FAB">
        <w:rPr>
          <w:lang w:val="en-CA"/>
        </w:rPr>
        <w:t>third</w:t>
      </w:r>
      <w:r w:rsidRPr="00237FAB">
        <w:rPr>
          <w:lang w:val="en-CA"/>
        </w:rPr>
        <w:t xml:space="preserve"> enterprise</w:t>
      </w:r>
      <w:r w:rsidR="00BB2596" w:rsidRPr="00237FAB">
        <w:rPr>
          <w:lang w:val="en-CA"/>
        </w:rPr>
        <w:t xml:space="preserve"> </w:t>
      </w:r>
      <w:r w:rsidRPr="00237FAB">
        <w:rPr>
          <w:lang w:val="en-CA"/>
        </w:rPr>
        <w:t>had increase</w:t>
      </w:r>
      <w:r w:rsidR="000A2C48" w:rsidRPr="00237FAB">
        <w:rPr>
          <w:lang w:val="en-CA"/>
        </w:rPr>
        <w:t>d</w:t>
      </w:r>
      <w:r w:rsidRPr="00237FAB">
        <w:rPr>
          <w:lang w:val="en-CA"/>
        </w:rPr>
        <w:t xml:space="preserve"> the thickness of the foam insulator for water heaters to meet a new energy standard issued by the Government</w:t>
      </w:r>
      <w:r w:rsidR="007760A9" w:rsidRPr="00237FAB">
        <w:rPr>
          <w:lang w:val="en-CA"/>
        </w:rPr>
        <w:t xml:space="preserve">, and </w:t>
      </w:r>
      <w:r w:rsidR="00F272E9" w:rsidRPr="00237FAB">
        <w:rPr>
          <w:lang w:val="en-CA"/>
        </w:rPr>
        <w:t xml:space="preserve">is </w:t>
      </w:r>
      <w:r w:rsidR="007760A9" w:rsidRPr="00237FAB">
        <w:rPr>
          <w:lang w:val="en-CA"/>
        </w:rPr>
        <w:t>expected to be fully operational by September 2016</w:t>
      </w:r>
      <w:r w:rsidRPr="00237FAB">
        <w:rPr>
          <w:lang w:val="en-CA"/>
        </w:rPr>
        <w:t>.</w:t>
      </w:r>
      <w:r w:rsidR="00AE34C2" w:rsidRPr="00237FAB">
        <w:rPr>
          <w:lang w:val="en-CA"/>
        </w:rPr>
        <w:t xml:space="preserve"> Consequently, the planned date of completion has been revised from December 2015 to September 2016.</w:t>
      </w:r>
    </w:p>
    <w:p w:rsidR="0097511A" w:rsidRPr="00237FAB" w:rsidRDefault="0097511A" w:rsidP="00237FAB">
      <w:pPr>
        <w:pStyle w:val="Heading1"/>
        <w:rPr>
          <w:lang w:val="en-CA"/>
        </w:rPr>
      </w:pPr>
      <w:r w:rsidRPr="00237FAB">
        <w:rPr>
          <w:lang w:val="en-CA"/>
        </w:rPr>
        <w:t xml:space="preserve">The Executive Committee may wish to request the World Bank </w:t>
      </w:r>
      <w:r w:rsidR="003A21C4" w:rsidRPr="00237FAB">
        <w:rPr>
          <w:lang w:val="en-CA"/>
        </w:rPr>
        <w:t>to provide a status report to the 78</w:t>
      </w:r>
      <w:r w:rsidR="003A21C4" w:rsidRPr="00237FAB">
        <w:rPr>
          <w:vertAlign w:val="superscript"/>
          <w:lang w:val="en-CA"/>
        </w:rPr>
        <w:t>th</w:t>
      </w:r>
      <w:r w:rsidR="003A21C4" w:rsidRPr="00237FAB">
        <w:rPr>
          <w:lang w:val="en-CA"/>
        </w:rPr>
        <w:t xml:space="preserve"> meeting </w:t>
      </w:r>
      <w:r w:rsidRPr="00237FAB">
        <w:rPr>
          <w:lang w:val="en-CA"/>
        </w:rPr>
        <w:t xml:space="preserve">to monitor the completion of the conversion </w:t>
      </w:r>
      <w:r w:rsidR="006459AC" w:rsidRPr="00237FAB">
        <w:rPr>
          <w:lang w:val="en-CA"/>
        </w:rPr>
        <w:t xml:space="preserve">demonstration </w:t>
      </w:r>
      <w:r w:rsidRPr="00237FAB">
        <w:rPr>
          <w:lang w:val="en-CA"/>
        </w:rPr>
        <w:t>project</w:t>
      </w:r>
      <w:r w:rsidR="006459AC" w:rsidRPr="00237FAB">
        <w:rPr>
          <w:lang w:val="en-CA"/>
        </w:rPr>
        <w:t xml:space="preserve"> in China</w:t>
      </w:r>
      <w:r w:rsidRPr="00237FAB">
        <w:rPr>
          <w:lang w:val="en-CA"/>
        </w:rPr>
        <w:t>.</w:t>
      </w:r>
    </w:p>
    <w:p w:rsidR="00F9511C" w:rsidRPr="00237FAB" w:rsidRDefault="00F9511C" w:rsidP="00237FAB">
      <w:pPr>
        <w:pStyle w:val="0Heading0"/>
        <w:rPr>
          <w:i/>
          <w:lang w:val="en-CA"/>
        </w:rPr>
      </w:pPr>
      <w:r w:rsidRPr="00237FAB">
        <w:rPr>
          <w:i/>
          <w:lang w:val="en-CA"/>
        </w:rPr>
        <w:t>HPMPs</w:t>
      </w:r>
    </w:p>
    <w:p w:rsidR="00F9511C" w:rsidRPr="00237FAB" w:rsidRDefault="00F9511C" w:rsidP="00237FAB">
      <w:pPr>
        <w:rPr>
          <w:lang w:val="en-CA"/>
        </w:rPr>
      </w:pPr>
    </w:p>
    <w:p w:rsidR="00F9511C" w:rsidRPr="00237FAB" w:rsidRDefault="00F9511C" w:rsidP="00237FAB">
      <w:pPr>
        <w:pStyle w:val="Heading1"/>
        <w:rPr>
          <w:lang w:val="en-CA"/>
        </w:rPr>
      </w:pPr>
      <w:r w:rsidRPr="00237FAB">
        <w:rPr>
          <w:lang w:val="en-CA"/>
        </w:rPr>
        <w:t>As of 31 December 201</w:t>
      </w:r>
      <w:r w:rsidR="00642340" w:rsidRPr="00237FAB">
        <w:rPr>
          <w:lang w:val="en-CA"/>
        </w:rPr>
        <w:t>5</w:t>
      </w:r>
      <w:r w:rsidRPr="00237FAB">
        <w:rPr>
          <w:lang w:val="en-CA"/>
        </w:rPr>
        <w:t>, two HCFC individual projects (one investment and one technical assistance</w:t>
      </w:r>
      <w:r w:rsidR="00BE386C" w:rsidRPr="00237FAB">
        <w:rPr>
          <w:lang w:val="en-CA"/>
        </w:rPr>
        <w:t xml:space="preserve"> activity</w:t>
      </w:r>
      <w:r w:rsidRPr="00237FAB">
        <w:rPr>
          <w:lang w:val="en-CA"/>
        </w:rPr>
        <w:t xml:space="preserve">) </w:t>
      </w:r>
      <w:r w:rsidR="00B13412" w:rsidRPr="00237FAB">
        <w:rPr>
          <w:lang w:val="en-CA"/>
        </w:rPr>
        <w:t xml:space="preserve">have been </w:t>
      </w:r>
      <w:r w:rsidR="00F272E9" w:rsidRPr="00237FAB">
        <w:rPr>
          <w:lang w:val="en-CA"/>
        </w:rPr>
        <w:t xml:space="preserve">approved and </w:t>
      </w:r>
      <w:r w:rsidR="00B13412" w:rsidRPr="00237FAB">
        <w:rPr>
          <w:lang w:val="en-CA"/>
        </w:rPr>
        <w:t>completed</w:t>
      </w:r>
      <w:r w:rsidR="00F272E9" w:rsidRPr="00237FAB">
        <w:rPr>
          <w:lang w:val="en-CA"/>
        </w:rPr>
        <w:t>.</w:t>
      </w:r>
      <w:r w:rsidRPr="00237FAB">
        <w:rPr>
          <w:lang w:val="en-CA"/>
        </w:rPr>
        <w:t xml:space="preserve"> </w:t>
      </w:r>
      <w:r w:rsidR="00B13412" w:rsidRPr="00237FAB">
        <w:rPr>
          <w:color w:val="000000" w:themeColor="text1"/>
          <w:lang w:val="en-CA"/>
        </w:rPr>
        <w:t>HPMP</w:t>
      </w:r>
      <w:r w:rsidRPr="00237FAB">
        <w:rPr>
          <w:color w:val="000000" w:themeColor="text1"/>
          <w:lang w:val="en-CA"/>
        </w:rPr>
        <w:t xml:space="preserve">s </w:t>
      </w:r>
      <w:r w:rsidRPr="00237FAB">
        <w:rPr>
          <w:lang w:val="en-CA"/>
        </w:rPr>
        <w:t>in six countries valued at US $1</w:t>
      </w:r>
      <w:r w:rsidR="00A1396A" w:rsidRPr="00237FAB">
        <w:rPr>
          <w:lang w:val="en-CA"/>
        </w:rPr>
        <w:t>09.57</w:t>
      </w:r>
      <w:r w:rsidRPr="00237FAB">
        <w:rPr>
          <w:lang w:val="en-CA"/>
        </w:rPr>
        <w:t xml:space="preserve"> million </w:t>
      </w:r>
      <w:r w:rsidR="00F272E9" w:rsidRPr="00237FAB">
        <w:rPr>
          <w:lang w:val="en-CA"/>
        </w:rPr>
        <w:t xml:space="preserve">had been approved </w:t>
      </w:r>
      <w:r w:rsidRPr="00237FAB">
        <w:rPr>
          <w:lang w:val="en-CA"/>
        </w:rPr>
        <w:t>in principle</w:t>
      </w:r>
      <w:r w:rsidR="00F272E9" w:rsidRPr="00237FAB">
        <w:rPr>
          <w:lang w:val="en-CA"/>
        </w:rPr>
        <w:t>,</w:t>
      </w:r>
      <w:r w:rsidRPr="00237FAB">
        <w:rPr>
          <w:lang w:val="en-CA"/>
        </w:rPr>
        <w:t xml:space="preserve"> </w:t>
      </w:r>
      <w:r w:rsidR="00F272E9" w:rsidRPr="00237FAB">
        <w:rPr>
          <w:lang w:val="en-CA"/>
        </w:rPr>
        <w:t xml:space="preserve">with </w:t>
      </w:r>
      <w:r w:rsidRPr="00237FAB">
        <w:rPr>
          <w:lang w:val="en-CA"/>
        </w:rPr>
        <w:t>US $</w:t>
      </w:r>
      <w:r w:rsidR="00A1396A" w:rsidRPr="00237FAB">
        <w:rPr>
          <w:lang w:val="en-CA"/>
        </w:rPr>
        <w:t>100.57</w:t>
      </w:r>
      <w:r w:rsidRPr="00237FAB">
        <w:rPr>
          <w:lang w:val="en-CA"/>
        </w:rPr>
        <w:t xml:space="preserve"> million </w:t>
      </w:r>
      <w:r w:rsidR="006A7AA1" w:rsidRPr="00237FAB">
        <w:rPr>
          <w:lang w:val="en-CA"/>
        </w:rPr>
        <w:t>has been approved</w:t>
      </w:r>
      <w:r w:rsidRPr="00237FAB">
        <w:rPr>
          <w:lang w:val="en-CA"/>
        </w:rPr>
        <w:t xml:space="preserve"> for tranche activities. </w:t>
      </w:r>
    </w:p>
    <w:p w:rsidR="00F9511C" w:rsidRPr="00237FAB" w:rsidRDefault="0070542A" w:rsidP="00237FAB">
      <w:pPr>
        <w:pStyle w:val="Heading1"/>
        <w:rPr>
          <w:lang w:val="en-CA"/>
        </w:rPr>
      </w:pPr>
      <w:r w:rsidRPr="00237FAB">
        <w:rPr>
          <w:lang w:val="en-CA"/>
        </w:rPr>
        <w:t>Stage </w:t>
      </w:r>
      <w:proofErr w:type="gramStart"/>
      <w:r w:rsidRPr="00237FAB">
        <w:rPr>
          <w:lang w:val="en-CA"/>
        </w:rPr>
        <w:t>I</w:t>
      </w:r>
      <w:proofErr w:type="gramEnd"/>
      <w:r w:rsidRPr="00237FAB">
        <w:rPr>
          <w:lang w:val="en-CA"/>
        </w:rPr>
        <w:t xml:space="preserve"> of the </w:t>
      </w:r>
      <w:r w:rsidR="00A40B2C" w:rsidRPr="00237FAB">
        <w:rPr>
          <w:lang w:val="en-CA"/>
        </w:rPr>
        <w:t xml:space="preserve">HPMP </w:t>
      </w:r>
      <w:r w:rsidRPr="00237FAB">
        <w:rPr>
          <w:lang w:val="en-CA"/>
        </w:rPr>
        <w:t xml:space="preserve">for </w:t>
      </w:r>
      <w:r w:rsidR="00A40B2C" w:rsidRPr="00237FAB">
        <w:rPr>
          <w:lang w:val="en-CA"/>
        </w:rPr>
        <w:t xml:space="preserve">Argentina </w:t>
      </w:r>
      <w:r w:rsidRPr="00237FAB">
        <w:rPr>
          <w:lang w:val="en-CA"/>
        </w:rPr>
        <w:t xml:space="preserve">(first tranche) (monitoring and reporting of HCFC production) </w:t>
      </w:r>
      <w:r w:rsidR="00A40B2C" w:rsidRPr="00237FAB">
        <w:rPr>
          <w:lang w:val="en-CA"/>
        </w:rPr>
        <w:t xml:space="preserve">(ARG/PHA/66/TAS/170) was approved in April 2012 with a completion date in April 2013. The World Bank indicated that the Ministry of Industry was given until 30 June 2015 to re-establish the </w:t>
      </w:r>
      <w:r w:rsidR="00610506" w:rsidRPr="00237FAB">
        <w:rPr>
          <w:lang w:val="en-CA"/>
        </w:rPr>
        <w:t>project coordination unit</w:t>
      </w:r>
      <w:r w:rsidR="00A40B2C" w:rsidRPr="00237FAB">
        <w:rPr>
          <w:lang w:val="en-CA"/>
        </w:rPr>
        <w:t xml:space="preserve">. No funds have been disbursed. </w:t>
      </w:r>
    </w:p>
    <w:p w:rsidR="00F9511C" w:rsidRPr="00237FAB" w:rsidRDefault="00BE386C" w:rsidP="00237FAB">
      <w:pPr>
        <w:pStyle w:val="Heading1"/>
        <w:rPr>
          <w:lang w:val="en-CA"/>
        </w:rPr>
      </w:pPr>
      <w:r w:rsidRPr="00237FAB">
        <w:rPr>
          <w:lang w:val="en-CA"/>
        </w:rPr>
        <w:t xml:space="preserve">The </w:t>
      </w:r>
      <w:r w:rsidR="00CD3936" w:rsidRPr="00237FAB">
        <w:rPr>
          <w:lang w:val="en-CA"/>
        </w:rPr>
        <w:t xml:space="preserve">Executive </w:t>
      </w:r>
      <w:r w:rsidRPr="00237FAB">
        <w:rPr>
          <w:lang w:val="en-CA"/>
        </w:rPr>
        <w:t xml:space="preserve">Committee may </w:t>
      </w:r>
      <w:r w:rsidR="00CD3936" w:rsidRPr="00237FAB">
        <w:rPr>
          <w:lang w:val="en-CA"/>
        </w:rPr>
        <w:t>wish to</w:t>
      </w:r>
      <w:r w:rsidR="00AE34C2" w:rsidRPr="00237FAB">
        <w:rPr>
          <w:lang w:val="en-CA"/>
        </w:rPr>
        <w:t xml:space="preserve"> </w:t>
      </w:r>
      <w:r w:rsidR="00BB7D3D" w:rsidRPr="00237FAB">
        <w:rPr>
          <w:lang w:val="en-CA"/>
        </w:rPr>
        <w:t>request the World Bank to provide a status report to the 78</w:t>
      </w:r>
      <w:r w:rsidR="00BB7D3D" w:rsidRPr="00237FAB">
        <w:rPr>
          <w:vertAlign w:val="superscript"/>
          <w:lang w:val="en-CA"/>
        </w:rPr>
        <w:t>th</w:t>
      </w:r>
      <w:r w:rsidR="00BB7D3D" w:rsidRPr="00237FAB">
        <w:rPr>
          <w:lang w:val="en-CA"/>
        </w:rPr>
        <w:t> meeting for</w:t>
      </w:r>
      <w:r w:rsidR="00AE34C2" w:rsidRPr="00237FAB">
        <w:rPr>
          <w:lang w:val="en-CA"/>
        </w:rPr>
        <w:t xml:space="preserve"> </w:t>
      </w:r>
      <w:r w:rsidR="0070542A" w:rsidRPr="00237FAB">
        <w:rPr>
          <w:lang w:val="en-CA"/>
        </w:rPr>
        <w:t>s</w:t>
      </w:r>
      <w:r w:rsidR="0070542A" w:rsidRPr="00237FAB">
        <w:rPr>
          <w:lang w:val="en-CA"/>
        </w:rPr>
        <w:t>tage I of the HPMP for Argentina (first tranche) (monitoring and reporting of HCFC production)</w:t>
      </w:r>
      <w:r w:rsidR="0070542A" w:rsidRPr="00237FAB">
        <w:rPr>
          <w:lang w:val="en-CA"/>
        </w:rPr>
        <w:t xml:space="preserve"> </w:t>
      </w:r>
      <w:r w:rsidR="00AE34C2" w:rsidRPr="00237FAB">
        <w:rPr>
          <w:lang w:val="en-CA"/>
        </w:rPr>
        <w:t xml:space="preserve">for which no disbursement has been reported </w:t>
      </w:r>
      <w:r w:rsidR="0070542A" w:rsidRPr="00237FAB">
        <w:rPr>
          <w:lang w:val="en-CA"/>
        </w:rPr>
        <w:t xml:space="preserve">under the progress report since the </w:t>
      </w:r>
      <w:r w:rsidR="00AE34C2" w:rsidRPr="00237FAB">
        <w:rPr>
          <w:lang w:val="en-CA"/>
        </w:rPr>
        <w:t>approval</w:t>
      </w:r>
      <w:r w:rsidR="0070542A" w:rsidRPr="00237FAB">
        <w:rPr>
          <w:lang w:val="en-CA"/>
        </w:rPr>
        <w:t xml:space="preserve"> of the activity</w:t>
      </w:r>
      <w:r w:rsidR="00AE34C2" w:rsidRPr="00237FAB">
        <w:rPr>
          <w:lang w:val="en-CA"/>
        </w:rPr>
        <w:t>.</w:t>
      </w:r>
      <w:r w:rsidRPr="00237FAB">
        <w:rPr>
          <w:lang w:val="en-CA"/>
        </w:rPr>
        <w:t xml:space="preserve">  </w:t>
      </w:r>
    </w:p>
    <w:p w:rsidR="0097511A" w:rsidRPr="00237FAB" w:rsidRDefault="00B63F43" w:rsidP="00237FAB">
      <w:pPr>
        <w:pStyle w:val="Heading1"/>
        <w:rPr>
          <w:lang w:val="en-CA"/>
        </w:rPr>
      </w:pPr>
      <w:r w:rsidRPr="00237FAB">
        <w:rPr>
          <w:lang w:val="en-CA"/>
        </w:rPr>
        <w:t>The</w:t>
      </w:r>
      <w:r w:rsidR="0097511A" w:rsidRPr="00237FAB">
        <w:rPr>
          <w:lang w:val="en-CA"/>
        </w:rPr>
        <w:t xml:space="preserve"> Secretariat identified </w:t>
      </w:r>
      <w:r w:rsidRPr="00237FAB">
        <w:rPr>
          <w:lang w:val="en-CA"/>
        </w:rPr>
        <w:t>four ongoing projects with 100 </w:t>
      </w:r>
      <w:r w:rsidR="0097511A" w:rsidRPr="00237FAB">
        <w:rPr>
          <w:lang w:val="en-CA"/>
        </w:rPr>
        <w:t xml:space="preserve">per cent disbursement in </w:t>
      </w:r>
      <w:r w:rsidRPr="00237FAB">
        <w:rPr>
          <w:lang w:val="en-CA"/>
        </w:rPr>
        <w:t>three</w:t>
      </w:r>
      <w:r w:rsidR="0097511A" w:rsidRPr="00237FAB">
        <w:rPr>
          <w:lang w:val="en-CA"/>
        </w:rPr>
        <w:t xml:space="preserve"> countries</w:t>
      </w:r>
      <w:r w:rsidR="00B138E0" w:rsidRPr="00237FAB">
        <w:rPr>
          <w:lang w:val="en-CA"/>
        </w:rPr>
        <w:t>:</w:t>
      </w:r>
      <w:r w:rsidR="0097511A" w:rsidRPr="00237FAB">
        <w:rPr>
          <w:lang w:val="en-CA"/>
        </w:rPr>
        <w:t xml:space="preserve"> </w:t>
      </w:r>
      <w:r w:rsidR="00B138E0" w:rsidRPr="00237FAB">
        <w:rPr>
          <w:lang w:val="en-CA"/>
        </w:rPr>
        <w:t>China (CPR/PRO/72/INV/540);</w:t>
      </w:r>
      <w:r w:rsidR="0097511A" w:rsidRPr="00237FAB">
        <w:rPr>
          <w:lang w:val="en-CA"/>
        </w:rPr>
        <w:t xml:space="preserve"> Thailand (THA/PHA/68/TAS/160)</w:t>
      </w:r>
      <w:r w:rsidR="00B138E0" w:rsidRPr="00237FAB">
        <w:rPr>
          <w:lang w:val="en-CA"/>
        </w:rPr>
        <w:t>;</w:t>
      </w:r>
      <w:r w:rsidR="0097511A" w:rsidRPr="00237FAB">
        <w:rPr>
          <w:lang w:val="en-CA"/>
        </w:rPr>
        <w:t xml:space="preserve"> and Viet</w:t>
      </w:r>
      <w:r w:rsidRPr="00237FAB">
        <w:rPr>
          <w:lang w:val="en-CA"/>
        </w:rPr>
        <w:t> N</w:t>
      </w:r>
      <w:r w:rsidR="0097511A" w:rsidRPr="00237FAB">
        <w:rPr>
          <w:lang w:val="en-CA"/>
        </w:rPr>
        <w:t>am (VIE/PHA/63/TAS/58 and VIE/PHA/63/INV/56).</w:t>
      </w:r>
    </w:p>
    <w:p w:rsidR="0097511A" w:rsidRPr="00237FAB" w:rsidRDefault="00CE34D5" w:rsidP="00237FAB">
      <w:pPr>
        <w:pStyle w:val="Heading1"/>
        <w:rPr>
          <w:lang w:val="en-CA"/>
        </w:rPr>
      </w:pPr>
      <w:r w:rsidRPr="00237FAB">
        <w:rPr>
          <w:lang w:val="en-CA"/>
        </w:rPr>
        <w:lastRenderedPageBreak/>
        <w:t>The E</w:t>
      </w:r>
      <w:r w:rsidR="0097511A" w:rsidRPr="00237FAB">
        <w:rPr>
          <w:lang w:val="en-CA"/>
        </w:rPr>
        <w:t>xecutive Committee may wish to request the W</w:t>
      </w:r>
      <w:r w:rsidR="006F2AB4" w:rsidRPr="00237FAB">
        <w:rPr>
          <w:lang w:val="en-CA"/>
        </w:rPr>
        <w:t>orld Bank</w:t>
      </w:r>
      <w:r w:rsidR="0097511A" w:rsidRPr="00237FAB">
        <w:rPr>
          <w:lang w:val="en-CA"/>
        </w:rPr>
        <w:t xml:space="preserve"> to provide a status report to the 78</w:t>
      </w:r>
      <w:r w:rsidR="00604BC2" w:rsidRPr="00237FAB">
        <w:rPr>
          <w:vertAlign w:val="superscript"/>
          <w:lang w:val="en-CA"/>
        </w:rPr>
        <w:t>th</w:t>
      </w:r>
      <w:r w:rsidR="006F2AB4" w:rsidRPr="00237FAB">
        <w:rPr>
          <w:lang w:val="en-CA"/>
        </w:rPr>
        <w:t> </w:t>
      </w:r>
      <w:r w:rsidR="0097511A" w:rsidRPr="00237FAB">
        <w:rPr>
          <w:lang w:val="en-CA"/>
        </w:rPr>
        <w:t xml:space="preserve">meeting to monitor the completion of the </w:t>
      </w:r>
      <w:r w:rsidR="008625E9" w:rsidRPr="00237FAB">
        <w:rPr>
          <w:lang w:val="en-CA"/>
        </w:rPr>
        <w:t>ongoing projects with 100 </w:t>
      </w:r>
      <w:r w:rsidR="0097511A" w:rsidRPr="00237FAB">
        <w:rPr>
          <w:lang w:val="en-CA"/>
        </w:rPr>
        <w:t>per cent disbursement in China, Thailand and Viet</w:t>
      </w:r>
      <w:r w:rsidR="00B63F43" w:rsidRPr="00237FAB">
        <w:rPr>
          <w:lang w:val="en-CA"/>
        </w:rPr>
        <w:t> N</w:t>
      </w:r>
      <w:r w:rsidR="0097511A" w:rsidRPr="00237FAB">
        <w:rPr>
          <w:lang w:val="en-CA"/>
        </w:rPr>
        <w:t>am.</w:t>
      </w:r>
    </w:p>
    <w:p w:rsidR="00F9511C" w:rsidRPr="00237FAB" w:rsidRDefault="00F9511C" w:rsidP="00237FAB">
      <w:pPr>
        <w:rPr>
          <w:i/>
          <w:lang w:val="en-CA"/>
        </w:rPr>
      </w:pPr>
      <w:r w:rsidRPr="00237FAB">
        <w:rPr>
          <w:i/>
          <w:lang w:val="en-CA"/>
        </w:rPr>
        <w:t>HPPMP</w:t>
      </w:r>
    </w:p>
    <w:p w:rsidR="00F9511C" w:rsidRPr="00237FAB" w:rsidRDefault="00F9511C" w:rsidP="00237FAB">
      <w:pPr>
        <w:rPr>
          <w:i/>
          <w:lang w:val="en-CA"/>
        </w:rPr>
      </w:pPr>
    </w:p>
    <w:p w:rsidR="00F9511C" w:rsidRPr="00237FAB" w:rsidRDefault="00F9511C" w:rsidP="00237FAB">
      <w:pPr>
        <w:pStyle w:val="Heading1"/>
        <w:rPr>
          <w:lang w:val="en-CA"/>
        </w:rPr>
      </w:pPr>
      <w:r w:rsidRPr="00237FAB">
        <w:rPr>
          <w:lang w:val="en-CA"/>
        </w:rPr>
        <w:t>As of 31 December 201</w:t>
      </w:r>
      <w:r w:rsidR="00892E9A" w:rsidRPr="00237FAB">
        <w:rPr>
          <w:lang w:val="en-CA"/>
        </w:rPr>
        <w:t>5</w:t>
      </w:r>
      <w:r w:rsidRPr="00237FAB">
        <w:rPr>
          <w:lang w:val="en-CA"/>
        </w:rPr>
        <w:t>, the Executive Committee has approved the HPPMP for one Article 5 country (China). Funds for the first</w:t>
      </w:r>
      <w:r w:rsidR="00821642" w:rsidRPr="00237FAB">
        <w:rPr>
          <w:lang w:val="en-CA"/>
        </w:rPr>
        <w:t xml:space="preserve"> two</w:t>
      </w:r>
      <w:r w:rsidRPr="00237FAB">
        <w:rPr>
          <w:lang w:val="en-CA"/>
        </w:rPr>
        <w:t xml:space="preserve"> tranche</w:t>
      </w:r>
      <w:r w:rsidR="00821642" w:rsidRPr="00237FAB">
        <w:rPr>
          <w:lang w:val="en-CA"/>
        </w:rPr>
        <w:t>s</w:t>
      </w:r>
      <w:r w:rsidRPr="00237FAB">
        <w:rPr>
          <w:lang w:val="en-CA"/>
        </w:rPr>
        <w:t xml:space="preserve"> </w:t>
      </w:r>
      <w:r w:rsidR="00821642" w:rsidRPr="00237FAB">
        <w:rPr>
          <w:lang w:val="en-CA"/>
        </w:rPr>
        <w:t>have been</w:t>
      </w:r>
      <w:r w:rsidRPr="00237FAB">
        <w:rPr>
          <w:lang w:val="en-CA"/>
        </w:rPr>
        <w:t xml:space="preserve"> fully disbursed</w:t>
      </w:r>
      <w:r w:rsidR="00821642" w:rsidRPr="00237FAB">
        <w:rPr>
          <w:lang w:val="en-CA"/>
        </w:rPr>
        <w:t>;</w:t>
      </w:r>
      <w:r w:rsidRPr="00237FAB">
        <w:rPr>
          <w:lang w:val="en-CA"/>
        </w:rPr>
        <w:t xml:space="preserve"> </w:t>
      </w:r>
      <w:r w:rsidR="00821642" w:rsidRPr="00237FAB">
        <w:rPr>
          <w:lang w:val="en-CA"/>
        </w:rPr>
        <w:t>t</w:t>
      </w:r>
      <w:r w:rsidR="0039627C" w:rsidRPr="00237FAB">
        <w:rPr>
          <w:lang w:val="en-CA"/>
        </w:rPr>
        <w:t>he third and fourth tranches are progressing and the disbursement rates as of 31 December 2015 were 80 per cent and zero per cent</w:t>
      </w:r>
      <w:r w:rsidR="00F349BF" w:rsidRPr="00237FAB">
        <w:rPr>
          <w:lang w:val="en-CA"/>
        </w:rPr>
        <w:t>,</w:t>
      </w:r>
      <w:r w:rsidR="0039627C" w:rsidRPr="00237FAB">
        <w:rPr>
          <w:lang w:val="en-CA"/>
        </w:rPr>
        <w:t xml:space="preserve"> respectively. </w:t>
      </w:r>
      <w:r w:rsidR="002A4B93" w:rsidRPr="00237FAB">
        <w:rPr>
          <w:lang w:val="en-CA"/>
        </w:rPr>
        <w:t>E</w:t>
      </w:r>
      <w:r w:rsidR="0039627C" w:rsidRPr="00237FAB">
        <w:rPr>
          <w:lang w:val="en-CA"/>
        </w:rPr>
        <w:t xml:space="preserve">nvironmental management plans for dismantling/closing production lines were prepared by the enterprises, and reviewed and approved by the World Bank. All five production lines have been dismantled as of mid-June 2015. </w:t>
      </w:r>
      <w:r w:rsidR="002A4B93" w:rsidRPr="00237FAB">
        <w:rPr>
          <w:lang w:val="en-CA"/>
        </w:rPr>
        <w:t>I</w:t>
      </w:r>
      <w:r w:rsidR="0039627C" w:rsidRPr="00237FAB">
        <w:rPr>
          <w:lang w:val="en-CA"/>
        </w:rPr>
        <w:t>nvestigation of 2013 feedstock applications of HCFCs was completed</w:t>
      </w:r>
      <w:r w:rsidR="000033C1" w:rsidRPr="00237FAB">
        <w:rPr>
          <w:lang w:val="en-CA"/>
        </w:rPr>
        <w:t xml:space="preserve"> and</w:t>
      </w:r>
      <w:r w:rsidR="0039627C" w:rsidRPr="00237FAB">
        <w:rPr>
          <w:lang w:val="en-CA"/>
        </w:rPr>
        <w:t xml:space="preserve"> revealed that all HCFC</w:t>
      </w:r>
      <w:r w:rsidR="002A4B93" w:rsidRPr="00237FAB">
        <w:rPr>
          <w:lang w:val="en-CA"/>
        </w:rPr>
        <w:t>s</w:t>
      </w:r>
      <w:r w:rsidR="0039627C" w:rsidRPr="00237FAB">
        <w:rPr>
          <w:lang w:val="en-CA"/>
        </w:rPr>
        <w:t xml:space="preserve"> purchased by feedstock users for feedstock applications </w:t>
      </w:r>
      <w:r w:rsidR="002A4B93" w:rsidRPr="00237FAB">
        <w:rPr>
          <w:lang w:val="en-CA"/>
        </w:rPr>
        <w:t>were</w:t>
      </w:r>
      <w:r w:rsidR="0039627C" w:rsidRPr="00237FAB">
        <w:rPr>
          <w:lang w:val="en-CA"/>
        </w:rPr>
        <w:t xml:space="preserve"> not transferred to ODS use or resold to other companies for ODS use.</w:t>
      </w:r>
    </w:p>
    <w:p w:rsidR="00F9511C" w:rsidRPr="00237FAB" w:rsidRDefault="00F9511C" w:rsidP="00237FAB">
      <w:pPr>
        <w:keepNext/>
        <w:rPr>
          <w:u w:val="single"/>
          <w:lang w:val="en-CA"/>
        </w:rPr>
      </w:pPr>
      <w:r w:rsidRPr="00237FAB">
        <w:rPr>
          <w:u w:val="single"/>
          <w:lang w:val="en-CA"/>
        </w:rPr>
        <w:t>IS projects</w:t>
      </w:r>
    </w:p>
    <w:p w:rsidR="00F9511C" w:rsidRPr="00237FAB" w:rsidRDefault="00F9511C" w:rsidP="00237FAB">
      <w:pPr>
        <w:keepNext/>
        <w:rPr>
          <w:bCs/>
          <w:lang w:val="en-CA"/>
        </w:rPr>
      </w:pPr>
    </w:p>
    <w:p w:rsidR="0072200D" w:rsidRPr="00237FAB" w:rsidRDefault="00F9511C" w:rsidP="00237FAB">
      <w:pPr>
        <w:pStyle w:val="Heading1"/>
        <w:rPr>
          <w:snapToGrid w:val="0"/>
          <w:lang w:val="en-CA"/>
        </w:rPr>
      </w:pPr>
      <w:r w:rsidRPr="00237FAB">
        <w:rPr>
          <w:snapToGrid w:val="0"/>
          <w:lang w:val="en-CA"/>
        </w:rPr>
        <w:t>The Executive Committee has approved 46 IS projects in seven countries implemented by the World Bank. As of 31 December 201</w:t>
      </w:r>
      <w:r w:rsidR="005C7530" w:rsidRPr="00237FAB">
        <w:rPr>
          <w:snapToGrid w:val="0"/>
          <w:lang w:val="en-CA"/>
        </w:rPr>
        <w:t>5</w:t>
      </w:r>
      <w:r w:rsidRPr="00237FAB">
        <w:rPr>
          <w:snapToGrid w:val="0"/>
          <w:lang w:val="en-CA"/>
        </w:rPr>
        <w:t xml:space="preserve">, 44 IS projects have been completed and two are still ongoing (Jordan and Thailand). </w:t>
      </w:r>
      <w:r w:rsidR="00861742" w:rsidRPr="00237FAB">
        <w:rPr>
          <w:snapToGrid w:val="0"/>
          <w:lang w:val="en-CA"/>
        </w:rPr>
        <w:t xml:space="preserve">An additional status report is requested for </w:t>
      </w:r>
      <w:r w:rsidR="00B138E0" w:rsidRPr="00237FAB">
        <w:rPr>
          <w:snapToGrid w:val="0"/>
          <w:lang w:val="en-CA"/>
        </w:rPr>
        <w:t>Thailand,</w:t>
      </w:r>
      <w:r w:rsidR="00861742" w:rsidRPr="00237FAB">
        <w:rPr>
          <w:snapToGrid w:val="0"/>
          <w:lang w:val="en-CA"/>
        </w:rPr>
        <w:t xml:space="preserve"> where limited comments were provided on IS activities.  </w:t>
      </w:r>
    </w:p>
    <w:p w:rsidR="00F9511C" w:rsidRPr="00237FAB" w:rsidRDefault="00F9511C" w:rsidP="00237FAB">
      <w:pPr>
        <w:keepNext/>
        <w:rPr>
          <w:u w:val="single"/>
          <w:lang w:val="en-CA" w:eastAsia="en-CA"/>
        </w:rPr>
      </w:pPr>
      <w:r w:rsidRPr="00237FAB">
        <w:rPr>
          <w:u w:val="single"/>
          <w:lang w:val="en-CA" w:eastAsia="en-CA"/>
        </w:rPr>
        <w:t>Administrative costs</w:t>
      </w:r>
    </w:p>
    <w:p w:rsidR="00F9511C" w:rsidRPr="00237FAB" w:rsidRDefault="00F9511C" w:rsidP="00237FAB">
      <w:pPr>
        <w:keepNext/>
        <w:rPr>
          <w:lang w:val="en-CA" w:eastAsia="en-CA"/>
        </w:rPr>
      </w:pPr>
    </w:p>
    <w:p w:rsidR="00F9511C" w:rsidRPr="00237FAB" w:rsidRDefault="00F9511C" w:rsidP="00237FAB">
      <w:pPr>
        <w:pStyle w:val="Heading1"/>
        <w:rPr>
          <w:lang w:val="en-CA"/>
        </w:rPr>
      </w:pPr>
      <w:r w:rsidRPr="00237FAB">
        <w:rPr>
          <w:lang w:val="en-CA"/>
        </w:rPr>
        <w:t>Of the net US $1.</w:t>
      </w:r>
      <w:r w:rsidR="005C7530" w:rsidRPr="00237FAB">
        <w:rPr>
          <w:lang w:val="en-CA"/>
        </w:rPr>
        <w:t>12</w:t>
      </w:r>
      <w:r w:rsidRPr="00237FAB">
        <w:rPr>
          <w:lang w:val="en-CA"/>
        </w:rPr>
        <w:t xml:space="preserve"> billion approved for project implementation, US $10</w:t>
      </w:r>
      <w:r w:rsidR="00EA500F" w:rsidRPr="00237FAB">
        <w:rPr>
          <w:lang w:val="en-CA"/>
        </w:rPr>
        <w:t>9.83</w:t>
      </w:r>
      <w:r w:rsidRPr="00237FAB">
        <w:rPr>
          <w:lang w:val="en-CA"/>
        </w:rPr>
        <w:t xml:space="preserve"> million has been disbursed for administrative costs resulting in an overall administrative cost ratio of 9.</w:t>
      </w:r>
      <w:r w:rsidR="00EA500F" w:rsidRPr="00237FAB">
        <w:rPr>
          <w:lang w:val="en-CA"/>
        </w:rPr>
        <w:t>8</w:t>
      </w:r>
      <w:r w:rsidRPr="00237FAB">
        <w:rPr>
          <w:lang w:val="en-CA"/>
        </w:rPr>
        <w:t xml:space="preserve"> per cent since 1991. In 201</w:t>
      </w:r>
      <w:r w:rsidR="00EA500F" w:rsidRPr="00237FAB">
        <w:rPr>
          <w:lang w:val="en-CA"/>
        </w:rPr>
        <w:t>5</w:t>
      </w:r>
      <w:r w:rsidRPr="00237FAB">
        <w:rPr>
          <w:lang w:val="en-CA"/>
        </w:rPr>
        <w:t>, of the US $</w:t>
      </w:r>
      <w:r w:rsidR="00EA500F" w:rsidRPr="00237FAB">
        <w:rPr>
          <w:lang w:val="en-CA"/>
        </w:rPr>
        <w:t>69.35</w:t>
      </w:r>
      <w:r w:rsidRPr="00237FAB">
        <w:rPr>
          <w:lang w:val="en-CA"/>
        </w:rPr>
        <w:t xml:space="preserve"> million approved, US $</w:t>
      </w:r>
      <w:r w:rsidR="00EA500F" w:rsidRPr="00237FAB">
        <w:rPr>
          <w:lang w:val="en-CA"/>
        </w:rPr>
        <w:t>5.91</w:t>
      </w:r>
      <w:r w:rsidRPr="00237FAB">
        <w:rPr>
          <w:lang w:val="en-CA"/>
        </w:rPr>
        <w:t xml:space="preserve"> million has been disbursed for administrative costs</w:t>
      </w:r>
      <w:r w:rsidRPr="00237FAB">
        <w:t xml:space="preserve"> resulting in an overall administrative cost ratio</w:t>
      </w:r>
      <w:r w:rsidR="00EA500F" w:rsidRPr="00237FAB">
        <w:t xml:space="preserve"> of 8.5</w:t>
      </w:r>
      <w:r w:rsidRPr="00237FAB">
        <w:t> per cent.</w:t>
      </w:r>
    </w:p>
    <w:p w:rsidR="00F9511C" w:rsidRPr="00237FAB" w:rsidRDefault="00F9511C" w:rsidP="00237FAB">
      <w:pPr>
        <w:pStyle w:val="a--"/>
        <w:keepNext/>
        <w:suppressAutoHyphens w:val="0"/>
        <w:jc w:val="left"/>
        <w:rPr>
          <w:lang w:val="en-CA"/>
        </w:rPr>
      </w:pPr>
      <w:r w:rsidRPr="00237FAB">
        <w:rPr>
          <w:sz w:val="22"/>
          <w:szCs w:val="22"/>
          <w:lang w:val="en-CA"/>
        </w:rPr>
        <w:t xml:space="preserve">Part III: </w:t>
      </w:r>
      <w:r w:rsidR="000C28C9" w:rsidRPr="00237FAB">
        <w:rPr>
          <w:sz w:val="22"/>
          <w:szCs w:val="22"/>
          <w:lang w:val="en-CA"/>
        </w:rPr>
        <w:t xml:space="preserve">Recommendation </w:t>
      </w:r>
      <w:r w:rsidR="00B138E0" w:rsidRPr="00237FAB">
        <w:rPr>
          <w:sz w:val="22"/>
          <w:szCs w:val="22"/>
          <w:lang w:val="en-CA"/>
        </w:rPr>
        <w:t>by</w:t>
      </w:r>
      <w:r w:rsidR="000C28C9" w:rsidRPr="00237FAB">
        <w:rPr>
          <w:sz w:val="22"/>
          <w:szCs w:val="22"/>
          <w:lang w:val="en-CA"/>
        </w:rPr>
        <w:t xml:space="preserve"> the Secretariat</w:t>
      </w:r>
    </w:p>
    <w:p w:rsidR="00B06B81" w:rsidRPr="00237FAB" w:rsidRDefault="00B06B81" w:rsidP="00237FAB">
      <w:pPr>
        <w:rPr>
          <w:lang w:val="en-CA"/>
        </w:rPr>
      </w:pPr>
    </w:p>
    <w:p w:rsidR="00F9511C" w:rsidRPr="00237FAB" w:rsidRDefault="00F9511C" w:rsidP="00237FAB">
      <w:pPr>
        <w:pStyle w:val="Heading1"/>
        <w:rPr>
          <w:lang w:val="en-CA"/>
        </w:rPr>
      </w:pPr>
      <w:r w:rsidRPr="00237FAB">
        <w:rPr>
          <w:lang w:val="en-CA"/>
        </w:rPr>
        <w:t>The Executive Committee may wish:</w:t>
      </w:r>
    </w:p>
    <w:p w:rsidR="00F9511C" w:rsidRPr="00237FAB" w:rsidRDefault="00F9511C" w:rsidP="00237FAB">
      <w:pPr>
        <w:pStyle w:val="Heading2"/>
        <w:numPr>
          <w:ilvl w:val="1"/>
          <w:numId w:val="1"/>
        </w:numPr>
        <w:rPr>
          <w:lang w:val="en-CA"/>
        </w:rPr>
      </w:pPr>
      <w:r w:rsidRPr="00237FAB">
        <w:rPr>
          <w:lang w:val="en-CA"/>
        </w:rPr>
        <w:t>To note:</w:t>
      </w:r>
    </w:p>
    <w:p w:rsidR="00F9511C" w:rsidRPr="00237FAB" w:rsidRDefault="00F9511C" w:rsidP="00237FAB">
      <w:pPr>
        <w:pStyle w:val="Heading3"/>
        <w:numPr>
          <w:ilvl w:val="2"/>
          <w:numId w:val="1"/>
        </w:numPr>
        <w:rPr>
          <w:lang w:val="en-CA"/>
        </w:rPr>
      </w:pPr>
      <w:r w:rsidRPr="00237FAB">
        <w:rPr>
          <w:lang w:val="en-CA"/>
        </w:rPr>
        <w:t>The progress report of the World Bank as at 31 December 2015 contained in document UNEP/OzL.Pro/</w:t>
      </w:r>
      <w:proofErr w:type="spellStart"/>
      <w:r w:rsidRPr="00237FAB">
        <w:rPr>
          <w:lang w:val="en-CA"/>
        </w:rPr>
        <w:t>ExCom</w:t>
      </w:r>
      <w:proofErr w:type="spellEnd"/>
      <w:r w:rsidRPr="00237FAB">
        <w:rPr>
          <w:lang w:val="en-CA"/>
        </w:rPr>
        <w:t>/77/</w:t>
      </w:r>
      <w:r w:rsidR="001E1C6B" w:rsidRPr="00237FAB">
        <w:rPr>
          <w:lang w:val="en-CA"/>
        </w:rPr>
        <w:t>16</w:t>
      </w:r>
      <w:r w:rsidRPr="00237FAB">
        <w:rPr>
          <w:lang w:val="en-CA"/>
        </w:rPr>
        <w:t>;</w:t>
      </w:r>
      <w:r w:rsidR="00B138E0" w:rsidRPr="00237FAB">
        <w:rPr>
          <w:lang w:val="en-CA"/>
        </w:rPr>
        <w:t xml:space="preserve"> and</w:t>
      </w:r>
    </w:p>
    <w:p w:rsidR="00F9511C" w:rsidRPr="00237FAB" w:rsidRDefault="00F9511C" w:rsidP="00237FAB">
      <w:pPr>
        <w:pStyle w:val="Heading3"/>
        <w:numPr>
          <w:ilvl w:val="2"/>
          <w:numId w:val="1"/>
        </w:numPr>
        <w:rPr>
          <w:snapToGrid w:val="0"/>
          <w:lang w:val="en-CA"/>
        </w:rPr>
      </w:pPr>
      <w:r w:rsidRPr="00237FAB">
        <w:rPr>
          <w:lang w:val="en-CA"/>
        </w:rPr>
        <w:t>That the World Bank would report to the 7</w:t>
      </w:r>
      <w:r w:rsidR="00155650" w:rsidRPr="00237FAB">
        <w:rPr>
          <w:lang w:val="en-CA"/>
        </w:rPr>
        <w:t>8</w:t>
      </w:r>
      <w:r w:rsidRPr="00237FAB">
        <w:rPr>
          <w:vertAlign w:val="superscript"/>
          <w:lang w:val="en-CA"/>
        </w:rPr>
        <w:t>th</w:t>
      </w:r>
      <w:r w:rsidRPr="00237FAB">
        <w:rPr>
          <w:lang w:val="en-CA"/>
        </w:rPr>
        <w:t xml:space="preserve"> meeting on one project with implementation</w:t>
      </w:r>
      <w:r w:rsidR="00155650" w:rsidRPr="00237FAB">
        <w:rPr>
          <w:snapToGrid w:val="0"/>
          <w:lang w:val="en-CA"/>
        </w:rPr>
        <w:t xml:space="preserve"> delays</w:t>
      </w:r>
      <w:r w:rsidRPr="00237FAB">
        <w:rPr>
          <w:lang w:val="en-CA"/>
        </w:rPr>
        <w:t xml:space="preserve"> and on</w:t>
      </w:r>
      <w:r w:rsidR="002D25D6" w:rsidRPr="00237FAB">
        <w:rPr>
          <w:lang w:val="en-CA"/>
        </w:rPr>
        <w:t xml:space="preserve"> </w:t>
      </w:r>
      <w:r w:rsidR="00516D42" w:rsidRPr="00237FAB">
        <w:rPr>
          <w:lang w:val="en-CA"/>
        </w:rPr>
        <w:t>seven</w:t>
      </w:r>
      <w:r w:rsidR="00B138E0" w:rsidRPr="00237FAB">
        <w:rPr>
          <w:lang w:val="en-CA"/>
        </w:rPr>
        <w:t> </w:t>
      </w:r>
      <w:r w:rsidRPr="00237FAB">
        <w:rPr>
          <w:lang w:val="en-CA"/>
        </w:rPr>
        <w:t>projects recommended for additional status reports, as indicated in Appendices I and II, respectively, of Annex III to the consolidated progress report (UNEP/OzL.Pro/</w:t>
      </w:r>
      <w:proofErr w:type="spellStart"/>
      <w:r w:rsidRPr="00237FAB">
        <w:rPr>
          <w:lang w:val="en-CA"/>
        </w:rPr>
        <w:t>ExCom</w:t>
      </w:r>
      <w:proofErr w:type="spellEnd"/>
      <w:r w:rsidRPr="00237FAB">
        <w:rPr>
          <w:lang w:val="en-CA"/>
        </w:rPr>
        <w:t>/7</w:t>
      </w:r>
      <w:r w:rsidR="00155650" w:rsidRPr="00237FAB">
        <w:rPr>
          <w:lang w:val="en-CA"/>
        </w:rPr>
        <w:t>7</w:t>
      </w:r>
      <w:r w:rsidRPr="00237FAB">
        <w:rPr>
          <w:lang w:val="en-CA"/>
        </w:rPr>
        <w:t>/</w:t>
      </w:r>
      <w:r w:rsidR="001E1C6B" w:rsidRPr="00237FAB">
        <w:rPr>
          <w:lang w:val="en-CA"/>
        </w:rPr>
        <w:t>11</w:t>
      </w:r>
      <w:r w:rsidRPr="00237FAB">
        <w:rPr>
          <w:lang w:val="en-CA"/>
        </w:rPr>
        <w:t>)</w:t>
      </w:r>
      <w:r w:rsidR="00B138E0" w:rsidRPr="00237FAB">
        <w:rPr>
          <w:lang w:val="en-CA"/>
        </w:rPr>
        <w:t>.</w:t>
      </w:r>
    </w:p>
    <w:p w:rsidR="008625E9" w:rsidRPr="00237FAB" w:rsidRDefault="008625E9" w:rsidP="00237FAB">
      <w:pPr>
        <w:rPr>
          <w:lang w:val="en-CA"/>
        </w:rPr>
      </w:pPr>
    </w:p>
    <w:p w:rsidR="006A4A38" w:rsidRPr="00237FAB" w:rsidRDefault="006A4A38" w:rsidP="00237FAB">
      <w:pPr>
        <w:rPr>
          <w:lang w:val="en-CA"/>
        </w:rPr>
      </w:pPr>
    </w:p>
    <w:p w:rsidR="00237C1C" w:rsidRPr="00237FAB" w:rsidRDefault="00237C1C" w:rsidP="00237FAB">
      <w:pPr>
        <w:rPr>
          <w:lang w:val="en-CA"/>
        </w:rPr>
        <w:sectPr w:rsidR="00237C1C" w:rsidRPr="00237FAB"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F9511C" w:rsidRPr="00237FAB" w:rsidRDefault="00F9511C" w:rsidP="00237FAB">
      <w:pPr>
        <w:tabs>
          <w:tab w:val="left" w:pos="5560"/>
        </w:tabs>
        <w:jc w:val="center"/>
        <w:rPr>
          <w:b/>
          <w:bCs/>
          <w:lang w:val="en-CA"/>
        </w:rPr>
      </w:pPr>
      <w:r w:rsidRPr="00237FAB">
        <w:rPr>
          <w:b/>
          <w:bCs/>
          <w:lang w:val="en-CA"/>
        </w:rPr>
        <w:lastRenderedPageBreak/>
        <w:t>Annex I</w:t>
      </w:r>
    </w:p>
    <w:p w:rsidR="00F9511C" w:rsidRPr="00237FAB" w:rsidRDefault="00F9511C" w:rsidP="00237FAB">
      <w:pPr>
        <w:tabs>
          <w:tab w:val="left" w:pos="5560"/>
        </w:tabs>
        <w:jc w:val="center"/>
        <w:rPr>
          <w:b/>
          <w:bCs/>
          <w:lang w:val="en-CA"/>
        </w:rPr>
      </w:pPr>
    </w:p>
    <w:p w:rsidR="00F9511C" w:rsidRPr="00237FAB" w:rsidRDefault="00F9511C" w:rsidP="00237FAB">
      <w:pPr>
        <w:pStyle w:val="Title1"/>
        <w:rPr>
          <w:caps w:val="0"/>
          <w:lang w:val="en-CA"/>
        </w:rPr>
      </w:pPr>
      <w:r w:rsidRPr="00237FAB">
        <w:rPr>
          <w:caps w:val="0"/>
          <w:lang w:val="en-CA"/>
        </w:rPr>
        <w:t>WORLD BANK PROJECT IMPLEMENTATION BY COUNTRY</w:t>
      </w:r>
    </w:p>
    <w:p w:rsidR="00954FE3" w:rsidRPr="00237FAB" w:rsidRDefault="00954FE3" w:rsidP="00237FAB">
      <w:pPr>
        <w:pStyle w:val="Title1"/>
        <w:rPr>
          <w:caps w:val="0"/>
          <w:lang w:val="en-CA"/>
        </w:rPr>
      </w:pPr>
    </w:p>
    <w:tbl>
      <w:tblPr>
        <w:tblW w:w="10062" w:type="dxa"/>
        <w:tblInd w:w="103" w:type="dxa"/>
        <w:tblLook w:val="04A0" w:firstRow="1" w:lastRow="0" w:firstColumn="1" w:lastColumn="0" w:noHBand="0" w:noVBand="1"/>
      </w:tblPr>
      <w:tblGrid>
        <w:gridCol w:w="3065"/>
        <w:gridCol w:w="1010"/>
        <w:gridCol w:w="1160"/>
        <w:gridCol w:w="1116"/>
        <w:gridCol w:w="1116"/>
        <w:gridCol w:w="1358"/>
        <w:gridCol w:w="1237"/>
      </w:tblGrid>
      <w:tr w:rsidR="00954FE3" w:rsidRPr="00237FAB" w:rsidTr="00954FE3">
        <w:trPr>
          <w:trHeight w:val="1097"/>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Country</w:t>
            </w:r>
          </w:p>
        </w:tc>
        <w:tc>
          <w:tcPr>
            <w:tcW w:w="1010"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Phased out in 2015</w:t>
            </w:r>
          </w:p>
        </w:tc>
        <w:tc>
          <w:tcPr>
            <w:tcW w:w="1160"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Percentage of planned phase-out achieved in 2015</w:t>
            </w:r>
          </w:p>
        </w:tc>
        <w:tc>
          <w:tcPr>
            <w:tcW w:w="1116"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Estimated funds disbursed in 2015 (US$)</w:t>
            </w:r>
          </w:p>
        </w:tc>
        <w:tc>
          <w:tcPr>
            <w:tcW w:w="1116"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Funds disbursed in 2015 (US$)</w:t>
            </w:r>
          </w:p>
        </w:tc>
        <w:tc>
          <w:tcPr>
            <w:tcW w:w="1358"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ind w:left="-100" w:right="-88"/>
              <w:jc w:val="center"/>
              <w:rPr>
                <w:b/>
                <w:bCs/>
                <w:sz w:val="20"/>
                <w:szCs w:val="20"/>
                <w:lang w:val="en-US"/>
              </w:rPr>
            </w:pPr>
            <w:r w:rsidRPr="00237FAB">
              <w:rPr>
                <w:b/>
                <w:bCs/>
                <w:sz w:val="20"/>
                <w:szCs w:val="20"/>
                <w:lang w:val="en-US"/>
              </w:rPr>
              <w:t>Percentage of funds disbursed over estimation in 2015</w:t>
            </w:r>
          </w:p>
        </w:tc>
        <w:tc>
          <w:tcPr>
            <w:tcW w:w="1237" w:type="dxa"/>
            <w:tcBorders>
              <w:top w:val="single" w:sz="4" w:space="0" w:color="auto"/>
              <w:left w:val="nil"/>
              <w:bottom w:val="single" w:sz="4" w:space="0" w:color="auto"/>
              <w:right w:val="single" w:sz="4" w:space="0" w:color="auto"/>
            </w:tcBorders>
            <w:shd w:val="clear" w:color="auto" w:fill="auto"/>
            <w:hideMark/>
          </w:tcPr>
          <w:p w:rsidR="00954FE3" w:rsidRPr="00237FAB" w:rsidRDefault="00954FE3" w:rsidP="00237FAB">
            <w:pPr>
              <w:jc w:val="center"/>
              <w:rPr>
                <w:b/>
                <w:bCs/>
                <w:sz w:val="20"/>
                <w:szCs w:val="20"/>
                <w:lang w:val="en-US"/>
              </w:rPr>
            </w:pPr>
            <w:r w:rsidRPr="00237FAB">
              <w:rPr>
                <w:b/>
                <w:bCs/>
                <w:sz w:val="20"/>
                <w:szCs w:val="20"/>
                <w:lang w:val="en-US"/>
              </w:rPr>
              <w:t>Percentage of planned projects completed in 2015</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Algeria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Antigua and Barbuda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Argentina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614,000</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686,101</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112</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50</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Bahamas (the)</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Bangladesh</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Brazil</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Chile</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8.6</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China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4,302.4</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99.9</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23,454,247</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37,470,345</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160</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67</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Colombia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Ecuador</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Egypt</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Ghana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Global</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165,000</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21,610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13</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10</w:t>
            </w:r>
            <w:r w:rsidR="002F30B0" w:rsidRPr="00237FAB">
              <w:rPr>
                <w:sz w:val="20"/>
                <w:szCs w:val="20"/>
                <w:lang w:val="en-US"/>
              </w:rPr>
              <w:t>0</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Guatemala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India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Indonesia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2.6</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493,964</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607,804</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123</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Iran</w:t>
            </w:r>
            <w:r w:rsidR="000033C1" w:rsidRPr="00237FAB">
              <w:rPr>
                <w:sz w:val="20"/>
                <w:szCs w:val="20"/>
                <w:lang w:val="en-US"/>
              </w:rPr>
              <w:t xml:space="preserve"> (Islamic Republic of)</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Jordan</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634,621</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98,230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15</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Kenya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Malaysia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Mexico</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0.1</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Nigeria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Oman</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Pakistan</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Philippines (the)</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110,000</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4,446</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4</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Serbia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Slovenia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Sri Lanka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Thailand</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46.2</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2,110,702</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2,682,087</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127</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Trinidad and Tobago</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Tunisia</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Turkey</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Uruguay</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ind w:right="-108"/>
              <w:jc w:val="left"/>
              <w:rPr>
                <w:sz w:val="20"/>
                <w:szCs w:val="20"/>
                <w:lang w:val="en-US"/>
              </w:rPr>
            </w:pPr>
            <w:r w:rsidRPr="00237FAB">
              <w:rPr>
                <w:sz w:val="20"/>
                <w:szCs w:val="20"/>
                <w:lang w:val="en-US"/>
              </w:rPr>
              <w:t>Venezuela (Bolivarian Republic of)</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Viet Nam</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89.4</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3,219,000</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2,383,979</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sz w:val="20"/>
                <w:szCs w:val="20"/>
                <w:lang w:val="en-US"/>
              </w:rPr>
            </w:pPr>
            <w:r w:rsidRPr="00237FAB">
              <w:rPr>
                <w:sz w:val="20"/>
                <w:szCs w:val="20"/>
                <w:lang w:val="en-US"/>
              </w:rPr>
              <w:t>74</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237FAB"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Zimbabwe</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0.0</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sz w:val="20"/>
                <w:szCs w:val="20"/>
                <w:lang w:val="en-US"/>
              </w:rPr>
            </w:pPr>
            <w:r w:rsidRPr="00237FAB">
              <w:rPr>
                <w:sz w:val="20"/>
                <w:szCs w:val="20"/>
                <w:lang w:val="en-US"/>
              </w:rPr>
              <w:t>0</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left"/>
              <w:rPr>
                <w:sz w:val="20"/>
                <w:szCs w:val="20"/>
                <w:lang w:val="en-US"/>
              </w:rPr>
            </w:pPr>
            <w:r w:rsidRPr="00237FAB">
              <w:rPr>
                <w:sz w:val="20"/>
                <w:szCs w:val="20"/>
                <w:lang w:val="en-US"/>
              </w:rPr>
              <w:t> </w:t>
            </w:r>
          </w:p>
        </w:tc>
      </w:tr>
      <w:tr w:rsidR="00954FE3" w:rsidRPr="00954FE3" w:rsidTr="00954FE3">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54FE3" w:rsidRPr="00237FAB" w:rsidRDefault="00954FE3" w:rsidP="00237FAB">
            <w:pPr>
              <w:jc w:val="left"/>
              <w:rPr>
                <w:b/>
                <w:bCs/>
                <w:sz w:val="20"/>
                <w:szCs w:val="20"/>
                <w:lang w:val="en-US"/>
              </w:rPr>
            </w:pPr>
            <w:r w:rsidRPr="00237FAB">
              <w:rPr>
                <w:b/>
                <w:bCs/>
                <w:sz w:val="20"/>
                <w:szCs w:val="20"/>
                <w:lang w:val="en-US"/>
              </w:rPr>
              <w:t>Grand Total</w:t>
            </w:r>
          </w:p>
        </w:tc>
        <w:tc>
          <w:tcPr>
            <w:tcW w:w="1010"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b/>
                <w:bCs/>
                <w:sz w:val="20"/>
                <w:szCs w:val="20"/>
                <w:lang w:val="en-US"/>
              </w:rPr>
            </w:pPr>
            <w:r w:rsidRPr="00237FAB">
              <w:rPr>
                <w:b/>
                <w:bCs/>
                <w:sz w:val="20"/>
                <w:szCs w:val="20"/>
                <w:lang w:val="en-US"/>
              </w:rPr>
              <w:t>4,449.5</w:t>
            </w:r>
          </w:p>
        </w:tc>
        <w:tc>
          <w:tcPr>
            <w:tcW w:w="1160"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b/>
                <w:bCs/>
                <w:sz w:val="20"/>
                <w:szCs w:val="20"/>
                <w:lang w:val="en-US"/>
              </w:rPr>
            </w:pPr>
            <w:r w:rsidRPr="00237FAB">
              <w:rPr>
                <w:b/>
                <w:bCs/>
                <w:sz w:val="20"/>
                <w:szCs w:val="20"/>
                <w:lang w:val="en-US"/>
              </w:rPr>
              <w:t>99.9</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b/>
                <w:bCs/>
                <w:sz w:val="20"/>
                <w:szCs w:val="20"/>
                <w:lang w:val="en-US"/>
              </w:rPr>
            </w:pPr>
            <w:r w:rsidRPr="00237FAB">
              <w:rPr>
                <w:b/>
                <w:bCs/>
                <w:sz w:val="20"/>
                <w:szCs w:val="20"/>
                <w:lang w:val="en-US"/>
              </w:rPr>
              <w:t>30,801,534</w:t>
            </w:r>
          </w:p>
        </w:tc>
        <w:tc>
          <w:tcPr>
            <w:tcW w:w="1116" w:type="dxa"/>
            <w:tcBorders>
              <w:top w:val="nil"/>
              <w:left w:val="nil"/>
              <w:bottom w:val="single" w:sz="4" w:space="0" w:color="auto"/>
              <w:right w:val="single" w:sz="4" w:space="0" w:color="auto"/>
            </w:tcBorders>
            <w:shd w:val="clear" w:color="auto" w:fill="auto"/>
            <w:noWrap/>
            <w:vAlign w:val="bottom"/>
            <w:hideMark/>
          </w:tcPr>
          <w:p w:rsidR="00954FE3" w:rsidRPr="00237FAB" w:rsidRDefault="00954FE3" w:rsidP="00237FAB">
            <w:pPr>
              <w:jc w:val="right"/>
              <w:rPr>
                <w:b/>
                <w:bCs/>
                <w:sz w:val="20"/>
                <w:szCs w:val="20"/>
                <w:lang w:val="en-US"/>
              </w:rPr>
            </w:pPr>
            <w:r w:rsidRPr="00237FAB">
              <w:rPr>
                <w:b/>
                <w:bCs/>
                <w:sz w:val="20"/>
                <w:szCs w:val="20"/>
                <w:lang w:val="en-US"/>
              </w:rPr>
              <w:t>43,954,602</w:t>
            </w:r>
          </w:p>
        </w:tc>
        <w:tc>
          <w:tcPr>
            <w:tcW w:w="1358" w:type="dxa"/>
            <w:tcBorders>
              <w:top w:val="nil"/>
              <w:left w:val="nil"/>
              <w:bottom w:val="single" w:sz="4" w:space="0" w:color="auto"/>
              <w:right w:val="single" w:sz="4" w:space="0" w:color="auto"/>
            </w:tcBorders>
            <w:shd w:val="clear" w:color="auto" w:fill="auto"/>
            <w:noWrap/>
            <w:vAlign w:val="bottom"/>
            <w:hideMark/>
          </w:tcPr>
          <w:p w:rsidR="00954FE3" w:rsidRPr="00237FAB" w:rsidRDefault="002F30B0" w:rsidP="00237FAB">
            <w:pPr>
              <w:jc w:val="right"/>
              <w:rPr>
                <w:b/>
                <w:bCs/>
                <w:sz w:val="20"/>
                <w:szCs w:val="20"/>
                <w:lang w:val="en-US"/>
              </w:rPr>
            </w:pPr>
            <w:r w:rsidRPr="00237FAB">
              <w:rPr>
                <w:b/>
                <w:bCs/>
                <w:sz w:val="20"/>
                <w:szCs w:val="20"/>
                <w:lang w:val="en-US"/>
              </w:rPr>
              <w:t>143</w:t>
            </w:r>
          </w:p>
        </w:tc>
        <w:tc>
          <w:tcPr>
            <w:tcW w:w="1237" w:type="dxa"/>
            <w:tcBorders>
              <w:top w:val="nil"/>
              <w:left w:val="nil"/>
              <w:bottom w:val="single" w:sz="4" w:space="0" w:color="auto"/>
              <w:right w:val="single" w:sz="4" w:space="0" w:color="auto"/>
            </w:tcBorders>
            <w:shd w:val="clear" w:color="auto" w:fill="auto"/>
            <w:noWrap/>
            <w:vAlign w:val="bottom"/>
            <w:hideMark/>
          </w:tcPr>
          <w:p w:rsidR="00954FE3" w:rsidRPr="00954FE3" w:rsidRDefault="00954FE3" w:rsidP="00237FAB">
            <w:pPr>
              <w:jc w:val="right"/>
              <w:rPr>
                <w:b/>
                <w:bCs/>
                <w:sz w:val="20"/>
                <w:szCs w:val="20"/>
                <w:lang w:val="en-US"/>
              </w:rPr>
            </w:pPr>
            <w:r w:rsidRPr="00237FAB">
              <w:rPr>
                <w:b/>
                <w:bCs/>
                <w:sz w:val="20"/>
                <w:szCs w:val="20"/>
                <w:lang w:val="en-US"/>
              </w:rPr>
              <w:t>67</w:t>
            </w:r>
          </w:p>
        </w:tc>
      </w:tr>
    </w:tbl>
    <w:p w:rsidR="00954FE3" w:rsidRPr="006F2D06" w:rsidRDefault="00954FE3" w:rsidP="00237FAB">
      <w:pPr>
        <w:pStyle w:val="Title1"/>
        <w:rPr>
          <w:caps w:val="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F9511C" w:rsidTr="007C65C5">
        <w:tc>
          <w:tcPr>
            <w:tcW w:w="1915" w:type="dxa"/>
          </w:tcPr>
          <w:p w:rsidR="00F9511C" w:rsidRDefault="00F9511C" w:rsidP="00237FAB"/>
        </w:tc>
        <w:tc>
          <w:tcPr>
            <w:tcW w:w="1915" w:type="dxa"/>
          </w:tcPr>
          <w:p w:rsidR="00F9511C" w:rsidRDefault="00F9511C" w:rsidP="00237FAB"/>
        </w:tc>
        <w:tc>
          <w:tcPr>
            <w:tcW w:w="1915" w:type="dxa"/>
            <w:tcBorders>
              <w:bottom w:val="single" w:sz="4" w:space="0" w:color="auto"/>
            </w:tcBorders>
          </w:tcPr>
          <w:p w:rsidR="00F9511C" w:rsidRDefault="00F9511C" w:rsidP="00237FAB"/>
        </w:tc>
        <w:tc>
          <w:tcPr>
            <w:tcW w:w="1915" w:type="dxa"/>
          </w:tcPr>
          <w:p w:rsidR="00F9511C" w:rsidRDefault="00F9511C" w:rsidP="00237FAB"/>
        </w:tc>
        <w:tc>
          <w:tcPr>
            <w:tcW w:w="1916" w:type="dxa"/>
          </w:tcPr>
          <w:p w:rsidR="00F9511C" w:rsidRDefault="00F9511C" w:rsidP="00237FAB"/>
        </w:tc>
      </w:tr>
    </w:tbl>
    <w:p w:rsidR="00F9511C" w:rsidRPr="0001508D" w:rsidRDefault="00F9511C" w:rsidP="00237FAB"/>
    <w:sectPr w:rsidR="00F9511C" w:rsidRPr="0001508D" w:rsidSect="00F9511C">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3D" w:rsidRDefault="00BB7D3D" w:rsidP="004A504B">
      <w:r>
        <w:separator/>
      </w:r>
    </w:p>
  </w:endnote>
  <w:endnote w:type="continuationSeparator" w:id="0">
    <w:p w:rsidR="00BB7D3D" w:rsidRDefault="00BB7D3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center"/>
    </w:pPr>
    <w:r>
      <w:fldChar w:fldCharType="begin"/>
    </w:r>
    <w:r>
      <w:instrText xml:space="preserve"> PAGE </w:instrText>
    </w:r>
    <w:r>
      <w:fldChar w:fldCharType="separate"/>
    </w:r>
    <w:r w:rsidR="00523F8D">
      <w:rPr>
        <w:noProof/>
      </w:rPr>
      <w:t>6</w:t>
    </w:r>
    <w:r>
      <w:rPr>
        <w:noProof/>
      </w:rPr>
      <w:fldChar w:fldCharType="end"/>
    </w:r>
  </w:p>
  <w:p w:rsidR="00BB7D3D" w:rsidRDefault="00BB7D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center"/>
    </w:pPr>
    <w:r>
      <w:fldChar w:fldCharType="begin"/>
    </w:r>
    <w:r>
      <w:instrText xml:space="preserve"> PAGE </w:instrText>
    </w:r>
    <w:r>
      <w:fldChar w:fldCharType="separate"/>
    </w:r>
    <w:r w:rsidR="00523F8D">
      <w:rPr>
        <w:noProof/>
      </w:rPr>
      <w:t>7</w:t>
    </w:r>
    <w:r>
      <w:rPr>
        <w:noProof/>
      </w:rPr>
      <w:fldChar w:fldCharType="end"/>
    </w:r>
  </w:p>
  <w:p w:rsidR="00BB7D3D" w:rsidRDefault="00BB7D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Default="00BB7D3D"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BB7D3D" w:rsidRDefault="00BB7D3D"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center"/>
    </w:pPr>
    <w:r>
      <w:fldChar w:fldCharType="begin"/>
    </w:r>
    <w:r>
      <w:instrText xml:space="preserve"> PAGE </w:instrText>
    </w:r>
    <w:r>
      <w:fldChar w:fldCharType="separate"/>
    </w:r>
    <w:r>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37764"/>
      <w:docPartObj>
        <w:docPartGallery w:val="Page Numbers (Bottom of Page)"/>
        <w:docPartUnique/>
      </w:docPartObj>
    </w:sdtPr>
    <w:sdtEndPr>
      <w:rPr>
        <w:noProof/>
      </w:rPr>
    </w:sdtEndPr>
    <w:sdtContent>
      <w:p w:rsidR="00BB7D3D" w:rsidRDefault="00BB7D3D">
        <w:pPr>
          <w:pStyle w:val="Footer"/>
          <w:jc w:val="center"/>
        </w:pPr>
        <w:r>
          <w:fldChar w:fldCharType="begin"/>
        </w:r>
        <w:r>
          <w:instrText xml:space="preserve"> PAGE   \* MERGEFORMAT </w:instrText>
        </w:r>
        <w:r>
          <w:fldChar w:fldCharType="separate"/>
        </w:r>
        <w:r w:rsidR="00523F8D">
          <w:rPr>
            <w:noProof/>
          </w:rPr>
          <w:t>1</w:t>
        </w:r>
        <w:r>
          <w:rPr>
            <w:noProof/>
          </w:rPr>
          <w:fldChar w:fldCharType="end"/>
        </w:r>
      </w:p>
    </w:sdtContent>
  </w:sdt>
  <w:p w:rsidR="00BB7D3D" w:rsidRPr="00F9511C" w:rsidRDefault="00BB7D3D" w:rsidP="00F9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3D" w:rsidRDefault="00BB7D3D" w:rsidP="004A504B">
      <w:r>
        <w:separator/>
      </w:r>
    </w:p>
  </w:footnote>
  <w:footnote w:type="continuationSeparator" w:id="0">
    <w:p w:rsidR="00BB7D3D" w:rsidRDefault="00BB7D3D" w:rsidP="004A504B">
      <w:r>
        <w:continuationSeparator/>
      </w:r>
    </w:p>
  </w:footnote>
  <w:footnote w:id="1">
    <w:p w:rsidR="00BB7D3D" w:rsidRPr="00237FAB" w:rsidRDefault="00BB7D3D" w:rsidP="00F9511C">
      <w:pPr>
        <w:pStyle w:val="FootnoteText"/>
        <w:spacing w:after="0"/>
        <w:ind w:left="0" w:firstLine="0"/>
        <w:jc w:val="both"/>
      </w:pPr>
      <w:r w:rsidRPr="00237FAB">
        <w:rPr>
          <w:rStyle w:val="FootnoteReference"/>
          <w:sz w:val="20"/>
          <w:szCs w:val="20"/>
        </w:rPr>
        <w:footnoteRef/>
      </w:r>
      <w:r w:rsidRPr="00237FAB">
        <w:t xml:space="preserve"> The progress report is attached. The data has been included in the Consolidated Progress Report database that is available upon request. </w:t>
      </w:r>
    </w:p>
  </w:footnote>
  <w:footnote w:id="2">
    <w:p w:rsidR="00BB7D3D" w:rsidRPr="00237FAB" w:rsidRDefault="00BB7D3D" w:rsidP="00F9511C">
      <w:pPr>
        <w:pStyle w:val="FootnoteText"/>
        <w:spacing w:after="0"/>
        <w:ind w:left="0" w:firstLine="0"/>
        <w:jc w:val="both"/>
      </w:pPr>
      <w:r w:rsidRPr="00237FAB">
        <w:rPr>
          <w:rStyle w:val="FootnoteReference"/>
          <w:sz w:val="20"/>
          <w:szCs w:val="20"/>
        </w:rPr>
        <w:footnoteRef/>
      </w:r>
      <w:r w:rsidRPr="00237FAB">
        <w:t xml:space="preserve"> The higher value of the cost-effectiveness for ongoing projects is largely due to the lower ODP values of HCFCs but also due to the means of assigning phase-out by agencies.</w:t>
      </w:r>
    </w:p>
  </w:footnote>
  <w:footnote w:id="3">
    <w:p w:rsidR="00BB7D3D" w:rsidRPr="00237FAB" w:rsidRDefault="00BB7D3D" w:rsidP="00F9511C">
      <w:pPr>
        <w:pStyle w:val="FootnoteText"/>
        <w:spacing w:after="0"/>
        <w:ind w:left="0" w:firstLine="0"/>
        <w:jc w:val="both"/>
      </w:pPr>
      <w:r w:rsidRPr="00237FAB">
        <w:rPr>
          <w:rStyle w:val="FootnoteReference"/>
          <w:sz w:val="20"/>
          <w:szCs w:val="20"/>
        </w:rPr>
        <w:footnoteRef/>
      </w:r>
      <w:r w:rsidRPr="00237FAB">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 w:id="4">
    <w:p w:rsidR="00BB7D3D" w:rsidRPr="00237FAB" w:rsidRDefault="00BB7D3D" w:rsidP="00861742">
      <w:pPr>
        <w:autoSpaceDE w:val="0"/>
        <w:autoSpaceDN w:val="0"/>
        <w:adjustRightInd w:val="0"/>
      </w:pPr>
      <w:r w:rsidRPr="00237FAB">
        <w:rPr>
          <w:rStyle w:val="FootnoteReference"/>
        </w:rPr>
        <w:footnoteRef/>
      </w:r>
      <w:r w:rsidRPr="00237FAB">
        <w:t xml:space="preserve"> </w:t>
      </w:r>
      <w:r w:rsidRPr="00237FAB">
        <w:rPr>
          <w:sz w:val="20"/>
          <w:szCs w:val="20"/>
          <w:lang w:val="en-US"/>
        </w:rPr>
        <w:t>The Executive Committee has defined projects with implementation delays as projects approved over 18 months with disbursement less than one per cent, or projects that are expected to be completed 12 months later than forecast in the last progress report (decision 22/61).</w:t>
      </w:r>
    </w:p>
  </w:footnote>
  <w:footnote w:id="5">
    <w:p w:rsidR="00BB7D3D" w:rsidRPr="00237FAB" w:rsidRDefault="00BB7D3D" w:rsidP="00861742">
      <w:pPr>
        <w:pStyle w:val="FootnoteText"/>
        <w:spacing w:after="0"/>
        <w:ind w:left="0" w:firstLine="0"/>
        <w:jc w:val="both"/>
      </w:pPr>
      <w:r w:rsidRPr="00237FAB">
        <w:rPr>
          <w:rStyle w:val="FootnoteReference"/>
        </w:rPr>
        <w:footnoteRef/>
      </w:r>
      <w:r w:rsidRPr="00237FAB">
        <w:t xml:space="preserve"> Ongoing projects are all projects that have been approved by the Executive Committee and were under implementation as of 31 December 2015. Key indicators of progress include: percentage of funds disbursed and percentage of projects that have begun disbursing funds; funding expected to be disbursed by the end of the year (funds disbursed plus estimated disbursements in 2015) as a percentage of the approved funding; the average length of projected delay in implementation (project completion per proposal and currently planned date of completion); and information provided in the remarks column in the progress report database.</w:t>
      </w:r>
    </w:p>
  </w:footnote>
  <w:footnote w:id="6">
    <w:p w:rsidR="00BB7D3D" w:rsidRPr="00237FAB" w:rsidRDefault="00BB7D3D" w:rsidP="00F9511C">
      <w:pPr>
        <w:pStyle w:val="FootnoteText"/>
        <w:spacing w:after="0"/>
        <w:ind w:left="0" w:firstLine="0"/>
        <w:jc w:val="both"/>
      </w:pPr>
      <w:r w:rsidRPr="00237FAB">
        <w:rPr>
          <w:rStyle w:val="FootnoteReference"/>
          <w:sz w:val="20"/>
          <w:szCs w:val="20"/>
        </w:rPr>
        <w:footnoteRef/>
      </w:r>
      <w:r w:rsidRPr="00237FAB">
        <w:t xml:space="preserve"> One of the seven preparation activities was for the Philippines where the World Bank is not an implementing agency for the approved stage I of the HPMP. </w:t>
      </w:r>
    </w:p>
  </w:footnote>
  <w:footnote w:id="7">
    <w:p w:rsidR="00BB7D3D" w:rsidRPr="007760A9" w:rsidRDefault="00BB7D3D" w:rsidP="007760A9">
      <w:pPr>
        <w:pStyle w:val="FootnoteText"/>
        <w:ind w:left="0" w:firstLine="0"/>
        <w:jc w:val="both"/>
        <w:rPr>
          <w:lang w:val="en-CA"/>
        </w:rPr>
      </w:pPr>
      <w:r w:rsidRPr="00237FAB">
        <w:rPr>
          <w:rStyle w:val="FootnoteReference"/>
        </w:rPr>
        <w:footnoteRef/>
      </w:r>
      <w:r w:rsidRPr="00237FAB">
        <w:t xml:space="preserve"> </w:t>
      </w:r>
      <w:proofErr w:type="gramStart"/>
      <w:r w:rsidRPr="00237FAB">
        <w:rPr>
          <w:lang w:val="en-CA"/>
        </w:rPr>
        <w:t>ODS</w:t>
      </w:r>
      <w:proofErr w:type="gramEnd"/>
      <w:r w:rsidRPr="00237FAB">
        <w:rPr>
          <w:lang w:val="en-CA"/>
        </w:rPr>
        <w:t xml:space="preserve"> survey reports should be submitted by January 2017 to enable the Secretariat to provide an analysis of the results of the surveys for consideration of the Executive Committee at its 78</w:t>
      </w:r>
      <w:r w:rsidRPr="00237FAB">
        <w:rPr>
          <w:vertAlign w:val="superscript"/>
          <w:lang w:val="en-CA"/>
        </w:rPr>
        <w:t>th</w:t>
      </w:r>
      <w:r w:rsidRPr="00237FAB">
        <w:rPr>
          <w:lang w:val="en-CA"/>
        </w:rPr>
        <w:t xml:space="preserve"> meeting (decision 74/53(h)).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r>
      <w:fldChar w:fldCharType="begin"/>
    </w:r>
    <w:r>
      <w:instrText xml:space="preserve"> DOCPROPERTY "Document number"  \* MERGEFORMAT </w:instrText>
    </w:r>
    <w:r>
      <w:fldChar w:fldCharType="separate"/>
    </w:r>
    <w:r w:rsidR="00523F8D">
      <w:t>UNEP/OzL.Pro/</w:t>
    </w:r>
    <w:proofErr w:type="spellStart"/>
    <w:r w:rsidR="00523F8D">
      <w:t>ExCom</w:t>
    </w:r>
    <w:proofErr w:type="spellEnd"/>
    <w:r w:rsidR="00523F8D">
      <w:t>/77/16</w:t>
    </w:r>
    <w:r>
      <w:fldChar w:fldCharType="end"/>
    </w:r>
  </w:p>
  <w:p w:rsidR="00BB7D3D" w:rsidRPr="0033525D" w:rsidRDefault="00BB7D3D"/>
  <w:p w:rsidR="00BB7D3D" w:rsidRPr="0033525D" w:rsidRDefault="00BB7D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right"/>
    </w:pPr>
    <w:r>
      <w:fldChar w:fldCharType="begin"/>
    </w:r>
    <w:r>
      <w:instrText xml:space="preserve"> DOCPROPERTY "Document number"  \* MERGEFORMAT </w:instrText>
    </w:r>
    <w:r>
      <w:fldChar w:fldCharType="separate"/>
    </w:r>
    <w:r w:rsidR="00523F8D">
      <w:t>UNEP/OzL.Pro/</w:t>
    </w:r>
    <w:proofErr w:type="spellStart"/>
    <w:r w:rsidR="00523F8D">
      <w:t>ExCom</w:t>
    </w:r>
    <w:proofErr w:type="spellEnd"/>
    <w:r w:rsidR="00523F8D">
      <w:t>/77/16</w:t>
    </w:r>
    <w:r>
      <w:fldChar w:fldCharType="end"/>
    </w:r>
  </w:p>
  <w:p w:rsidR="00BB7D3D" w:rsidRPr="0033525D" w:rsidRDefault="00BB7D3D">
    <w:pPr>
      <w:pStyle w:val="Header"/>
    </w:pPr>
  </w:p>
  <w:p w:rsidR="00BB7D3D" w:rsidRDefault="00BB7D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r>
      <w:fldChar w:fldCharType="begin"/>
    </w:r>
    <w:r>
      <w:instrText xml:space="preserve"> DOCPROPERTY "Document number"  \* MERGEFORMAT </w:instrText>
    </w:r>
    <w:r>
      <w:fldChar w:fldCharType="separate"/>
    </w:r>
    <w:r w:rsidR="00523F8D">
      <w:t>UNEP/OzL.Pro/</w:t>
    </w:r>
    <w:proofErr w:type="spellStart"/>
    <w:r w:rsidR="00523F8D">
      <w:t>ExCom</w:t>
    </w:r>
    <w:proofErr w:type="spellEnd"/>
    <w:r w:rsidR="00523F8D">
      <w:t>/77/16</w:t>
    </w:r>
    <w:r>
      <w:fldChar w:fldCharType="end"/>
    </w:r>
  </w:p>
  <w:p w:rsidR="00BB7D3D" w:rsidRPr="0033525D" w:rsidRDefault="00BB7D3D"/>
  <w:p w:rsidR="00BB7D3D" w:rsidRPr="0033525D" w:rsidRDefault="00BB7D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pPr>
      <w:jc w:val="right"/>
    </w:pPr>
    <w:r>
      <w:fldChar w:fldCharType="begin"/>
    </w:r>
    <w:r>
      <w:instrText xml:space="preserve"> DOCPROPERTY "Document number"  \* MERGEFORMAT </w:instrText>
    </w:r>
    <w:r>
      <w:fldChar w:fldCharType="separate"/>
    </w:r>
    <w:r w:rsidR="00523F8D">
      <w:t>UNEP/OzL.Pro/</w:t>
    </w:r>
    <w:proofErr w:type="spellStart"/>
    <w:r w:rsidR="00523F8D">
      <w:t>ExCom</w:t>
    </w:r>
    <w:proofErr w:type="spellEnd"/>
    <w:r w:rsidR="00523F8D">
      <w:t>/77/16</w:t>
    </w:r>
    <w:r>
      <w:fldChar w:fldCharType="end"/>
    </w:r>
  </w:p>
  <w:p w:rsidR="00BB7D3D" w:rsidRPr="0033525D" w:rsidRDefault="00BB7D3D"/>
  <w:p w:rsidR="00BB7D3D" w:rsidRPr="0033525D" w:rsidRDefault="00BB7D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3D" w:rsidRPr="0033525D" w:rsidRDefault="00BB7D3D" w:rsidP="00F9511C">
    <w:pPr>
      <w:jc w:val="right"/>
    </w:pPr>
    <w:r>
      <w:fldChar w:fldCharType="begin"/>
    </w:r>
    <w:r>
      <w:instrText xml:space="preserve"> DOCPROPERTY "Document number"  \* MERGEFORMAT </w:instrText>
    </w:r>
    <w:r>
      <w:fldChar w:fldCharType="separate"/>
    </w:r>
    <w:r w:rsidR="00523F8D">
      <w:t>UNEP/OzL.Pro/</w:t>
    </w:r>
    <w:proofErr w:type="spellStart"/>
    <w:r w:rsidR="00523F8D">
      <w:t>ExCom</w:t>
    </w:r>
    <w:proofErr w:type="spellEnd"/>
    <w:r w:rsidR="00523F8D">
      <w:t>/77/16</w:t>
    </w:r>
    <w:r>
      <w:fldChar w:fldCharType="end"/>
    </w:r>
  </w:p>
  <w:p w:rsidR="00BB7D3D" w:rsidRDefault="00BB7D3D" w:rsidP="00F9511C">
    <w:pPr>
      <w:pStyle w:val="Header"/>
      <w:jc w:val="right"/>
    </w:pPr>
    <w:r>
      <w:t>Annex I</w:t>
    </w:r>
  </w:p>
  <w:p w:rsidR="00BB7D3D" w:rsidRDefault="00BB7D3D" w:rsidP="00F951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97A67A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nsid w:val="3E25415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873A73"/>
    <w:multiLevelType w:val="hybridMultilevel"/>
    <w:tmpl w:val="38A4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9927C9"/>
    <w:multiLevelType w:val="hybridMultilevel"/>
    <w:tmpl w:val="3AD8DC28"/>
    <w:lvl w:ilvl="0" w:tplc="A574EAE6">
      <w:start w:val="1"/>
      <w:numFmt w:val="lowerLetter"/>
      <w:lvlText w:val="(%1)"/>
      <w:lvlJc w:val="left"/>
      <w:pPr>
        <w:tabs>
          <w:tab w:val="num" w:pos="-1216"/>
        </w:tabs>
        <w:ind w:left="-1216" w:hanging="360"/>
      </w:pPr>
      <w:rPr>
        <w:rFonts w:cs="Times New Roman" w:hint="default"/>
        <w:i w:val="0"/>
      </w:rPr>
    </w:lvl>
    <w:lvl w:ilvl="1" w:tplc="04090019">
      <w:start w:val="1"/>
      <w:numFmt w:val="lowerLetter"/>
      <w:lvlText w:val="%2."/>
      <w:lvlJc w:val="left"/>
      <w:pPr>
        <w:tabs>
          <w:tab w:val="num" w:pos="-496"/>
        </w:tabs>
        <w:ind w:left="-496" w:hanging="360"/>
      </w:pPr>
      <w:rPr>
        <w:rFonts w:cs="Times New Roman"/>
      </w:rPr>
    </w:lvl>
    <w:lvl w:ilvl="2" w:tplc="0409001B">
      <w:start w:val="1"/>
      <w:numFmt w:val="lowerRoman"/>
      <w:lvlText w:val="%3."/>
      <w:lvlJc w:val="right"/>
      <w:pPr>
        <w:tabs>
          <w:tab w:val="num" w:pos="224"/>
        </w:tabs>
        <w:ind w:left="224" w:hanging="180"/>
      </w:pPr>
      <w:rPr>
        <w:rFonts w:cs="Times New Roman"/>
      </w:rPr>
    </w:lvl>
    <w:lvl w:ilvl="3" w:tplc="0409000F" w:tentative="1">
      <w:start w:val="1"/>
      <w:numFmt w:val="decimal"/>
      <w:lvlText w:val="%4."/>
      <w:lvlJc w:val="left"/>
      <w:pPr>
        <w:tabs>
          <w:tab w:val="num" w:pos="944"/>
        </w:tabs>
        <w:ind w:left="944" w:hanging="360"/>
      </w:pPr>
      <w:rPr>
        <w:rFonts w:cs="Times New Roman"/>
      </w:rPr>
    </w:lvl>
    <w:lvl w:ilvl="4" w:tplc="04090019" w:tentative="1">
      <w:start w:val="1"/>
      <w:numFmt w:val="lowerLetter"/>
      <w:lvlText w:val="%5."/>
      <w:lvlJc w:val="left"/>
      <w:pPr>
        <w:tabs>
          <w:tab w:val="num" w:pos="1664"/>
        </w:tabs>
        <w:ind w:left="1664" w:hanging="360"/>
      </w:pPr>
      <w:rPr>
        <w:rFonts w:cs="Times New Roman"/>
      </w:rPr>
    </w:lvl>
    <w:lvl w:ilvl="5" w:tplc="0409001B" w:tentative="1">
      <w:start w:val="1"/>
      <w:numFmt w:val="lowerRoman"/>
      <w:lvlText w:val="%6."/>
      <w:lvlJc w:val="right"/>
      <w:pPr>
        <w:tabs>
          <w:tab w:val="num" w:pos="2384"/>
        </w:tabs>
        <w:ind w:left="2384" w:hanging="180"/>
      </w:pPr>
      <w:rPr>
        <w:rFonts w:cs="Times New Roman"/>
      </w:rPr>
    </w:lvl>
    <w:lvl w:ilvl="6" w:tplc="0409000F" w:tentative="1">
      <w:start w:val="1"/>
      <w:numFmt w:val="decimal"/>
      <w:lvlText w:val="%7."/>
      <w:lvlJc w:val="left"/>
      <w:pPr>
        <w:tabs>
          <w:tab w:val="num" w:pos="3104"/>
        </w:tabs>
        <w:ind w:left="3104" w:hanging="360"/>
      </w:pPr>
      <w:rPr>
        <w:rFonts w:cs="Times New Roman"/>
      </w:rPr>
    </w:lvl>
    <w:lvl w:ilvl="7" w:tplc="04090019" w:tentative="1">
      <w:start w:val="1"/>
      <w:numFmt w:val="lowerLetter"/>
      <w:lvlText w:val="%8."/>
      <w:lvlJc w:val="left"/>
      <w:pPr>
        <w:tabs>
          <w:tab w:val="num" w:pos="3824"/>
        </w:tabs>
        <w:ind w:left="3824" w:hanging="360"/>
      </w:pPr>
      <w:rPr>
        <w:rFonts w:cs="Times New Roman"/>
      </w:rPr>
    </w:lvl>
    <w:lvl w:ilvl="8" w:tplc="0409001B" w:tentative="1">
      <w:start w:val="1"/>
      <w:numFmt w:val="lowerRoman"/>
      <w:lvlText w:val="%9."/>
      <w:lvlJc w:val="right"/>
      <w:pPr>
        <w:tabs>
          <w:tab w:val="num" w:pos="4544"/>
        </w:tabs>
        <w:ind w:left="4544" w:hanging="180"/>
      </w:pPr>
      <w:rPr>
        <w:rFonts w:cs="Times New Roman"/>
      </w:rPr>
    </w:lvl>
  </w:abstractNum>
  <w:abstractNum w:abstractNumId="2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F815648"/>
    <w:multiLevelType w:val="multilevel"/>
    <w:tmpl w:val="4740EE54"/>
    <w:lvl w:ilvl="0">
      <w:start w:val="1"/>
      <w:numFmt w:val="decimal"/>
      <w:lvlText w:val="%1."/>
      <w:lvlJc w:val="left"/>
      <w:pPr>
        <w:tabs>
          <w:tab w:val="num" w:pos="0"/>
        </w:tabs>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8"/>
  </w:num>
  <w:num w:numId="19">
    <w:abstractNumId w:val="21"/>
  </w:num>
  <w:num w:numId="20">
    <w:abstractNumId w:val="13"/>
  </w:num>
  <w:num w:numId="21">
    <w:abstractNumId w:val="14"/>
  </w:num>
  <w:num w:numId="22">
    <w:abstractNumId w:val="11"/>
  </w:num>
  <w:num w:numId="23">
    <w:abstractNumId w:val="20"/>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C"/>
    <w:rsid w:val="00000626"/>
    <w:rsid w:val="00000FED"/>
    <w:rsid w:val="000033C1"/>
    <w:rsid w:val="0000434E"/>
    <w:rsid w:val="0001032B"/>
    <w:rsid w:val="000211A9"/>
    <w:rsid w:val="000306E1"/>
    <w:rsid w:val="00031260"/>
    <w:rsid w:val="0003681A"/>
    <w:rsid w:val="00063B4D"/>
    <w:rsid w:val="000652F6"/>
    <w:rsid w:val="00065D67"/>
    <w:rsid w:val="0006718D"/>
    <w:rsid w:val="00080ED0"/>
    <w:rsid w:val="000811CC"/>
    <w:rsid w:val="00085B8F"/>
    <w:rsid w:val="00090481"/>
    <w:rsid w:val="000A2C48"/>
    <w:rsid w:val="000A3140"/>
    <w:rsid w:val="000A7183"/>
    <w:rsid w:val="000B08E0"/>
    <w:rsid w:val="000C28C9"/>
    <w:rsid w:val="000D2CEF"/>
    <w:rsid w:val="000E07BC"/>
    <w:rsid w:val="000E18FC"/>
    <w:rsid w:val="000F1CD4"/>
    <w:rsid w:val="000F4103"/>
    <w:rsid w:val="000F70A7"/>
    <w:rsid w:val="00117492"/>
    <w:rsid w:val="0012407B"/>
    <w:rsid w:val="00135980"/>
    <w:rsid w:val="00151142"/>
    <w:rsid w:val="00154F14"/>
    <w:rsid w:val="00155650"/>
    <w:rsid w:val="00155825"/>
    <w:rsid w:val="00160693"/>
    <w:rsid w:val="001634C3"/>
    <w:rsid w:val="00164719"/>
    <w:rsid w:val="00166FC4"/>
    <w:rsid w:val="001677AC"/>
    <w:rsid w:val="00173EB3"/>
    <w:rsid w:val="001775CE"/>
    <w:rsid w:val="001804EA"/>
    <w:rsid w:val="00190A61"/>
    <w:rsid w:val="001A3342"/>
    <w:rsid w:val="001A3E3D"/>
    <w:rsid w:val="001A7049"/>
    <w:rsid w:val="001B1E40"/>
    <w:rsid w:val="001B7644"/>
    <w:rsid w:val="001C02ED"/>
    <w:rsid w:val="001C36C8"/>
    <w:rsid w:val="001C764E"/>
    <w:rsid w:val="001D49CC"/>
    <w:rsid w:val="001E1052"/>
    <w:rsid w:val="001E1C6B"/>
    <w:rsid w:val="001E21B1"/>
    <w:rsid w:val="001E2F93"/>
    <w:rsid w:val="001E61E5"/>
    <w:rsid w:val="001F2159"/>
    <w:rsid w:val="001F377E"/>
    <w:rsid w:val="001F78C9"/>
    <w:rsid w:val="00204A40"/>
    <w:rsid w:val="00215555"/>
    <w:rsid w:val="002156B4"/>
    <w:rsid w:val="00224A6C"/>
    <w:rsid w:val="00237C1C"/>
    <w:rsid w:val="00237FAB"/>
    <w:rsid w:val="00250E5D"/>
    <w:rsid w:val="00253222"/>
    <w:rsid w:val="00254822"/>
    <w:rsid w:val="00262847"/>
    <w:rsid w:val="002636B8"/>
    <w:rsid w:val="00274B5B"/>
    <w:rsid w:val="00281FF9"/>
    <w:rsid w:val="00294328"/>
    <w:rsid w:val="0029659C"/>
    <w:rsid w:val="002A4B93"/>
    <w:rsid w:val="002B33E9"/>
    <w:rsid w:val="002B72E9"/>
    <w:rsid w:val="002C40DA"/>
    <w:rsid w:val="002C6126"/>
    <w:rsid w:val="002C6B0B"/>
    <w:rsid w:val="002C7998"/>
    <w:rsid w:val="002C7B31"/>
    <w:rsid w:val="002D25D6"/>
    <w:rsid w:val="002D2ADD"/>
    <w:rsid w:val="002E2A37"/>
    <w:rsid w:val="002E44DE"/>
    <w:rsid w:val="002F1E53"/>
    <w:rsid w:val="002F2CAA"/>
    <w:rsid w:val="002F30B0"/>
    <w:rsid w:val="002F418E"/>
    <w:rsid w:val="0032012B"/>
    <w:rsid w:val="003306E1"/>
    <w:rsid w:val="003320E4"/>
    <w:rsid w:val="00333DD6"/>
    <w:rsid w:val="0033525D"/>
    <w:rsid w:val="003414F3"/>
    <w:rsid w:val="00344992"/>
    <w:rsid w:val="0035613E"/>
    <w:rsid w:val="00363EE9"/>
    <w:rsid w:val="0037042C"/>
    <w:rsid w:val="00370A0C"/>
    <w:rsid w:val="00376128"/>
    <w:rsid w:val="0037742E"/>
    <w:rsid w:val="0038245A"/>
    <w:rsid w:val="00384ADA"/>
    <w:rsid w:val="0039337A"/>
    <w:rsid w:val="0039627C"/>
    <w:rsid w:val="00397563"/>
    <w:rsid w:val="003A21C4"/>
    <w:rsid w:val="003A3189"/>
    <w:rsid w:val="003A7892"/>
    <w:rsid w:val="003B003B"/>
    <w:rsid w:val="003B569D"/>
    <w:rsid w:val="003B5B21"/>
    <w:rsid w:val="003C0EBD"/>
    <w:rsid w:val="003C3C0E"/>
    <w:rsid w:val="003C7040"/>
    <w:rsid w:val="003D4FAC"/>
    <w:rsid w:val="003D5706"/>
    <w:rsid w:val="003E476B"/>
    <w:rsid w:val="003E7906"/>
    <w:rsid w:val="003F0ADB"/>
    <w:rsid w:val="003F3C50"/>
    <w:rsid w:val="00405BDC"/>
    <w:rsid w:val="0040628C"/>
    <w:rsid w:val="00406A6A"/>
    <w:rsid w:val="00406B22"/>
    <w:rsid w:val="004328A7"/>
    <w:rsid w:val="00434C74"/>
    <w:rsid w:val="00456EB4"/>
    <w:rsid w:val="004577A3"/>
    <w:rsid w:val="00461E13"/>
    <w:rsid w:val="004718F3"/>
    <w:rsid w:val="00475040"/>
    <w:rsid w:val="00476A6A"/>
    <w:rsid w:val="00485CC0"/>
    <w:rsid w:val="00493D40"/>
    <w:rsid w:val="004967B6"/>
    <w:rsid w:val="004A504B"/>
    <w:rsid w:val="004A6911"/>
    <w:rsid w:val="004B54E0"/>
    <w:rsid w:val="004B7384"/>
    <w:rsid w:val="004C4269"/>
    <w:rsid w:val="004D1E50"/>
    <w:rsid w:val="004D6236"/>
    <w:rsid w:val="004E21F2"/>
    <w:rsid w:val="004E4DBB"/>
    <w:rsid w:val="004E4E41"/>
    <w:rsid w:val="004E662F"/>
    <w:rsid w:val="004E7F9C"/>
    <w:rsid w:val="004F3493"/>
    <w:rsid w:val="004F75EC"/>
    <w:rsid w:val="00506ACF"/>
    <w:rsid w:val="00512B09"/>
    <w:rsid w:val="00514E08"/>
    <w:rsid w:val="00516D42"/>
    <w:rsid w:val="00523F8D"/>
    <w:rsid w:val="00555D75"/>
    <w:rsid w:val="00560DF0"/>
    <w:rsid w:val="00563FB5"/>
    <w:rsid w:val="0056759C"/>
    <w:rsid w:val="005727A3"/>
    <w:rsid w:val="005843BC"/>
    <w:rsid w:val="0059513E"/>
    <w:rsid w:val="005A267F"/>
    <w:rsid w:val="005B48FF"/>
    <w:rsid w:val="005B5B44"/>
    <w:rsid w:val="005C7530"/>
    <w:rsid w:val="005E4260"/>
    <w:rsid w:val="005E635B"/>
    <w:rsid w:val="005F4182"/>
    <w:rsid w:val="00602411"/>
    <w:rsid w:val="00603B51"/>
    <w:rsid w:val="00604BBB"/>
    <w:rsid w:val="00604BC2"/>
    <w:rsid w:val="00604C15"/>
    <w:rsid w:val="00610506"/>
    <w:rsid w:val="00613DF6"/>
    <w:rsid w:val="006158D5"/>
    <w:rsid w:val="00622AC4"/>
    <w:rsid w:val="00625D83"/>
    <w:rsid w:val="00633C5D"/>
    <w:rsid w:val="00642340"/>
    <w:rsid w:val="006459AC"/>
    <w:rsid w:val="00651526"/>
    <w:rsid w:val="006623E7"/>
    <w:rsid w:val="00662B80"/>
    <w:rsid w:val="00667244"/>
    <w:rsid w:val="00681CE9"/>
    <w:rsid w:val="006852C7"/>
    <w:rsid w:val="006A4A38"/>
    <w:rsid w:val="006A6127"/>
    <w:rsid w:val="006A7AA1"/>
    <w:rsid w:val="006C1727"/>
    <w:rsid w:val="006C32FD"/>
    <w:rsid w:val="006C39CE"/>
    <w:rsid w:val="006C7797"/>
    <w:rsid w:val="006D0FCC"/>
    <w:rsid w:val="006E4061"/>
    <w:rsid w:val="006E4A75"/>
    <w:rsid w:val="006E7FC6"/>
    <w:rsid w:val="006F2AB4"/>
    <w:rsid w:val="006F2D06"/>
    <w:rsid w:val="00705356"/>
    <w:rsid w:val="0070542A"/>
    <w:rsid w:val="0070616B"/>
    <w:rsid w:val="00706FDA"/>
    <w:rsid w:val="00711F9A"/>
    <w:rsid w:val="00713810"/>
    <w:rsid w:val="0072200D"/>
    <w:rsid w:val="007303A5"/>
    <w:rsid w:val="00730B3E"/>
    <w:rsid w:val="0073420B"/>
    <w:rsid w:val="0074760E"/>
    <w:rsid w:val="00754ABA"/>
    <w:rsid w:val="00755E54"/>
    <w:rsid w:val="00775B66"/>
    <w:rsid w:val="007760A9"/>
    <w:rsid w:val="007803B2"/>
    <w:rsid w:val="00782ED9"/>
    <w:rsid w:val="00796D79"/>
    <w:rsid w:val="007A1546"/>
    <w:rsid w:val="007A228C"/>
    <w:rsid w:val="007A368E"/>
    <w:rsid w:val="007A5868"/>
    <w:rsid w:val="007B04CE"/>
    <w:rsid w:val="007B28EA"/>
    <w:rsid w:val="007B67BC"/>
    <w:rsid w:val="007B6871"/>
    <w:rsid w:val="007B7A2F"/>
    <w:rsid w:val="007C3D33"/>
    <w:rsid w:val="007C46D8"/>
    <w:rsid w:val="007C6190"/>
    <w:rsid w:val="007C65C5"/>
    <w:rsid w:val="007D22EF"/>
    <w:rsid w:val="007D294A"/>
    <w:rsid w:val="007D47D2"/>
    <w:rsid w:val="007D6EC0"/>
    <w:rsid w:val="007D7E1D"/>
    <w:rsid w:val="007E4369"/>
    <w:rsid w:val="008058D3"/>
    <w:rsid w:val="00821642"/>
    <w:rsid w:val="00822233"/>
    <w:rsid w:val="00851352"/>
    <w:rsid w:val="00861742"/>
    <w:rsid w:val="008625E9"/>
    <w:rsid w:val="00863230"/>
    <w:rsid w:val="008717D8"/>
    <w:rsid w:val="0087215C"/>
    <w:rsid w:val="008875FE"/>
    <w:rsid w:val="00887F8E"/>
    <w:rsid w:val="00891FD1"/>
    <w:rsid w:val="00892E9A"/>
    <w:rsid w:val="00896234"/>
    <w:rsid w:val="00897E43"/>
    <w:rsid w:val="008A0675"/>
    <w:rsid w:val="008B2AF6"/>
    <w:rsid w:val="008B4DCE"/>
    <w:rsid w:val="008B7B9C"/>
    <w:rsid w:val="008C28A9"/>
    <w:rsid w:val="008C5738"/>
    <w:rsid w:val="008C7EAD"/>
    <w:rsid w:val="008D6152"/>
    <w:rsid w:val="008E2E28"/>
    <w:rsid w:val="008F0F81"/>
    <w:rsid w:val="008F200A"/>
    <w:rsid w:val="008F27BF"/>
    <w:rsid w:val="00903B21"/>
    <w:rsid w:val="00923540"/>
    <w:rsid w:val="00925F1F"/>
    <w:rsid w:val="00926767"/>
    <w:rsid w:val="00927359"/>
    <w:rsid w:val="00931CD7"/>
    <w:rsid w:val="009339BA"/>
    <w:rsid w:val="009361D5"/>
    <w:rsid w:val="009374B4"/>
    <w:rsid w:val="0094781A"/>
    <w:rsid w:val="00954FE3"/>
    <w:rsid w:val="00955A7F"/>
    <w:rsid w:val="009632C2"/>
    <w:rsid w:val="009659F4"/>
    <w:rsid w:val="00967367"/>
    <w:rsid w:val="00970BC7"/>
    <w:rsid w:val="00970D60"/>
    <w:rsid w:val="0097511A"/>
    <w:rsid w:val="00985BF0"/>
    <w:rsid w:val="00995908"/>
    <w:rsid w:val="009960E5"/>
    <w:rsid w:val="009A7444"/>
    <w:rsid w:val="009A76EE"/>
    <w:rsid w:val="009A7ADC"/>
    <w:rsid w:val="009C19B7"/>
    <w:rsid w:val="009D7C51"/>
    <w:rsid w:val="009F36BF"/>
    <w:rsid w:val="00A02F3F"/>
    <w:rsid w:val="00A07522"/>
    <w:rsid w:val="00A075DE"/>
    <w:rsid w:val="00A07D67"/>
    <w:rsid w:val="00A111B6"/>
    <w:rsid w:val="00A1396A"/>
    <w:rsid w:val="00A40B2C"/>
    <w:rsid w:val="00A42A99"/>
    <w:rsid w:val="00A43D0A"/>
    <w:rsid w:val="00A5151A"/>
    <w:rsid w:val="00A57E0A"/>
    <w:rsid w:val="00A60C1B"/>
    <w:rsid w:val="00A823F6"/>
    <w:rsid w:val="00A96559"/>
    <w:rsid w:val="00AA0A89"/>
    <w:rsid w:val="00AA6429"/>
    <w:rsid w:val="00AC01AA"/>
    <w:rsid w:val="00AC4F72"/>
    <w:rsid w:val="00AD1742"/>
    <w:rsid w:val="00AE34C2"/>
    <w:rsid w:val="00AF0163"/>
    <w:rsid w:val="00AF741A"/>
    <w:rsid w:val="00B01ADB"/>
    <w:rsid w:val="00B04161"/>
    <w:rsid w:val="00B056F9"/>
    <w:rsid w:val="00B06B81"/>
    <w:rsid w:val="00B11E3D"/>
    <w:rsid w:val="00B13412"/>
    <w:rsid w:val="00B138E0"/>
    <w:rsid w:val="00B158E8"/>
    <w:rsid w:val="00B17E82"/>
    <w:rsid w:val="00B21DF9"/>
    <w:rsid w:val="00B432EE"/>
    <w:rsid w:val="00B4575A"/>
    <w:rsid w:val="00B457F4"/>
    <w:rsid w:val="00B47392"/>
    <w:rsid w:val="00B56E96"/>
    <w:rsid w:val="00B575BA"/>
    <w:rsid w:val="00B62762"/>
    <w:rsid w:val="00B63F43"/>
    <w:rsid w:val="00B76429"/>
    <w:rsid w:val="00B956D4"/>
    <w:rsid w:val="00B97446"/>
    <w:rsid w:val="00BA2C6B"/>
    <w:rsid w:val="00BA3B99"/>
    <w:rsid w:val="00BA7432"/>
    <w:rsid w:val="00BB2596"/>
    <w:rsid w:val="00BB7D3D"/>
    <w:rsid w:val="00BC01E5"/>
    <w:rsid w:val="00BC0FC8"/>
    <w:rsid w:val="00BC1AA0"/>
    <w:rsid w:val="00BC2495"/>
    <w:rsid w:val="00BC57AB"/>
    <w:rsid w:val="00BC7EB9"/>
    <w:rsid w:val="00BD1BC0"/>
    <w:rsid w:val="00BD2643"/>
    <w:rsid w:val="00BD56B1"/>
    <w:rsid w:val="00BD6558"/>
    <w:rsid w:val="00BE386C"/>
    <w:rsid w:val="00BE6A41"/>
    <w:rsid w:val="00BF3214"/>
    <w:rsid w:val="00C044DF"/>
    <w:rsid w:val="00C11E86"/>
    <w:rsid w:val="00C15867"/>
    <w:rsid w:val="00C2296D"/>
    <w:rsid w:val="00C23155"/>
    <w:rsid w:val="00C40C41"/>
    <w:rsid w:val="00C4355F"/>
    <w:rsid w:val="00C45885"/>
    <w:rsid w:val="00C462A4"/>
    <w:rsid w:val="00C50F22"/>
    <w:rsid w:val="00C57971"/>
    <w:rsid w:val="00C674BE"/>
    <w:rsid w:val="00C76BA4"/>
    <w:rsid w:val="00C83A48"/>
    <w:rsid w:val="00C85865"/>
    <w:rsid w:val="00C85E85"/>
    <w:rsid w:val="00C94052"/>
    <w:rsid w:val="00CA2EAE"/>
    <w:rsid w:val="00CA4AC1"/>
    <w:rsid w:val="00CB0316"/>
    <w:rsid w:val="00CB0B11"/>
    <w:rsid w:val="00CB2902"/>
    <w:rsid w:val="00CB5354"/>
    <w:rsid w:val="00CB5756"/>
    <w:rsid w:val="00CC2DBF"/>
    <w:rsid w:val="00CC6A14"/>
    <w:rsid w:val="00CC70A3"/>
    <w:rsid w:val="00CD289D"/>
    <w:rsid w:val="00CD3936"/>
    <w:rsid w:val="00CD4442"/>
    <w:rsid w:val="00CD53C3"/>
    <w:rsid w:val="00CD574E"/>
    <w:rsid w:val="00CD7E6F"/>
    <w:rsid w:val="00CE18C2"/>
    <w:rsid w:val="00CE34D5"/>
    <w:rsid w:val="00CE4C22"/>
    <w:rsid w:val="00CE7C58"/>
    <w:rsid w:val="00CF2269"/>
    <w:rsid w:val="00CF41EC"/>
    <w:rsid w:val="00CF5D04"/>
    <w:rsid w:val="00D04DE4"/>
    <w:rsid w:val="00D063F1"/>
    <w:rsid w:val="00D14F22"/>
    <w:rsid w:val="00D22178"/>
    <w:rsid w:val="00D24D47"/>
    <w:rsid w:val="00D34FCE"/>
    <w:rsid w:val="00D57918"/>
    <w:rsid w:val="00D64EE0"/>
    <w:rsid w:val="00D672DD"/>
    <w:rsid w:val="00D73DC6"/>
    <w:rsid w:val="00D74C1A"/>
    <w:rsid w:val="00D754C1"/>
    <w:rsid w:val="00D77A35"/>
    <w:rsid w:val="00D77EBE"/>
    <w:rsid w:val="00D81B3E"/>
    <w:rsid w:val="00D81FA7"/>
    <w:rsid w:val="00D90C70"/>
    <w:rsid w:val="00D90E49"/>
    <w:rsid w:val="00D95D6F"/>
    <w:rsid w:val="00DA3DFD"/>
    <w:rsid w:val="00DA7E7D"/>
    <w:rsid w:val="00DC6A10"/>
    <w:rsid w:val="00DE24A6"/>
    <w:rsid w:val="00DE53C8"/>
    <w:rsid w:val="00DE657E"/>
    <w:rsid w:val="00DF4704"/>
    <w:rsid w:val="00E024AA"/>
    <w:rsid w:val="00E06845"/>
    <w:rsid w:val="00E24428"/>
    <w:rsid w:val="00E250F1"/>
    <w:rsid w:val="00E25EDE"/>
    <w:rsid w:val="00E273B5"/>
    <w:rsid w:val="00E333D0"/>
    <w:rsid w:val="00E3550D"/>
    <w:rsid w:val="00E614E0"/>
    <w:rsid w:val="00E66A74"/>
    <w:rsid w:val="00E73F7F"/>
    <w:rsid w:val="00E755B4"/>
    <w:rsid w:val="00E807C5"/>
    <w:rsid w:val="00E91647"/>
    <w:rsid w:val="00E971AF"/>
    <w:rsid w:val="00EA429F"/>
    <w:rsid w:val="00EA4F9E"/>
    <w:rsid w:val="00EA500F"/>
    <w:rsid w:val="00EA63CA"/>
    <w:rsid w:val="00EA6931"/>
    <w:rsid w:val="00EA6D3B"/>
    <w:rsid w:val="00EB00AD"/>
    <w:rsid w:val="00EB136C"/>
    <w:rsid w:val="00EB480E"/>
    <w:rsid w:val="00EB5EC6"/>
    <w:rsid w:val="00EB7FC9"/>
    <w:rsid w:val="00EC4BDF"/>
    <w:rsid w:val="00ED1EA2"/>
    <w:rsid w:val="00ED27E8"/>
    <w:rsid w:val="00ED7137"/>
    <w:rsid w:val="00EE0D4F"/>
    <w:rsid w:val="00EE5EB0"/>
    <w:rsid w:val="00F010A8"/>
    <w:rsid w:val="00F06408"/>
    <w:rsid w:val="00F11A00"/>
    <w:rsid w:val="00F21088"/>
    <w:rsid w:val="00F272E9"/>
    <w:rsid w:val="00F327E7"/>
    <w:rsid w:val="00F32AD6"/>
    <w:rsid w:val="00F349BF"/>
    <w:rsid w:val="00F35746"/>
    <w:rsid w:val="00F419D6"/>
    <w:rsid w:val="00F447C7"/>
    <w:rsid w:val="00F554A9"/>
    <w:rsid w:val="00F716FD"/>
    <w:rsid w:val="00F80355"/>
    <w:rsid w:val="00F80F0A"/>
    <w:rsid w:val="00F90648"/>
    <w:rsid w:val="00F9511C"/>
    <w:rsid w:val="00FA07F4"/>
    <w:rsid w:val="00FB0C81"/>
    <w:rsid w:val="00FB2F6F"/>
    <w:rsid w:val="00FB444A"/>
    <w:rsid w:val="00FB7BF7"/>
    <w:rsid w:val="00FC02F0"/>
    <w:rsid w:val="00FC2200"/>
    <w:rsid w:val="00FC2540"/>
    <w:rsid w:val="00FF0204"/>
    <w:rsid w:val="00FF3AED"/>
    <w:rsid w:val="00FF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9511C"/>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F9511C"/>
    <w:rPr>
      <w:sz w:val="22"/>
      <w:szCs w:val="22"/>
      <w:lang w:val="en-GB"/>
    </w:rPr>
  </w:style>
  <w:style w:type="character" w:customStyle="1" w:styleId="HeaderChar">
    <w:name w:val="Header Char"/>
    <w:basedOn w:val="DefaultParagraphFont"/>
    <w:link w:val="Header"/>
    <w:rsid w:val="00F9511C"/>
    <w:rPr>
      <w:sz w:val="22"/>
      <w:szCs w:val="22"/>
      <w:lang w:val="en-GB"/>
    </w:rPr>
  </w:style>
  <w:style w:type="paragraph" w:customStyle="1" w:styleId="Heading">
    <w:name w:val="Heading"/>
    <w:basedOn w:val="Header"/>
    <w:next w:val="Header"/>
    <w:rsid w:val="00F9511C"/>
    <w:pPr>
      <w:tabs>
        <w:tab w:val="clear" w:pos="4320"/>
        <w:tab w:val="clear" w:pos="8640"/>
      </w:tabs>
    </w:pPr>
    <w:rPr>
      <w:b/>
      <w:bCs/>
      <w:sz w:val="24"/>
      <w:szCs w:val="24"/>
      <w:u w:val="single"/>
      <w:lang w:val="en-US"/>
    </w:rPr>
  </w:style>
  <w:style w:type="paragraph" w:customStyle="1" w:styleId="Bullet2">
    <w:name w:val="Bullet 2"/>
    <w:basedOn w:val="Normal"/>
    <w:uiPriority w:val="99"/>
    <w:rsid w:val="00F9511C"/>
    <w:pPr>
      <w:tabs>
        <w:tab w:val="left" w:pos="-720"/>
        <w:tab w:val="left" w:pos="0"/>
        <w:tab w:val="left" w:pos="720"/>
        <w:tab w:val="left" w:pos="1440"/>
        <w:tab w:val="left" w:pos="2160"/>
        <w:tab w:val="left" w:pos="2880"/>
        <w:tab w:val="left" w:pos="3600"/>
      </w:tabs>
      <w:ind w:left="1440" w:hanging="720"/>
    </w:pPr>
    <w:rPr>
      <w:sz w:val="24"/>
      <w:szCs w:val="24"/>
      <w:lang w:val="en-US"/>
    </w:rPr>
  </w:style>
  <w:style w:type="character" w:customStyle="1" w:styleId="FooterChar">
    <w:name w:val="Footer Char"/>
    <w:basedOn w:val="DefaultParagraphFont"/>
    <w:link w:val="Footer"/>
    <w:uiPriority w:val="99"/>
    <w:rsid w:val="00F9511C"/>
    <w:rPr>
      <w:sz w:val="22"/>
      <w:szCs w:val="22"/>
      <w:lang w:val="en-GB"/>
    </w:rPr>
  </w:style>
  <w:style w:type="paragraph" w:styleId="ListParagraph">
    <w:name w:val="List Paragraph"/>
    <w:basedOn w:val="Normal"/>
    <w:uiPriority w:val="34"/>
    <w:qFormat/>
    <w:rsid w:val="00F9511C"/>
    <w:pPr>
      <w:ind w:left="720"/>
      <w:contextualSpacing/>
    </w:pPr>
  </w:style>
  <w:style w:type="paragraph" w:styleId="Revision">
    <w:name w:val="Revision"/>
    <w:hidden/>
    <w:uiPriority w:val="99"/>
    <w:semiHidden/>
    <w:rsid w:val="00F9511C"/>
    <w:rPr>
      <w:sz w:val="22"/>
      <w:szCs w:val="22"/>
      <w:lang w:val="en-GB"/>
    </w:rPr>
  </w:style>
  <w:style w:type="paragraph" w:customStyle="1" w:styleId="a--">
    <w:name w:val="a-(-)"/>
    <w:basedOn w:val="Normal"/>
    <w:rsid w:val="00F9511C"/>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semiHidden/>
    <w:rsid w:val="00F9511C"/>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F9511C"/>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F9511C"/>
    <w:rPr>
      <w:lang w:eastAsia="fr-FR"/>
    </w:rPr>
  </w:style>
  <w:style w:type="character" w:customStyle="1" w:styleId="0Heading0Char">
    <w:name w:val="0 Heading 0 Char"/>
    <w:link w:val="0Heading0"/>
    <w:uiPriority w:val="99"/>
    <w:rsid w:val="00F9511C"/>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9511C"/>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F9511C"/>
    <w:rPr>
      <w:sz w:val="22"/>
      <w:szCs w:val="22"/>
      <w:lang w:val="en-GB"/>
    </w:rPr>
  </w:style>
  <w:style w:type="character" w:customStyle="1" w:styleId="HeaderChar">
    <w:name w:val="Header Char"/>
    <w:basedOn w:val="DefaultParagraphFont"/>
    <w:link w:val="Header"/>
    <w:rsid w:val="00F9511C"/>
    <w:rPr>
      <w:sz w:val="22"/>
      <w:szCs w:val="22"/>
      <w:lang w:val="en-GB"/>
    </w:rPr>
  </w:style>
  <w:style w:type="paragraph" w:customStyle="1" w:styleId="Heading">
    <w:name w:val="Heading"/>
    <w:basedOn w:val="Header"/>
    <w:next w:val="Header"/>
    <w:rsid w:val="00F9511C"/>
    <w:pPr>
      <w:tabs>
        <w:tab w:val="clear" w:pos="4320"/>
        <w:tab w:val="clear" w:pos="8640"/>
      </w:tabs>
    </w:pPr>
    <w:rPr>
      <w:b/>
      <w:bCs/>
      <w:sz w:val="24"/>
      <w:szCs w:val="24"/>
      <w:u w:val="single"/>
      <w:lang w:val="en-US"/>
    </w:rPr>
  </w:style>
  <w:style w:type="paragraph" w:customStyle="1" w:styleId="Bullet2">
    <w:name w:val="Bullet 2"/>
    <w:basedOn w:val="Normal"/>
    <w:uiPriority w:val="99"/>
    <w:rsid w:val="00F9511C"/>
    <w:pPr>
      <w:tabs>
        <w:tab w:val="left" w:pos="-720"/>
        <w:tab w:val="left" w:pos="0"/>
        <w:tab w:val="left" w:pos="720"/>
        <w:tab w:val="left" w:pos="1440"/>
        <w:tab w:val="left" w:pos="2160"/>
        <w:tab w:val="left" w:pos="2880"/>
        <w:tab w:val="left" w:pos="3600"/>
      </w:tabs>
      <w:ind w:left="1440" w:hanging="720"/>
    </w:pPr>
    <w:rPr>
      <w:sz w:val="24"/>
      <w:szCs w:val="24"/>
      <w:lang w:val="en-US"/>
    </w:rPr>
  </w:style>
  <w:style w:type="character" w:customStyle="1" w:styleId="FooterChar">
    <w:name w:val="Footer Char"/>
    <w:basedOn w:val="DefaultParagraphFont"/>
    <w:link w:val="Footer"/>
    <w:uiPriority w:val="99"/>
    <w:rsid w:val="00F9511C"/>
    <w:rPr>
      <w:sz w:val="22"/>
      <w:szCs w:val="22"/>
      <w:lang w:val="en-GB"/>
    </w:rPr>
  </w:style>
  <w:style w:type="paragraph" w:styleId="ListParagraph">
    <w:name w:val="List Paragraph"/>
    <w:basedOn w:val="Normal"/>
    <w:uiPriority w:val="34"/>
    <w:qFormat/>
    <w:rsid w:val="00F9511C"/>
    <w:pPr>
      <w:ind w:left="720"/>
      <w:contextualSpacing/>
    </w:pPr>
  </w:style>
  <w:style w:type="paragraph" w:styleId="Revision">
    <w:name w:val="Revision"/>
    <w:hidden/>
    <w:uiPriority w:val="99"/>
    <w:semiHidden/>
    <w:rsid w:val="00F9511C"/>
    <w:rPr>
      <w:sz w:val="22"/>
      <w:szCs w:val="22"/>
      <w:lang w:val="en-GB"/>
    </w:rPr>
  </w:style>
  <w:style w:type="paragraph" w:customStyle="1" w:styleId="a--">
    <w:name w:val="a-(-)"/>
    <w:basedOn w:val="Normal"/>
    <w:rsid w:val="00F9511C"/>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semiHidden/>
    <w:rsid w:val="00F9511C"/>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F9511C"/>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F9511C"/>
    <w:rPr>
      <w:lang w:eastAsia="fr-FR"/>
    </w:rPr>
  </w:style>
  <w:style w:type="character" w:customStyle="1" w:styleId="0Heading0Char">
    <w:name w:val="0 Heading 0 Char"/>
    <w:link w:val="0Heading0"/>
    <w:uiPriority w:val="99"/>
    <w:rsid w:val="00F9511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3352">
      <w:bodyDiv w:val="1"/>
      <w:marLeft w:val="0"/>
      <w:marRight w:val="0"/>
      <w:marTop w:val="0"/>
      <w:marBottom w:val="0"/>
      <w:divBdr>
        <w:top w:val="none" w:sz="0" w:space="0" w:color="auto"/>
        <w:left w:val="none" w:sz="0" w:space="0" w:color="auto"/>
        <w:bottom w:val="none" w:sz="0" w:space="0" w:color="auto"/>
        <w:right w:val="none" w:sz="0" w:space="0" w:color="auto"/>
      </w:divBdr>
    </w:div>
    <w:div w:id="373888344">
      <w:bodyDiv w:val="1"/>
      <w:marLeft w:val="0"/>
      <w:marRight w:val="0"/>
      <w:marTop w:val="0"/>
      <w:marBottom w:val="0"/>
      <w:divBdr>
        <w:top w:val="none" w:sz="0" w:space="0" w:color="auto"/>
        <w:left w:val="none" w:sz="0" w:space="0" w:color="auto"/>
        <w:bottom w:val="none" w:sz="0" w:space="0" w:color="auto"/>
        <w:right w:val="none" w:sz="0" w:space="0" w:color="auto"/>
      </w:divBdr>
    </w:div>
    <w:div w:id="770004909">
      <w:bodyDiv w:val="1"/>
      <w:marLeft w:val="0"/>
      <w:marRight w:val="0"/>
      <w:marTop w:val="0"/>
      <w:marBottom w:val="0"/>
      <w:divBdr>
        <w:top w:val="none" w:sz="0" w:space="0" w:color="auto"/>
        <w:left w:val="none" w:sz="0" w:space="0" w:color="auto"/>
        <w:bottom w:val="none" w:sz="0" w:space="0" w:color="auto"/>
        <w:right w:val="none" w:sz="0" w:space="0" w:color="auto"/>
      </w:divBdr>
    </w:div>
    <w:div w:id="796873041">
      <w:bodyDiv w:val="1"/>
      <w:marLeft w:val="0"/>
      <w:marRight w:val="0"/>
      <w:marTop w:val="0"/>
      <w:marBottom w:val="0"/>
      <w:divBdr>
        <w:top w:val="none" w:sz="0" w:space="0" w:color="auto"/>
        <w:left w:val="none" w:sz="0" w:space="0" w:color="auto"/>
        <w:bottom w:val="none" w:sz="0" w:space="0" w:color="auto"/>
        <w:right w:val="none" w:sz="0" w:space="0" w:color="auto"/>
      </w:divBdr>
    </w:div>
    <w:div w:id="1110513459">
      <w:bodyDiv w:val="1"/>
      <w:marLeft w:val="0"/>
      <w:marRight w:val="0"/>
      <w:marTop w:val="0"/>
      <w:marBottom w:val="0"/>
      <w:divBdr>
        <w:top w:val="none" w:sz="0" w:space="0" w:color="auto"/>
        <w:left w:val="none" w:sz="0" w:space="0" w:color="auto"/>
        <w:bottom w:val="none" w:sz="0" w:space="0" w:color="auto"/>
        <w:right w:val="none" w:sz="0" w:space="0" w:color="auto"/>
      </w:divBdr>
    </w:div>
    <w:div w:id="1161040052">
      <w:bodyDiv w:val="1"/>
      <w:marLeft w:val="0"/>
      <w:marRight w:val="0"/>
      <w:marTop w:val="0"/>
      <w:marBottom w:val="0"/>
      <w:divBdr>
        <w:top w:val="none" w:sz="0" w:space="0" w:color="auto"/>
        <w:left w:val="none" w:sz="0" w:space="0" w:color="auto"/>
        <w:bottom w:val="none" w:sz="0" w:space="0" w:color="auto"/>
        <w:right w:val="none" w:sz="0" w:space="0" w:color="auto"/>
      </w:divBdr>
    </w:div>
    <w:div w:id="1253590658">
      <w:bodyDiv w:val="1"/>
      <w:marLeft w:val="0"/>
      <w:marRight w:val="0"/>
      <w:marTop w:val="0"/>
      <w:marBottom w:val="0"/>
      <w:divBdr>
        <w:top w:val="none" w:sz="0" w:space="0" w:color="auto"/>
        <w:left w:val="none" w:sz="0" w:space="0" w:color="auto"/>
        <w:bottom w:val="none" w:sz="0" w:space="0" w:color="auto"/>
        <w:right w:val="none" w:sz="0" w:space="0" w:color="auto"/>
      </w:divBdr>
    </w:div>
    <w:div w:id="1310793472">
      <w:bodyDiv w:val="1"/>
      <w:marLeft w:val="0"/>
      <w:marRight w:val="0"/>
      <w:marTop w:val="0"/>
      <w:marBottom w:val="0"/>
      <w:divBdr>
        <w:top w:val="none" w:sz="0" w:space="0" w:color="auto"/>
        <w:left w:val="none" w:sz="0" w:space="0" w:color="auto"/>
        <w:bottom w:val="none" w:sz="0" w:space="0" w:color="auto"/>
        <w:right w:val="none" w:sz="0" w:space="0" w:color="auto"/>
      </w:divBdr>
    </w:div>
    <w:div w:id="135754322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UNEP/OzL.Pro/ExCom/77/16</Document_x0020_Number>
    <DocumentType xmlns="64e33b30-101d-41de-b951-961aab25ea29">Pre-session</DocumentType>
  </documentManagement>
</p:properties>
</file>

<file path=customXml/itemProps1.xml><?xml version="1.0" encoding="utf-8"?>
<ds:datastoreItem xmlns:ds="http://schemas.openxmlformats.org/officeDocument/2006/customXml" ds:itemID="{C1F6039E-8CA8-490B-9FBD-749463EB4551}"/>
</file>

<file path=customXml/itemProps2.xml><?xml version="1.0" encoding="utf-8"?>
<ds:datastoreItem xmlns:ds="http://schemas.openxmlformats.org/officeDocument/2006/customXml" ds:itemID="{86131E43-77AD-4035-A6C8-894B527D03D3}"/>
</file>

<file path=customXml/itemProps3.xml><?xml version="1.0" encoding="utf-8"?>
<ds:datastoreItem xmlns:ds="http://schemas.openxmlformats.org/officeDocument/2006/customXml" ds:itemID="{E2D8F63B-AA08-4DB6-95B1-DEFF8CF34502}"/>
</file>

<file path=customXml/itemProps4.xml><?xml version="1.0" encoding="utf-8"?>
<ds:datastoreItem xmlns:ds="http://schemas.openxmlformats.org/officeDocument/2006/customXml" ds:itemID="{A8BBA691-7214-4075-A7D4-6EA8242D3F84}"/>
</file>

<file path=docProps/app.xml><?xml version="1.0" encoding="utf-8"?>
<Properties xmlns="http://schemas.openxmlformats.org/officeDocument/2006/extended-properties" xmlns:vt="http://schemas.openxmlformats.org/officeDocument/2006/docPropsVTypes">
  <Template>normal</Template>
  <TotalTime>97</TotalTime>
  <Pages>9</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Progress report of the World Bank as at 31 December 2015 (part 1)</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World Bank as at 31 December 2015 (part 1)</dc:title>
  <dc:subject>UNEP/OzL.Pro/ExCom/77/16</dc:subject>
  <dc:creator/>
  <cp:lastModifiedBy>muriel Aguiar</cp:lastModifiedBy>
  <cp:revision>23</cp:revision>
  <cp:lastPrinted>2016-11-10T21:32:00Z</cp:lastPrinted>
  <dcterms:created xsi:type="dcterms:W3CDTF">2016-11-09T15:30:00Z</dcterms:created>
  <dcterms:modified xsi:type="dcterms:W3CDTF">2016-11-10T21:34:00Z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UNEP/OzL.Pro/ExCom/77/16</vt:lpwstr>
  </property>
  <property fmtid="{D5CDD505-2E9C-101B-9397-08002B2CF9AE}" pid="3" name="Revision date">
    <vt:lpwstr>10/11/2016</vt:lpwstr>
  </property>
  <property fmtid="{D5CDD505-2E9C-101B-9397-08002B2CF9AE}" pid="4" name="ContentTypeId">
    <vt:lpwstr>0x010100F409F5B17BF82F4083D32896D3516BC1</vt:lpwstr>
  </property>
</Properties>
</file>