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8321D1" w:rsidTr="00CB4681">
        <w:trPr>
          <w:trHeight w:val="720"/>
        </w:trPr>
        <w:tc>
          <w:tcPr>
            <w:tcW w:w="5490" w:type="dxa"/>
            <w:gridSpan w:val="2"/>
            <w:tcBorders>
              <w:bottom w:val="single" w:sz="18" w:space="0" w:color="auto"/>
            </w:tcBorders>
          </w:tcPr>
          <w:p w:rsidR="00C15867" w:rsidRPr="008321D1" w:rsidRDefault="00C15867" w:rsidP="00CB468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8321D1">
              <w:rPr>
                <w:rFonts w:ascii="Univers" w:hAnsi="Univers"/>
                <w:b/>
                <w:sz w:val="28"/>
                <w:szCs w:val="28"/>
                <w:lang w:val="en-CA"/>
              </w:rPr>
              <w:t>UNITED</w:t>
            </w:r>
            <w:r w:rsidRPr="008321D1">
              <w:rPr>
                <w:rFonts w:ascii="Univers" w:hAnsi="Univers"/>
                <w:b/>
                <w:sz w:val="28"/>
                <w:szCs w:val="28"/>
                <w:lang w:val="en-CA"/>
              </w:rPr>
              <w:br/>
              <w:t>NATIONS</w:t>
            </w:r>
          </w:p>
        </w:tc>
        <w:tc>
          <w:tcPr>
            <w:tcW w:w="4590" w:type="dxa"/>
            <w:tcBorders>
              <w:bottom w:val="single" w:sz="18" w:space="0" w:color="auto"/>
            </w:tcBorders>
          </w:tcPr>
          <w:p w:rsidR="00C15867" w:rsidRPr="008321D1" w:rsidRDefault="00C15867" w:rsidP="00CB4681">
            <w:pPr>
              <w:jc w:val="right"/>
              <w:rPr>
                <w:sz w:val="52"/>
                <w:szCs w:val="52"/>
                <w:lang w:val="en-CA"/>
              </w:rPr>
            </w:pPr>
            <w:r w:rsidRPr="008321D1">
              <w:rPr>
                <w:rFonts w:ascii="Univers Bold" w:hAnsi="Univers Bold"/>
                <w:b/>
                <w:sz w:val="72"/>
                <w:lang w:val="en-CA"/>
              </w:rPr>
              <w:t>EP</w:t>
            </w:r>
          </w:p>
        </w:tc>
      </w:tr>
      <w:tr w:rsidR="00C15867" w:rsidRPr="008321D1" w:rsidTr="00CB4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8321D1" w:rsidRDefault="00C15867" w:rsidP="00CB4681">
            <w:pPr>
              <w:spacing w:before="120"/>
              <w:rPr>
                <w:lang w:val="en-CA"/>
              </w:rPr>
            </w:pPr>
            <w:r w:rsidRPr="008321D1">
              <w:rPr>
                <w:noProof/>
                <w:lang w:val="en-CA" w:eastAsia="zh-CN"/>
              </w:rPr>
              <w:drawing>
                <wp:anchor distT="0" distB="0" distL="114300" distR="114300" simplePos="0" relativeHeight="251660288" behindDoc="0" locked="0" layoutInCell="1" allowOverlap="1" wp14:anchorId="4A6E66EC" wp14:editId="086F5097">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8321D1">
              <w:rPr>
                <w:noProof/>
                <w:lang w:val="en-CA" w:eastAsia="zh-CN"/>
              </w:rPr>
              <w:drawing>
                <wp:anchor distT="0" distB="0" distL="114300" distR="114300" simplePos="0" relativeHeight="251661312" behindDoc="1" locked="0" layoutInCell="0" allowOverlap="1" wp14:anchorId="31737711" wp14:editId="35AB8238">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8321D1" w:rsidRDefault="00C15867" w:rsidP="00CB468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8321D1">
              <w:rPr>
                <w:rFonts w:ascii="Univers" w:hAnsi="Univers"/>
                <w:b/>
                <w:sz w:val="32"/>
                <w:lang w:val="en-CA"/>
              </w:rPr>
              <w:t>United Nations</w:t>
            </w:r>
          </w:p>
          <w:p w:rsidR="00C15867" w:rsidRPr="008321D1" w:rsidRDefault="00C15867" w:rsidP="00CB468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8321D1">
              <w:rPr>
                <w:rFonts w:ascii="Univers" w:hAnsi="Univers"/>
                <w:b/>
                <w:sz w:val="32"/>
                <w:lang w:val="en-CA"/>
              </w:rPr>
              <w:t>Environment</w:t>
            </w:r>
          </w:p>
          <w:p w:rsidR="00C15867" w:rsidRPr="008321D1" w:rsidRDefault="00C15867" w:rsidP="00CB468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8321D1">
              <w:rPr>
                <w:rFonts w:ascii="Univers" w:hAnsi="Univers"/>
                <w:b/>
                <w:sz w:val="32"/>
                <w:lang w:val="en-CA"/>
              </w:rPr>
              <w:t>Programme</w:t>
            </w:r>
          </w:p>
          <w:p w:rsidR="00C15867" w:rsidRPr="008321D1" w:rsidRDefault="00C15867" w:rsidP="00CB4681">
            <w:pPr>
              <w:spacing w:before="720"/>
              <w:ind w:left="158"/>
              <w:rPr>
                <w:lang w:val="en-CA"/>
              </w:rPr>
            </w:pPr>
          </w:p>
        </w:tc>
        <w:tc>
          <w:tcPr>
            <w:tcW w:w="4590" w:type="dxa"/>
            <w:tcBorders>
              <w:top w:val="nil"/>
              <w:left w:val="nil"/>
              <w:bottom w:val="single" w:sz="36" w:space="0" w:color="auto"/>
              <w:right w:val="nil"/>
            </w:tcBorders>
          </w:tcPr>
          <w:p w:rsidR="00C15867" w:rsidRPr="008321D1" w:rsidRDefault="00C15867" w:rsidP="00CB4681">
            <w:pPr>
              <w:rPr>
                <w:lang w:val="en-CA"/>
              </w:rPr>
            </w:pPr>
            <w:r w:rsidRPr="008321D1">
              <w:rPr>
                <w:lang w:val="en-CA"/>
              </w:rPr>
              <w:t>Distr.</w:t>
            </w:r>
          </w:p>
          <w:p w:rsidR="00923540" w:rsidRPr="008321D1" w:rsidRDefault="00923540" w:rsidP="00923540">
            <w:pPr>
              <w:rPr>
                <w:lang w:val="en-CA"/>
              </w:rPr>
            </w:pPr>
            <w:r w:rsidRPr="008321D1">
              <w:rPr>
                <w:lang w:val="en-CA"/>
              </w:rPr>
              <w:t>GENERAL</w:t>
            </w:r>
          </w:p>
          <w:p w:rsidR="00C15867" w:rsidRPr="008321D1" w:rsidRDefault="00C15867" w:rsidP="00CB4681">
            <w:pPr>
              <w:rPr>
                <w:lang w:val="en-CA"/>
              </w:rPr>
            </w:pPr>
          </w:p>
          <w:p w:rsidR="00C15867" w:rsidRPr="008321D1" w:rsidRDefault="00C15867" w:rsidP="00CB4681">
            <w:pPr>
              <w:rPr>
                <w:lang w:val="en-CA"/>
              </w:rPr>
            </w:pPr>
          </w:p>
          <w:p w:rsidR="00C15867" w:rsidRPr="008321D1" w:rsidRDefault="001804EA" w:rsidP="00CB4681">
            <w:pPr>
              <w:rPr>
                <w:lang w:val="en-CA"/>
              </w:rPr>
            </w:pPr>
            <w:r w:rsidRPr="008321D1">
              <w:rPr>
                <w:lang w:val="en-CA"/>
              </w:rPr>
              <w:fldChar w:fldCharType="begin"/>
            </w:r>
            <w:r w:rsidRPr="008321D1">
              <w:rPr>
                <w:lang w:val="en-CA"/>
              </w:rPr>
              <w:instrText xml:space="preserve"> DOCPROPERTY "Document number"  \* MERGEFORMAT </w:instrText>
            </w:r>
            <w:r w:rsidRPr="008321D1">
              <w:rPr>
                <w:lang w:val="en-CA"/>
              </w:rPr>
              <w:fldChar w:fldCharType="separate"/>
            </w:r>
            <w:r w:rsidR="00950BFB" w:rsidRPr="008321D1">
              <w:rPr>
                <w:lang w:val="en-CA"/>
              </w:rPr>
              <w:t>UNEP/OzL.Pro/</w:t>
            </w:r>
            <w:proofErr w:type="spellStart"/>
            <w:r w:rsidR="00950BFB" w:rsidRPr="008321D1">
              <w:rPr>
                <w:lang w:val="en-CA"/>
              </w:rPr>
              <w:t>ExCom</w:t>
            </w:r>
            <w:proofErr w:type="spellEnd"/>
            <w:r w:rsidR="00950BFB" w:rsidRPr="008321D1">
              <w:rPr>
                <w:lang w:val="en-CA"/>
              </w:rPr>
              <w:t>/77/13</w:t>
            </w:r>
            <w:r w:rsidRPr="008321D1">
              <w:rPr>
                <w:lang w:val="en-CA"/>
              </w:rPr>
              <w:fldChar w:fldCharType="end"/>
            </w:r>
          </w:p>
          <w:p w:rsidR="00C15867" w:rsidRPr="008321D1" w:rsidRDefault="00BC2495" w:rsidP="00CB4681">
            <w:pPr>
              <w:rPr>
                <w:lang w:val="en-CA"/>
              </w:rPr>
            </w:pPr>
            <w:r w:rsidRPr="008321D1">
              <w:rPr>
                <w:lang w:val="en-CA"/>
              </w:rPr>
              <w:fldChar w:fldCharType="begin"/>
            </w:r>
            <w:r w:rsidR="00851352" w:rsidRPr="008321D1">
              <w:rPr>
                <w:lang w:val="en-CA"/>
              </w:rPr>
              <w:instrText xml:space="preserve"> DOCPROPERTY "Revision date" \@ "d MMMM YYYY"  \* MERGEFORMAT </w:instrText>
            </w:r>
            <w:r w:rsidRPr="008321D1">
              <w:rPr>
                <w:lang w:val="en-CA"/>
              </w:rPr>
              <w:fldChar w:fldCharType="separate"/>
            </w:r>
            <w:r w:rsidR="003F285E" w:rsidRPr="008321D1">
              <w:rPr>
                <w:lang w:val="en-CA"/>
              </w:rPr>
              <w:t>10 November 2016</w:t>
            </w:r>
            <w:r w:rsidRPr="008321D1">
              <w:rPr>
                <w:lang w:val="en-CA"/>
              </w:rPr>
              <w:fldChar w:fldCharType="end"/>
            </w:r>
          </w:p>
          <w:p w:rsidR="00C15867" w:rsidRPr="008321D1" w:rsidRDefault="00C15867" w:rsidP="00CB4681">
            <w:pPr>
              <w:rPr>
                <w:caps/>
                <w:lang w:val="en-CA"/>
              </w:rPr>
            </w:pPr>
          </w:p>
          <w:p w:rsidR="00C15867" w:rsidRPr="008321D1" w:rsidRDefault="00C15867" w:rsidP="00CB4681">
            <w:pPr>
              <w:rPr>
                <w:lang w:val="en-CA"/>
              </w:rPr>
            </w:pPr>
            <w:r w:rsidRPr="008321D1">
              <w:rPr>
                <w:lang w:val="en-CA"/>
              </w:rPr>
              <w:t>ORIGINAL: ENGLISH</w:t>
            </w:r>
          </w:p>
        </w:tc>
      </w:tr>
    </w:tbl>
    <w:p w:rsidR="00667244" w:rsidRPr="008321D1" w:rsidRDefault="00C15867" w:rsidP="00667244">
      <w:pPr>
        <w:jc w:val="left"/>
        <w:rPr>
          <w:lang w:val="en-CA"/>
        </w:rPr>
      </w:pPr>
      <w:r w:rsidRPr="008321D1">
        <w:rPr>
          <w:lang w:val="en-CA"/>
        </w:rPr>
        <w:t>EXECUTIVE COMMITTEE OF</w:t>
      </w:r>
      <w:r w:rsidRPr="008321D1">
        <w:rPr>
          <w:lang w:val="en-CA"/>
        </w:rPr>
        <w:br/>
        <w:t xml:space="preserve">  THE MULTILATERAL FUND FOR THE</w:t>
      </w:r>
      <w:r w:rsidRPr="008321D1">
        <w:rPr>
          <w:lang w:val="en-CA"/>
        </w:rPr>
        <w:br/>
        <w:t xml:space="preserve">  IMPLEMENTATION OF THE MONTREAL PROTOCOL</w:t>
      </w:r>
      <w:r w:rsidRPr="008321D1">
        <w:rPr>
          <w:lang w:val="en-CA"/>
        </w:rPr>
        <w:br/>
      </w:r>
      <w:r w:rsidR="00667244" w:rsidRPr="008321D1">
        <w:rPr>
          <w:lang w:val="en-CA"/>
        </w:rPr>
        <w:t>Seventy-</w:t>
      </w:r>
      <w:r w:rsidR="00822233" w:rsidRPr="008321D1">
        <w:rPr>
          <w:lang w:val="en-CA"/>
        </w:rPr>
        <w:t>seventh</w:t>
      </w:r>
      <w:r w:rsidR="00667244" w:rsidRPr="008321D1">
        <w:rPr>
          <w:lang w:val="en-CA"/>
        </w:rPr>
        <w:t xml:space="preserve"> Meeting</w:t>
      </w:r>
    </w:p>
    <w:p w:rsidR="00667244" w:rsidRPr="008321D1" w:rsidRDefault="00667244" w:rsidP="00667244">
      <w:pPr>
        <w:jc w:val="left"/>
        <w:rPr>
          <w:lang w:val="en-CA"/>
        </w:rPr>
      </w:pPr>
      <w:r w:rsidRPr="008321D1">
        <w:rPr>
          <w:lang w:val="en-CA"/>
        </w:rPr>
        <w:t xml:space="preserve">Montreal, </w:t>
      </w:r>
      <w:r w:rsidR="00822233" w:rsidRPr="008321D1">
        <w:rPr>
          <w:lang w:val="en-CA"/>
        </w:rPr>
        <w:t xml:space="preserve">28 November </w:t>
      </w:r>
      <w:r w:rsidR="00264E86" w:rsidRPr="008321D1">
        <w:rPr>
          <w:lang w:val="en-CA"/>
        </w:rPr>
        <w:t>-</w:t>
      </w:r>
      <w:r w:rsidR="00822233" w:rsidRPr="008321D1">
        <w:rPr>
          <w:lang w:val="en-CA"/>
        </w:rPr>
        <w:t xml:space="preserve"> 2 December 2016</w:t>
      </w:r>
    </w:p>
    <w:p w:rsidR="00C15867" w:rsidRPr="008321D1" w:rsidRDefault="00C15867" w:rsidP="00667244">
      <w:pPr>
        <w:jc w:val="left"/>
        <w:rPr>
          <w:lang w:val="en-CA"/>
        </w:rPr>
      </w:pPr>
    </w:p>
    <w:p w:rsidR="00C15867" w:rsidRPr="008321D1" w:rsidRDefault="00C15867" w:rsidP="00C15867">
      <w:pPr>
        <w:pStyle w:val="Heading3"/>
        <w:numPr>
          <w:ilvl w:val="0"/>
          <w:numId w:val="0"/>
        </w:numPr>
        <w:spacing w:after="0"/>
        <w:rPr>
          <w:lang w:val="en-CA"/>
        </w:rPr>
      </w:pPr>
    </w:p>
    <w:p w:rsidR="00263137" w:rsidRPr="008321D1" w:rsidRDefault="00263137" w:rsidP="00072567">
      <w:pPr>
        <w:jc w:val="center"/>
        <w:rPr>
          <w:b/>
          <w:bCs/>
          <w:noProof/>
          <w:lang w:val="en-CA"/>
        </w:rPr>
      </w:pPr>
      <w:r w:rsidRPr="008321D1">
        <w:rPr>
          <w:b/>
          <w:bCs/>
          <w:noProof/>
          <w:lang w:val="en-CA"/>
        </w:rPr>
        <w:t>PROGRESS REPORT OF UNDP AS AT 31 DECEMBER 2015</w:t>
      </w:r>
    </w:p>
    <w:p w:rsidR="00263137" w:rsidRPr="008321D1" w:rsidRDefault="00263137" w:rsidP="00072567">
      <w:pPr>
        <w:rPr>
          <w:lang w:val="en-CA"/>
        </w:rPr>
      </w:pPr>
    </w:p>
    <w:p w:rsidR="00263137" w:rsidRPr="008321D1" w:rsidRDefault="00263137" w:rsidP="00072567">
      <w:pPr>
        <w:rPr>
          <w:lang w:val="en-CA"/>
        </w:rPr>
      </w:pPr>
    </w:p>
    <w:p w:rsidR="00263137" w:rsidRPr="008321D1" w:rsidRDefault="00263137" w:rsidP="00072567">
      <w:pPr>
        <w:pStyle w:val="Heading1"/>
        <w:rPr>
          <w:caps/>
          <w:lang w:val="en-CA"/>
        </w:rPr>
      </w:pPr>
      <w:r w:rsidRPr="008321D1">
        <w:rPr>
          <w:lang w:val="en-CA"/>
        </w:rPr>
        <w:t>This document presents the progress report of UNDP as of 31 December 2015</w:t>
      </w:r>
      <w:r w:rsidRPr="008321D1">
        <w:rPr>
          <w:rStyle w:val="FootnoteReference"/>
          <w:sz w:val="22"/>
          <w:szCs w:val="22"/>
          <w:lang w:val="en-CA"/>
        </w:rPr>
        <w:footnoteReference w:id="1"/>
      </w:r>
      <w:r w:rsidRPr="008321D1">
        <w:rPr>
          <w:lang w:val="en-CA"/>
        </w:rPr>
        <w:t xml:space="preserve">, and consists of: </w:t>
      </w:r>
    </w:p>
    <w:p w:rsidR="00263137" w:rsidRPr="008321D1" w:rsidRDefault="00263137" w:rsidP="00072567">
      <w:pPr>
        <w:ind w:firstLine="720"/>
        <w:rPr>
          <w:lang w:val="en-CA"/>
        </w:rPr>
      </w:pPr>
      <w:r w:rsidRPr="008321D1">
        <w:rPr>
          <w:lang w:val="en-CA"/>
        </w:rPr>
        <w:t>Executive Summary</w:t>
      </w:r>
    </w:p>
    <w:p w:rsidR="00263137" w:rsidRPr="008321D1" w:rsidRDefault="00263137" w:rsidP="00072567">
      <w:pPr>
        <w:ind w:firstLine="720"/>
        <w:rPr>
          <w:lang w:val="en-CA"/>
        </w:rPr>
      </w:pPr>
      <w:r w:rsidRPr="008321D1">
        <w:rPr>
          <w:lang w:val="en-CA"/>
        </w:rPr>
        <w:t>Part I:</w:t>
      </w:r>
      <w:r w:rsidRPr="008321D1">
        <w:rPr>
          <w:lang w:val="en-CA"/>
        </w:rPr>
        <w:tab/>
      </w:r>
      <w:r w:rsidRPr="008321D1">
        <w:rPr>
          <w:lang w:val="en-CA"/>
        </w:rPr>
        <w:tab/>
        <w:t>Implementation progress as at 31 December 2015 (cumulative)</w:t>
      </w:r>
    </w:p>
    <w:p w:rsidR="00263137" w:rsidRPr="008321D1" w:rsidRDefault="00263137" w:rsidP="00072567">
      <w:pPr>
        <w:ind w:left="720"/>
        <w:rPr>
          <w:lang w:val="en-CA"/>
        </w:rPr>
      </w:pPr>
      <w:r w:rsidRPr="008321D1">
        <w:rPr>
          <w:lang w:val="en-CA"/>
        </w:rPr>
        <w:t xml:space="preserve">Part II: </w:t>
      </w:r>
      <w:r w:rsidRPr="008321D1">
        <w:rPr>
          <w:lang w:val="en-CA"/>
        </w:rPr>
        <w:tab/>
      </w:r>
      <w:r w:rsidRPr="008321D1">
        <w:rPr>
          <w:lang w:val="en-CA"/>
        </w:rPr>
        <w:tab/>
        <w:t>Project implementation progress in 2015</w:t>
      </w:r>
    </w:p>
    <w:p w:rsidR="00263137" w:rsidRPr="008321D1" w:rsidRDefault="00263137" w:rsidP="00072567">
      <w:pPr>
        <w:ind w:left="720"/>
        <w:rPr>
          <w:lang w:val="en-CA"/>
        </w:rPr>
      </w:pPr>
      <w:r w:rsidRPr="008321D1">
        <w:rPr>
          <w:lang w:val="en-CA"/>
        </w:rPr>
        <w:t xml:space="preserve">Part III: </w:t>
      </w:r>
      <w:r w:rsidRPr="008321D1">
        <w:rPr>
          <w:lang w:val="en-CA"/>
        </w:rPr>
        <w:tab/>
      </w:r>
      <w:r w:rsidR="00034FD6" w:rsidRPr="008321D1">
        <w:rPr>
          <w:lang w:val="en-CA"/>
        </w:rPr>
        <w:t>R</w:t>
      </w:r>
      <w:r w:rsidRPr="008321D1">
        <w:rPr>
          <w:lang w:val="en-CA"/>
        </w:rPr>
        <w:t xml:space="preserve">ecommendations </w:t>
      </w:r>
      <w:r w:rsidR="0014641D" w:rsidRPr="008321D1">
        <w:rPr>
          <w:lang w:val="en-CA"/>
        </w:rPr>
        <w:t>by</w:t>
      </w:r>
      <w:r w:rsidRPr="008321D1">
        <w:rPr>
          <w:lang w:val="en-CA"/>
        </w:rPr>
        <w:t xml:space="preserve"> the Secretariat</w:t>
      </w:r>
    </w:p>
    <w:p w:rsidR="00263137" w:rsidRPr="008321D1" w:rsidRDefault="00263137" w:rsidP="00072567">
      <w:pPr>
        <w:ind w:left="720"/>
        <w:rPr>
          <w:lang w:val="en-CA"/>
        </w:rPr>
      </w:pPr>
      <w:r w:rsidRPr="008321D1">
        <w:rPr>
          <w:lang w:val="en-CA"/>
        </w:rPr>
        <w:t xml:space="preserve">Annex I: </w:t>
      </w:r>
      <w:r w:rsidRPr="008321D1">
        <w:rPr>
          <w:lang w:val="en-CA"/>
        </w:rPr>
        <w:tab/>
        <w:t>Project implementation data in 2015 by country</w:t>
      </w:r>
    </w:p>
    <w:p w:rsidR="00263137" w:rsidRPr="008321D1" w:rsidRDefault="00263137" w:rsidP="00072567">
      <w:pPr>
        <w:rPr>
          <w:lang w:val="en-CA"/>
        </w:rPr>
      </w:pPr>
    </w:p>
    <w:p w:rsidR="00263137" w:rsidRPr="008321D1" w:rsidRDefault="00263137" w:rsidP="00072567">
      <w:pPr>
        <w:pStyle w:val="Heading1"/>
        <w:numPr>
          <w:ilvl w:val="0"/>
          <w:numId w:val="0"/>
        </w:numPr>
        <w:spacing w:after="0"/>
        <w:rPr>
          <w:b/>
          <w:lang w:val="en-CA"/>
        </w:rPr>
      </w:pPr>
      <w:r w:rsidRPr="008321D1">
        <w:rPr>
          <w:b/>
          <w:lang w:val="en-CA"/>
        </w:rPr>
        <w:t>Executive Summary</w:t>
      </w:r>
    </w:p>
    <w:p w:rsidR="00263137" w:rsidRPr="008321D1" w:rsidRDefault="00263137" w:rsidP="00072567">
      <w:pPr>
        <w:pStyle w:val="Heading1"/>
        <w:numPr>
          <w:ilvl w:val="0"/>
          <w:numId w:val="0"/>
        </w:numPr>
        <w:spacing w:after="0"/>
        <w:rPr>
          <w:lang w:val="en-CA"/>
        </w:rPr>
      </w:pPr>
      <w:r w:rsidRPr="008321D1" w:rsidDel="00C667C3">
        <w:rPr>
          <w:b/>
          <w:lang w:val="en-CA"/>
        </w:rPr>
        <w:t xml:space="preserve"> </w:t>
      </w:r>
    </w:p>
    <w:p w:rsidR="00263137" w:rsidRPr="008321D1" w:rsidRDefault="00263137" w:rsidP="00072567">
      <w:pPr>
        <w:pStyle w:val="Heading1"/>
        <w:rPr>
          <w:lang w:val="en-CA"/>
        </w:rPr>
      </w:pPr>
      <w:r w:rsidRPr="008321D1">
        <w:rPr>
          <w:lang w:val="en-CA"/>
        </w:rPr>
        <w:t>The following is a summary of progress in the implementation of projects and activities by UNDP up to 31 December 2015, for the year 2015 and cumulative since 1991:</w:t>
      </w:r>
    </w:p>
    <w:p w:rsidR="00263137" w:rsidRPr="008321D1" w:rsidRDefault="00263137" w:rsidP="00072567">
      <w:pPr>
        <w:pStyle w:val="Heading2"/>
        <w:rPr>
          <w:lang w:val="en-CA"/>
        </w:rPr>
      </w:pPr>
      <w:r w:rsidRPr="008321D1">
        <w:rPr>
          <w:b/>
          <w:bCs/>
          <w:lang w:val="en-CA"/>
        </w:rPr>
        <w:t>Phase-out:</w:t>
      </w:r>
      <w:r w:rsidRPr="008321D1">
        <w:rPr>
          <w:lang w:val="en-CA"/>
        </w:rPr>
        <w:t xml:space="preserve"> In 2015, </w:t>
      </w:r>
      <w:r w:rsidR="007844AD" w:rsidRPr="008321D1">
        <w:rPr>
          <w:lang w:val="en-CA"/>
        </w:rPr>
        <w:t>223.3</w:t>
      </w:r>
      <w:r w:rsidRPr="008321D1">
        <w:rPr>
          <w:lang w:val="en-CA"/>
        </w:rPr>
        <w:t xml:space="preserve"> ODP tonnes of consumption </w:t>
      </w:r>
      <w:r w:rsidR="008D711F" w:rsidRPr="008321D1">
        <w:rPr>
          <w:lang w:val="en-CA"/>
        </w:rPr>
        <w:t>of</w:t>
      </w:r>
      <w:r w:rsidR="008D7899" w:rsidRPr="008321D1">
        <w:rPr>
          <w:lang w:val="en-CA"/>
        </w:rPr>
        <w:t xml:space="preserve"> HCFCs</w:t>
      </w:r>
      <w:r w:rsidR="008D711F" w:rsidRPr="008321D1">
        <w:rPr>
          <w:lang w:val="en-CA"/>
        </w:rPr>
        <w:t xml:space="preserve"> </w:t>
      </w:r>
      <w:r w:rsidRPr="008321D1">
        <w:rPr>
          <w:lang w:val="en-CA"/>
        </w:rPr>
        <w:t xml:space="preserve">were phased out and an additional </w:t>
      </w:r>
      <w:r w:rsidR="007844AD" w:rsidRPr="008321D1">
        <w:rPr>
          <w:lang w:val="en-CA"/>
        </w:rPr>
        <w:t xml:space="preserve">418.9 </w:t>
      </w:r>
      <w:r w:rsidRPr="008321D1">
        <w:rPr>
          <w:lang w:val="en-CA"/>
        </w:rPr>
        <w:t xml:space="preserve">ODP tonnes of consumption </w:t>
      </w:r>
      <w:r w:rsidR="008D7899" w:rsidRPr="008321D1">
        <w:rPr>
          <w:lang w:val="en-CA"/>
        </w:rPr>
        <w:t>of HCFCs were approved for phase</w:t>
      </w:r>
      <w:r w:rsidR="008D7899" w:rsidRPr="008321D1">
        <w:rPr>
          <w:lang w:val="en-CA"/>
        </w:rPr>
        <w:noBreakHyphen/>
      </w:r>
      <w:r w:rsidRPr="008321D1">
        <w:rPr>
          <w:lang w:val="en-CA"/>
        </w:rPr>
        <w:t xml:space="preserve">out. Since 1991, </w:t>
      </w:r>
      <w:r w:rsidR="007844AD" w:rsidRPr="008321D1">
        <w:rPr>
          <w:lang w:val="en-CA"/>
        </w:rPr>
        <w:t xml:space="preserve">66,440 </w:t>
      </w:r>
      <w:r w:rsidRPr="008321D1">
        <w:rPr>
          <w:lang w:val="en-CA"/>
        </w:rPr>
        <w:t>ODP tonnes of consumption</w:t>
      </w:r>
      <w:r w:rsidR="008D711F" w:rsidRPr="008321D1">
        <w:rPr>
          <w:lang w:val="en-CA"/>
        </w:rPr>
        <w:t xml:space="preserve"> </w:t>
      </w:r>
      <w:r w:rsidR="008D7899" w:rsidRPr="008321D1">
        <w:rPr>
          <w:lang w:val="en-CA"/>
        </w:rPr>
        <w:t xml:space="preserve">of ODS </w:t>
      </w:r>
      <w:r w:rsidRPr="008321D1">
        <w:rPr>
          <w:lang w:val="en-CA"/>
        </w:rPr>
        <w:t xml:space="preserve">had been phased out, of an expected total of </w:t>
      </w:r>
      <w:r w:rsidR="007844AD" w:rsidRPr="008321D1">
        <w:rPr>
          <w:lang w:val="en-CA"/>
        </w:rPr>
        <w:t>67,072</w:t>
      </w:r>
      <w:r w:rsidR="00950BFB" w:rsidRPr="008321D1">
        <w:rPr>
          <w:lang w:val="en-CA"/>
        </w:rPr>
        <w:t> </w:t>
      </w:r>
      <w:r w:rsidRPr="008321D1">
        <w:rPr>
          <w:lang w:val="en-CA"/>
        </w:rPr>
        <w:t>ODP tonnes from projects approved (excluding cancelled and transferred projects);</w:t>
      </w:r>
    </w:p>
    <w:p w:rsidR="00263137" w:rsidRPr="008321D1" w:rsidRDefault="00263137" w:rsidP="00072567">
      <w:pPr>
        <w:pStyle w:val="Heading2"/>
        <w:numPr>
          <w:ilvl w:val="1"/>
          <w:numId w:val="1"/>
        </w:numPr>
        <w:rPr>
          <w:lang w:val="en-CA"/>
        </w:rPr>
      </w:pPr>
      <w:r w:rsidRPr="008321D1">
        <w:rPr>
          <w:b/>
          <w:bCs/>
          <w:lang w:val="en-CA"/>
        </w:rPr>
        <w:t>Disbursements/approvals:</w:t>
      </w:r>
      <w:r w:rsidRPr="008321D1">
        <w:rPr>
          <w:lang w:val="en-CA"/>
        </w:rPr>
        <w:t xml:space="preserve"> In 2015, US $3</w:t>
      </w:r>
      <w:r w:rsidR="003F645D" w:rsidRPr="008321D1">
        <w:rPr>
          <w:lang w:val="en-CA"/>
        </w:rPr>
        <w:t>2.02</w:t>
      </w:r>
      <w:r w:rsidRPr="008321D1">
        <w:rPr>
          <w:lang w:val="en-CA"/>
        </w:rPr>
        <w:t xml:space="preserve"> million was disbursed and US $2</w:t>
      </w:r>
      <w:r w:rsidR="003F645D" w:rsidRPr="008321D1">
        <w:rPr>
          <w:lang w:val="en-CA"/>
        </w:rPr>
        <w:t>6.91</w:t>
      </w:r>
      <w:r w:rsidRPr="008321D1">
        <w:rPr>
          <w:lang w:val="en-CA"/>
        </w:rPr>
        <w:t> million was planned for disbursement based on the 201</w:t>
      </w:r>
      <w:r w:rsidR="003F645D" w:rsidRPr="008321D1">
        <w:rPr>
          <w:lang w:val="en-CA"/>
        </w:rPr>
        <w:t>4</w:t>
      </w:r>
      <w:r w:rsidRPr="008321D1">
        <w:rPr>
          <w:lang w:val="en-CA"/>
        </w:rPr>
        <w:t xml:space="preserve"> progress report representing a rate of disbursement of 1</w:t>
      </w:r>
      <w:r w:rsidR="003F645D" w:rsidRPr="008321D1">
        <w:rPr>
          <w:lang w:val="en-CA"/>
        </w:rPr>
        <w:t>19</w:t>
      </w:r>
      <w:r w:rsidRPr="008321D1">
        <w:rPr>
          <w:lang w:val="en-CA"/>
        </w:rPr>
        <w:t> per cent of that planned. Cumulatively, US $6</w:t>
      </w:r>
      <w:r w:rsidR="003F645D" w:rsidRPr="008321D1">
        <w:rPr>
          <w:lang w:val="en-CA"/>
        </w:rPr>
        <w:t>48.87</w:t>
      </w:r>
      <w:r w:rsidRPr="008321D1">
        <w:rPr>
          <w:lang w:val="en-CA"/>
        </w:rPr>
        <w:t xml:space="preserve"> million had been disbursed out of the total US $</w:t>
      </w:r>
      <w:r w:rsidR="003F645D" w:rsidRPr="008321D1">
        <w:rPr>
          <w:lang w:val="en-CA"/>
        </w:rPr>
        <w:t>71</w:t>
      </w:r>
      <w:r w:rsidR="00104A21" w:rsidRPr="008321D1">
        <w:rPr>
          <w:lang w:val="en-CA"/>
        </w:rPr>
        <w:t>3.14</w:t>
      </w:r>
      <w:r w:rsidRPr="008321D1">
        <w:rPr>
          <w:lang w:val="en-CA"/>
        </w:rPr>
        <w:t xml:space="preserve"> million approved for disbursement (excluding agency fees). This represents a rate of disbursement of 91 per cent. In 201</w:t>
      </w:r>
      <w:r w:rsidR="003F645D" w:rsidRPr="008321D1">
        <w:rPr>
          <w:lang w:val="en-CA"/>
        </w:rPr>
        <w:t>5</w:t>
      </w:r>
      <w:r w:rsidRPr="008321D1">
        <w:rPr>
          <w:lang w:val="en-CA"/>
        </w:rPr>
        <w:t>, US $</w:t>
      </w:r>
      <w:r w:rsidR="00314D59" w:rsidRPr="008321D1">
        <w:rPr>
          <w:lang w:val="en-CA"/>
        </w:rPr>
        <w:t>34.2</w:t>
      </w:r>
      <w:r w:rsidRPr="008321D1">
        <w:rPr>
          <w:lang w:val="en-CA"/>
        </w:rPr>
        <w:t xml:space="preserve"> million was approved for implementation;</w:t>
      </w:r>
    </w:p>
    <w:p w:rsidR="00263137" w:rsidRPr="008321D1" w:rsidRDefault="00263137" w:rsidP="00072567">
      <w:pPr>
        <w:pStyle w:val="Heading2"/>
        <w:keepNext/>
        <w:keepLines/>
        <w:numPr>
          <w:ilvl w:val="1"/>
          <w:numId w:val="1"/>
        </w:numPr>
        <w:rPr>
          <w:lang w:val="en-CA"/>
        </w:rPr>
      </w:pPr>
      <w:r w:rsidRPr="008321D1">
        <w:rPr>
          <w:b/>
          <w:lang w:val="en-CA"/>
        </w:rPr>
        <w:lastRenderedPageBreak/>
        <w:t xml:space="preserve">Cost-effectiveness (in ODP): </w:t>
      </w:r>
      <w:r w:rsidRPr="008321D1">
        <w:rPr>
          <w:lang w:val="en-CA"/>
        </w:rPr>
        <w:t>Since 1991, the average cost-effectiveness of investment projects approved leading to a permanent reduction in consumption was US $</w:t>
      </w:r>
      <w:r w:rsidR="00BA51AC" w:rsidRPr="008321D1">
        <w:rPr>
          <w:lang w:val="en-CA"/>
        </w:rPr>
        <w:t>9.35</w:t>
      </w:r>
      <w:r w:rsidRPr="008321D1">
        <w:rPr>
          <w:lang w:val="en-CA"/>
        </w:rPr>
        <w:t>/kg. The average cost-effectiveness of investment projects per ODP tonne was US $</w:t>
      </w:r>
      <w:r w:rsidR="00BE3D1D" w:rsidRPr="008321D1">
        <w:rPr>
          <w:lang w:val="en-CA"/>
        </w:rPr>
        <w:t>8.26</w:t>
      </w:r>
      <w:r w:rsidRPr="008321D1">
        <w:rPr>
          <w:lang w:val="en-CA"/>
        </w:rPr>
        <w:t>/kg for completed projects and US $</w:t>
      </w:r>
      <w:r w:rsidR="00BE3D1D" w:rsidRPr="008321D1">
        <w:rPr>
          <w:lang w:val="en-CA"/>
        </w:rPr>
        <w:t>65.37</w:t>
      </w:r>
      <w:r w:rsidRPr="008321D1">
        <w:rPr>
          <w:lang w:val="en-CA"/>
        </w:rPr>
        <w:t>/kg for ongoing projects</w:t>
      </w:r>
      <w:r w:rsidRPr="008321D1">
        <w:rPr>
          <w:rStyle w:val="FootnoteReference"/>
          <w:sz w:val="22"/>
          <w:szCs w:val="22"/>
          <w:lang w:val="en-CA"/>
        </w:rPr>
        <w:footnoteReference w:id="2"/>
      </w:r>
      <w:r w:rsidRPr="008321D1">
        <w:rPr>
          <w:lang w:val="en-CA"/>
        </w:rPr>
        <w:t xml:space="preserve">; </w:t>
      </w:r>
    </w:p>
    <w:p w:rsidR="00263137" w:rsidRPr="008321D1" w:rsidRDefault="00263137" w:rsidP="00072567">
      <w:pPr>
        <w:pStyle w:val="Heading2"/>
        <w:numPr>
          <w:ilvl w:val="1"/>
          <w:numId w:val="1"/>
        </w:numPr>
        <w:rPr>
          <w:lang w:val="en-CA"/>
        </w:rPr>
      </w:pPr>
      <w:r w:rsidRPr="008321D1">
        <w:rPr>
          <w:b/>
          <w:bCs/>
          <w:lang w:val="en-CA"/>
        </w:rPr>
        <w:t>Number of projects completed:</w:t>
      </w:r>
      <w:r w:rsidRPr="008321D1">
        <w:rPr>
          <w:lang w:val="en-CA"/>
        </w:rPr>
        <w:t xml:space="preserve"> In 2015, </w:t>
      </w:r>
      <w:r w:rsidR="00A61F4B" w:rsidRPr="008321D1">
        <w:rPr>
          <w:lang w:val="en-CA"/>
        </w:rPr>
        <w:t>69</w:t>
      </w:r>
      <w:r w:rsidRPr="008321D1">
        <w:rPr>
          <w:lang w:val="en-CA"/>
        </w:rPr>
        <w:t xml:space="preserve"> projects were completed. Since 1991, 2,</w:t>
      </w:r>
      <w:r w:rsidR="00A61F4B" w:rsidRPr="008321D1">
        <w:rPr>
          <w:lang w:val="en-CA"/>
        </w:rPr>
        <w:t>122</w:t>
      </w:r>
      <w:r w:rsidRPr="008321D1">
        <w:rPr>
          <w:lang w:val="en-CA"/>
        </w:rPr>
        <w:t> projects of the 2,2</w:t>
      </w:r>
      <w:r w:rsidR="00A61F4B" w:rsidRPr="008321D1">
        <w:rPr>
          <w:lang w:val="en-CA"/>
        </w:rPr>
        <w:t>97</w:t>
      </w:r>
      <w:r w:rsidRPr="008321D1">
        <w:rPr>
          <w:lang w:val="en-CA"/>
        </w:rPr>
        <w:t xml:space="preserve"> projects approved (excluding closed or transferred projects) were completed. This represents a completion rate of 92 per cent;</w:t>
      </w:r>
    </w:p>
    <w:p w:rsidR="00263137" w:rsidRPr="008321D1" w:rsidRDefault="00263137" w:rsidP="00072567">
      <w:pPr>
        <w:pStyle w:val="Heading2"/>
        <w:numPr>
          <w:ilvl w:val="1"/>
          <w:numId w:val="1"/>
        </w:numPr>
        <w:rPr>
          <w:lang w:val="en-CA"/>
        </w:rPr>
      </w:pPr>
      <w:r w:rsidRPr="008321D1">
        <w:rPr>
          <w:b/>
          <w:lang w:val="en-CA"/>
        </w:rPr>
        <w:t xml:space="preserve">Speed of delivery </w:t>
      </w:r>
      <w:r w:rsidR="00F2259E" w:rsidRPr="008321D1">
        <w:rPr>
          <w:b/>
          <w:lang w:val="en-CA"/>
        </w:rPr>
        <w:t>–</w:t>
      </w:r>
      <w:r w:rsidRPr="008321D1">
        <w:rPr>
          <w:b/>
          <w:lang w:val="en-CA"/>
        </w:rPr>
        <w:t xml:space="preserve"> investment</w:t>
      </w:r>
      <w:r w:rsidR="00F2259E" w:rsidRPr="008321D1">
        <w:rPr>
          <w:b/>
          <w:lang w:val="en-CA"/>
        </w:rPr>
        <w:t xml:space="preserve"> </w:t>
      </w:r>
      <w:r w:rsidRPr="008321D1">
        <w:rPr>
          <w:b/>
          <w:lang w:val="en-CA"/>
        </w:rPr>
        <w:t xml:space="preserve">projects: </w:t>
      </w:r>
      <w:r w:rsidRPr="008321D1">
        <w:rPr>
          <w:lang w:val="en-CA"/>
        </w:rPr>
        <w:t>Projects that were completed in 2015 were completed on average 4</w:t>
      </w:r>
      <w:r w:rsidR="00AD6A2C" w:rsidRPr="008321D1">
        <w:rPr>
          <w:lang w:val="en-CA"/>
        </w:rPr>
        <w:t>1</w:t>
      </w:r>
      <w:r w:rsidRPr="008321D1">
        <w:rPr>
          <w:lang w:val="en-CA"/>
        </w:rPr>
        <w:t xml:space="preserve"> months after their approval. Since 1991, the average time for completion of investment projects has been 33 months after their approval. First disbursements under these projects occurred, on average, 13 months after they had been approved;</w:t>
      </w:r>
    </w:p>
    <w:p w:rsidR="00263137" w:rsidRPr="008321D1" w:rsidRDefault="00263137" w:rsidP="00072567">
      <w:pPr>
        <w:pStyle w:val="Heading2"/>
        <w:numPr>
          <w:ilvl w:val="1"/>
          <w:numId w:val="1"/>
        </w:numPr>
        <w:rPr>
          <w:lang w:val="en-CA"/>
        </w:rPr>
      </w:pPr>
      <w:r w:rsidRPr="008321D1">
        <w:rPr>
          <w:b/>
          <w:lang w:val="en-CA"/>
        </w:rPr>
        <w:t xml:space="preserve">Speed of delivery </w:t>
      </w:r>
      <w:r w:rsidR="00F2259E" w:rsidRPr="008321D1">
        <w:rPr>
          <w:b/>
          <w:lang w:val="en-CA"/>
        </w:rPr>
        <w:t>–</w:t>
      </w:r>
      <w:r w:rsidRPr="008321D1">
        <w:rPr>
          <w:b/>
          <w:lang w:val="en-CA"/>
        </w:rPr>
        <w:t xml:space="preserve"> non</w:t>
      </w:r>
      <w:r w:rsidR="00F2259E" w:rsidRPr="008321D1">
        <w:rPr>
          <w:b/>
          <w:lang w:val="en-CA"/>
        </w:rPr>
        <w:t xml:space="preserve"> </w:t>
      </w:r>
      <w:r w:rsidRPr="008321D1">
        <w:rPr>
          <w:b/>
          <w:lang w:val="en-CA"/>
        </w:rPr>
        <w:t>investment projects:</w:t>
      </w:r>
      <w:r w:rsidRPr="008321D1">
        <w:rPr>
          <w:lang w:val="en-CA"/>
        </w:rPr>
        <w:t xml:space="preserve"> Projects that were completed in 2015 were completed on average </w:t>
      </w:r>
      <w:r w:rsidR="00AD6A2C" w:rsidRPr="008321D1">
        <w:rPr>
          <w:lang w:val="en-CA"/>
        </w:rPr>
        <w:t>39</w:t>
      </w:r>
      <w:r w:rsidRPr="008321D1">
        <w:rPr>
          <w:lang w:val="en-CA"/>
        </w:rPr>
        <w:t xml:space="preserve"> months after their approval. Since 1991, the average time for completion of non-investment projects has been 40 months after their approval. First disbursements under these projects occurred, on average, 13 months after they had been approved;</w:t>
      </w:r>
    </w:p>
    <w:p w:rsidR="00263137" w:rsidRPr="008321D1" w:rsidRDefault="00263137" w:rsidP="00072567">
      <w:pPr>
        <w:pStyle w:val="Heading2"/>
        <w:numPr>
          <w:ilvl w:val="1"/>
          <w:numId w:val="1"/>
        </w:numPr>
        <w:rPr>
          <w:lang w:val="en-CA"/>
        </w:rPr>
      </w:pPr>
      <w:r w:rsidRPr="008321D1">
        <w:rPr>
          <w:b/>
          <w:bCs/>
          <w:lang w:val="en-CA"/>
        </w:rPr>
        <w:t xml:space="preserve">Project preparation: </w:t>
      </w:r>
      <w:r w:rsidRPr="008321D1">
        <w:rPr>
          <w:lang w:val="en-CA"/>
        </w:rPr>
        <w:t>Of the 5</w:t>
      </w:r>
      <w:r w:rsidR="00CB505D" w:rsidRPr="008321D1">
        <w:rPr>
          <w:lang w:val="en-CA"/>
        </w:rPr>
        <w:t>19</w:t>
      </w:r>
      <w:r w:rsidRPr="008321D1">
        <w:rPr>
          <w:lang w:val="en-CA"/>
        </w:rPr>
        <w:t xml:space="preserve"> project preparation activities approved by the end of 201</w:t>
      </w:r>
      <w:r w:rsidR="00CB505D" w:rsidRPr="008321D1">
        <w:rPr>
          <w:lang w:val="en-CA"/>
        </w:rPr>
        <w:t>5</w:t>
      </w:r>
      <w:r w:rsidRPr="008321D1">
        <w:rPr>
          <w:lang w:val="en-CA"/>
        </w:rPr>
        <w:t>, 4</w:t>
      </w:r>
      <w:r w:rsidR="00CB505D" w:rsidRPr="008321D1">
        <w:rPr>
          <w:lang w:val="en-CA"/>
        </w:rPr>
        <w:t>74</w:t>
      </w:r>
      <w:r w:rsidRPr="008321D1">
        <w:rPr>
          <w:lang w:val="en-CA"/>
        </w:rPr>
        <w:t xml:space="preserve"> have been completed. In 2015, </w:t>
      </w:r>
      <w:r w:rsidR="00CB505D" w:rsidRPr="008321D1">
        <w:rPr>
          <w:lang w:val="en-CA"/>
        </w:rPr>
        <w:t>nine</w:t>
      </w:r>
      <w:r w:rsidRPr="008321D1">
        <w:rPr>
          <w:lang w:val="en-CA"/>
        </w:rPr>
        <w:t xml:space="preserve"> projects were completed, leaving 4</w:t>
      </w:r>
      <w:r w:rsidR="00CB505D" w:rsidRPr="008321D1">
        <w:rPr>
          <w:lang w:val="en-CA"/>
        </w:rPr>
        <w:t>5</w:t>
      </w:r>
      <w:r w:rsidRPr="008321D1">
        <w:rPr>
          <w:lang w:val="en-CA"/>
        </w:rPr>
        <w:t> ongoing;</w:t>
      </w:r>
    </w:p>
    <w:p w:rsidR="00263137" w:rsidRPr="008321D1" w:rsidRDefault="00263137" w:rsidP="00072567">
      <w:pPr>
        <w:pStyle w:val="Heading2"/>
        <w:numPr>
          <w:ilvl w:val="1"/>
          <w:numId w:val="1"/>
        </w:numPr>
        <w:rPr>
          <w:lang w:val="en-CA"/>
        </w:rPr>
      </w:pPr>
      <w:r w:rsidRPr="008321D1">
        <w:rPr>
          <w:b/>
          <w:bCs/>
          <w:lang w:val="en-CA"/>
        </w:rPr>
        <w:t>Implementation delays:</w:t>
      </w:r>
      <w:r w:rsidRPr="008321D1">
        <w:rPr>
          <w:lang w:val="en-CA"/>
        </w:rPr>
        <w:t xml:space="preserve"> There were a total of </w:t>
      </w:r>
      <w:r w:rsidR="006A2C85" w:rsidRPr="008321D1">
        <w:rPr>
          <w:lang w:val="en-CA"/>
        </w:rPr>
        <w:t>68</w:t>
      </w:r>
      <w:r w:rsidRPr="008321D1">
        <w:rPr>
          <w:lang w:val="en-CA"/>
        </w:rPr>
        <w:t xml:space="preserve"> ongoing investment projects under implementation at the end of 2015. These projects, on average, are experiencing a delay of </w:t>
      </w:r>
      <w:r w:rsidR="006A2C85" w:rsidRPr="008321D1">
        <w:rPr>
          <w:lang w:val="en-CA"/>
        </w:rPr>
        <w:t>19</w:t>
      </w:r>
      <w:r w:rsidRPr="008321D1">
        <w:rPr>
          <w:lang w:val="en-CA"/>
        </w:rPr>
        <w:t xml:space="preserve"> months. However, projects classified as “projects with implementation delays” that are subject to the procedures of project cancellation amount to </w:t>
      </w:r>
      <w:r w:rsidR="000E1631" w:rsidRPr="008321D1">
        <w:rPr>
          <w:lang w:val="en-CA"/>
        </w:rPr>
        <w:t>one project</w:t>
      </w:r>
      <w:r w:rsidRPr="008321D1">
        <w:rPr>
          <w:lang w:val="en-CA"/>
        </w:rPr>
        <w:t xml:space="preserve"> (as multi-year agreements (MYAs) are not subject to those procedures); and</w:t>
      </w:r>
    </w:p>
    <w:p w:rsidR="00263137" w:rsidRPr="008321D1" w:rsidRDefault="00263137" w:rsidP="00072567">
      <w:pPr>
        <w:pStyle w:val="Heading2"/>
        <w:rPr>
          <w:lang w:val="en-CA"/>
        </w:rPr>
      </w:pPr>
      <w:r w:rsidRPr="008321D1">
        <w:rPr>
          <w:b/>
          <w:lang w:val="en-CA"/>
        </w:rPr>
        <w:t>MYAs</w:t>
      </w:r>
      <w:r w:rsidRPr="008321D1">
        <w:rPr>
          <w:lang w:val="en-CA"/>
        </w:rPr>
        <w:t xml:space="preserve">: In 2015, UNDP was implementing one MYA for </w:t>
      </w:r>
      <w:r w:rsidR="0080381F" w:rsidRPr="008321D1">
        <w:rPr>
          <w:lang w:val="en-CA"/>
        </w:rPr>
        <w:t>CTC</w:t>
      </w:r>
      <w:r w:rsidRPr="008321D1">
        <w:rPr>
          <w:lang w:val="en-CA"/>
        </w:rPr>
        <w:t xml:space="preserve"> phase-out</w:t>
      </w:r>
      <w:r w:rsidR="0080381F" w:rsidRPr="008321D1">
        <w:rPr>
          <w:lang w:val="en-CA"/>
        </w:rPr>
        <w:t xml:space="preserve">, one MYA for accelerated CFC production </w:t>
      </w:r>
      <w:r w:rsidRPr="008321D1">
        <w:rPr>
          <w:lang w:val="en-CA"/>
        </w:rPr>
        <w:t>and 4</w:t>
      </w:r>
      <w:r w:rsidR="0080381F" w:rsidRPr="008321D1">
        <w:rPr>
          <w:lang w:val="en-CA"/>
        </w:rPr>
        <w:t>6</w:t>
      </w:r>
      <w:r w:rsidRPr="008321D1">
        <w:rPr>
          <w:lang w:val="en-CA"/>
        </w:rPr>
        <w:t xml:space="preserve"> MYAs for HCFC phase-out management plans (HPMPs). Since 1991, 1</w:t>
      </w:r>
      <w:r w:rsidR="0080381F" w:rsidRPr="008321D1">
        <w:rPr>
          <w:lang w:val="en-CA"/>
        </w:rPr>
        <w:t>1</w:t>
      </w:r>
      <w:r w:rsidR="003742B9" w:rsidRPr="008321D1">
        <w:rPr>
          <w:lang w:val="en-CA"/>
        </w:rPr>
        <w:t>9</w:t>
      </w:r>
      <w:r w:rsidRPr="008321D1">
        <w:rPr>
          <w:lang w:val="en-CA"/>
        </w:rPr>
        <w:t xml:space="preserve"> MYAs have been approved and 6</w:t>
      </w:r>
      <w:r w:rsidR="0080381F" w:rsidRPr="008321D1">
        <w:rPr>
          <w:lang w:val="en-CA"/>
        </w:rPr>
        <w:t>6</w:t>
      </w:r>
      <w:r w:rsidRPr="008321D1">
        <w:rPr>
          <w:lang w:val="en-CA"/>
        </w:rPr>
        <w:t xml:space="preserve"> MYAs have been completed. </w:t>
      </w:r>
    </w:p>
    <w:p w:rsidR="00263137" w:rsidRPr="008321D1" w:rsidRDefault="00263137" w:rsidP="00072567">
      <w:pPr>
        <w:pStyle w:val="a--"/>
        <w:suppressAutoHyphens w:val="0"/>
        <w:rPr>
          <w:sz w:val="22"/>
          <w:szCs w:val="22"/>
          <w:lang w:val="en-CA"/>
        </w:rPr>
      </w:pPr>
      <w:r w:rsidRPr="008321D1">
        <w:rPr>
          <w:sz w:val="22"/>
          <w:szCs w:val="22"/>
          <w:lang w:val="en-CA"/>
        </w:rPr>
        <w:t>Part I: Implementation progress as at 31 December 2015 (cumulative)</w:t>
      </w:r>
    </w:p>
    <w:p w:rsidR="00263137" w:rsidRPr="008321D1" w:rsidRDefault="00135170" w:rsidP="00072567">
      <w:pPr>
        <w:pStyle w:val="a--"/>
        <w:tabs>
          <w:tab w:val="clear" w:pos="720"/>
          <w:tab w:val="clear" w:pos="1440"/>
          <w:tab w:val="clear" w:pos="2160"/>
          <w:tab w:val="clear" w:pos="2880"/>
          <w:tab w:val="clear" w:pos="3600"/>
        </w:tabs>
        <w:suppressAutoHyphens w:val="0"/>
        <w:rPr>
          <w:sz w:val="22"/>
          <w:szCs w:val="22"/>
          <w:lang w:val="en-CA"/>
        </w:rPr>
      </w:pPr>
      <w:r w:rsidRPr="008321D1">
        <w:rPr>
          <w:sz w:val="22"/>
          <w:szCs w:val="22"/>
          <w:lang w:val="en-CA"/>
        </w:rPr>
        <w:tab/>
      </w:r>
      <w:r w:rsidRPr="008321D1">
        <w:rPr>
          <w:sz w:val="22"/>
          <w:szCs w:val="22"/>
          <w:lang w:val="en-CA"/>
        </w:rPr>
        <w:tab/>
      </w:r>
    </w:p>
    <w:p w:rsidR="00263137" w:rsidRPr="008321D1" w:rsidRDefault="00263137" w:rsidP="00072567">
      <w:pPr>
        <w:pStyle w:val="Heading1"/>
        <w:rPr>
          <w:lang w:val="en-CA"/>
        </w:rPr>
      </w:pPr>
      <w:r w:rsidRPr="008321D1">
        <w:rPr>
          <w:lang w:val="en-CA"/>
        </w:rPr>
        <w:t>As of that date, the Executive Committee had approved US $</w:t>
      </w:r>
      <w:r w:rsidR="001B2FA7" w:rsidRPr="008321D1">
        <w:rPr>
          <w:lang w:val="en-CA"/>
        </w:rPr>
        <w:t>809.</w:t>
      </w:r>
      <w:r w:rsidR="00104A21" w:rsidRPr="008321D1">
        <w:rPr>
          <w:lang w:val="en-CA"/>
        </w:rPr>
        <w:t>94</w:t>
      </w:r>
      <w:r w:rsidRPr="008321D1">
        <w:rPr>
          <w:lang w:val="en-CA"/>
        </w:rPr>
        <w:t xml:space="preserve"> million consisting of US $</w:t>
      </w:r>
      <w:r w:rsidR="001B2FA7" w:rsidRPr="008321D1">
        <w:rPr>
          <w:lang w:val="en-CA"/>
        </w:rPr>
        <w:t>71</w:t>
      </w:r>
      <w:r w:rsidR="00104A21" w:rsidRPr="008321D1">
        <w:rPr>
          <w:lang w:val="en-CA"/>
        </w:rPr>
        <w:t>3.14</w:t>
      </w:r>
      <w:r w:rsidR="00581166" w:rsidRPr="008321D1">
        <w:rPr>
          <w:lang w:val="en-CA"/>
        </w:rPr>
        <w:t> </w:t>
      </w:r>
      <w:r w:rsidRPr="008321D1">
        <w:rPr>
          <w:lang w:val="en-CA"/>
        </w:rPr>
        <w:t>million for investment and non-investment projects and US $</w:t>
      </w:r>
      <w:r w:rsidR="001B2FA7" w:rsidRPr="008321D1">
        <w:rPr>
          <w:lang w:val="en-CA"/>
        </w:rPr>
        <w:t>96.81</w:t>
      </w:r>
      <w:r w:rsidR="00581166" w:rsidRPr="008321D1">
        <w:rPr>
          <w:lang w:val="en-CA"/>
        </w:rPr>
        <w:t> </w:t>
      </w:r>
      <w:r w:rsidRPr="008321D1">
        <w:rPr>
          <w:lang w:val="en-CA"/>
        </w:rPr>
        <w:t>million for agency fees and administrative support costs, as shown in Table 1. In 201</w:t>
      </w:r>
      <w:r w:rsidR="001B2FA7" w:rsidRPr="008321D1">
        <w:rPr>
          <w:lang w:val="en-CA"/>
        </w:rPr>
        <w:t>5</w:t>
      </w:r>
      <w:r w:rsidRPr="008321D1">
        <w:rPr>
          <w:lang w:val="en-CA"/>
        </w:rPr>
        <w:t>,</w:t>
      </w:r>
      <w:r w:rsidR="001B2FA7" w:rsidRPr="008321D1">
        <w:rPr>
          <w:lang w:val="en-CA"/>
        </w:rPr>
        <w:t xml:space="preserve"> 77</w:t>
      </w:r>
      <w:r w:rsidRPr="008321D1">
        <w:rPr>
          <w:lang w:val="en-CA"/>
        </w:rPr>
        <w:t xml:space="preserve"> new projects and activities were approved. This level of funding is expected to result in the phase-out of </w:t>
      </w:r>
      <w:r w:rsidR="00F9586F" w:rsidRPr="008321D1">
        <w:rPr>
          <w:lang w:val="en-CA"/>
        </w:rPr>
        <w:t>418.9 </w:t>
      </w:r>
      <w:r w:rsidRPr="008321D1">
        <w:rPr>
          <w:lang w:val="en-CA"/>
        </w:rPr>
        <w:t xml:space="preserve">ODP tonnes of ODS consumption. </w:t>
      </w:r>
    </w:p>
    <w:p w:rsidR="00263137" w:rsidRPr="008321D1" w:rsidRDefault="00263137" w:rsidP="00072567">
      <w:pPr>
        <w:pStyle w:val="Heading1"/>
        <w:keepNext/>
        <w:numPr>
          <w:ilvl w:val="0"/>
          <w:numId w:val="0"/>
        </w:numPr>
        <w:suppressAutoHyphens/>
        <w:spacing w:after="0"/>
        <w:rPr>
          <w:b/>
          <w:lang w:val="en-CA"/>
        </w:rPr>
      </w:pPr>
      <w:r w:rsidRPr="008321D1">
        <w:rPr>
          <w:b/>
          <w:spacing w:val="-3"/>
          <w:lang w:val="en-CA"/>
        </w:rPr>
        <w:lastRenderedPageBreak/>
        <w:t xml:space="preserve">Table 1: Approved funding by sector for UNDP as at 31 December </w:t>
      </w:r>
      <w:r w:rsidRPr="008321D1">
        <w:rPr>
          <w:b/>
          <w:lang w:val="en-CA"/>
        </w:rPr>
        <w:t>2015</w:t>
      </w:r>
    </w:p>
    <w:tbl>
      <w:tblPr>
        <w:tblW w:w="9455" w:type="dxa"/>
        <w:tblInd w:w="103" w:type="dxa"/>
        <w:tblLook w:val="04A0" w:firstRow="1" w:lastRow="0" w:firstColumn="1" w:lastColumn="0" w:noHBand="0" w:noVBand="1"/>
      </w:tblPr>
      <w:tblGrid>
        <w:gridCol w:w="4685"/>
        <w:gridCol w:w="4770"/>
      </w:tblGrid>
      <w:tr w:rsidR="000D4EF5" w:rsidRPr="008321D1" w:rsidTr="000D4EF5">
        <w:trPr>
          <w:trHeight w:val="285"/>
          <w:tblHeader/>
        </w:trPr>
        <w:tc>
          <w:tcPr>
            <w:tcW w:w="4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EF5" w:rsidRPr="008321D1" w:rsidRDefault="000D4EF5" w:rsidP="00072567">
            <w:pPr>
              <w:keepNext/>
              <w:jc w:val="center"/>
              <w:rPr>
                <w:b/>
                <w:bCs/>
                <w:lang w:val="en-CA"/>
              </w:rPr>
            </w:pPr>
            <w:r w:rsidRPr="008321D1">
              <w:rPr>
                <w:b/>
                <w:bCs/>
                <w:lang w:val="en-CA"/>
              </w:rPr>
              <w:t>Sector</w:t>
            </w:r>
          </w:p>
        </w:tc>
        <w:tc>
          <w:tcPr>
            <w:tcW w:w="4770" w:type="dxa"/>
            <w:tcBorders>
              <w:top w:val="single" w:sz="4" w:space="0" w:color="auto"/>
              <w:left w:val="nil"/>
              <w:bottom w:val="single" w:sz="4" w:space="0" w:color="auto"/>
              <w:right w:val="single" w:sz="4" w:space="0" w:color="auto"/>
            </w:tcBorders>
            <w:shd w:val="clear" w:color="auto" w:fill="auto"/>
            <w:noWrap/>
            <w:vAlign w:val="center"/>
            <w:hideMark/>
          </w:tcPr>
          <w:p w:rsidR="000D4EF5" w:rsidRPr="008321D1" w:rsidRDefault="000D4EF5" w:rsidP="00072567">
            <w:pPr>
              <w:keepNext/>
              <w:jc w:val="center"/>
              <w:rPr>
                <w:b/>
                <w:bCs/>
                <w:lang w:val="en-CA"/>
              </w:rPr>
            </w:pPr>
            <w:r w:rsidRPr="008321D1">
              <w:rPr>
                <w:b/>
                <w:bCs/>
                <w:lang w:val="en-CA"/>
              </w:rPr>
              <w:t>Funding (US $)</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keepNext/>
              <w:jc w:val="left"/>
              <w:rPr>
                <w:lang w:val="en-CA"/>
              </w:rPr>
            </w:pPr>
            <w:r w:rsidRPr="008321D1">
              <w:rPr>
                <w:lang w:val="en-CA"/>
              </w:rPr>
              <w:t>Aerosol</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keepNext/>
              <w:jc w:val="right"/>
              <w:rPr>
                <w:lang w:val="en-CA"/>
              </w:rPr>
            </w:pPr>
            <w:r w:rsidRPr="008321D1">
              <w:rPr>
                <w:lang w:val="en-CA"/>
              </w:rPr>
              <w:t>26,675,161</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keepNext/>
              <w:jc w:val="left"/>
              <w:rPr>
                <w:lang w:val="en-CA"/>
              </w:rPr>
            </w:pPr>
            <w:r w:rsidRPr="008321D1">
              <w:rPr>
                <w:lang w:val="en-CA"/>
              </w:rPr>
              <w:t>Destruction</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keepNext/>
              <w:jc w:val="right"/>
              <w:rPr>
                <w:lang w:val="en-CA"/>
              </w:rPr>
            </w:pPr>
            <w:r w:rsidRPr="008321D1">
              <w:rPr>
                <w:lang w:val="en-CA"/>
              </w:rPr>
              <w:t>3,629,626</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keepNext/>
              <w:jc w:val="left"/>
              <w:rPr>
                <w:lang w:val="en-CA"/>
              </w:rPr>
            </w:pPr>
            <w:r w:rsidRPr="008321D1">
              <w:rPr>
                <w:lang w:val="en-CA"/>
              </w:rPr>
              <w:t>Fire fighting</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keepNext/>
              <w:jc w:val="right"/>
              <w:rPr>
                <w:lang w:val="en-CA"/>
              </w:rPr>
            </w:pPr>
            <w:r w:rsidRPr="008321D1">
              <w:rPr>
                <w:lang w:val="en-CA"/>
              </w:rPr>
              <w:t>50,000</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keepNext/>
              <w:jc w:val="left"/>
              <w:rPr>
                <w:lang w:val="en-CA"/>
              </w:rPr>
            </w:pPr>
            <w:r w:rsidRPr="008321D1">
              <w:rPr>
                <w:lang w:val="en-CA"/>
              </w:rPr>
              <w:t>Foam</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keepNext/>
              <w:jc w:val="right"/>
              <w:rPr>
                <w:lang w:val="en-CA"/>
              </w:rPr>
            </w:pPr>
            <w:r w:rsidRPr="008321D1">
              <w:rPr>
                <w:lang w:val="en-CA"/>
              </w:rPr>
              <w:t>173,043,155</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jc w:val="left"/>
              <w:rPr>
                <w:lang w:val="en-CA"/>
              </w:rPr>
            </w:pPr>
            <w:r w:rsidRPr="008321D1">
              <w:rPr>
                <w:lang w:val="en-CA"/>
              </w:rPr>
              <w:t>Halon</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jc w:val="right"/>
              <w:rPr>
                <w:lang w:val="en-CA"/>
              </w:rPr>
            </w:pPr>
            <w:r w:rsidRPr="008321D1">
              <w:rPr>
                <w:lang w:val="en-CA"/>
              </w:rPr>
              <w:t>4,996,973</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jc w:val="left"/>
              <w:rPr>
                <w:lang w:val="en-CA"/>
              </w:rPr>
            </w:pPr>
            <w:r w:rsidRPr="008321D1">
              <w:rPr>
                <w:lang w:val="en-CA"/>
              </w:rPr>
              <w:t>Fumigants</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jc w:val="right"/>
              <w:rPr>
                <w:lang w:val="en-CA"/>
              </w:rPr>
            </w:pPr>
            <w:r w:rsidRPr="008321D1">
              <w:rPr>
                <w:lang w:val="en-CA"/>
              </w:rPr>
              <w:t>20,082,828</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jc w:val="left"/>
              <w:rPr>
                <w:lang w:val="en-CA"/>
              </w:rPr>
            </w:pPr>
            <w:r w:rsidRPr="008321D1">
              <w:rPr>
                <w:lang w:val="en-CA"/>
              </w:rPr>
              <w:t>Phase-out plan</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jc w:val="right"/>
              <w:rPr>
                <w:lang w:val="en-CA"/>
              </w:rPr>
            </w:pPr>
            <w:r w:rsidRPr="008321D1">
              <w:rPr>
                <w:lang w:val="en-CA"/>
              </w:rPr>
              <w:t>229,433,646</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jc w:val="left"/>
              <w:rPr>
                <w:lang w:val="en-CA"/>
              </w:rPr>
            </w:pPr>
            <w:r w:rsidRPr="008321D1">
              <w:rPr>
                <w:lang w:val="en-CA"/>
              </w:rPr>
              <w:t>Process agent</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jc w:val="right"/>
              <w:rPr>
                <w:lang w:val="en-CA"/>
              </w:rPr>
            </w:pPr>
            <w:r w:rsidRPr="008321D1">
              <w:rPr>
                <w:lang w:val="en-CA"/>
              </w:rPr>
              <w:t>1,286,923</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jc w:val="left"/>
              <w:rPr>
                <w:lang w:val="en-CA"/>
              </w:rPr>
            </w:pPr>
            <w:r w:rsidRPr="008321D1">
              <w:rPr>
                <w:lang w:val="en-CA"/>
              </w:rPr>
              <w:t>Production</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jc w:val="right"/>
              <w:rPr>
                <w:lang w:val="en-CA"/>
              </w:rPr>
            </w:pPr>
            <w:r w:rsidRPr="008321D1">
              <w:rPr>
                <w:lang w:val="en-CA"/>
              </w:rPr>
              <w:t>1,373,900</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jc w:val="left"/>
              <w:rPr>
                <w:lang w:val="en-CA"/>
              </w:rPr>
            </w:pPr>
            <w:r w:rsidRPr="008321D1">
              <w:rPr>
                <w:lang w:val="en-CA"/>
              </w:rPr>
              <w:t>Refrigeration</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jc w:val="right"/>
              <w:rPr>
                <w:lang w:val="en-CA"/>
              </w:rPr>
            </w:pPr>
            <w:r w:rsidRPr="008321D1">
              <w:rPr>
                <w:lang w:val="en-CA"/>
              </w:rPr>
              <w:t>135,505,397</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jc w:val="left"/>
              <w:rPr>
                <w:lang w:val="en-CA"/>
              </w:rPr>
            </w:pPr>
            <w:r w:rsidRPr="008321D1">
              <w:rPr>
                <w:lang w:val="en-CA"/>
              </w:rPr>
              <w:t>Several</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jc w:val="right"/>
              <w:rPr>
                <w:lang w:val="en-CA"/>
              </w:rPr>
            </w:pPr>
            <w:r w:rsidRPr="008321D1">
              <w:rPr>
                <w:lang w:val="en-CA"/>
              </w:rPr>
              <w:t>52,941,131</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jc w:val="left"/>
              <w:rPr>
                <w:lang w:val="en-CA"/>
              </w:rPr>
            </w:pPr>
            <w:r w:rsidRPr="008321D1">
              <w:rPr>
                <w:lang w:val="en-CA"/>
              </w:rPr>
              <w:t>Solvents</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jc w:val="right"/>
              <w:rPr>
                <w:lang w:val="en-CA"/>
              </w:rPr>
            </w:pPr>
            <w:r w:rsidRPr="008321D1">
              <w:rPr>
                <w:lang w:val="en-CA"/>
              </w:rPr>
              <w:t>63,700,008</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jc w:val="left"/>
              <w:rPr>
                <w:lang w:val="en-CA"/>
              </w:rPr>
            </w:pPr>
            <w:proofErr w:type="spellStart"/>
            <w:r w:rsidRPr="008321D1">
              <w:rPr>
                <w:lang w:val="en-CA"/>
              </w:rPr>
              <w:t>Sterilant</w:t>
            </w:r>
            <w:proofErr w:type="spellEnd"/>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jc w:val="right"/>
              <w:rPr>
                <w:lang w:val="en-CA"/>
              </w:rPr>
            </w:pPr>
            <w:r w:rsidRPr="008321D1">
              <w:rPr>
                <w:lang w:val="en-CA"/>
              </w:rPr>
              <w:t>417,628</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jc w:val="left"/>
              <w:rPr>
                <w:b/>
                <w:bCs/>
                <w:lang w:val="en-CA"/>
              </w:rPr>
            </w:pPr>
            <w:r w:rsidRPr="008321D1">
              <w:rPr>
                <w:b/>
                <w:bCs/>
                <w:lang w:val="en-CA"/>
              </w:rPr>
              <w:t>Sub-total</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jc w:val="right"/>
              <w:rPr>
                <w:b/>
                <w:bCs/>
                <w:lang w:val="en-CA"/>
              </w:rPr>
            </w:pPr>
            <w:r w:rsidRPr="008321D1">
              <w:rPr>
                <w:b/>
                <w:bCs/>
                <w:lang w:val="en-CA"/>
              </w:rPr>
              <w:t>713,136,376</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jc w:val="left"/>
              <w:rPr>
                <w:lang w:val="en-CA"/>
              </w:rPr>
            </w:pPr>
            <w:r w:rsidRPr="008321D1">
              <w:rPr>
                <w:lang w:val="en-CA"/>
              </w:rPr>
              <w:t>Administrative costs</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jc w:val="right"/>
              <w:rPr>
                <w:lang w:val="en-CA"/>
              </w:rPr>
            </w:pPr>
            <w:r w:rsidRPr="008321D1">
              <w:rPr>
                <w:lang w:val="en-CA"/>
              </w:rPr>
              <w:t>96,806,287</w:t>
            </w:r>
          </w:p>
        </w:tc>
      </w:tr>
      <w:tr w:rsidR="000D4EF5" w:rsidRPr="008321D1" w:rsidTr="000D4EF5">
        <w:trPr>
          <w:trHeight w:val="22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0D4EF5" w:rsidRPr="008321D1" w:rsidRDefault="000D4EF5" w:rsidP="00072567">
            <w:pPr>
              <w:jc w:val="left"/>
              <w:rPr>
                <w:b/>
                <w:bCs/>
                <w:lang w:val="en-CA"/>
              </w:rPr>
            </w:pPr>
            <w:r w:rsidRPr="008321D1">
              <w:rPr>
                <w:b/>
                <w:bCs/>
                <w:lang w:val="en-CA"/>
              </w:rPr>
              <w:t>Total</w:t>
            </w:r>
          </w:p>
        </w:tc>
        <w:tc>
          <w:tcPr>
            <w:tcW w:w="4770" w:type="dxa"/>
            <w:tcBorders>
              <w:top w:val="nil"/>
              <w:left w:val="nil"/>
              <w:bottom w:val="single" w:sz="4" w:space="0" w:color="auto"/>
              <w:right w:val="single" w:sz="4" w:space="0" w:color="auto"/>
            </w:tcBorders>
            <w:shd w:val="clear" w:color="auto" w:fill="auto"/>
            <w:noWrap/>
            <w:vAlign w:val="bottom"/>
            <w:hideMark/>
          </w:tcPr>
          <w:p w:rsidR="000D4EF5" w:rsidRPr="008321D1" w:rsidRDefault="000D4EF5" w:rsidP="00072567">
            <w:pPr>
              <w:jc w:val="right"/>
              <w:rPr>
                <w:b/>
                <w:bCs/>
                <w:lang w:val="en-CA"/>
              </w:rPr>
            </w:pPr>
            <w:r w:rsidRPr="008321D1">
              <w:rPr>
                <w:b/>
                <w:bCs/>
                <w:lang w:val="en-CA"/>
              </w:rPr>
              <w:t>809,942,663</w:t>
            </w:r>
          </w:p>
        </w:tc>
      </w:tr>
    </w:tbl>
    <w:p w:rsidR="000D4EF5" w:rsidRPr="008321D1" w:rsidRDefault="000D4EF5" w:rsidP="00072567">
      <w:pPr>
        <w:rPr>
          <w:lang w:val="en-CA"/>
        </w:rPr>
      </w:pPr>
    </w:p>
    <w:p w:rsidR="00263137" w:rsidRPr="008321D1" w:rsidRDefault="00263137" w:rsidP="00072567">
      <w:pPr>
        <w:pStyle w:val="Heading1"/>
        <w:rPr>
          <w:lang w:val="en-CA"/>
        </w:rPr>
      </w:pPr>
      <w:r w:rsidRPr="008321D1">
        <w:rPr>
          <w:lang w:val="en-CA"/>
        </w:rPr>
        <w:t xml:space="preserve">A summary of the status of projects implemented by category is presented in Table 2. </w:t>
      </w:r>
    </w:p>
    <w:p w:rsidR="00263137" w:rsidRPr="008321D1" w:rsidRDefault="00263137" w:rsidP="00072567">
      <w:pPr>
        <w:keepNext/>
        <w:jc w:val="left"/>
        <w:rPr>
          <w:b/>
          <w:lang w:val="en-CA"/>
        </w:rPr>
      </w:pPr>
      <w:r w:rsidRPr="008321D1">
        <w:rPr>
          <w:b/>
          <w:lang w:val="en-CA"/>
        </w:rPr>
        <w:t xml:space="preserve">Table 2: </w:t>
      </w:r>
      <w:r w:rsidRPr="008321D1">
        <w:rPr>
          <w:b/>
          <w:spacing w:val="-3"/>
          <w:lang w:val="en-CA"/>
        </w:rPr>
        <w:t xml:space="preserve">Status of project implementation by </w:t>
      </w:r>
      <w:r w:rsidRPr="008321D1">
        <w:rPr>
          <w:b/>
          <w:lang w:val="en-CA"/>
        </w:rPr>
        <w:t xml:space="preserve">category </w:t>
      </w:r>
    </w:p>
    <w:tbl>
      <w:tblPr>
        <w:tblW w:w="9503" w:type="dxa"/>
        <w:tblInd w:w="103" w:type="dxa"/>
        <w:tblLook w:val="04A0" w:firstRow="1" w:lastRow="0" w:firstColumn="1" w:lastColumn="0" w:noHBand="0" w:noVBand="1"/>
      </w:tblPr>
      <w:tblGrid>
        <w:gridCol w:w="1706"/>
        <w:gridCol w:w="1029"/>
        <w:gridCol w:w="1103"/>
        <w:gridCol w:w="1050"/>
        <w:gridCol w:w="1213"/>
        <w:gridCol w:w="1275"/>
        <w:gridCol w:w="1134"/>
        <w:gridCol w:w="1009"/>
      </w:tblGrid>
      <w:tr w:rsidR="007A3103" w:rsidRPr="008321D1" w:rsidTr="005E475F">
        <w:trPr>
          <w:trHeight w:val="255"/>
        </w:trPr>
        <w:tc>
          <w:tcPr>
            <w:tcW w:w="1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EF5" w:rsidRPr="008321D1" w:rsidRDefault="000D4EF5" w:rsidP="00072567">
            <w:pPr>
              <w:jc w:val="left"/>
              <w:rPr>
                <w:b/>
                <w:bCs/>
                <w:sz w:val="19"/>
                <w:szCs w:val="19"/>
                <w:lang w:val="en-CA"/>
              </w:rPr>
            </w:pPr>
            <w:r w:rsidRPr="008321D1">
              <w:rPr>
                <w:b/>
                <w:bCs/>
                <w:sz w:val="19"/>
                <w:szCs w:val="19"/>
                <w:lang w:val="en-CA"/>
              </w:rPr>
              <w:t>Type</w:t>
            </w:r>
          </w:p>
        </w:tc>
        <w:tc>
          <w:tcPr>
            <w:tcW w:w="318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4EF5" w:rsidRPr="008321D1" w:rsidRDefault="000D4EF5" w:rsidP="00072567">
            <w:pPr>
              <w:jc w:val="center"/>
              <w:rPr>
                <w:b/>
                <w:bCs/>
                <w:sz w:val="19"/>
                <w:szCs w:val="19"/>
                <w:lang w:val="en-CA"/>
              </w:rPr>
            </w:pPr>
            <w:r w:rsidRPr="008321D1">
              <w:rPr>
                <w:b/>
                <w:bCs/>
                <w:sz w:val="19"/>
                <w:szCs w:val="19"/>
                <w:lang w:val="en-CA"/>
              </w:rPr>
              <w:t>Number of projects*</w:t>
            </w:r>
          </w:p>
        </w:tc>
        <w:tc>
          <w:tcPr>
            <w:tcW w:w="4615" w:type="dxa"/>
            <w:gridSpan w:val="4"/>
            <w:tcBorders>
              <w:top w:val="single" w:sz="4" w:space="0" w:color="auto"/>
              <w:left w:val="nil"/>
              <w:bottom w:val="single" w:sz="4" w:space="0" w:color="auto"/>
              <w:right w:val="single" w:sz="4" w:space="0" w:color="auto"/>
            </w:tcBorders>
            <w:shd w:val="clear" w:color="auto" w:fill="auto"/>
            <w:noWrap/>
            <w:vAlign w:val="center"/>
            <w:hideMark/>
          </w:tcPr>
          <w:p w:rsidR="000D4EF5" w:rsidRPr="008321D1" w:rsidRDefault="000D4EF5" w:rsidP="00072567">
            <w:pPr>
              <w:jc w:val="center"/>
              <w:rPr>
                <w:b/>
                <w:bCs/>
                <w:sz w:val="19"/>
                <w:szCs w:val="19"/>
                <w:lang w:val="en-CA"/>
              </w:rPr>
            </w:pPr>
            <w:r w:rsidRPr="008321D1">
              <w:rPr>
                <w:b/>
                <w:bCs/>
                <w:sz w:val="19"/>
                <w:szCs w:val="19"/>
                <w:lang w:val="en-CA"/>
              </w:rPr>
              <w:t>Funding (US $)</w:t>
            </w:r>
          </w:p>
        </w:tc>
      </w:tr>
      <w:tr w:rsidR="007A3103" w:rsidRPr="008321D1" w:rsidTr="005E475F">
        <w:trPr>
          <w:trHeight w:val="255"/>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0D4EF5" w:rsidRPr="008321D1" w:rsidRDefault="000D4EF5" w:rsidP="00072567">
            <w:pPr>
              <w:jc w:val="left"/>
              <w:rPr>
                <w:b/>
                <w:bCs/>
                <w:sz w:val="19"/>
                <w:szCs w:val="19"/>
                <w:lang w:val="en-CA"/>
              </w:rPr>
            </w:pPr>
          </w:p>
        </w:tc>
        <w:tc>
          <w:tcPr>
            <w:tcW w:w="1029" w:type="dxa"/>
            <w:tcBorders>
              <w:top w:val="nil"/>
              <w:left w:val="nil"/>
              <w:bottom w:val="single" w:sz="4" w:space="0" w:color="auto"/>
              <w:right w:val="single" w:sz="4" w:space="0" w:color="auto"/>
            </w:tcBorders>
            <w:shd w:val="clear" w:color="auto" w:fill="auto"/>
            <w:noWrap/>
            <w:vAlign w:val="center"/>
            <w:hideMark/>
          </w:tcPr>
          <w:p w:rsidR="000D4EF5" w:rsidRPr="008321D1" w:rsidRDefault="000D4EF5" w:rsidP="00072567">
            <w:pPr>
              <w:jc w:val="center"/>
              <w:rPr>
                <w:b/>
                <w:bCs/>
                <w:sz w:val="19"/>
                <w:szCs w:val="19"/>
                <w:lang w:val="en-CA"/>
              </w:rPr>
            </w:pPr>
            <w:r w:rsidRPr="008321D1">
              <w:rPr>
                <w:b/>
                <w:bCs/>
                <w:sz w:val="19"/>
                <w:szCs w:val="19"/>
                <w:lang w:val="en-CA"/>
              </w:rPr>
              <w:t>Approved</w:t>
            </w:r>
          </w:p>
        </w:tc>
        <w:tc>
          <w:tcPr>
            <w:tcW w:w="1103" w:type="dxa"/>
            <w:tcBorders>
              <w:top w:val="nil"/>
              <w:left w:val="nil"/>
              <w:bottom w:val="single" w:sz="4" w:space="0" w:color="auto"/>
              <w:right w:val="single" w:sz="4" w:space="0" w:color="auto"/>
            </w:tcBorders>
            <w:shd w:val="clear" w:color="auto" w:fill="auto"/>
            <w:noWrap/>
            <w:vAlign w:val="center"/>
            <w:hideMark/>
          </w:tcPr>
          <w:p w:rsidR="000D4EF5" w:rsidRPr="008321D1" w:rsidRDefault="000D4EF5" w:rsidP="00072567">
            <w:pPr>
              <w:jc w:val="center"/>
              <w:rPr>
                <w:b/>
                <w:bCs/>
                <w:sz w:val="19"/>
                <w:szCs w:val="19"/>
                <w:lang w:val="en-CA"/>
              </w:rPr>
            </w:pPr>
            <w:r w:rsidRPr="008321D1">
              <w:rPr>
                <w:b/>
                <w:bCs/>
                <w:sz w:val="19"/>
                <w:szCs w:val="19"/>
                <w:lang w:val="en-CA"/>
              </w:rPr>
              <w:t>Completed</w:t>
            </w:r>
          </w:p>
        </w:tc>
        <w:tc>
          <w:tcPr>
            <w:tcW w:w="1050" w:type="dxa"/>
            <w:tcBorders>
              <w:top w:val="nil"/>
              <w:left w:val="nil"/>
              <w:bottom w:val="single" w:sz="4" w:space="0" w:color="auto"/>
              <w:right w:val="single" w:sz="4" w:space="0" w:color="auto"/>
            </w:tcBorders>
            <w:shd w:val="clear" w:color="auto" w:fill="auto"/>
            <w:noWrap/>
            <w:vAlign w:val="center"/>
            <w:hideMark/>
          </w:tcPr>
          <w:p w:rsidR="000D4EF5" w:rsidRPr="008321D1" w:rsidRDefault="000D4EF5" w:rsidP="00072567">
            <w:pPr>
              <w:jc w:val="center"/>
              <w:rPr>
                <w:b/>
                <w:bCs/>
                <w:sz w:val="19"/>
                <w:szCs w:val="19"/>
                <w:lang w:val="en-CA"/>
              </w:rPr>
            </w:pPr>
            <w:r w:rsidRPr="008321D1">
              <w:rPr>
                <w:b/>
                <w:bCs/>
                <w:sz w:val="19"/>
                <w:szCs w:val="19"/>
                <w:lang w:val="en-CA"/>
              </w:rPr>
              <w:t>% completed</w:t>
            </w:r>
          </w:p>
        </w:tc>
        <w:tc>
          <w:tcPr>
            <w:tcW w:w="1213" w:type="dxa"/>
            <w:tcBorders>
              <w:top w:val="nil"/>
              <w:left w:val="nil"/>
              <w:bottom w:val="single" w:sz="4" w:space="0" w:color="auto"/>
              <w:right w:val="single" w:sz="4" w:space="0" w:color="auto"/>
            </w:tcBorders>
            <w:shd w:val="clear" w:color="auto" w:fill="auto"/>
            <w:noWrap/>
            <w:vAlign w:val="center"/>
            <w:hideMark/>
          </w:tcPr>
          <w:p w:rsidR="000D4EF5" w:rsidRPr="008321D1" w:rsidRDefault="000D4EF5" w:rsidP="00072567">
            <w:pPr>
              <w:jc w:val="center"/>
              <w:rPr>
                <w:b/>
                <w:bCs/>
                <w:sz w:val="19"/>
                <w:szCs w:val="19"/>
                <w:lang w:val="en-CA"/>
              </w:rPr>
            </w:pPr>
            <w:r w:rsidRPr="008321D1">
              <w:rPr>
                <w:b/>
                <w:bCs/>
                <w:sz w:val="19"/>
                <w:szCs w:val="19"/>
                <w:lang w:val="en-CA"/>
              </w:rPr>
              <w:t>Approved</w:t>
            </w:r>
          </w:p>
        </w:tc>
        <w:tc>
          <w:tcPr>
            <w:tcW w:w="1275" w:type="dxa"/>
            <w:tcBorders>
              <w:top w:val="nil"/>
              <w:left w:val="nil"/>
              <w:bottom w:val="single" w:sz="4" w:space="0" w:color="auto"/>
              <w:right w:val="single" w:sz="4" w:space="0" w:color="auto"/>
            </w:tcBorders>
            <w:shd w:val="clear" w:color="auto" w:fill="auto"/>
            <w:noWrap/>
            <w:vAlign w:val="center"/>
            <w:hideMark/>
          </w:tcPr>
          <w:p w:rsidR="000D4EF5" w:rsidRPr="008321D1" w:rsidRDefault="000D4EF5" w:rsidP="00072567">
            <w:pPr>
              <w:jc w:val="center"/>
              <w:rPr>
                <w:b/>
                <w:bCs/>
                <w:sz w:val="19"/>
                <w:szCs w:val="19"/>
                <w:lang w:val="en-CA"/>
              </w:rPr>
            </w:pPr>
            <w:r w:rsidRPr="008321D1">
              <w:rPr>
                <w:b/>
                <w:bCs/>
                <w:sz w:val="19"/>
                <w:szCs w:val="19"/>
                <w:lang w:val="en-CA"/>
              </w:rPr>
              <w:t>Disbursed</w:t>
            </w:r>
          </w:p>
        </w:tc>
        <w:tc>
          <w:tcPr>
            <w:tcW w:w="1134" w:type="dxa"/>
            <w:tcBorders>
              <w:top w:val="nil"/>
              <w:left w:val="nil"/>
              <w:bottom w:val="single" w:sz="4" w:space="0" w:color="auto"/>
              <w:right w:val="single" w:sz="4" w:space="0" w:color="auto"/>
            </w:tcBorders>
            <w:shd w:val="clear" w:color="auto" w:fill="auto"/>
            <w:noWrap/>
            <w:vAlign w:val="center"/>
            <w:hideMark/>
          </w:tcPr>
          <w:p w:rsidR="000D4EF5" w:rsidRPr="008321D1" w:rsidRDefault="000D4EF5" w:rsidP="00072567">
            <w:pPr>
              <w:jc w:val="center"/>
              <w:rPr>
                <w:b/>
                <w:bCs/>
                <w:sz w:val="19"/>
                <w:szCs w:val="19"/>
                <w:lang w:val="en-CA"/>
              </w:rPr>
            </w:pPr>
            <w:r w:rsidRPr="008321D1">
              <w:rPr>
                <w:b/>
                <w:bCs/>
                <w:sz w:val="19"/>
                <w:szCs w:val="19"/>
                <w:lang w:val="en-CA"/>
              </w:rPr>
              <w:t>Balance</w:t>
            </w:r>
          </w:p>
        </w:tc>
        <w:tc>
          <w:tcPr>
            <w:tcW w:w="993" w:type="dxa"/>
            <w:tcBorders>
              <w:top w:val="nil"/>
              <w:left w:val="nil"/>
              <w:bottom w:val="single" w:sz="4" w:space="0" w:color="auto"/>
              <w:right w:val="single" w:sz="4" w:space="0" w:color="auto"/>
            </w:tcBorders>
            <w:shd w:val="clear" w:color="auto" w:fill="auto"/>
            <w:noWrap/>
            <w:vAlign w:val="center"/>
            <w:hideMark/>
          </w:tcPr>
          <w:p w:rsidR="000D4EF5" w:rsidRPr="008321D1" w:rsidRDefault="000D4EF5" w:rsidP="00072567">
            <w:pPr>
              <w:jc w:val="center"/>
              <w:rPr>
                <w:b/>
                <w:bCs/>
                <w:sz w:val="19"/>
                <w:szCs w:val="19"/>
                <w:lang w:val="en-CA"/>
              </w:rPr>
            </w:pPr>
            <w:r w:rsidRPr="008321D1">
              <w:rPr>
                <w:b/>
                <w:bCs/>
                <w:sz w:val="19"/>
                <w:szCs w:val="19"/>
                <w:lang w:val="en-CA"/>
              </w:rPr>
              <w:t>% disbursed</w:t>
            </w:r>
          </w:p>
        </w:tc>
      </w:tr>
      <w:tr w:rsidR="007A3103" w:rsidRPr="008321D1" w:rsidTr="005E475F">
        <w:trPr>
          <w:trHeight w:val="510"/>
        </w:trPr>
        <w:tc>
          <w:tcPr>
            <w:tcW w:w="1706" w:type="dxa"/>
            <w:tcBorders>
              <w:top w:val="nil"/>
              <w:left w:val="single" w:sz="4" w:space="0" w:color="auto"/>
              <w:bottom w:val="single" w:sz="4" w:space="0" w:color="auto"/>
              <w:right w:val="single" w:sz="4" w:space="0" w:color="auto"/>
            </w:tcBorders>
            <w:shd w:val="clear" w:color="auto" w:fill="auto"/>
            <w:hideMark/>
          </w:tcPr>
          <w:p w:rsidR="000D4EF5" w:rsidRPr="008321D1" w:rsidRDefault="000D4EF5" w:rsidP="00072567">
            <w:pPr>
              <w:jc w:val="left"/>
              <w:rPr>
                <w:sz w:val="19"/>
                <w:szCs w:val="19"/>
                <w:lang w:val="en-CA"/>
              </w:rPr>
            </w:pPr>
            <w:r w:rsidRPr="008321D1">
              <w:rPr>
                <w:sz w:val="19"/>
                <w:szCs w:val="19"/>
                <w:lang w:val="en-CA"/>
              </w:rPr>
              <w:t xml:space="preserve">Country programme (CP) </w:t>
            </w:r>
          </w:p>
        </w:tc>
        <w:tc>
          <w:tcPr>
            <w:tcW w:w="1029"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22</w:t>
            </w:r>
          </w:p>
        </w:tc>
        <w:tc>
          <w:tcPr>
            <w:tcW w:w="110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22</w:t>
            </w:r>
          </w:p>
        </w:tc>
        <w:tc>
          <w:tcPr>
            <w:tcW w:w="1050"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sz w:val="19"/>
                <w:szCs w:val="19"/>
                <w:lang w:val="en-CA"/>
              </w:rPr>
            </w:pPr>
            <w:r w:rsidRPr="008321D1">
              <w:rPr>
                <w:sz w:val="19"/>
                <w:szCs w:val="19"/>
                <w:lang w:val="en-CA"/>
              </w:rPr>
              <w:t>100</w:t>
            </w:r>
          </w:p>
        </w:tc>
        <w:tc>
          <w:tcPr>
            <w:tcW w:w="121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1,628,797</w:t>
            </w:r>
          </w:p>
        </w:tc>
        <w:tc>
          <w:tcPr>
            <w:tcW w:w="1275"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1,628,797</w:t>
            </w:r>
          </w:p>
        </w:tc>
        <w:tc>
          <w:tcPr>
            <w:tcW w:w="1134"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0</w:t>
            </w:r>
          </w:p>
        </w:tc>
        <w:tc>
          <w:tcPr>
            <w:tcW w:w="993"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sz w:val="19"/>
                <w:szCs w:val="19"/>
                <w:lang w:val="en-CA"/>
              </w:rPr>
            </w:pPr>
            <w:r w:rsidRPr="008321D1">
              <w:rPr>
                <w:sz w:val="19"/>
                <w:szCs w:val="19"/>
                <w:lang w:val="en-CA"/>
              </w:rPr>
              <w:t>100</w:t>
            </w:r>
          </w:p>
        </w:tc>
      </w:tr>
      <w:tr w:rsidR="007A3103" w:rsidRPr="008321D1" w:rsidTr="005E475F">
        <w:trPr>
          <w:trHeight w:val="255"/>
        </w:trPr>
        <w:tc>
          <w:tcPr>
            <w:tcW w:w="1706" w:type="dxa"/>
            <w:tcBorders>
              <w:top w:val="nil"/>
              <w:left w:val="single" w:sz="4" w:space="0" w:color="auto"/>
              <w:bottom w:val="single" w:sz="4" w:space="0" w:color="auto"/>
              <w:right w:val="single" w:sz="4" w:space="0" w:color="auto"/>
            </w:tcBorders>
            <w:shd w:val="clear" w:color="auto" w:fill="auto"/>
            <w:hideMark/>
          </w:tcPr>
          <w:p w:rsidR="000D4EF5" w:rsidRPr="008321D1" w:rsidRDefault="000D4EF5" w:rsidP="00072567">
            <w:pPr>
              <w:jc w:val="left"/>
              <w:rPr>
                <w:sz w:val="19"/>
                <w:szCs w:val="19"/>
                <w:lang w:val="en-CA"/>
              </w:rPr>
            </w:pPr>
            <w:r w:rsidRPr="008321D1">
              <w:rPr>
                <w:sz w:val="19"/>
                <w:szCs w:val="19"/>
                <w:lang w:val="en-CA"/>
              </w:rPr>
              <w:t xml:space="preserve">Demonstration </w:t>
            </w:r>
          </w:p>
        </w:tc>
        <w:tc>
          <w:tcPr>
            <w:tcW w:w="1029"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37</w:t>
            </w:r>
          </w:p>
        </w:tc>
        <w:tc>
          <w:tcPr>
            <w:tcW w:w="110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32</w:t>
            </w:r>
          </w:p>
        </w:tc>
        <w:tc>
          <w:tcPr>
            <w:tcW w:w="1050"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sz w:val="19"/>
                <w:szCs w:val="19"/>
                <w:lang w:val="en-CA"/>
              </w:rPr>
            </w:pPr>
            <w:r w:rsidRPr="008321D1">
              <w:rPr>
                <w:sz w:val="19"/>
                <w:szCs w:val="19"/>
                <w:lang w:val="en-CA"/>
              </w:rPr>
              <w:t>86</w:t>
            </w:r>
          </w:p>
        </w:tc>
        <w:tc>
          <w:tcPr>
            <w:tcW w:w="121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19,706,968</w:t>
            </w:r>
          </w:p>
        </w:tc>
        <w:tc>
          <w:tcPr>
            <w:tcW w:w="1275"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16,165,634</w:t>
            </w:r>
          </w:p>
        </w:tc>
        <w:tc>
          <w:tcPr>
            <w:tcW w:w="1134"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3,541,334</w:t>
            </w:r>
          </w:p>
        </w:tc>
        <w:tc>
          <w:tcPr>
            <w:tcW w:w="993"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sz w:val="19"/>
                <w:szCs w:val="19"/>
                <w:lang w:val="en-CA"/>
              </w:rPr>
            </w:pPr>
            <w:r w:rsidRPr="008321D1">
              <w:rPr>
                <w:sz w:val="19"/>
                <w:szCs w:val="19"/>
                <w:lang w:val="en-CA"/>
              </w:rPr>
              <w:t>82</w:t>
            </w:r>
          </w:p>
        </w:tc>
      </w:tr>
      <w:tr w:rsidR="007A3103" w:rsidRPr="008321D1" w:rsidTr="005E475F">
        <w:trPr>
          <w:trHeight w:val="510"/>
        </w:trPr>
        <w:tc>
          <w:tcPr>
            <w:tcW w:w="1706" w:type="dxa"/>
            <w:tcBorders>
              <w:top w:val="nil"/>
              <w:left w:val="single" w:sz="4" w:space="0" w:color="auto"/>
              <w:bottom w:val="single" w:sz="4" w:space="0" w:color="auto"/>
              <w:right w:val="single" w:sz="4" w:space="0" w:color="auto"/>
            </w:tcBorders>
            <w:shd w:val="clear" w:color="auto" w:fill="auto"/>
            <w:hideMark/>
          </w:tcPr>
          <w:p w:rsidR="000D4EF5" w:rsidRPr="008321D1" w:rsidRDefault="000D4EF5" w:rsidP="00072567">
            <w:pPr>
              <w:jc w:val="left"/>
              <w:rPr>
                <w:sz w:val="19"/>
                <w:szCs w:val="19"/>
                <w:lang w:val="en-CA"/>
              </w:rPr>
            </w:pPr>
            <w:r w:rsidRPr="008321D1">
              <w:rPr>
                <w:sz w:val="19"/>
                <w:szCs w:val="19"/>
                <w:lang w:val="en-CA"/>
              </w:rPr>
              <w:t>Institutional strengthening (IS)</w:t>
            </w:r>
          </w:p>
        </w:tc>
        <w:tc>
          <w:tcPr>
            <w:tcW w:w="1029"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209</w:t>
            </w:r>
          </w:p>
        </w:tc>
        <w:tc>
          <w:tcPr>
            <w:tcW w:w="110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183</w:t>
            </w:r>
          </w:p>
        </w:tc>
        <w:tc>
          <w:tcPr>
            <w:tcW w:w="1050"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sz w:val="19"/>
                <w:szCs w:val="19"/>
                <w:lang w:val="en-CA"/>
              </w:rPr>
            </w:pPr>
            <w:r w:rsidRPr="008321D1">
              <w:rPr>
                <w:sz w:val="19"/>
                <w:szCs w:val="19"/>
                <w:lang w:val="en-CA"/>
              </w:rPr>
              <w:t>88</w:t>
            </w:r>
          </w:p>
        </w:tc>
        <w:tc>
          <w:tcPr>
            <w:tcW w:w="121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42,994,988</w:t>
            </w:r>
          </w:p>
        </w:tc>
        <w:tc>
          <w:tcPr>
            <w:tcW w:w="1275"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38,282,101</w:t>
            </w:r>
          </w:p>
        </w:tc>
        <w:tc>
          <w:tcPr>
            <w:tcW w:w="1134"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4,712,887</w:t>
            </w:r>
          </w:p>
        </w:tc>
        <w:tc>
          <w:tcPr>
            <w:tcW w:w="993"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sz w:val="19"/>
                <w:szCs w:val="19"/>
                <w:lang w:val="en-CA"/>
              </w:rPr>
            </w:pPr>
            <w:r w:rsidRPr="008321D1">
              <w:rPr>
                <w:sz w:val="19"/>
                <w:szCs w:val="19"/>
                <w:lang w:val="en-CA"/>
              </w:rPr>
              <w:t>89</w:t>
            </w:r>
          </w:p>
        </w:tc>
      </w:tr>
      <w:tr w:rsidR="007A3103" w:rsidRPr="008321D1" w:rsidTr="005E475F">
        <w:trPr>
          <w:trHeight w:val="25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0D4EF5" w:rsidRPr="008321D1" w:rsidRDefault="000D4EF5" w:rsidP="00072567">
            <w:pPr>
              <w:jc w:val="left"/>
              <w:rPr>
                <w:sz w:val="19"/>
                <w:szCs w:val="19"/>
                <w:lang w:val="en-CA"/>
              </w:rPr>
            </w:pPr>
            <w:r w:rsidRPr="008321D1">
              <w:rPr>
                <w:sz w:val="19"/>
                <w:szCs w:val="19"/>
                <w:lang w:val="en-CA"/>
              </w:rPr>
              <w:t xml:space="preserve">Investment </w:t>
            </w:r>
          </w:p>
        </w:tc>
        <w:tc>
          <w:tcPr>
            <w:tcW w:w="1029"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1,202</w:t>
            </w:r>
          </w:p>
        </w:tc>
        <w:tc>
          <w:tcPr>
            <w:tcW w:w="110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1,134</w:t>
            </w:r>
          </w:p>
        </w:tc>
        <w:tc>
          <w:tcPr>
            <w:tcW w:w="1050"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sz w:val="19"/>
                <w:szCs w:val="19"/>
                <w:lang w:val="en-CA"/>
              </w:rPr>
            </w:pPr>
            <w:r w:rsidRPr="008321D1">
              <w:rPr>
                <w:sz w:val="19"/>
                <w:szCs w:val="19"/>
                <w:lang w:val="en-CA"/>
              </w:rPr>
              <w:t>94</w:t>
            </w:r>
          </w:p>
        </w:tc>
        <w:tc>
          <w:tcPr>
            <w:tcW w:w="121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587,662,665</w:t>
            </w:r>
          </w:p>
        </w:tc>
        <w:tc>
          <w:tcPr>
            <w:tcW w:w="1275"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539,316,003</w:t>
            </w:r>
          </w:p>
        </w:tc>
        <w:tc>
          <w:tcPr>
            <w:tcW w:w="1134"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48,346,662</w:t>
            </w:r>
          </w:p>
        </w:tc>
        <w:tc>
          <w:tcPr>
            <w:tcW w:w="993"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sz w:val="19"/>
                <w:szCs w:val="19"/>
                <w:lang w:val="en-CA"/>
              </w:rPr>
            </w:pPr>
            <w:r w:rsidRPr="008321D1">
              <w:rPr>
                <w:sz w:val="19"/>
                <w:szCs w:val="19"/>
                <w:lang w:val="en-CA"/>
              </w:rPr>
              <w:t>92</w:t>
            </w:r>
          </w:p>
        </w:tc>
      </w:tr>
      <w:tr w:rsidR="007A3103" w:rsidRPr="008321D1" w:rsidTr="005E475F">
        <w:trPr>
          <w:trHeight w:val="25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0D4EF5" w:rsidRPr="008321D1" w:rsidRDefault="000D4EF5" w:rsidP="00072567">
            <w:pPr>
              <w:jc w:val="left"/>
              <w:rPr>
                <w:sz w:val="19"/>
                <w:szCs w:val="19"/>
                <w:lang w:val="en-CA"/>
              </w:rPr>
            </w:pPr>
            <w:r w:rsidRPr="008321D1">
              <w:rPr>
                <w:sz w:val="19"/>
                <w:szCs w:val="19"/>
                <w:lang w:val="en-CA"/>
              </w:rPr>
              <w:t>Project preparation</w:t>
            </w:r>
          </w:p>
        </w:tc>
        <w:tc>
          <w:tcPr>
            <w:tcW w:w="1029"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519</w:t>
            </w:r>
          </w:p>
        </w:tc>
        <w:tc>
          <w:tcPr>
            <w:tcW w:w="110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474</w:t>
            </w:r>
          </w:p>
        </w:tc>
        <w:tc>
          <w:tcPr>
            <w:tcW w:w="1050"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sz w:val="19"/>
                <w:szCs w:val="19"/>
                <w:lang w:val="en-CA"/>
              </w:rPr>
            </w:pPr>
            <w:r w:rsidRPr="008321D1">
              <w:rPr>
                <w:sz w:val="19"/>
                <w:szCs w:val="19"/>
                <w:lang w:val="en-CA"/>
              </w:rPr>
              <w:t>91</w:t>
            </w:r>
          </w:p>
        </w:tc>
        <w:tc>
          <w:tcPr>
            <w:tcW w:w="121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21,889,038</w:t>
            </w:r>
          </w:p>
        </w:tc>
        <w:tc>
          <w:tcPr>
            <w:tcW w:w="1275"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19,489,968</w:t>
            </w:r>
          </w:p>
        </w:tc>
        <w:tc>
          <w:tcPr>
            <w:tcW w:w="1134"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2,399,070</w:t>
            </w:r>
          </w:p>
        </w:tc>
        <w:tc>
          <w:tcPr>
            <w:tcW w:w="993"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sz w:val="19"/>
                <w:szCs w:val="19"/>
                <w:lang w:val="en-CA"/>
              </w:rPr>
            </w:pPr>
            <w:r w:rsidRPr="008321D1">
              <w:rPr>
                <w:sz w:val="19"/>
                <w:szCs w:val="19"/>
                <w:lang w:val="en-CA"/>
              </w:rPr>
              <w:t>89</w:t>
            </w:r>
          </w:p>
        </w:tc>
      </w:tr>
      <w:tr w:rsidR="007A3103" w:rsidRPr="008321D1" w:rsidTr="005E475F">
        <w:trPr>
          <w:trHeight w:val="510"/>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0D4EF5" w:rsidRPr="008321D1" w:rsidRDefault="000D4EF5" w:rsidP="00072567">
            <w:pPr>
              <w:jc w:val="left"/>
              <w:rPr>
                <w:sz w:val="19"/>
                <w:szCs w:val="19"/>
                <w:lang w:val="en-CA"/>
              </w:rPr>
            </w:pPr>
            <w:r w:rsidRPr="008321D1">
              <w:rPr>
                <w:sz w:val="19"/>
                <w:szCs w:val="19"/>
                <w:lang w:val="en-CA"/>
              </w:rPr>
              <w:t>Technical assistance</w:t>
            </w:r>
          </w:p>
        </w:tc>
        <w:tc>
          <w:tcPr>
            <w:tcW w:w="1029"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280</w:t>
            </w:r>
          </w:p>
        </w:tc>
        <w:tc>
          <w:tcPr>
            <w:tcW w:w="110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249</w:t>
            </w:r>
          </w:p>
        </w:tc>
        <w:tc>
          <w:tcPr>
            <w:tcW w:w="1050"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sz w:val="19"/>
                <w:szCs w:val="19"/>
                <w:lang w:val="en-CA"/>
              </w:rPr>
            </w:pPr>
            <w:r w:rsidRPr="008321D1">
              <w:rPr>
                <w:sz w:val="19"/>
                <w:szCs w:val="19"/>
                <w:lang w:val="en-CA"/>
              </w:rPr>
              <w:t>89</w:t>
            </w:r>
          </w:p>
        </w:tc>
        <w:tc>
          <w:tcPr>
            <w:tcW w:w="121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37,663,431</w:t>
            </w:r>
          </w:p>
        </w:tc>
        <w:tc>
          <w:tcPr>
            <w:tcW w:w="1275"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32,401,283</w:t>
            </w:r>
          </w:p>
        </w:tc>
        <w:tc>
          <w:tcPr>
            <w:tcW w:w="1134"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5,262,148</w:t>
            </w:r>
          </w:p>
        </w:tc>
        <w:tc>
          <w:tcPr>
            <w:tcW w:w="993"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sz w:val="19"/>
                <w:szCs w:val="19"/>
                <w:lang w:val="en-CA"/>
              </w:rPr>
            </w:pPr>
            <w:r w:rsidRPr="008321D1">
              <w:rPr>
                <w:sz w:val="19"/>
                <w:szCs w:val="19"/>
                <w:lang w:val="en-CA"/>
              </w:rPr>
              <w:t>86</w:t>
            </w:r>
          </w:p>
        </w:tc>
      </w:tr>
      <w:tr w:rsidR="007A3103" w:rsidRPr="008321D1" w:rsidTr="005E475F">
        <w:trPr>
          <w:trHeight w:val="25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0D4EF5" w:rsidRPr="008321D1" w:rsidRDefault="000D4EF5" w:rsidP="00072567">
            <w:pPr>
              <w:jc w:val="left"/>
              <w:rPr>
                <w:sz w:val="19"/>
                <w:szCs w:val="19"/>
                <w:lang w:val="en-CA"/>
              </w:rPr>
            </w:pPr>
            <w:r w:rsidRPr="008321D1">
              <w:rPr>
                <w:sz w:val="19"/>
                <w:szCs w:val="19"/>
                <w:lang w:val="en-CA"/>
              </w:rPr>
              <w:t xml:space="preserve">Training </w:t>
            </w:r>
          </w:p>
        </w:tc>
        <w:tc>
          <w:tcPr>
            <w:tcW w:w="1029"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28</w:t>
            </w:r>
          </w:p>
        </w:tc>
        <w:tc>
          <w:tcPr>
            <w:tcW w:w="110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28</w:t>
            </w:r>
          </w:p>
        </w:tc>
        <w:tc>
          <w:tcPr>
            <w:tcW w:w="1050"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sz w:val="19"/>
                <w:szCs w:val="19"/>
                <w:lang w:val="en-CA"/>
              </w:rPr>
            </w:pPr>
            <w:r w:rsidRPr="008321D1">
              <w:rPr>
                <w:sz w:val="19"/>
                <w:szCs w:val="19"/>
                <w:lang w:val="en-CA"/>
              </w:rPr>
              <w:t>100</w:t>
            </w:r>
          </w:p>
        </w:tc>
        <w:tc>
          <w:tcPr>
            <w:tcW w:w="121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1,590,489</w:t>
            </w:r>
          </w:p>
        </w:tc>
        <w:tc>
          <w:tcPr>
            <w:tcW w:w="1275"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1,590,489</w:t>
            </w:r>
          </w:p>
        </w:tc>
        <w:tc>
          <w:tcPr>
            <w:tcW w:w="1134"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sz w:val="19"/>
                <w:szCs w:val="19"/>
                <w:lang w:val="en-CA"/>
              </w:rPr>
            </w:pPr>
            <w:r w:rsidRPr="008321D1">
              <w:rPr>
                <w:sz w:val="19"/>
                <w:szCs w:val="19"/>
                <w:lang w:val="en-CA"/>
              </w:rPr>
              <w:t>0</w:t>
            </w:r>
          </w:p>
        </w:tc>
        <w:tc>
          <w:tcPr>
            <w:tcW w:w="993"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sz w:val="19"/>
                <w:szCs w:val="19"/>
                <w:lang w:val="en-CA"/>
              </w:rPr>
            </w:pPr>
            <w:r w:rsidRPr="008321D1">
              <w:rPr>
                <w:sz w:val="19"/>
                <w:szCs w:val="19"/>
                <w:lang w:val="en-CA"/>
              </w:rPr>
              <w:t>100</w:t>
            </w:r>
          </w:p>
        </w:tc>
      </w:tr>
      <w:tr w:rsidR="007A3103" w:rsidRPr="008321D1" w:rsidTr="005E475F">
        <w:trPr>
          <w:trHeight w:val="255"/>
        </w:trPr>
        <w:tc>
          <w:tcPr>
            <w:tcW w:w="1706" w:type="dxa"/>
            <w:tcBorders>
              <w:top w:val="nil"/>
              <w:left w:val="single" w:sz="4" w:space="0" w:color="auto"/>
              <w:bottom w:val="single" w:sz="4" w:space="0" w:color="auto"/>
              <w:right w:val="single" w:sz="4" w:space="0" w:color="auto"/>
            </w:tcBorders>
            <w:shd w:val="clear" w:color="auto" w:fill="auto"/>
            <w:hideMark/>
          </w:tcPr>
          <w:p w:rsidR="000D4EF5" w:rsidRPr="008321D1" w:rsidRDefault="000D4EF5" w:rsidP="00072567">
            <w:pPr>
              <w:jc w:val="left"/>
              <w:rPr>
                <w:b/>
                <w:bCs/>
                <w:sz w:val="19"/>
                <w:szCs w:val="19"/>
                <w:lang w:val="en-CA"/>
              </w:rPr>
            </w:pPr>
            <w:r w:rsidRPr="008321D1">
              <w:rPr>
                <w:b/>
                <w:bCs/>
                <w:sz w:val="19"/>
                <w:szCs w:val="19"/>
                <w:lang w:val="en-CA"/>
              </w:rPr>
              <w:t>Total</w:t>
            </w:r>
          </w:p>
        </w:tc>
        <w:tc>
          <w:tcPr>
            <w:tcW w:w="1029" w:type="dxa"/>
            <w:tcBorders>
              <w:top w:val="nil"/>
              <w:left w:val="nil"/>
              <w:bottom w:val="single" w:sz="4" w:space="0" w:color="auto"/>
              <w:right w:val="single" w:sz="4" w:space="0" w:color="auto"/>
            </w:tcBorders>
            <w:shd w:val="clear" w:color="auto" w:fill="auto"/>
            <w:hideMark/>
          </w:tcPr>
          <w:p w:rsidR="000D4EF5" w:rsidRPr="008321D1" w:rsidRDefault="000D4EF5" w:rsidP="00072567">
            <w:pPr>
              <w:jc w:val="right"/>
              <w:rPr>
                <w:b/>
                <w:bCs/>
                <w:sz w:val="19"/>
                <w:szCs w:val="19"/>
                <w:lang w:val="en-CA"/>
              </w:rPr>
            </w:pPr>
            <w:r w:rsidRPr="008321D1">
              <w:rPr>
                <w:b/>
                <w:bCs/>
                <w:sz w:val="19"/>
                <w:szCs w:val="19"/>
                <w:lang w:val="en-CA"/>
              </w:rPr>
              <w:t>2,297</w:t>
            </w:r>
          </w:p>
        </w:tc>
        <w:tc>
          <w:tcPr>
            <w:tcW w:w="1103" w:type="dxa"/>
            <w:tcBorders>
              <w:top w:val="nil"/>
              <w:left w:val="nil"/>
              <w:bottom w:val="single" w:sz="4" w:space="0" w:color="auto"/>
              <w:right w:val="single" w:sz="4" w:space="0" w:color="auto"/>
            </w:tcBorders>
            <w:shd w:val="clear" w:color="auto" w:fill="auto"/>
            <w:hideMark/>
          </w:tcPr>
          <w:p w:rsidR="000D4EF5" w:rsidRPr="008321D1" w:rsidRDefault="000D4EF5" w:rsidP="00072567">
            <w:pPr>
              <w:jc w:val="right"/>
              <w:rPr>
                <w:b/>
                <w:bCs/>
                <w:sz w:val="19"/>
                <w:szCs w:val="19"/>
                <w:lang w:val="en-CA"/>
              </w:rPr>
            </w:pPr>
            <w:r w:rsidRPr="008321D1">
              <w:rPr>
                <w:b/>
                <w:bCs/>
                <w:sz w:val="19"/>
                <w:szCs w:val="19"/>
                <w:lang w:val="en-CA"/>
              </w:rPr>
              <w:t>2,122</w:t>
            </w:r>
          </w:p>
        </w:tc>
        <w:tc>
          <w:tcPr>
            <w:tcW w:w="1050"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b/>
                <w:bCs/>
                <w:sz w:val="19"/>
                <w:szCs w:val="19"/>
                <w:lang w:val="en-CA"/>
              </w:rPr>
            </w:pPr>
            <w:r w:rsidRPr="008321D1">
              <w:rPr>
                <w:b/>
                <w:bCs/>
                <w:sz w:val="19"/>
                <w:szCs w:val="19"/>
                <w:lang w:val="en-CA"/>
              </w:rPr>
              <w:t>92</w:t>
            </w:r>
          </w:p>
        </w:tc>
        <w:tc>
          <w:tcPr>
            <w:tcW w:w="1213" w:type="dxa"/>
            <w:tcBorders>
              <w:top w:val="nil"/>
              <w:left w:val="nil"/>
              <w:bottom w:val="single" w:sz="4" w:space="0" w:color="auto"/>
              <w:right w:val="single" w:sz="4" w:space="0" w:color="auto"/>
            </w:tcBorders>
            <w:shd w:val="clear" w:color="auto" w:fill="auto"/>
            <w:noWrap/>
            <w:hideMark/>
          </w:tcPr>
          <w:p w:rsidR="000D4EF5" w:rsidRPr="008321D1" w:rsidRDefault="000D4EF5" w:rsidP="00072567">
            <w:pPr>
              <w:jc w:val="right"/>
              <w:rPr>
                <w:b/>
                <w:bCs/>
                <w:sz w:val="19"/>
                <w:szCs w:val="19"/>
                <w:lang w:val="en-CA"/>
              </w:rPr>
            </w:pPr>
            <w:r w:rsidRPr="008321D1">
              <w:rPr>
                <w:b/>
                <w:bCs/>
                <w:sz w:val="19"/>
                <w:szCs w:val="19"/>
                <w:lang w:val="en-CA"/>
              </w:rPr>
              <w:t>713,136,376</w:t>
            </w:r>
          </w:p>
        </w:tc>
        <w:tc>
          <w:tcPr>
            <w:tcW w:w="1275" w:type="dxa"/>
            <w:tcBorders>
              <w:top w:val="nil"/>
              <w:left w:val="nil"/>
              <w:bottom w:val="single" w:sz="4" w:space="0" w:color="auto"/>
              <w:right w:val="single" w:sz="4" w:space="0" w:color="auto"/>
            </w:tcBorders>
            <w:shd w:val="clear" w:color="auto" w:fill="auto"/>
            <w:hideMark/>
          </w:tcPr>
          <w:p w:rsidR="000D4EF5" w:rsidRPr="008321D1" w:rsidRDefault="000D4EF5" w:rsidP="00072567">
            <w:pPr>
              <w:jc w:val="right"/>
              <w:rPr>
                <w:b/>
                <w:bCs/>
                <w:sz w:val="19"/>
                <w:szCs w:val="19"/>
                <w:lang w:val="en-CA"/>
              </w:rPr>
            </w:pPr>
            <w:r w:rsidRPr="008321D1">
              <w:rPr>
                <w:b/>
                <w:bCs/>
                <w:sz w:val="19"/>
                <w:szCs w:val="19"/>
                <w:lang w:val="en-CA"/>
              </w:rPr>
              <w:t>648,874,275</w:t>
            </w:r>
          </w:p>
        </w:tc>
        <w:tc>
          <w:tcPr>
            <w:tcW w:w="1134" w:type="dxa"/>
            <w:tcBorders>
              <w:top w:val="nil"/>
              <w:left w:val="nil"/>
              <w:bottom w:val="single" w:sz="4" w:space="0" w:color="auto"/>
              <w:right w:val="single" w:sz="4" w:space="0" w:color="auto"/>
            </w:tcBorders>
            <w:shd w:val="clear" w:color="auto" w:fill="auto"/>
            <w:hideMark/>
          </w:tcPr>
          <w:p w:rsidR="000D4EF5" w:rsidRPr="008321D1" w:rsidRDefault="000D4EF5" w:rsidP="00072567">
            <w:pPr>
              <w:jc w:val="right"/>
              <w:rPr>
                <w:b/>
                <w:bCs/>
                <w:sz w:val="19"/>
                <w:szCs w:val="19"/>
                <w:lang w:val="en-CA"/>
              </w:rPr>
            </w:pPr>
            <w:r w:rsidRPr="008321D1">
              <w:rPr>
                <w:b/>
                <w:bCs/>
                <w:sz w:val="19"/>
                <w:szCs w:val="19"/>
                <w:lang w:val="en-CA"/>
              </w:rPr>
              <w:t>64,262,101</w:t>
            </w:r>
          </w:p>
        </w:tc>
        <w:tc>
          <w:tcPr>
            <w:tcW w:w="993" w:type="dxa"/>
            <w:tcBorders>
              <w:top w:val="nil"/>
              <w:left w:val="nil"/>
              <w:bottom w:val="single" w:sz="4" w:space="0" w:color="auto"/>
              <w:right w:val="single" w:sz="4" w:space="0" w:color="auto"/>
            </w:tcBorders>
            <w:shd w:val="clear" w:color="auto" w:fill="auto"/>
            <w:noWrap/>
            <w:hideMark/>
          </w:tcPr>
          <w:p w:rsidR="000D4EF5" w:rsidRPr="008321D1" w:rsidRDefault="005E475F" w:rsidP="00072567">
            <w:pPr>
              <w:jc w:val="right"/>
              <w:rPr>
                <w:b/>
                <w:bCs/>
                <w:sz w:val="19"/>
                <w:szCs w:val="19"/>
                <w:lang w:val="en-CA"/>
              </w:rPr>
            </w:pPr>
            <w:r w:rsidRPr="008321D1">
              <w:rPr>
                <w:b/>
                <w:bCs/>
                <w:sz w:val="19"/>
                <w:szCs w:val="19"/>
                <w:lang w:val="en-CA"/>
              </w:rPr>
              <w:t>91</w:t>
            </w:r>
          </w:p>
        </w:tc>
      </w:tr>
    </w:tbl>
    <w:p w:rsidR="00263137" w:rsidRPr="008321D1" w:rsidRDefault="00263137" w:rsidP="00072567">
      <w:pPr>
        <w:keepNext/>
        <w:jc w:val="left"/>
        <w:rPr>
          <w:sz w:val="18"/>
          <w:szCs w:val="18"/>
          <w:lang w:val="en-CA"/>
        </w:rPr>
      </w:pPr>
      <w:r w:rsidRPr="008321D1">
        <w:rPr>
          <w:sz w:val="18"/>
          <w:szCs w:val="18"/>
          <w:lang w:val="en-CA"/>
        </w:rPr>
        <w:t>*Excludes closed and transferred projects.</w:t>
      </w:r>
    </w:p>
    <w:p w:rsidR="00263137" w:rsidRPr="008321D1" w:rsidRDefault="00263137" w:rsidP="00072567">
      <w:pPr>
        <w:keepNext/>
        <w:jc w:val="left"/>
        <w:rPr>
          <w:lang w:val="en-CA"/>
        </w:rPr>
      </w:pPr>
    </w:p>
    <w:p w:rsidR="00263137" w:rsidRPr="008321D1" w:rsidRDefault="00263137" w:rsidP="00072567">
      <w:pPr>
        <w:pStyle w:val="Heading1"/>
        <w:rPr>
          <w:lang w:val="en-CA"/>
        </w:rPr>
      </w:pPr>
      <w:r w:rsidRPr="008321D1">
        <w:rPr>
          <w:lang w:val="en-CA"/>
        </w:rPr>
        <w:t>Table 3 presents an overview of status of project implementation by year</w:t>
      </w:r>
      <w:r w:rsidRPr="008321D1">
        <w:rPr>
          <w:rStyle w:val="FootnoteReference"/>
          <w:lang w:val="en-CA"/>
        </w:rPr>
        <w:footnoteReference w:id="3"/>
      </w:r>
      <w:r w:rsidRPr="008321D1">
        <w:rPr>
          <w:lang w:val="en-CA"/>
        </w:rPr>
        <w:t>. All projects and activities approved between 1991 and the end of 2001, as well as 2003, 2004</w:t>
      </w:r>
      <w:r w:rsidR="00013416" w:rsidRPr="008321D1">
        <w:rPr>
          <w:lang w:val="en-CA"/>
        </w:rPr>
        <w:t>, 2006</w:t>
      </w:r>
      <w:r w:rsidRPr="008321D1">
        <w:rPr>
          <w:lang w:val="en-CA"/>
        </w:rPr>
        <w:t xml:space="preserve"> and 200</w:t>
      </w:r>
      <w:r w:rsidR="00013416" w:rsidRPr="008321D1">
        <w:rPr>
          <w:lang w:val="en-CA"/>
        </w:rPr>
        <w:t>7</w:t>
      </w:r>
      <w:r w:rsidRPr="008321D1">
        <w:rPr>
          <w:lang w:val="en-CA"/>
        </w:rPr>
        <w:t xml:space="preserve">, have now been completed. </w:t>
      </w:r>
    </w:p>
    <w:p w:rsidR="00263137" w:rsidRPr="008321D1" w:rsidRDefault="00263137" w:rsidP="00072567">
      <w:pPr>
        <w:keepNext/>
        <w:suppressAutoHyphens/>
        <w:jc w:val="left"/>
        <w:rPr>
          <w:b/>
          <w:spacing w:val="-3"/>
          <w:lang w:val="en-CA"/>
        </w:rPr>
      </w:pPr>
      <w:r w:rsidRPr="008321D1">
        <w:rPr>
          <w:b/>
          <w:spacing w:val="-3"/>
          <w:lang w:val="en-CA"/>
        </w:rPr>
        <w:lastRenderedPageBreak/>
        <w:t xml:space="preserve">Table 3: Status of project implementation by year </w:t>
      </w:r>
    </w:p>
    <w:tbl>
      <w:tblPr>
        <w:tblW w:w="9455" w:type="dxa"/>
        <w:tblInd w:w="103" w:type="dxa"/>
        <w:tblLook w:val="04A0" w:firstRow="1" w:lastRow="0" w:firstColumn="1" w:lastColumn="0" w:noHBand="0" w:noVBand="1"/>
      </w:tblPr>
      <w:tblGrid>
        <w:gridCol w:w="815"/>
        <w:gridCol w:w="1072"/>
        <w:gridCol w:w="1150"/>
        <w:gridCol w:w="1228"/>
        <w:gridCol w:w="1320"/>
        <w:gridCol w:w="1350"/>
        <w:gridCol w:w="1260"/>
        <w:gridCol w:w="1260"/>
      </w:tblGrid>
      <w:tr w:rsidR="007A3103" w:rsidRPr="008321D1" w:rsidTr="00CF5C9C">
        <w:trPr>
          <w:trHeight w:val="255"/>
          <w:tblHeader/>
        </w:trPr>
        <w:tc>
          <w:tcPr>
            <w:tcW w:w="8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C9C" w:rsidRPr="008321D1" w:rsidRDefault="00CF5C9C" w:rsidP="00072567">
            <w:pPr>
              <w:keepNext/>
              <w:jc w:val="center"/>
              <w:rPr>
                <w:b/>
                <w:bCs/>
                <w:sz w:val="20"/>
                <w:szCs w:val="20"/>
                <w:lang w:val="en-CA"/>
              </w:rPr>
            </w:pPr>
            <w:r w:rsidRPr="008321D1">
              <w:rPr>
                <w:b/>
                <w:bCs/>
                <w:sz w:val="20"/>
                <w:szCs w:val="20"/>
                <w:lang w:val="en-CA"/>
              </w:rPr>
              <w:t>Year</w:t>
            </w:r>
          </w:p>
        </w:tc>
        <w:tc>
          <w:tcPr>
            <w:tcW w:w="3450" w:type="dxa"/>
            <w:gridSpan w:val="3"/>
            <w:tcBorders>
              <w:top w:val="single" w:sz="4" w:space="0" w:color="auto"/>
              <w:left w:val="nil"/>
              <w:bottom w:val="single" w:sz="4" w:space="0" w:color="auto"/>
              <w:right w:val="single" w:sz="4" w:space="0" w:color="auto"/>
            </w:tcBorders>
            <w:shd w:val="clear" w:color="auto" w:fill="auto"/>
            <w:noWrap/>
            <w:vAlign w:val="center"/>
            <w:hideMark/>
          </w:tcPr>
          <w:p w:rsidR="00CF5C9C" w:rsidRPr="008321D1" w:rsidRDefault="00CF5C9C" w:rsidP="00072567">
            <w:pPr>
              <w:keepNext/>
              <w:jc w:val="center"/>
              <w:rPr>
                <w:b/>
                <w:bCs/>
                <w:sz w:val="20"/>
                <w:szCs w:val="20"/>
                <w:lang w:val="en-CA"/>
              </w:rPr>
            </w:pPr>
            <w:r w:rsidRPr="008321D1">
              <w:rPr>
                <w:b/>
                <w:bCs/>
                <w:sz w:val="20"/>
                <w:szCs w:val="20"/>
                <w:lang w:val="en-CA"/>
              </w:rPr>
              <w:t>Number of projects*</w:t>
            </w:r>
          </w:p>
        </w:tc>
        <w:tc>
          <w:tcPr>
            <w:tcW w:w="5190" w:type="dxa"/>
            <w:gridSpan w:val="4"/>
            <w:tcBorders>
              <w:top w:val="single" w:sz="4" w:space="0" w:color="auto"/>
              <w:left w:val="nil"/>
              <w:bottom w:val="single" w:sz="4" w:space="0" w:color="auto"/>
              <w:right w:val="single" w:sz="4" w:space="0" w:color="auto"/>
            </w:tcBorders>
            <w:shd w:val="clear" w:color="auto" w:fill="auto"/>
            <w:noWrap/>
            <w:vAlign w:val="center"/>
            <w:hideMark/>
          </w:tcPr>
          <w:p w:rsidR="00CF5C9C" w:rsidRPr="008321D1" w:rsidRDefault="00CF5C9C" w:rsidP="00072567">
            <w:pPr>
              <w:keepNext/>
              <w:jc w:val="center"/>
              <w:rPr>
                <w:b/>
                <w:bCs/>
                <w:sz w:val="20"/>
                <w:szCs w:val="20"/>
                <w:lang w:val="en-CA"/>
              </w:rPr>
            </w:pPr>
            <w:r w:rsidRPr="008321D1">
              <w:rPr>
                <w:b/>
                <w:bCs/>
                <w:sz w:val="20"/>
                <w:szCs w:val="20"/>
                <w:lang w:val="en-CA"/>
              </w:rPr>
              <w:t>Funding (US $)</w:t>
            </w:r>
          </w:p>
        </w:tc>
      </w:tr>
      <w:tr w:rsidR="007A3103" w:rsidRPr="008321D1" w:rsidTr="00CF5C9C">
        <w:trPr>
          <w:trHeight w:val="255"/>
          <w:tblHead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CF5C9C" w:rsidRPr="008321D1" w:rsidRDefault="00CF5C9C" w:rsidP="00072567">
            <w:pPr>
              <w:keepNext/>
              <w:jc w:val="left"/>
              <w:rPr>
                <w:b/>
                <w:bCs/>
                <w:sz w:val="20"/>
                <w:szCs w:val="20"/>
                <w:lang w:val="en-CA"/>
              </w:rPr>
            </w:pPr>
          </w:p>
        </w:tc>
        <w:tc>
          <w:tcPr>
            <w:tcW w:w="1072" w:type="dxa"/>
            <w:tcBorders>
              <w:top w:val="nil"/>
              <w:left w:val="nil"/>
              <w:bottom w:val="single" w:sz="4" w:space="0" w:color="auto"/>
              <w:right w:val="single" w:sz="4" w:space="0" w:color="auto"/>
            </w:tcBorders>
            <w:shd w:val="clear" w:color="auto" w:fill="auto"/>
            <w:noWrap/>
            <w:vAlign w:val="center"/>
            <w:hideMark/>
          </w:tcPr>
          <w:p w:rsidR="00CF5C9C" w:rsidRPr="008321D1" w:rsidRDefault="00CF5C9C" w:rsidP="00072567">
            <w:pPr>
              <w:keepNext/>
              <w:jc w:val="center"/>
              <w:rPr>
                <w:b/>
                <w:bCs/>
                <w:sz w:val="20"/>
                <w:szCs w:val="20"/>
                <w:lang w:val="en-CA"/>
              </w:rPr>
            </w:pPr>
            <w:r w:rsidRPr="008321D1">
              <w:rPr>
                <w:b/>
                <w:bCs/>
                <w:sz w:val="20"/>
                <w:szCs w:val="20"/>
                <w:lang w:val="en-CA"/>
              </w:rPr>
              <w:t>Approved</w:t>
            </w:r>
          </w:p>
        </w:tc>
        <w:tc>
          <w:tcPr>
            <w:tcW w:w="1150" w:type="dxa"/>
            <w:tcBorders>
              <w:top w:val="nil"/>
              <w:left w:val="nil"/>
              <w:bottom w:val="single" w:sz="4" w:space="0" w:color="auto"/>
              <w:right w:val="single" w:sz="4" w:space="0" w:color="auto"/>
            </w:tcBorders>
            <w:shd w:val="clear" w:color="auto" w:fill="auto"/>
            <w:noWrap/>
            <w:vAlign w:val="center"/>
            <w:hideMark/>
          </w:tcPr>
          <w:p w:rsidR="00CF5C9C" w:rsidRPr="008321D1" w:rsidRDefault="00CF5C9C" w:rsidP="00072567">
            <w:pPr>
              <w:keepNext/>
              <w:jc w:val="left"/>
              <w:rPr>
                <w:b/>
                <w:bCs/>
                <w:sz w:val="20"/>
                <w:szCs w:val="20"/>
                <w:lang w:val="en-CA"/>
              </w:rPr>
            </w:pPr>
            <w:r w:rsidRPr="008321D1">
              <w:rPr>
                <w:b/>
                <w:bCs/>
                <w:sz w:val="20"/>
                <w:szCs w:val="20"/>
                <w:lang w:val="en-CA"/>
              </w:rPr>
              <w:t>Completed</w:t>
            </w:r>
          </w:p>
        </w:tc>
        <w:tc>
          <w:tcPr>
            <w:tcW w:w="1228" w:type="dxa"/>
            <w:tcBorders>
              <w:top w:val="nil"/>
              <w:left w:val="nil"/>
              <w:bottom w:val="single" w:sz="4" w:space="0" w:color="auto"/>
              <w:right w:val="single" w:sz="4" w:space="0" w:color="auto"/>
            </w:tcBorders>
            <w:shd w:val="clear" w:color="auto" w:fill="auto"/>
            <w:noWrap/>
            <w:vAlign w:val="center"/>
            <w:hideMark/>
          </w:tcPr>
          <w:p w:rsidR="00CF5C9C" w:rsidRPr="008321D1" w:rsidRDefault="00CF5C9C" w:rsidP="00072567">
            <w:pPr>
              <w:keepNext/>
              <w:jc w:val="center"/>
              <w:rPr>
                <w:b/>
                <w:bCs/>
                <w:sz w:val="20"/>
                <w:szCs w:val="20"/>
                <w:lang w:val="en-CA"/>
              </w:rPr>
            </w:pPr>
            <w:r w:rsidRPr="008321D1">
              <w:rPr>
                <w:b/>
                <w:bCs/>
                <w:sz w:val="20"/>
                <w:szCs w:val="20"/>
                <w:lang w:val="en-CA"/>
              </w:rPr>
              <w:t>% completed</w:t>
            </w:r>
          </w:p>
        </w:tc>
        <w:tc>
          <w:tcPr>
            <w:tcW w:w="1320" w:type="dxa"/>
            <w:tcBorders>
              <w:top w:val="nil"/>
              <w:left w:val="nil"/>
              <w:bottom w:val="single" w:sz="4" w:space="0" w:color="auto"/>
              <w:right w:val="single" w:sz="4" w:space="0" w:color="auto"/>
            </w:tcBorders>
            <w:shd w:val="clear" w:color="auto" w:fill="auto"/>
            <w:noWrap/>
            <w:vAlign w:val="center"/>
            <w:hideMark/>
          </w:tcPr>
          <w:p w:rsidR="00CF5C9C" w:rsidRPr="008321D1" w:rsidRDefault="00CF5C9C" w:rsidP="00072567">
            <w:pPr>
              <w:keepNext/>
              <w:jc w:val="center"/>
              <w:rPr>
                <w:b/>
                <w:bCs/>
                <w:sz w:val="20"/>
                <w:szCs w:val="20"/>
                <w:lang w:val="en-CA"/>
              </w:rPr>
            </w:pPr>
            <w:r w:rsidRPr="008321D1">
              <w:rPr>
                <w:b/>
                <w:bCs/>
                <w:sz w:val="20"/>
                <w:szCs w:val="20"/>
                <w:lang w:val="en-CA"/>
              </w:rPr>
              <w:t>Approved</w:t>
            </w:r>
          </w:p>
        </w:tc>
        <w:tc>
          <w:tcPr>
            <w:tcW w:w="1350" w:type="dxa"/>
            <w:tcBorders>
              <w:top w:val="nil"/>
              <w:left w:val="nil"/>
              <w:bottom w:val="single" w:sz="4" w:space="0" w:color="auto"/>
              <w:right w:val="single" w:sz="4" w:space="0" w:color="auto"/>
            </w:tcBorders>
            <w:shd w:val="clear" w:color="auto" w:fill="auto"/>
            <w:noWrap/>
            <w:vAlign w:val="center"/>
            <w:hideMark/>
          </w:tcPr>
          <w:p w:rsidR="00CF5C9C" w:rsidRPr="008321D1" w:rsidRDefault="00CF5C9C" w:rsidP="00072567">
            <w:pPr>
              <w:keepNext/>
              <w:jc w:val="center"/>
              <w:rPr>
                <w:b/>
                <w:bCs/>
                <w:sz w:val="20"/>
                <w:szCs w:val="20"/>
                <w:lang w:val="en-CA"/>
              </w:rPr>
            </w:pPr>
            <w:r w:rsidRPr="008321D1">
              <w:rPr>
                <w:b/>
                <w:bCs/>
                <w:sz w:val="20"/>
                <w:szCs w:val="20"/>
                <w:lang w:val="en-CA"/>
              </w:rPr>
              <w:t>Disbursed</w:t>
            </w:r>
          </w:p>
        </w:tc>
        <w:tc>
          <w:tcPr>
            <w:tcW w:w="1260" w:type="dxa"/>
            <w:tcBorders>
              <w:top w:val="nil"/>
              <w:left w:val="nil"/>
              <w:bottom w:val="single" w:sz="4" w:space="0" w:color="auto"/>
              <w:right w:val="single" w:sz="4" w:space="0" w:color="auto"/>
            </w:tcBorders>
            <w:shd w:val="clear" w:color="auto" w:fill="auto"/>
            <w:noWrap/>
            <w:vAlign w:val="center"/>
            <w:hideMark/>
          </w:tcPr>
          <w:p w:rsidR="00CF5C9C" w:rsidRPr="008321D1" w:rsidRDefault="00CF5C9C" w:rsidP="00072567">
            <w:pPr>
              <w:keepNext/>
              <w:jc w:val="center"/>
              <w:rPr>
                <w:b/>
                <w:bCs/>
                <w:sz w:val="20"/>
                <w:szCs w:val="20"/>
                <w:lang w:val="en-CA"/>
              </w:rPr>
            </w:pPr>
            <w:r w:rsidRPr="008321D1">
              <w:rPr>
                <w:b/>
                <w:bCs/>
                <w:sz w:val="20"/>
                <w:szCs w:val="20"/>
                <w:lang w:val="en-CA"/>
              </w:rPr>
              <w:t>Balance</w:t>
            </w:r>
          </w:p>
        </w:tc>
        <w:tc>
          <w:tcPr>
            <w:tcW w:w="1260" w:type="dxa"/>
            <w:tcBorders>
              <w:top w:val="nil"/>
              <w:left w:val="nil"/>
              <w:bottom w:val="single" w:sz="4" w:space="0" w:color="auto"/>
              <w:right w:val="single" w:sz="4" w:space="0" w:color="auto"/>
            </w:tcBorders>
            <w:shd w:val="clear" w:color="auto" w:fill="auto"/>
            <w:noWrap/>
            <w:vAlign w:val="center"/>
            <w:hideMark/>
          </w:tcPr>
          <w:p w:rsidR="00CF5C9C" w:rsidRPr="008321D1" w:rsidRDefault="00CF5C9C" w:rsidP="00072567">
            <w:pPr>
              <w:keepNext/>
              <w:jc w:val="center"/>
              <w:rPr>
                <w:b/>
                <w:bCs/>
                <w:sz w:val="20"/>
                <w:szCs w:val="20"/>
                <w:lang w:val="en-CA"/>
              </w:rPr>
            </w:pPr>
            <w:r w:rsidRPr="008321D1">
              <w:rPr>
                <w:b/>
                <w:bCs/>
                <w:sz w:val="20"/>
                <w:szCs w:val="20"/>
                <w:lang w:val="en-CA"/>
              </w:rPr>
              <w:t>% disbursed</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1991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15</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15</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1,149,032</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1,149,032</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1992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67</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67</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8,619,002</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8,619,002</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1993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57</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57</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13,204,712</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13,204,712</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1994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148</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148</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49,481,581</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49,481,581</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1995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117</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117</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29,599,446</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29,599,446</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1996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83</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83</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27,838,805</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27,838,805</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1997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188</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188</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44,056,257</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44,056,257</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1998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172</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172</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31,305,010</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31,305,010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1999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204</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204</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35,896,884</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35,896,884</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2000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149</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149</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31,268,361</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31,268,361</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2001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179</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179</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35,292,271</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35,292,271</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2002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117</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116</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99</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44,316,422</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44,229,501</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86,921</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2003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64</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64</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36,336,530</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36,336,530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2004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69</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69</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24,803,267</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24,802,714</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553</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2005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53</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52</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98</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29,125,658</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28,254,081</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871,577</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97</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2006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62</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62</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15,753,459</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15,753,496</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-37</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2007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54</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54</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12,142,486</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12,142,486</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100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2008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84</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83</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99</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23,494,189</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22,930,362</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563,827</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98</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2009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93</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90</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97</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13,306,372</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13,115,377</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190,995</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99</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2010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43</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42</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98</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19,843,138</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19,636,740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206,398</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99</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2011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63</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57</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90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60,582,103</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58,819,469</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1,762,634</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97</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2012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29</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21</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72</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33,934,953</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29,477,623</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4,457,330</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87</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2013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43</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17</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40</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34,594,128</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21,740,029</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12,854,099</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63</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2014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67</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15</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22</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22,995,687</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13,770,781</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9,224,906</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60</w:t>
            </w:r>
          </w:p>
        </w:tc>
      </w:tr>
      <w:tr w:rsidR="007A3103" w:rsidRPr="008321D1" w:rsidTr="00CF5C9C">
        <w:trPr>
          <w:trHeight w:val="225"/>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sz w:val="20"/>
                <w:szCs w:val="20"/>
                <w:lang w:val="en-CA"/>
              </w:rPr>
            </w:pPr>
            <w:r w:rsidRPr="008321D1">
              <w:rPr>
                <w:sz w:val="20"/>
                <w:szCs w:val="20"/>
                <w:lang w:val="en-CA"/>
              </w:rPr>
              <w:t xml:space="preserve">2015 </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77</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34,196,623</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153,725</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34,042,898</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sz w:val="20"/>
                <w:szCs w:val="20"/>
                <w:lang w:val="en-CA"/>
              </w:rPr>
            </w:pPr>
            <w:r w:rsidRPr="008321D1">
              <w:rPr>
                <w:sz w:val="20"/>
                <w:szCs w:val="20"/>
                <w:lang w:val="en-CA"/>
              </w:rPr>
              <w:t>0</w:t>
            </w:r>
          </w:p>
        </w:tc>
      </w:tr>
      <w:tr w:rsidR="007A3103" w:rsidRPr="008321D1" w:rsidTr="00CF5C9C">
        <w:trPr>
          <w:trHeight w:val="210"/>
        </w:trPr>
        <w:tc>
          <w:tcPr>
            <w:tcW w:w="815" w:type="dxa"/>
            <w:tcBorders>
              <w:top w:val="nil"/>
              <w:left w:val="single" w:sz="4" w:space="0" w:color="auto"/>
              <w:bottom w:val="single" w:sz="4" w:space="0" w:color="auto"/>
              <w:right w:val="single" w:sz="4" w:space="0" w:color="auto"/>
            </w:tcBorders>
            <w:shd w:val="clear" w:color="auto" w:fill="auto"/>
            <w:noWrap/>
            <w:hideMark/>
          </w:tcPr>
          <w:p w:rsidR="00CF5C9C" w:rsidRPr="008321D1" w:rsidRDefault="00CF5C9C" w:rsidP="00072567">
            <w:pPr>
              <w:jc w:val="left"/>
              <w:rPr>
                <w:b/>
                <w:bCs/>
                <w:sz w:val="20"/>
                <w:szCs w:val="20"/>
                <w:lang w:val="en-CA"/>
              </w:rPr>
            </w:pPr>
            <w:r w:rsidRPr="008321D1">
              <w:rPr>
                <w:b/>
                <w:bCs/>
                <w:sz w:val="20"/>
                <w:szCs w:val="20"/>
                <w:lang w:val="en-CA"/>
              </w:rPr>
              <w:t>Total</w:t>
            </w:r>
          </w:p>
        </w:tc>
        <w:tc>
          <w:tcPr>
            <w:tcW w:w="1072"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b/>
                <w:bCs/>
                <w:sz w:val="20"/>
                <w:szCs w:val="20"/>
                <w:lang w:val="en-CA"/>
              </w:rPr>
            </w:pPr>
            <w:r w:rsidRPr="008321D1">
              <w:rPr>
                <w:b/>
                <w:bCs/>
                <w:sz w:val="20"/>
                <w:szCs w:val="20"/>
                <w:lang w:val="en-CA"/>
              </w:rPr>
              <w:t>2,297</w:t>
            </w:r>
          </w:p>
        </w:tc>
        <w:tc>
          <w:tcPr>
            <w:tcW w:w="11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b/>
                <w:bCs/>
                <w:sz w:val="20"/>
                <w:szCs w:val="20"/>
                <w:lang w:val="en-CA"/>
              </w:rPr>
            </w:pPr>
            <w:r w:rsidRPr="008321D1">
              <w:rPr>
                <w:b/>
                <w:bCs/>
                <w:sz w:val="20"/>
                <w:szCs w:val="20"/>
                <w:lang w:val="en-CA"/>
              </w:rPr>
              <w:t>2,122</w:t>
            </w:r>
          </w:p>
        </w:tc>
        <w:tc>
          <w:tcPr>
            <w:tcW w:w="1228"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b/>
                <w:bCs/>
                <w:sz w:val="20"/>
                <w:szCs w:val="20"/>
                <w:lang w:val="en-CA"/>
              </w:rPr>
            </w:pPr>
            <w:r w:rsidRPr="008321D1">
              <w:rPr>
                <w:b/>
                <w:bCs/>
                <w:sz w:val="20"/>
                <w:szCs w:val="20"/>
                <w:lang w:val="en-CA"/>
              </w:rPr>
              <w:t>92</w:t>
            </w:r>
          </w:p>
        </w:tc>
        <w:tc>
          <w:tcPr>
            <w:tcW w:w="132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b/>
                <w:bCs/>
                <w:sz w:val="20"/>
                <w:szCs w:val="20"/>
                <w:lang w:val="en-CA"/>
              </w:rPr>
            </w:pPr>
            <w:r w:rsidRPr="008321D1">
              <w:rPr>
                <w:b/>
                <w:bCs/>
                <w:sz w:val="20"/>
                <w:szCs w:val="20"/>
                <w:lang w:val="en-CA"/>
              </w:rPr>
              <w:t>713,136,376</w:t>
            </w:r>
          </w:p>
        </w:tc>
        <w:tc>
          <w:tcPr>
            <w:tcW w:w="135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b/>
                <w:bCs/>
                <w:sz w:val="20"/>
                <w:szCs w:val="20"/>
                <w:lang w:val="en-CA"/>
              </w:rPr>
            </w:pPr>
            <w:r w:rsidRPr="008321D1">
              <w:rPr>
                <w:b/>
                <w:bCs/>
                <w:sz w:val="20"/>
                <w:szCs w:val="20"/>
                <w:lang w:val="en-CA"/>
              </w:rPr>
              <w:t>648,874,275</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b/>
                <w:bCs/>
                <w:sz w:val="20"/>
                <w:szCs w:val="20"/>
                <w:lang w:val="en-CA"/>
              </w:rPr>
            </w:pPr>
            <w:r w:rsidRPr="008321D1">
              <w:rPr>
                <w:b/>
                <w:bCs/>
                <w:sz w:val="20"/>
                <w:szCs w:val="20"/>
                <w:lang w:val="en-CA"/>
              </w:rPr>
              <w:t>64,262,101</w:t>
            </w:r>
          </w:p>
        </w:tc>
        <w:tc>
          <w:tcPr>
            <w:tcW w:w="1260" w:type="dxa"/>
            <w:tcBorders>
              <w:top w:val="nil"/>
              <w:left w:val="nil"/>
              <w:bottom w:val="single" w:sz="4" w:space="0" w:color="auto"/>
              <w:right w:val="single" w:sz="4" w:space="0" w:color="auto"/>
            </w:tcBorders>
            <w:shd w:val="clear" w:color="auto" w:fill="auto"/>
            <w:noWrap/>
            <w:vAlign w:val="bottom"/>
            <w:hideMark/>
          </w:tcPr>
          <w:p w:rsidR="00CF5C9C" w:rsidRPr="008321D1" w:rsidRDefault="00CF5C9C" w:rsidP="00072567">
            <w:pPr>
              <w:jc w:val="right"/>
              <w:rPr>
                <w:b/>
                <w:bCs/>
                <w:sz w:val="20"/>
                <w:szCs w:val="20"/>
                <w:lang w:val="en-CA"/>
              </w:rPr>
            </w:pPr>
            <w:r w:rsidRPr="008321D1">
              <w:rPr>
                <w:b/>
                <w:bCs/>
                <w:sz w:val="20"/>
                <w:szCs w:val="20"/>
                <w:lang w:val="en-CA"/>
              </w:rPr>
              <w:t>91</w:t>
            </w:r>
          </w:p>
        </w:tc>
      </w:tr>
    </w:tbl>
    <w:p w:rsidR="00263137" w:rsidRPr="008321D1" w:rsidRDefault="00263137" w:rsidP="00072567">
      <w:pPr>
        <w:rPr>
          <w:sz w:val="18"/>
          <w:szCs w:val="18"/>
          <w:lang w:val="en-CA"/>
        </w:rPr>
      </w:pPr>
      <w:r w:rsidRPr="008321D1">
        <w:rPr>
          <w:sz w:val="18"/>
          <w:szCs w:val="18"/>
          <w:lang w:val="en-CA"/>
        </w:rPr>
        <w:t>*Excludes closed and transferred projects.</w:t>
      </w:r>
    </w:p>
    <w:p w:rsidR="00263137" w:rsidRPr="008321D1" w:rsidRDefault="00263137" w:rsidP="00072567">
      <w:pPr>
        <w:pStyle w:val="Header"/>
        <w:rPr>
          <w:lang w:val="en-CA"/>
        </w:rPr>
      </w:pPr>
    </w:p>
    <w:p w:rsidR="00263137" w:rsidRPr="008321D1" w:rsidRDefault="00263137" w:rsidP="00072567">
      <w:pPr>
        <w:pStyle w:val="a--"/>
        <w:suppressAutoHyphens w:val="0"/>
        <w:rPr>
          <w:sz w:val="22"/>
          <w:szCs w:val="22"/>
          <w:lang w:val="en-CA"/>
        </w:rPr>
      </w:pPr>
      <w:r w:rsidRPr="008321D1">
        <w:rPr>
          <w:sz w:val="22"/>
          <w:szCs w:val="22"/>
          <w:lang w:val="en-CA"/>
        </w:rPr>
        <w:t>Part II:</w:t>
      </w:r>
      <w:r w:rsidRPr="008321D1">
        <w:rPr>
          <w:sz w:val="22"/>
          <w:szCs w:val="22"/>
          <w:lang w:val="en-CA"/>
        </w:rPr>
        <w:tab/>
        <w:t xml:space="preserve"> Project</w:t>
      </w:r>
      <w:r w:rsidR="00853577" w:rsidRPr="008321D1">
        <w:rPr>
          <w:sz w:val="22"/>
          <w:szCs w:val="22"/>
          <w:lang w:val="en-CA"/>
        </w:rPr>
        <w:t xml:space="preserve"> implementation progress in 2015</w:t>
      </w:r>
    </w:p>
    <w:p w:rsidR="00263137" w:rsidRPr="008321D1" w:rsidRDefault="00263137" w:rsidP="00072567">
      <w:pPr>
        <w:pStyle w:val="a--"/>
        <w:suppressAutoHyphens w:val="0"/>
        <w:rPr>
          <w:sz w:val="22"/>
          <w:szCs w:val="22"/>
          <w:lang w:val="en-CA"/>
        </w:rPr>
      </w:pPr>
    </w:p>
    <w:p w:rsidR="00B31553" w:rsidRPr="008321D1" w:rsidRDefault="00263137" w:rsidP="00072567">
      <w:pPr>
        <w:pStyle w:val="Heading1"/>
        <w:rPr>
          <w:lang w:val="en-CA"/>
        </w:rPr>
      </w:pPr>
      <w:r w:rsidRPr="008321D1">
        <w:rPr>
          <w:lang w:val="en-CA"/>
        </w:rPr>
        <w:t>The Secretariat reviewed the status of implementation on a country-by-country basis taking into account implementation delays that have occurred with respect to planned completion dates that had been reported in 201</w:t>
      </w:r>
      <w:r w:rsidR="00DF3BFC" w:rsidRPr="008321D1">
        <w:rPr>
          <w:lang w:val="en-CA"/>
        </w:rPr>
        <w:t>5</w:t>
      </w:r>
      <w:r w:rsidRPr="008321D1">
        <w:rPr>
          <w:lang w:val="en-CA"/>
        </w:rPr>
        <w:t>, the potential impact of these delays on phase-out and the rate of planned disbursements.</w:t>
      </w:r>
    </w:p>
    <w:p w:rsidR="00B31553" w:rsidRPr="008321D1" w:rsidRDefault="00B31553" w:rsidP="00072567">
      <w:pPr>
        <w:keepNext/>
        <w:keepLines/>
        <w:rPr>
          <w:b/>
          <w:i/>
          <w:lang w:val="en-CA"/>
        </w:rPr>
      </w:pPr>
      <w:r w:rsidRPr="008321D1">
        <w:rPr>
          <w:i/>
          <w:lang w:val="en-CA"/>
        </w:rPr>
        <w:t>Implementation delays</w:t>
      </w:r>
    </w:p>
    <w:p w:rsidR="00B31553" w:rsidRPr="008321D1" w:rsidRDefault="00B31553" w:rsidP="00072567">
      <w:pPr>
        <w:rPr>
          <w:b/>
          <w:bCs/>
          <w:lang w:val="en-CA"/>
        </w:rPr>
      </w:pPr>
    </w:p>
    <w:p w:rsidR="00B31553" w:rsidRPr="008321D1" w:rsidRDefault="00B31553" w:rsidP="00072567">
      <w:pPr>
        <w:pStyle w:val="Heading1"/>
        <w:rPr>
          <w:lang w:val="en-CA"/>
        </w:rPr>
      </w:pPr>
      <w:r w:rsidRPr="008321D1">
        <w:rPr>
          <w:lang w:val="en-CA"/>
        </w:rPr>
        <w:t>The review of the 2015 progress report revealed that, of the 50 ongoing projects excluding IS and project preparation, 22 have extended planned date of completion since the 2014 progress report. The Executive Committee may wish to note that UNDP will report to the 78</w:t>
      </w:r>
      <w:r w:rsidRPr="008321D1">
        <w:rPr>
          <w:vertAlign w:val="superscript"/>
          <w:lang w:val="en-CA"/>
        </w:rPr>
        <w:t>th</w:t>
      </w:r>
      <w:r w:rsidRPr="008321D1">
        <w:rPr>
          <w:lang w:val="en-CA"/>
        </w:rPr>
        <w:t xml:space="preserve"> meeting on </w:t>
      </w:r>
      <w:r w:rsidR="000E1631" w:rsidRPr="008321D1">
        <w:rPr>
          <w:lang w:val="en-CA"/>
        </w:rPr>
        <w:t>one project</w:t>
      </w:r>
      <w:r w:rsidRPr="008321D1">
        <w:rPr>
          <w:lang w:val="en-CA"/>
        </w:rPr>
        <w:t xml:space="preserve"> with implementation delays</w:t>
      </w:r>
      <w:r w:rsidRPr="008321D1">
        <w:rPr>
          <w:rStyle w:val="FootnoteReference"/>
          <w:lang w:val="en-CA"/>
        </w:rPr>
        <w:footnoteReference w:id="4"/>
      </w:r>
      <w:r w:rsidRPr="008321D1">
        <w:rPr>
          <w:lang w:val="en-CA"/>
        </w:rPr>
        <w:t xml:space="preserve"> (which was also classified as having implementation delays in 2014), which can be found in Appendix I of Annex III to the consolidated progress report (UNEP/OzL.Pro/</w:t>
      </w:r>
      <w:proofErr w:type="spellStart"/>
      <w:r w:rsidRPr="008321D1">
        <w:rPr>
          <w:lang w:val="en-CA"/>
        </w:rPr>
        <w:t>ExCom</w:t>
      </w:r>
      <w:proofErr w:type="spellEnd"/>
      <w:r w:rsidRPr="008321D1">
        <w:rPr>
          <w:lang w:val="en-CA"/>
        </w:rPr>
        <w:t>/77/11).</w:t>
      </w:r>
    </w:p>
    <w:p w:rsidR="00263137" w:rsidRPr="008321D1" w:rsidRDefault="00263137" w:rsidP="00072567">
      <w:pPr>
        <w:pStyle w:val="Heading1"/>
        <w:rPr>
          <w:lang w:val="en-CA"/>
        </w:rPr>
      </w:pPr>
      <w:r w:rsidRPr="008321D1">
        <w:rPr>
          <w:snapToGrid w:val="0"/>
          <w:lang w:val="en-CA"/>
        </w:rPr>
        <w:t xml:space="preserve">UNDP completed </w:t>
      </w:r>
      <w:r w:rsidR="00DF3BFC" w:rsidRPr="008321D1">
        <w:rPr>
          <w:snapToGrid w:val="0"/>
          <w:lang w:val="en-CA"/>
        </w:rPr>
        <w:t>75</w:t>
      </w:r>
      <w:r w:rsidRPr="008321D1">
        <w:rPr>
          <w:snapToGrid w:val="0"/>
          <w:lang w:val="en-CA"/>
        </w:rPr>
        <w:t> per cent of the projects it had planned to complete in 201</w:t>
      </w:r>
      <w:r w:rsidR="00DF3BFC" w:rsidRPr="008321D1">
        <w:rPr>
          <w:snapToGrid w:val="0"/>
          <w:lang w:val="en-CA"/>
        </w:rPr>
        <w:t>5</w:t>
      </w:r>
      <w:r w:rsidRPr="008321D1">
        <w:rPr>
          <w:snapToGrid w:val="0"/>
          <w:lang w:val="en-CA"/>
        </w:rPr>
        <w:t xml:space="preserve"> and met </w:t>
      </w:r>
      <w:r w:rsidR="00DF3BFC" w:rsidRPr="008321D1">
        <w:rPr>
          <w:snapToGrid w:val="0"/>
          <w:lang w:val="en-CA"/>
        </w:rPr>
        <w:t>55</w:t>
      </w:r>
      <w:r w:rsidRPr="008321D1">
        <w:rPr>
          <w:snapToGrid w:val="0"/>
          <w:lang w:val="en-CA"/>
        </w:rPr>
        <w:t xml:space="preserve"> per cent of the phase-out target planned. UNDP had planned disbursements in </w:t>
      </w:r>
      <w:r w:rsidR="00DF3BFC" w:rsidRPr="008321D1">
        <w:rPr>
          <w:snapToGrid w:val="0"/>
          <w:lang w:val="en-CA"/>
        </w:rPr>
        <w:t>46</w:t>
      </w:r>
      <w:r w:rsidRPr="008321D1">
        <w:rPr>
          <w:snapToGrid w:val="0"/>
          <w:lang w:val="en-CA"/>
        </w:rPr>
        <w:t xml:space="preserve"> countries or regions, and achieved an overall rate of disbursement of 1</w:t>
      </w:r>
      <w:r w:rsidR="00DF3BFC" w:rsidRPr="008321D1">
        <w:rPr>
          <w:snapToGrid w:val="0"/>
          <w:lang w:val="en-CA"/>
        </w:rPr>
        <w:t>19</w:t>
      </w:r>
      <w:r w:rsidRPr="008321D1">
        <w:rPr>
          <w:snapToGrid w:val="0"/>
          <w:lang w:val="en-CA"/>
        </w:rPr>
        <w:t> per cent in 201</w:t>
      </w:r>
      <w:r w:rsidR="00DF3BFC" w:rsidRPr="008321D1">
        <w:rPr>
          <w:snapToGrid w:val="0"/>
          <w:lang w:val="en-CA"/>
        </w:rPr>
        <w:t>5</w:t>
      </w:r>
      <w:r w:rsidRPr="008321D1">
        <w:rPr>
          <w:snapToGrid w:val="0"/>
          <w:lang w:val="en-CA"/>
        </w:rPr>
        <w:t>.</w:t>
      </w:r>
    </w:p>
    <w:p w:rsidR="00263137" w:rsidRPr="008321D1" w:rsidRDefault="00263137" w:rsidP="00072567">
      <w:pPr>
        <w:pStyle w:val="Heading1"/>
        <w:rPr>
          <w:lang w:val="en-CA"/>
        </w:rPr>
      </w:pPr>
      <w:r w:rsidRPr="008321D1">
        <w:rPr>
          <w:lang w:val="en-CA"/>
        </w:rPr>
        <w:lastRenderedPageBreak/>
        <w:t>This part of the progress report summarises progress and financial information</w:t>
      </w:r>
      <w:r w:rsidR="00B31553" w:rsidRPr="008321D1">
        <w:rPr>
          <w:lang w:val="en-CA"/>
        </w:rPr>
        <w:t xml:space="preserve">, highlights implementation delays or impediments </w:t>
      </w:r>
      <w:r w:rsidRPr="008321D1">
        <w:rPr>
          <w:lang w:val="en-CA"/>
        </w:rPr>
        <w:t>on the following ongoing projects</w:t>
      </w:r>
      <w:r w:rsidRPr="008321D1">
        <w:rPr>
          <w:rStyle w:val="FootnoteReference"/>
          <w:lang w:val="en-CA"/>
        </w:rPr>
        <w:footnoteReference w:id="5"/>
      </w:r>
      <w:r w:rsidRPr="008321D1">
        <w:rPr>
          <w:lang w:val="en-CA"/>
        </w:rPr>
        <w:t>:</w:t>
      </w:r>
    </w:p>
    <w:p w:rsidR="00263137" w:rsidRPr="008321D1" w:rsidRDefault="00263137" w:rsidP="00072567">
      <w:pPr>
        <w:pStyle w:val="Heading2"/>
        <w:numPr>
          <w:ilvl w:val="1"/>
          <w:numId w:val="1"/>
        </w:numPr>
        <w:rPr>
          <w:lang w:val="en-CA"/>
        </w:rPr>
      </w:pPr>
      <w:r w:rsidRPr="008321D1">
        <w:rPr>
          <w:lang w:val="en-CA"/>
        </w:rPr>
        <w:t xml:space="preserve">CFC- and CTC-related projects; </w:t>
      </w:r>
    </w:p>
    <w:p w:rsidR="00263137" w:rsidRPr="008321D1" w:rsidRDefault="00263137" w:rsidP="00072567">
      <w:pPr>
        <w:pStyle w:val="Heading2"/>
        <w:numPr>
          <w:ilvl w:val="1"/>
          <w:numId w:val="1"/>
        </w:numPr>
        <w:rPr>
          <w:lang w:val="en-CA"/>
        </w:rPr>
      </w:pPr>
      <w:r w:rsidRPr="008321D1">
        <w:rPr>
          <w:lang w:val="en-CA"/>
        </w:rPr>
        <w:t>Projects related to metered-dose inhalers (MDIs), ODS waste disposal, chillers and refrigerant management plans (RMPs);</w:t>
      </w:r>
    </w:p>
    <w:p w:rsidR="00263137" w:rsidRPr="008321D1" w:rsidRDefault="00263137" w:rsidP="00072567">
      <w:pPr>
        <w:pStyle w:val="Heading2"/>
        <w:numPr>
          <w:ilvl w:val="1"/>
          <w:numId w:val="1"/>
        </w:numPr>
        <w:rPr>
          <w:lang w:val="en-CA"/>
        </w:rPr>
      </w:pPr>
      <w:r w:rsidRPr="008321D1">
        <w:rPr>
          <w:lang w:val="en-CA"/>
        </w:rPr>
        <w:t>Projects related to the phase-out of HCFCs, including project preparation, demonstration projects, HPMPs</w:t>
      </w:r>
      <w:r w:rsidR="006F594D" w:rsidRPr="008321D1">
        <w:rPr>
          <w:lang w:val="en-CA"/>
        </w:rPr>
        <w:t xml:space="preserve"> and ODS alternative surveys</w:t>
      </w:r>
      <w:r w:rsidRPr="008321D1">
        <w:rPr>
          <w:lang w:val="en-CA"/>
        </w:rPr>
        <w:t>;</w:t>
      </w:r>
      <w:r w:rsidR="00B31553" w:rsidRPr="008321D1">
        <w:rPr>
          <w:lang w:val="en-CA"/>
        </w:rPr>
        <w:t xml:space="preserve"> and</w:t>
      </w:r>
    </w:p>
    <w:p w:rsidR="00263137" w:rsidRPr="008321D1" w:rsidRDefault="00B31553" w:rsidP="00072567">
      <w:pPr>
        <w:pStyle w:val="Heading2"/>
        <w:numPr>
          <w:ilvl w:val="1"/>
          <w:numId w:val="1"/>
        </w:numPr>
        <w:rPr>
          <w:lang w:val="en-CA"/>
        </w:rPr>
      </w:pPr>
      <w:r w:rsidRPr="008321D1">
        <w:rPr>
          <w:lang w:val="en-CA"/>
        </w:rPr>
        <w:t>IS projects.</w:t>
      </w:r>
    </w:p>
    <w:p w:rsidR="00263137" w:rsidRPr="008321D1" w:rsidRDefault="00263137" w:rsidP="00072567">
      <w:pPr>
        <w:keepNext/>
        <w:rPr>
          <w:b/>
          <w:bCs/>
          <w:u w:val="single"/>
          <w:lang w:val="en-CA"/>
        </w:rPr>
      </w:pPr>
      <w:r w:rsidRPr="008321D1">
        <w:rPr>
          <w:u w:val="single"/>
          <w:lang w:val="en-CA"/>
        </w:rPr>
        <w:t>CFC- and CTC-related activities</w:t>
      </w:r>
    </w:p>
    <w:p w:rsidR="00263137" w:rsidRPr="008321D1" w:rsidRDefault="00263137" w:rsidP="00072567">
      <w:pPr>
        <w:keepNext/>
        <w:rPr>
          <w:b/>
          <w:bCs/>
          <w:lang w:val="en-CA"/>
        </w:rPr>
      </w:pPr>
    </w:p>
    <w:p w:rsidR="00263137" w:rsidRPr="008321D1" w:rsidRDefault="00263137" w:rsidP="00072567">
      <w:pPr>
        <w:pStyle w:val="Heading1"/>
        <w:rPr>
          <w:lang w:val="en-CA"/>
        </w:rPr>
      </w:pPr>
      <w:r w:rsidRPr="008321D1">
        <w:rPr>
          <w:lang w:val="en-CA"/>
        </w:rPr>
        <w:t>As of 31 December 201</w:t>
      </w:r>
      <w:r w:rsidR="00E83C6B" w:rsidRPr="008321D1">
        <w:rPr>
          <w:lang w:val="en-CA"/>
        </w:rPr>
        <w:t>5</w:t>
      </w:r>
      <w:r w:rsidRPr="008321D1">
        <w:rPr>
          <w:lang w:val="en-CA"/>
        </w:rPr>
        <w:t xml:space="preserve">, </w:t>
      </w:r>
      <w:r w:rsidR="00E83C6B" w:rsidRPr="008321D1">
        <w:rPr>
          <w:lang w:val="en-CA"/>
        </w:rPr>
        <w:t>two</w:t>
      </w:r>
      <w:r w:rsidRPr="008321D1">
        <w:rPr>
          <w:lang w:val="en-CA"/>
        </w:rPr>
        <w:t xml:space="preserve"> MYA</w:t>
      </w:r>
      <w:r w:rsidR="00E83C6B" w:rsidRPr="008321D1">
        <w:rPr>
          <w:lang w:val="en-CA"/>
        </w:rPr>
        <w:t>s in India were ongoing with remaining activities including the</w:t>
      </w:r>
      <w:r w:rsidRPr="008321D1">
        <w:rPr>
          <w:lang w:val="en-CA"/>
        </w:rPr>
        <w:t xml:space="preserve"> </w:t>
      </w:r>
      <w:r w:rsidR="00E83C6B" w:rsidRPr="008321D1">
        <w:rPr>
          <w:lang w:val="en-CA"/>
        </w:rPr>
        <w:t xml:space="preserve">accelerated CFC production phase-out and CTC phase-out plan. </w:t>
      </w:r>
      <w:r w:rsidR="00A34D87" w:rsidRPr="008321D1">
        <w:rPr>
          <w:lang w:val="en-CA"/>
        </w:rPr>
        <w:t>A</w:t>
      </w:r>
      <w:r w:rsidR="00FF6485" w:rsidRPr="008321D1">
        <w:rPr>
          <w:lang w:val="en-CA"/>
        </w:rPr>
        <w:t>s per decision </w:t>
      </w:r>
      <w:r w:rsidR="005753BA" w:rsidRPr="008321D1">
        <w:rPr>
          <w:lang w:val="en-CA"/>
        </w:rPr>
        <w:t>75/19(a)(ii), the</w:t>
      </w:r>
      <w:r w:rsidR="00A34D87" w:rsidRPr="008321D1">
        <w:rPr>
          <w:lang w:val="en-CA"/>
        </w:rPr>
        <w:t>se</w:t>
      </w:r>
      <w:r w:rsidR="005753BA" w:rsidRPr="008321D1">
        <w:rPr>
          <w:lang w:val="en-CA"/>
        </w:rPr>
        <w:t xml:space="preserve"> MYAs shou</w:t>
      </w:r>
      <w:r w:rsidR="00A34D87" w:rsidRPr="008321D1">
        <w:rPr>
          <w:lang w:val="en-CA"/>
        </w:rPr>
        <w:t>ld be completed in December </w:t>
      </w:r>
      <w:r w:rsidR="005753BA" w:rsidRPr="008321D1">
        <w:rPr>
          <w:lang w:val="en-CA"/>
        </w:rPr>
        <w:t>2016 and the funds returned to the Multilateral Fund at the first meeting in 2017</w:t>
      </w:r>
      <w:r w:rsidR="00E83C6B" w:rsidRPr="008321D1">
        <w:rPr>
          <w:lang w:val="en-CA"/>
        </w:rPr>
        <w:t>.</w:t>
      </w:r>
      <w:r w:rsidRPr="008321D1">
        <w:rPr>
          <w:lang w:val="en-CA"/>
        </w:rPr>
        <w:t xml:space="preserve"> </w:t>
      </w:r>
      <w:r w:rsidR="00A34D87" w:rsidRPr="008321D1">
        <w:rPr>
          <w:lang w:val="en-CA"/>
        </w:rPr>
        <w:t xml:space="preserve">However, </w:t>
      </w:r>
      <w:r w:rsidR="000C45B4" w:rsidRPr="008321D1">
        <w:rPr>
          <w:lang w:val="en-CA"/>
        </w:rPr>
        <w:t xml:space="preserve">a revised planned date of completion of </w:t>
      </w:r>
      <w:r w:rsidR="00A34D87" w:rsidRPr="008321D1">
        <w:rPr>
          <w:lang w:val="en-CA"/>
        </w:rPr>
        <w:t>November 2017</w:t>
      </w:r>
      <w:r w:rsidR="000C45B4" w:rsidRPr="008321D1">
        <w:rPr>
          <w:lang w:val="en-CA"/>
        </w:rPr>
        <w:t xml:space="preserve"> </w:t>
      </w:r>
      <w:r w:rsidR="00B95EA2" w:rsidRPr="008321D1">
        <w:rPr>
          <w:lang w:val="en-CA"/>
        </w:rPr>
        <w:t>is being requested by UNDP.</w:t>
      </w:r>
      <w:r w:rsidR="000C45B4" w:rsidRPr="008321D1">
        <w:rPr>
          <w:lang w:val="en-CA"/>
        </w:rPr>
        <w:t xml:space="preserve"> Upon receipt of Government clearance, remaining funding will be released and project will be closed. </w:t>
      </w:r>
    </w:p>
    <w:p w:rsidR="00263137" w:rsidRPr="008321D1" w:rsidRDefault="00263137" w:rsidP="00072567">
      <w:pPr>
        <w:pStyle w:val="0Heading0"/>
        <w:rPr>
          <w:b/>
          <w:u w:val="single"/>
          <w:lang w:val="en-CA"/>
        </w:rPr>
      </w:pPr>
      <w:r w:rsidRPr="008321D1">
        <w:rPr>
          <w:u w:val="single"/>
          <w:lang w:val="en-CA"/>
        </w:rPr>
        <w:t>MDIs, ODS waste disposal, chillers and RMPs</w:t>
      </w:r>
    </w:p>
    <w:p w:rsidR="00263137" w:rsidRPr="008321D1" w:rsidRDefault="00263137" w:rsidP="00072567">
      <w:pPr>
        <w:pStyle w:val="0Heading0"/>
        <w:rPr>
          <w:lang w:val="en-CA"/>
        </w:rPr>
      </w:pPr>
    </w:p>
    <w:p w:rsidR="00263137" w:rsidRPr="008321D1" w:rsidRDefault="00263137" w:rsidP="00072567">
      <w:pPr>
        <w:pStyle w:val="0Heading0"/>
        <w:rPr>
          <w:i/>
          <w:lang w:val="en-CA"/>
        </w:rPr>
      </w:pPr>
      <w:r w:rsidRPr="008321D1">
        <w:rPr>
          <w:i/>
          <w:lang w:val="en-CA"/>
        </w:rPr>
        <w:t>MDI projects</w:t>
      </w:r>
    </w:p>
    <w:p w:rsidR="00263137" w:rsidRPr="008321D1" w:rsidRDefault="00263137" w:rsidP="00072567">
      <w:pPr>
        <w:pStyle w:val="0Heading0"/>
        <w:rPr>
          <w:rFonts w:ascii="Times New Roman Bold" w:hAnsi="Times New Roman Bold" w:cs="Times New Roman Bold"/>
          <w:caps/>
          <w:lang w:val="en-CA"/>
        </w:rPr>
      </w:pPr>
    </w:p>
    <w:p w:rsidR="00E914C5" w:rsidRPr="008321D1" w:rsidRDefault="00263137" w:rsidP="00072567">
      <w:pPr>
        <w:pStyle w:val="Heading1"/>
        <w:rPr>
          <w:lang w:val="en-CA"/>
        </w:rPr>
      </w:pPr>
      <w:r w:rsidRPr="008321D1">
        <w:rPr>
          <w:lang w:val="en-CA"/>
        </w:rPr>
        <w:t>The Executive Committee has approved six MDI investment projects amounting to US $18.</w:t>
      </w:r>
      <w:r w:rsidR="00EE20D4" w:rsidRPr="008321D1">
        <w:rPr>
          <w:lang w:val="en-CA"/>
        </w:rPr>
        <w:t>09</w:t>
      </w:r>
      <w:r w:rsidRPr="008321D1">
        <w:rPr>
          <w:lang w:val="en-CA"/>
        </w:rPr>
        <w:t xml:space="preserve"> million. </w:t>
      </w:r>
      <w:r w:rsidR="00412062" w:rsidRPr="008321D1">
        <w:rPr>
          <w:lang w:val="en-CA"/>
        </w:rPr>
        <w:t xml:space="preserve">Only one project </w:t>
      </w:r>
      <w:r w:rsidR="00EE20D4" w:rsidRPr="008321D1">
        <w:rPr>
          <w:lang w:val="en-CA"/>
        </w:rPr>
        <w:t xml:space="preserve">for </w:t>
      </w:r>
      <w:r w:rsidR="00412062" w:rsidRPr="008321D1">
        <w:rPr>
          <w:lang w:val="en-CA"/>
        </w:rPr>
        <w:t xml:space="preserve">the </w:t>
      </w:r>
      <w:r w:rsidR="00EE20D4" w:rsidRPr="008321D1">
        <w:rPr>
          <w:lang w:val="en-CA"/>
        </w:rPr>
        <w:t xml:space="preserve">phase-out of CFCs in the manufacture of MDIs in Pakistan (PAK/ARS/56/INV/71) </w:t>
      </w:r>
      <w:r w:rsidR="00581166" w:rsidRPr="008321D1">
        <w:rPr>
          <w:lang w:val="en-CA"/>
        </w:rPr>
        <w:t xml:space="preserve">is still under implementation, </w:t>
      </w:r>
      <w:r w:rsidR="00EE20D4" w:rsidRPr="008321D1">
        <w:rPr>
          <w:lang w:val="en-CA"/>
        </w:rPr>
        <w:t xml:space="preserve">where </w:t>
      </w:r>
      <w:r w:rsidR="00E914C5" w:rsidRPr="008321D1">
        <w:rPr>
          <w:lang w:val="en-CA"/>
        </w:rPr>
        <w:t>consultations were held with the industry for completing regulator</w:t>
      </w:r>
      <w:r w:rsidR="00025089" w:rsidRPr="008321D1">
        <w:rPr>
          <w:lang w:val="en-CA"/>
        </w:rPr>
        <w:t>y clearance of product by Drug Regulatory A</w:t>
      </w:r>
      <w:r w:rsidR="00E914C5" w:rsidRPr="008321D1">
        <w:rPr>
          <w:lang w:val="en-CA"/>
        </w:rPr>
        <w:t>uthority. The final verification of the activities will be completed by December 2016.</w:t>
      </w:r>
    </w:p>
    <w:p w:rsidR="008C7AEC" w:rsidRPr="008321D1" w:rsidRDefault="008C7AEC" w:rsidP="00072567">
      <w:pPr>
        <w:pStyle w:val="Heading1"/>
        <w:rPr>
          <w:lang w:val="en-CA"/>
        </w:rPr>
      </w:pPr>
      <w:r w:rsidRPr="008321D1">
        <w:rPr>
          <w:lang w:val="en-CA"/>
        </w:rPr>
        <w:t>The Executive Committee may wish to request UNDP to provide a status report to the 78</w:t>
      </w:r>
      <w:r w:rsidRPr="008321D1">
        <w:rPr>
          <w:vertAlign w:val="superscript"/>
          <w:lang w:val="en-CA"/>
        </w:rPr>
        <w:t>th</w:t>
      </w:r>
      <w:r w:rsidR="00B95EA2" w:rsidRPr="008321D1">
        <w:rPr>
          <w:lang w:val="en-CA"/>
        </w:rPr>
        <w:t> </w:t>
      </w:r>
      <w:r w:rsidRPr="008321D1">
        <w:rPr>
          <w:lang w:val="en-CA"/>
        </w:rPr>
        <w:t>meeting to moni</w:t>
      </w:r>
      <w:bookmarkStart w:id="0" w:name="_GoBack"/>
      <w:bookmarkEnd w:id="0"/>
      <w:r w:rsidRPr="008321D1">
        <w:rPr>
          <w:lang w:val="en-CA"/>
        </w:rPr>
        <w:t>tor the completion of the phase-out of CFCs in the manufacture of MDIs in Pakistan.</w:t>
      </w:r>
    </w:p>
    <w:p w:rsidR="00263137" w:rsidRPr="008321D1" w:rsidRDefault="00263137" w:rsidP="00072567">
      <w:pPr>
        <w:pStyle w:val="0Heading0"/>
        <w:rPr>
          <w:i/>
          <w:lang w:val="en-CA"/>
        </w:rPr>
      </w:pPr>
      <w:r w:rsidRPr="008321D1">
        <w:rPr>
          <w:i/>
          <w:lang w:val="en-CA"/>
        </w:rPr>
        <w:t xml:space="preserve">ODS waste disposal </w:t>
      </w:r>
    </w:p>
    <w:p w:rsidR="00263137" w:rsidRPr="008321D1" w:rsidRDefault="00263137" w:rsidP="00072567">
      <w:pPr>
        <w:pStyle w:val="0Heading0"/>
        <w:rPr>
          <w:bCs/>
          <w:lang w:val="en-CA"/>
        </w:rPr>
      </w:pPr>
    </w:p>
    <w:p w:rsidR="00263137" w:rsidRPr="008321D1" w:rsidRDefault="00263137" w:rsidP="00072567">
      <w:pPr>
        <w:pStyle w:val="Heading1"/>
        <w:rPr>
          <w:lang w:val="en-CA"/>
        </w:rPr>
      </w:pPr>
      <w:r w:rsidRPr="008321D1">
        <w:rPr>
          <w:lang w:val="en-CA"/>
        </w:rPr>
        <w:t>The Executive Committee has approved 11 ODS disposal projects including six project preparation activities and five demonstration projects in six countries</w:t>
      </w:r>
      <w:r w:rsidRPr="008321D1">
        <w:rPr>
          <w:rStyle w:val="FootnoteReference"/>
          <w:lang w:val="en-CA"/>
        </w:rPr>
        <w:footnoteReference w:id="6"/>
      </w:r>
      <w:r w:rsidRPr="008321D1">
        <w:rPr>
          <w:lang w:val="en-CA"/>
        </w:rPr>
        <w:t xml:space="preserve">. </w:t>
      </w:r>
      <w:r w:rsidR="008873E5" w:rsidRPr="008321D1">
        <w:rPr>
          <w:lang w:val="en-CA"/>
        </w:rPr>
        <w:t>The s</w:t>
      </w:r>
      <w:r w:rsidRPr="008321D1">
        <w:rPr>
          <w:lang w:val="en-CA"/>
        </w:rPr>
        <w:t>ix project preparation activities</w:t>
      </w:r>
      <w:r w:rsidR="003349EE" w:rsidRPr="008321D1">
        <w:rPr>
          <w:lang w:val="en-CA"/>
        </w:rPr>
        <w:t xml:space="preserve"> and two </w:t>
      </w:r>
      <w:r w:rsidR="00412062" w:rsidRPr="008321D1">
        <w:rPr>
          <w:lang w:val="en-CA"/>
        </w:rPr>
        <w:t xml:space="preserve">of the </w:t>
      </w:r>
      <w:r w:rsidR="003349EE" w:rsidRPr="008321D1">
        <w:rPr>
          <w:lang w:val="en-CA"/>
        </w:rPr>
        <w:t>demonstration projects</w:t>
      </w:r>
      <w:r w:rsidR="00F110DB" w:rsidRPr="008321D1">
        <w:rPr>
          <w:lang w:val="en-CA"/>
        </w:rPr>
        <w:t xml:space="preserve"> have been completed.</w:t>
      </w:r>
      <w:r w:rsidRPr="008321D1">
        <w:rPr>
          <w:lang w:val="en-CA"/>
        </w:rPr>
        <w:t xml:space="preserve"> </w:t>
      </w:r>
      <w:r w:rsidR="00F110DB" w:rsidRPr="008321D1">
        <w:rPr>
          <w:lang w:val="en-CA"/>
        </w:rPr>
        <w:t>The</w:t>
      </w:r>
      <w:r w:rsidRPr="008321D1">
        <w:rPr>
          <w:lang w:val="en-CA"/>
        </w:rPr>
        <w:t xml:space="preserve"> ongoing ODS disposal activities </w:t>
      </w:r>
      <w:r w:rsidR="006D4BDC" w:rsidRPr="008321D1">
        <w:rPr>
          <w:lang w:val="en-CA"/>
        </w:rPr>
        <w:t>are progressing</w:t>
      </w:r>
      <w:r w:rsidR="00F110DB" w:rsidRPr="008321D1">
        <w:rPr>
          <w:lang w:val="en-CA"/>
        </w:rPr>
        <w:t>:</w:t>
      </w:r>
      <w:r w:rsidR="006D4BDC" w:rsidRPr="008321D1">
        <w:rPr>
          <w:lang w:val="en-CA"/>
        </w:rPr>
        <w:t xml:space="preserve"> </w:t>
      </w:r>
      <w:r w:rsidR="00F110DB" w:rsidRPr="008321D1">
        <w:rPr>
          <w:lang w:val="en-CA"/>
        </w:rPr>
        <w:t>t</w:t>
      </w:r>
      <w:r w:rsidR="006D4BDC" w:rsidRPr="008321D1">
        <w:rPr>
          <w:lang w:val="en-CA"/>
        </w:rPr>
        <w:t xml:space="preserve">he </w:t>
      </w:r>
      <w:r w:rsidR="00F110DB" w:rsidRPr="008321D1">
        <w:rPr>
          <w:lang w:val="en-CA"/>
        </w:rPr>
        <w:t>planned date of completion is January 2018 for</w:t>
      </w:r>
      <w:r w:rsidR="006D4BDC" w:rsidRPr="008321D1">
        <w:rPr>
          <w:lang w:val="en-CA"/>
        </w:rPr>
        <w:t xml:space="preserve"> Brazil (BRA/DES/72/DEM/305), </w:t>
      </w:r>
      <w:r w:rsidR="00F110DB" w:rsidRPr="008321D1">
        <w:rPr>
          <w:lang w:val="en-CA"/>
        </w:rPr>
        <w:t xml:space="preserve">April 2017 for </w:t>
      </w:r>
      <w:r w:rsidR="006D4BDC" w:rsidRPr="008321D1">
        <w:rPr>
          <w:lang w:val="en-CA"/>
        </w:rPr>
        <w:t>Colombia (COL/DES/66/DEM/82)</w:t>
      </w:r>
      <w:r w:rsidR="00F110DB" w:rsidRPr="008321D1">
        <w:rPr>
          <w:lang w:val="en-CA"/>
        </w:rPr>
        <w:t>,</w:t>
      </w:r>
      <w:r w:rsidR="006D4BDC" w:rsidRPr="008321D1">
        <w:rPr>
          <w:lang w:val="en-CA"/>
        </w:rPr>
        <w:t xml:space="preserve"> and </w:t>
      </w:r>
      <w:r w:rsidR="00F110DB" w:rsidRPr="008321D1">
        <w:rPr>
          <w:lang w:val="en-CA"/>
        </w:rPr>
        <w:t xml:space="preserve">October 2016 for </w:t>
      </w:r>
      <w:r w:rsidR="006D4BDC" w:rsidRPr="008321D1">
        <w:rPr>
          <w:lang w:val="en-CA"/>
        </w:rPr>
        <w:t>Ghana (GHA/DES/63/DEM/33)</w:t>
      </w:r>
      <w:r w:rsidRPr="008321D1">
        <w:rPr>
          <w:lang w:val="en-CA"/>
        </w:rPr>
        <w:t xml:space="preserve">. </w:t>
      </w:r>
      <w:r w:rsidR="00B54F2F" w:rsidRPr="008321D1">
        <w:rPr>
          <w:lang w:val="en-CA"/>
        </w:rPr>
        <w:t xml:space="preserve">The issue of ongoing disposal </w:t>
      </w:r>
      <w:r w:rsidR="00A723DE" w:rsidRPr="008321D1">
        <w:rPr>
          <w:lang w:val="en-CA"/>
        </w:rPr>
        <w:t>activities is addressed in the c</w:t>
      </w:r>
      <w:r w:rsidR="00B54F2F" w:rsidRPr="008321D1">
        <w:rPr>
          <w:lang w:val="en-CA"/>
        </w:rPr>
        <w:t xml:space="preserve">onsolidated </w:t>
      </w:r>
      <w:r w:rsidR="00A723DE" w:rsidRPr="008321D1">
        <w:rPr>
          <w:lang w:val="en-CA"/>
        </w:rPr>
        <w:t>p</w:t>
      </w:r>
      <w:r w:rsidR="00B54F2F" w:rsidRPr="008321D1">
        <w:rPr>
          <w:lang w:val="en-CA"/>
        </w:rPr>
        <w:t xml:space="preserve">rogress </w:t>
      </w:r>
      <w:r w:rsidR="00A723DE" w:rsidRPr="008321D1">
        <w:rPr>
          <w:lang w:val="en-CA"/>
        </w:rPr>
        <w:t>r</w:t>
      </w:r>
      <w:r w:rsidR="00B54F2F" w:rsidRPr="008321D1">
        <w:rPr>
          <w:lang w:val="en-CA"/>
        </w:rPr>
        <w:t>eport.</w:t>
      </w:r>
    </w:p>
    <w:p w:rsidR="00263137" w:rsidRPr="008321D1" w:rsidRDefault="00263137" w:rsidP="00072567">
      <w:pPr>
        <w:pStyle w:val="Heading1"/>
        <w:numPr>
          <w:ilvl w:val="0"/>
          <w:numId w:val="0"/>
        </w:numPr>
        <w:spacing w:after="0"/>
        <w:rPr>
          <w:bCs/>
          <w:i/>
          <w:lang w:val="en-CA"/>
        </w:rPr>
      </w:pPr>
      <w:r w:rsidRPr="008321D1">
        <w:rPr>
          <w:bCs/>
          <w:i/>
          <w:lang w:val="en-CA"/>
        </w:rPr>
        <w:lastRenderedPageBreak/>
        <w:t>Chiller projects</w:t>
      </w:r>
    </w:p>
    <w:p w:rsidR="00263137" w:rsidRPr="008321D1" w:rsidRDefault="00263137" w:rsidP="00072567">
      <w:pPr>
        <w:rPr>
          <w:lang w:val="en-CA"/>
        </w:rPr>
      </w:pPr>
    </w:p>
    <w:p w:rsidR="00263137" w:rsidRPr="008321D1" w:rsidRDefault="00263137" w:rsidP="00072567">
      <w:pPr>
        <w:pStyle w:val="Heading1"/>
        <w:spacing w:after="0"/>
        <w:rPr>
          <w:lang w:val="en-CA"/>
        </w:rPr>
      </w:pPr>
      <w:r w:rsidRPr="008321D1">
        <w:rPr>
          <w:lang w:val="en-CA"/>
        </w:rPr>
        <w:t>The Executive Committee has approved four chiller demonstration projects amounting to US $2.98 million.</w:t>
      </w:r>
      <w:r w:rsidR="005C5C32" w:rsidRPr="008321D1">
        <w:rPr>
          <w:lang w:val="en-CA"/>
        </w:rPr>
        <w:t xml:space="preserve"> Three</w:t>
      </w:r>
      <w:r w:rsidRPr="008321D1">
        <w:rPr>
          <w:lang w:val="en-CA"/>
        </w:rPr>
        <w:t xml:space="preserve"> projects have been completed</w:t>
      </w:r>
      <w:r w:rsidR="006D4BDC" w:rsidRPr="008321D1">
        <w:rPr>
          <w:lang w:val="en-CA"/>
        </w:rPr>
        <w:t xml:space="preserve">. The progress report </w:t>
      </w:r>
      <w:r w:rsidRPr="008321D1">
        <w:rPr>
          <w:lang w:val="en-CA"/>
        </w:rPr>
        <w:t xml:space="preserve">on the </w:t>
      </w:r>
      <w:r w:rsidR="005C5C32" w:rsidRPr="008321D1">
        <w:rPr>
          <w:lang w:val="en-CA"/>
        </w:rPr>
        <w:t>remaining</w:t>
      </w:r>
      <w:r w:rsidRPr="008321D1">
        <w:rPr>
          <w:lang w:val="en-CA"/>
        </w:rPr>
        <w:t xml:space="preserve"> project</w:t>
      </w:r>
      <w:r w:rsidR="005C5C32" w:rsidRPr="008321D1">
        <w:rPr>
          <w:lang w:val="en-CA"/>
        </w:rPr>
        <w:t xml:space="preserve"> </w:t>
      </w:r>
      <w:r w:rsidR="006D4BDC" w:rsidRPr="008321D1">
        <w:rPr>
          <w:lang w:val="en-CA"/>
        </w:rPr>
        <w:t>in Brazil (BRA/REF/47/DEM/275) indicates that a final inve</w:t>
      </w:r>
      <w:r w:rsidR="001A41AB" w:rsidRPr="008321D1">
        <w:rPr>
          <w:lang w:val="en-CA"/>
        </w:rPr>
        <w:t xml:space="preserve">ntory of chillers was completed, </w:t>
      </w:r>
      <w:r w:rsidR="006D4BDC" w:rsidRPr="008321D1">
        <w:rPr>
          <w:lang w:val="en-CA"/>
        </w:rPr>
        <w:t>several chillers have been replaced</w:t>
      </w:r>
      <w:r w:rsidR="001A41AB" w:rsidRPr="008321D1">
        <w:rPr>
          <w:lang w:val="en-CA"/>
        </w:rPr>
        <w:t>, and</w:t>
      </w:r>
      <w:r w:rsidR="006D4BDC" w:rsidRPr="008321D1">
        <w:rPr>
          <w:lang w:val="en-CA"/>
        </w:rPr>
        <w:t xml:space="preserve"> </w:t>
      </w:r>
      <w:r w:rsidR="001A41AB" w:rsidRPr="008321D1">
        <w:rPr>
          <w:lang w:val="en-CA"/>
        </w:rPr>
        <w:t>the</w:t>
      </w:r>
      <w:r w:rsidR="006D4BDC" w:rsidRPr="008321D1">
        <w:rPr>
          <w:lang w:val="en-CA"/>
        </w:rPr>
        <w:t xml:space="preserve"> remaining chillers to be </w:t>
      </w:r>
      <w:r w:rsidR="001A41AB" w:rsidRPr="008321D1">
        <w:rPr>
          <w:lang w:val="en-CA"/>
        </w:rPr>
        <w:t>replaced</w:t>
      </w:r>
      <w:r w:rsidR="006D4BDC" w:rsidRPr="008321D1">
        <w:rPr>
          <w:lang w:val="en-CA"/>
        </w:rPr>
        <w:t xml:space="preserve"> have been identified. Information about energy savings will be provided in the project completion report. The project is to be completed and funds balance returned by the last meeting in 2017 per decision 71/10(c</w:t>
      </w:r>
      <w:proofErr w:type="gramStart"/>
      <w:r w:rsidR="006D4BDC" w:rsidRPr="008321D1">
        <w:rPr>
          <w:lang w:val="en-CA"/>
        </w:rPr>
        <w:t>)(</w:t>
      </w:r>
      <w:proofErr w:type="spellStart"/>
      <w:proofErr w:type="gramEnd"/>
      <w:r w:rsidR="006D4BDC" w:rsidRPr="008321D1">
        <w:rPr>
          <w:lang w:val="en-CA"/>
        </w:rPr>
        <w:t>i</w:t>
      </w:r>
      <w:proofErr w:type="spellEnd"/>
      <w:r w:rsidR="006D4BDC" w:rsidRPr="008321D1">
        <w:rPr>
          <w:lang w:val="en-CA"/>
        </w:rPr>
        <w:t>)b.</w:t>
      </w:r>
      <w:r w:rsidR="00AE3C21" w:rsidRPr="008321D1">
        <w:rPr>
          <w:lang w:val="en-CA"/>
        </w:rPr>
        <w:t xml:space="preserve"> A specific report is being requested in the consolidated progress report, given the excessive delay in implementation</w:t>
      </w:r>
      <w:r w:rsidR="00B974C1" w:rsidRPr="008321D1">
        <w:rPr>
          <w:lang w:val="en-CA"/>
        </w:rPr>
        <w:t>.</w:t>
      </w:r>
    </w:p>
    <w:p w:rsidR="006B0D0B" w:rsidRPr="008321D1" w:rsidRDefault="006B0D0B" w:rsidP="00072567">
      <w:pPr>
        <w:rPr>
          <w:lang w:val="en-CA"/>
        </w:rPr>
      </w:pPr>
    </w:p>
    <w:p w:rsidR="00263137" w:rsidRPr="008321D1" w:rsidRDefault="00263137" w:rsidP="00072567">
      <w:pPr>
        <w:rPr>
          <w:bCs/>
          <w:i/>
          <w:lang w:val="en-CA"/>
        </w:rPr>
      </w:pPr>
      <w:r w:rsidRPr="008321D1">
        <w:rPr>
          <w:bCs/>
          <w:i/>
          <w:lang w:val="en-CA"/>
        </w:rPr>
        <w:t>RMPs</w:t>
      </w:r>
    </w:p>
    <w:p w:rsidR="00263137" w:rsidRPr="008321D1" w:rsidRDefault="00263137" w:rsidP="00072567">
      <w:pPr>
        <w:rPr>
          <w:bCs/>
          <w:i/>
          <w:lang w:val="en-CA"/>
        </w:rPr>
      </w:pPr>
    </w:p>
    <w:p w:rsidR="00936369" w:rsidRPr="008321D1" w:rsidRDefault="00263137" w:rsidP="00072567">
      <w:pPr>
        <w:pStyle w:val="Heading1"/>
        <w:rPr>
          <w:lang w:val="en-CA"/>
        </w:rPr>
      </w:pPr>
      <w:r w:rsidRPr="008321D1">
        <w:rPr>
          <w:lang w:val="en-CA"/>
        </w:rPr>
        <w:t xml:space="preserve">The Executive Committee has approved 91 RMP projects including 88 technical assistance and three training projects in 47 countries. </w:t>
      </w:r>
      <w:r w:rsidR="00936369" w:rsidRPr="008321D1">
        <w:rPr>
          <w:lang w:val="en-CA"/>
        </w:rPr>
        <w:t>For the</w:t>
      </w:r>
      <w:r w:rsidRPr="008321D1">
        <w:rPr>
          <w:lang w:val="en-CA"/>
        </w:rPr>
        <w:t xml:space="preserve"> technical assistance for an awareness and incentive programme </w:t>
      </w:r>
      <w:r w:rsidR="006B0D0B" w:rsidRPr="008321D1">
        <w:rPr>
          <w:lang w:val="en-CA"/>
        </w:rPr>
        <w:t>in Maldives (MDV/REF/38/TAS/05)</w:t>
      </w:r>
      <w:r w:rsidR="00936369" w:rsidRPr="008321D1">
        <w:rPr>
          <w:lang w:val="en-CA"/>
        </w:rPr>
        <w:t xml:space="preserve"> </w:t>
      </w:r>
      <w:r w:rsidR="00845C0A" w:rsidRPr="008321D1">
        <w:rPr>
          <w:lang w:val="en-CA"/>
        </w:rPr>
        <w:t xml:space="preserve">approved </w:t>
      </w:r>
      <w:r w:rsidR="002D65FA" w:rsidRPr="008321D1">
        <w:rPr>
          <w:lang w:val="en-CA"/>
        </w:rPr>
        <w:t>in November 2002</w:t>
      </w:r>
      <w:r w:rsidR="00936369" w:rsidRPr="008321D1">
        <w:rPr>
          <w:lang w:val="en-CA"/>
        </w:rPr>
        <w:t>,</w:t>
      </w:r>
      <w:r w:rsidR="00B54F2F" w:rsidRPr="008321D1">
        <w:rPr>
          <w:lang w:val="en-CA"/>
        </w:rPr>
        <w:t xml:space="preserve"> </w:t>
      </w:r>
      <w:r w:rsidR="00936369" w:rsidRPr="008321D1">
        <w:rPr>
          <w:lang w:val="en-CA"/>
        </w:rPr>
        <w:t xml:space="preserve">UNDP indicated that </w:t>
      </w:r>
      <w:r w:rsidR="00B54F2F" w:rsidRPr="008321D1">
        <w:rPr>
          <w:lang w:val="en-CA"/>
        </w:rPr>
        <w:t>th</w:t>
      </w:r>
      <w:r w:rsidR="00936369" w:rsidRPr="008321D1">
        <w:rPr>
          <w:lang w:val="en-CA"/>
        </w:rPr>
        <w:t xml:space="preserve">e project was completed in 2015; however, it </w:t>
      </w:r>
      <w:r w:rsidR="00B54F2F" w:rsidRPr="008321D1">
        <w:rPr>
          <w:lang w:val="en-CA"/>
        </w:rPr>
        <w:t>is listed as</w:t>
      </w:r>
      <w:r w:rsidR="001A41AB" w:rsidRPr="008321D1">
        <w:rPr>
          <w:lang w:val="en-CA"/>
        </w:rPr>
        <w:t xml:space="preserve"> ongoing</w:t>
      </w:r>
      <w:r w:rsidR="00845C0A" w:rsidRPr="008321D1">
        <w:rPr>
          <w:lang w:val="en-CA"/>
        </w:rPr>
        <w:t xml:space="preserve"> with 23 per cent only of the funds approved disbursed</w:t>
      </w:r>
      <w:r w:rsidR="00936369" w:rsidRPr="008321D1">
        <w:rPr>
          <w:lang w:val="en-CA"/>
        </w:rPr>
        <w:t>.</w:t>
      </w:r>
    </w:p>
    <w:p w:rsidR="00845C0A" w:rsidRPr="008321D1" w:rsidRDefault="002D65FA" w:rsidP="00072567">
      <w:pPr>
        <w:pStyle w:val="Heading1"/>
        <w:rPr>
          <w:lang w:val="en-CA"/>
        </w:rPr>
      </w:pPr>
      <w:r w:rsidRPr="008321D1">
        <w:rPr>
          <w:lang w:val="en-CA"/>
        </w:rPr>
        <w:t xml:space="preserve">The Executive Committee may wish to consider assigning a completion date </w:t>
      </w:r>
      <w:r w:rsidR="00561213" w:rsidRPr="008321D1">
        <w:rPr>
          <w:lang w:val="en-CA"/>
        </w:rPr>
        <w:t xml:space="preserve">of December 2015 </w:t>
      </w:r>
      <w:r w:rsidRPr="008321D1">
        <w:rPr>
          <w:lang w:val="en-CA"/>
        </w:rPr>
        <w:t>and request that the balance of funds should be returned to the 78</w:t>
      </w:r>
      <w:r w:rsidRPr="008321D1">
        <w:rPr>
          <w:vertAlign w:val="superscript"/>
          <w:lang w:val="en-CA"/>
        </w:rPr>
        <w:t>th</w:t>
      </w:r>
      <w:r w:rsidRPr="008321D1">
        <w:rPr>
          <w:lang w:val="en-CA"/>
        </w:rPr>
        <w:t> meeting</w:t>
      </w:r>
      <w:r w:rsidR="00B54F2F" w:rsidRPr="008321D1">
        <w:rPr>
          <w:lang w:val="en-CA"/>
        </w:rPr>
        <w:t>.</w:t>
      </w:r>
    </w:p>
    <w:p w:rsidR="00263137" w:rsidRPr="008321D1" w:rsidRDefault="00263137" w:rsidP="00072567">
      <w:pPr>
        <w:rPr>
          <w:u w:val="single"/>
          <w:lang w:val="en-CA"/>
        </w:rPr>
      </w:pPr>
      <w:r w:rsidRPr="008321D1">
        <w:rPr>
          <w:u w:val="single"/>
          <w:lang w:val="en-CA"/>
        </w:rPr>
        <w:t>Projects related to the phase-out of HCFCs</w:t>
      </w:r>
    </w:p>
    <w:p w:rsidR="00263137" w:rsidRPr="008321D1" w:rsidRDefault="00263137" w:rsidP="00072567">
      <w:pPr>
        <w:rPr>
          <w:u w:val="single"/>
          <w:lang w:val="en-CA"/>
        </w:rPr>
      </w:pPr>
    </w:p>
    <w:p w:rsidR="00263137" w:rsidRPr="008321D1" w:rsidRDefault="00263137" w:rsidP="00072567">
      <w:pPr>
        <w:rPr>
          <w:i/>
          <w:lang w:val="en-CA"/>
        </w:rPr>
      </w:pPr>
      <w:r w:rsidRPr="008321D1">
        <w:rPr>
          <w:i/>
          <w:lang w:val="en-CA"/>
        </w:rPr>
        <w:t>HPMP preparation</w:t>
      </w:r>
    </w:p>
    <w:p w:rsidR="00263137" w:rsidRPr="008321D1" w:rsidRDefault="00263137" w:rsidP="00072567">
      <w:pPr>
        <w:rPr>
          <w:i/>
          <w:lang w:val="en-CA"/>
        </w:rPr>
      </w:pPr>
    </w:p>
    <w:p w:rsidR="00263137" w:rsidRPr="008321D1" w:rsidRDefault="00263137" w:rsidP="00072567">
      <w:pPr>
        <w:pStyle w:val="Heading1"/>
        <w:rPr>
          <w:lang w:val="en-CA"/>
        </w:rPr>
      </w:pPr>
      <w:r w:rsidRPr="008321D1">
        <w:rPr>
          <w:lang w:val="en-CA"/>
        </w:rPr>
        <w:t>The Executive Committee has approved US $</w:t>
      </w:r>
      <w:r w:rsidR="006313BD" w:rsidRPr="008321D1">
        <w:rPr>
          <w:lang w:val="en-CA"/>
        </w:rPr>
        <w:t>10.28</w:t>
      </w:r>
      <w:r w:rsidRPr="008321D1">
        <w:rPr>
          <w:lang w:val="en-CA"/>
        </w:rPr>
        <w:t xml:space="preserve"> million for 1</w:t>
      </w:r>
      <w:r w:rsidR="006313BD" w:rsidRPr="008321D1">
        <w:rPr>
          <w:lang w:val="en-CA"/>
        </w:rPr>
        <w:t>34</w:t>
      </w:r>
      <w:r w:rsidRPr="008321D1">
        <w:rPr>
          <w:lang w:val="en-CA"/>
        </w:rPr>
        <w:t xml:space="preserve"> project preparation activities in </w:t>
      </w:r>
      <w:r w:rsidR="006313BD" w:rsidRPr="008321D1">
        <w:rPr>
          <w:lang w:val="en-CA"/>
        </w:rPr>
        <w:t>40</w:t>
      </w:r>
      <w:r w:rsidRPr="008321D1">
        <w:rPr>
          <w:lang w:val="en-CA"/>
        </w:rPr>
        <w:t> Article 5 countries to address HCFC control measures. The implementation of these activities resulted in the approval of stages I and II of HPMPs in 4</w:t>
      </w:r>
      <w:r w:rsidR="003742B9" w:rsidRPr="008321D1">
        <w:rPr>
          <w:lang w:val="en-CA"/>
        </w:rPr>
        <w:t>6</w:t>
      </w:r>
      <w:r w:rsidRPr="008321D1">
        <w:rPr>
          <w:lang w:val="en-CA"/>
        </w:rPr>
        <w:t> Article 5 countries.</w:t>
      </w:r>
      <w:r w:rsidR="006313BD" w:rsidRPr="008321D1">
        <w:rPr>
          <w:lang w:val="en-CA"/>
        </w:rPr>
        <w:t xml:space="preserve"> Eighty-nine </w:t>
      </w:r>
      <w:r w:rsidRPr="008321D1">
        <w:rPr>
          <w:lang w:val="en-CA"/>
        </w:rPr>
        <w:t>activities have been completed</w:t>
      </w:r>
      <w:r w:rsidR="00322711" w:rsidRPr="008321D1">
        <w:rPr>
          <w:lang w:val="en-CA"/>
        </w:rPr>
        <w:t xml:space="preserve"> and no major issues have been identified </w:t>
      </w:r>
      <w:r w:rsidR="006B0D0B" w:rsidRPr="008321D1">
        <w:rPr>
          <w:lang w:val="en-CA"/>
        </w:rPr>
        <w:t>in</w:t>
      </w:r>
      <w:r w:rsidR="00322711" w:rsidRPr="008321D1">
        <w:rPr>
          <w:lang w:val="en-CA"/>
        </w:rPr>
        <w:t xml:space="preserve"> the </w:t>
      </w:r>
      <w:r w:rsidRPr="008321D1">
        <w:rPr>
          <w:lang w:val="en-CA"/>
        </w:rPr>
        <w:t>remaining 4</w:t>
      </w:r>
      <w:r w:rsidR="006313BD" w:rsidRPr="008321D1">
        <w:rPr>
          <w:lang w:val="en-CA"/>
        </w:rPr>
        <w:t>5</w:t>
      </w:r>
      <w:r w:rsidR="006B0D0B" w:rsidRPr="008321D1">
        <w:rPr>
          <w:lang w:val="en-CA"/>
        </w:rPr>
        <w:t> </w:t>
      </w:r>
      <w:r w:rsidR="00322711" w:rsidRPr="008321D1">
        <w:rPr>
          <w:lang w:val="en-CA"/>
        </w:rPr>
        <w:t xml:space="preserve">activities except </w:t>
      </w:r>
      <w:r w:rsidR="006B0D0B" w:rsidRPr="008321D1">
        <w:rPr>
          <w:lang w:val="en-CA"/>
        </w:rPr>
        <w:t>in</w:t>
      </w:r>
      <w:r w:rsidR="00322711" w:rsidRPr="008321D1">
        <w:rPr>
          <w:lang w:val="en-CA"/>
        </w:rPr>
        <w:t xml:space="preserve"> the refrigeration manufacturing sector project in Cuba (CUB/REF/58/PRP/42)</w:t>
      </w:r>
      <w:r w:rsidR="009F722F" w:rsidRPr="008321D1">
        <w:rPr>
          <w:rStyle w:val="FootnoteReference"/>
          <w:lang w:val="en-CA"/>
        </w:rPr>
        <w:footnoteReference w:id="7"/>
      </w:r>
      <w:r w:rsidR="00191A29" w:rsidRPr="008321D1">
        <w:rPr>
          <w:lang w:val="en-CA"/>
        </w:rPr>
        <w:t>.</w:t>
      </w:r>
    </w:p>
    <w:p w:rsidR="00263137" w:rsidRPr="008321D1" w:rsidRDefault="00263137" w:rsidP="00072567">
      <w:pPr>
        <w:pStyle w:val="Heading1"/>
        <w:numPr>
          <w:ilvl w:val="0"/>
          <w:numId w:val="0"/>
        </w:numPr>
        <w:spacing w:after="0"/>
        <w:rPr>
          <w:i/>
          <w:lang w:val="en-CA"/>
        </w:rPr>
      </w:pPr>
      <w:r w:rsidRPr="008321D1">
        <w:rPr>
          <w:i/>
          <w:lang w:val="en-CA"/>
        </w:rPr>
        <w:t>HCFC demonstration projects</w:t>
      </w:r>
    </w:p>
    <w:p w:rsidR="00263137" w:rsidRPr="008321D1" w:rsidRDefault="00263137" w:rsidP="00072567">
      <w:pPr>
        <w:rPr>
          <w:lang w:val="en-CA"/>
        </w:rPr>
      </w:pPr>
    </w:p>
    <w:p w:rsidR="00263137" w:rsidRPr="008321D1" w:rsidRDefault="00263137" w:rsidP="00072567">
      <w:pPr>
        <w:pStyle w:val="Heading1"/>
        <w:rPr>
          <w:lang w:val="en-CA"/>
        </w:rPr>
      </w:pPr>
      <w:r w:rsidRPr="008321D1">
        <w:rPr>
          <w:lang w:val="en-CA"/>
        </w:rPr>
        <w:t xml:space="preserve">The Executive Committee has approved </w:t>
      </w:r>
      <w:r w:rsidR="00683C47" w:rsidRPr="008321D1">
        <w:rPr>
          <w:lang w:val="en-CA"/>
        </w:rPr>
        <w:t>ten</w:t>
      </w:r>
      <w:r w:rsidRPr="008321D1">
        <w:rPr>
          <w:lang w:val="en-CA"/>
        </w:rPr>
        <w:t xml:space="preserve"> HCFC demonstration projects inclu</w:t>
      </w:r>
      <w:r w:rsidR="00683C47" w:rsidRPr="008321D1">
        <w:rPr>
          <w:lang w:val="en-CA"/>
        </w:rPr>
        <w:t>ding six in the foam sector, three</w:t>
      </w:r>
      <w:r w:rsidRPr="008321D1">
        <w:rPr>
          <w:lang w:val="en-CA"/>
        </w:rPr>
        <w:t xml:space="preserve"> in the refrigeration sector and one in the solvent sector. </w:t>
      </w:r>
      <w:r w:rsidR="00683C47" w:rsidRPr="008321D1">
        <w:rPr>
          <w:lang w:val="en-CA"/>
        </w:rPr>
        <w:t>Nine</w:t>
      </w:r>
      <w:r w:rsidRPr="008321D1">
        <w:rPr>
          <w:lang w:val="en-CA"/>
        </w:rPr>
        <w:t xml:space="preserve"> demonstration projects have been completed. The remaining ongoing project (</w:t>
      </w:r>
      <w:r w:rsidR="002D74C9" w:rsidRPr="008321D1">
        <w:rPr>
          <w:lang w:val="en-CA"/>
        </w:rPr>
        <w:t xml:space="preserve">demonstration of HC-290 (propane) as an alternative refrigerant in commercial air-conditioning manufacturing at </w:t>
      </w:r>
      <w:proofErr w:type="spellStart"/>
      <w:r w:rsidR="002D74C9" w:rsidRPr="008321D1">
        <w:rPr>
          <w:lang w:val="en-CA"/>
        </w:rPr>
        <w:t>Industrias</w:t>
      </w:r>
      <w:proofErr w:type="spellEnd"/>
      <w:r w:rsidR="002D74C9" w:rsidRPr="008321D1">
        <w:rPr>
          <w:lang w:val="en-CA"/>
        </w:rPr>
        <w:t xml:space="preserve"> </w:t>
      </w:r>
      <w:proofErr w:type="spellStart"/>
      <w:r w:rsidR="002D74C9" w:rsidRPr="008321D1">
        <w:rPr>
          <w:lang w:val="en-CA"/>
        </w:rPr>
        <w:t>Thermotar</w:t>
      </w:r>
      <w:proofErr w:type="spellEnd"/>
      <w:r w:rsidR="002D74C9" w:rsidRPr="008321D1">
        <w:rPr>
          <w:lang w:val="en-CA"/>
        </w:rPr>
        <w:t xml:space="preserve"> i</w:t>
      </w:r>
      <w:r w:rsidRPr="008321D1">
        <w:rPr>
          <w:lang w:val="en-CA"/>
        </w:rPr>
        <w:t xml:space="preserve">n </w:t>
      </w:r>
      <w:r w:rsidR="002D74C9" w:rsidRPr="008321D1">
        <w:rPr>
          <w:lang w:val="en-CA"/>
        </w:rPr>
        <w:t>Colombia</w:t>
      </w:r>
      <w:r w:rsidRPr="008321D1">
        <w:rPr>
          <w:lang w:val="en-CA"/>
        </w:rPr>
        <w:t xml:space="preserve"> (</w:t>
      </w:r>
      <w:r w:rsidR="002D74C9" w:rsidRPr="008321D1">
        <w:rPr>
          <w:lang w:val="en-CA"/>
        </w:rPr>
        <w:t>COL/REF/75/DEM/97</w:t>
      </w:r>
      <w:r w:rsidRPr="008321D1">
        <w:rPr>
          <w:lang w:val="en-CA"/>
        </w:rPr>
        <w:t>)</w:t>
      </w:r>
      <w:r w:rsidR="00860605" w:rsidRPr="008321D1">
        <w:rPr>
          <w:lang w:val="en-CA"/>
        </w:rPr>
        <w:t>)</w:t>
      </w:r>
      <w:r w:rsidRPr="008321D1">
        <w:rPr>
          <w:lang w:val="en-CA"/>
        </w:rPr>
        <w:t xml:space="preserve"> </w:t>
      </w:r>
      <w:r w:rsidR="00322711" w:rsidRPr="008321D1">
        <w:rPr>
          <w:lang w:val="en-CA"/>
        </w:rPr>
        <w:t>is progressing. The project document an</w:t>
      </w:r>
      <w:r w:rsidR="00EC657B" w:rsidRPr="008321D1">
        <w:rPr>
          <w:lang w:val="en-CA"/>
        </w:rPr>
        <w:t>d terms of reference for the international consultant</w:t>
      </w:r>
      <w:r w:rsidR="00322711" w:rsidRPr="008321D1">
        <w:rPr>
          <w:lang w:val="en-CA"/>
        </w:rPr>
        <w:t xml:space="preserve"> have been prepared and the technical information </w:t>
      </w:r>
      <w:r w:rsidR="00280D90" w:rsidRPr="008321D1">
        <w:rPr>
          <w:lang w:val="en-CA"/>
        </w:rPr>
        <w:t xml:space="preserve">has been </w:t>
      </w:r>
      <w:r w:rsidR="00322711" w:rsidRPr="008321D1">
        <w:rPr>
          <w:lang w:val="en-CA"/>
        </w:rPr>
        <w:t xml:space="preserve">collected. The </w:t>
      </w:r>
      <w:r w:rsidRPr="008321D1">
        <w:rPr>
          <w:lang w:val="en-CA"/>
        </w:rPr>
        <w:t>planned complet</w:t>
      </w:r>
      <w:r w:rsidR="00322711" w:rsidRPr="008321D1">
        <w:rPr>
          <w:lang w:val="en-CA"/>
        </w:rPr>
        <w:t xml:space="preserve">ion date is </w:t>
      </w:r>
      <w:r w:rsidR="002D74C9" w:rsidRPr="008321D1">
        <w:rPr>
          <w:lang w:val="en-CA"/>
        </w:rPr>
        <w:t>June</w:t>
      </w:r>
      <w:r w:rsidRPr="008321D1">
        <w:rPr>
          <w:lang w:val="en-CA"/>
        </w:rPr>
        <w:t xml:space="preserve"> 201</w:t>
      </w:r>
      <w:r w:rsidR="002D74C9" w:rsidRPr="008321D1">
        <w:rPr>
          <w:lang w:val="en-CA"/>
        </w:rPr>
        <w:t>7</w:t>
      </w:r>
      <w:r w:rsidRPr="008321D1">
        <w:rPr>
          <w:lang w:val="en-CA"/>
        </w:rPr>
        <w:t>.</w:t>
      </w:r>
    </w:p>
    <w:p w:rsidR="00263137" w:rsidRPr="008321D1" w:rsidRDefault="00263137" w:rsidP="00072567">
      <w:pPr>
        <w:pStyle w:val="0Heading0"/>
        <w:keepNext/>
        <w:keepLines/>
        <w:rPr>
          <w:i/>
          <w:lang w:val="en-CA"/>
        </w:rPr>
      </w:pPr>
      <w:r w:rsidRPr="008321D1">
        <w:rPr>
          <w:i/>
          <w:lang w:val="en-CA"/>
        </w:rPr>
        <w:t>HPMPs</w:t>
      </w:r>
    </w:p>
    <w:p w:rsidR="00263137" w:rsidRPr="008321D1" w:rsidRDefault="00263137" w:rsidP="00072567">
      <w:pPr>
        <w:pStyle w:val="0Heading0"/>
        <w:keepNext/>
        <w:keepLines/>
        <w:rPr>
          <w:b/>
          <w:lang w:val="en-CA"/>
        </w:rPr>
      </w:pPr>
    </w:p>
    <w:p w:rsidR="00263137" w:rsidRPr="008321D1" w:rsidRDefault="00EC657B" w:rsidP="00072567">
      <w:pPr>
        <w:pStyle w:val="Heading1"/>
        <w:keepNext/>
        <w:keepLines/>
        <w:rPr>
          <w:lang w:val="en-CA"/>
        </w:rPr>
      </w:pPr>
      <w:r w:rsidRPr="008321D1">
        <w:rPr>
          <w:lang w:val="en-CA"/>
        </w:rPr>
        <w:t>T</w:t>
      </w:r>
      <w:r w:rsidR="00263137" w:rsidRPr="008321D1">
        <w:rPr>
          <w:lang w:val="en-CA"/>
        </w:rPr>
        <w:t>he Executive Committee has approved</w:t>
      </w:r>
      <w:r w:rsidRPr="008321D1">
        <w:rPr>
          <w:lang w:val="en-CA"/>
        </w:rPr>
        <w:t>:</w:t>
      </w:r>
      <w:r w:rsidR="00280D90" w:rsidRPr="008321D1">
        <w:rPr>
          <w:lang w:val="en-CA"/>
        </w:rPr>
        <w:t xml:space="preserve"> </w:t>
      </w:r>
      <w:r w:rsidR="00263137" w:rsidRPr="008321D1">
        <w:rPr>
          <w:lang w:val="en-CA"/>
        </w:rPr>
        <w:t>HPMP activities in 4</w:t>
      </w:r>
      <w:r w:rsidR="00EA2237" w:rsidRPr="008321D1">
        <w:rPr>
          <w:lang w:val="en-CA"/>
        </w:rPr>
        <w:t>5</w:t>
      </w:r>
      <w:r w:rsidR="00263137" w:rsidRPr="008321D1">
        <w:rPr>
          <w:lang w:val="en-CA"/>
        </w:rPr>
        <w:t> countries valued at US $</w:t>
      </w:r>
      <w:r w:rsidR="00EA2237" w:rsidRPr="008321D1">
        <w:rPr>
          <w:lang w:val="en-CA"/>
        </w:rPr>
        <w:t>198.67</w:t>
      </w:r>
      <w:r w:rsidR="00263137" w:rsidRPr="008321D1">
        <w:rPr>
          <w:lang w:val="en-CA"/>
        </w:rPr>
        <w:t xml:space="preserve"> mil</w:t>
      </w:r>
      <w:r w:rsidR="00EA2237" w:rsidRPr="008321D1">
        <w:rPr>
          <w:lang w:val="en-CA"/>
        </w:rPr>
        <w:t>lion in principle</w:t>
      </w:r>
      <w:r w:rsidR="00860605" w:rsidRPr="008321D1">
        <w:rPr>
          <w:lang w:val="en-CA"/>
        </w:rPr>
        <w:t>,</w:t>
      </w:r>
      <w:r w:rsidR="00EA2237" w:rsidRPr="008321D1">
        <w:rPr>
          <w:lang w:val="en-CA"/>
        </w:rPr>
        <w:t xml:space="preserve"> of which US $175.83</w:t>
      </w:r>
      <w:r w:rsidR="00263137" w:rsidRPr="008321D1">
        <w:rPr>
          <w:lang w:val="en-CA"/>
        </w:rPr>
        <w:t xml:space="preserve"> million has been approved for tranche activities; and </w:t>
      </w:r>
      <w:r w:rsidR="008F6757" w:rsidRPr="008321D1">
        <w:rPr>
          <w:lang w:val="en-CA"/>
        </w:rPr>
        <w:t>22</w:t>
      </w:r>
      <w:r w:rsidR="00263137" w:rsidRPr="008321D1">
        <w:rPr>
          <w:lang w:val="en-CA"/>
        </w:rPr>
        <w:t xml:space="preserve"> HCFC individual technical assistance projects, </w:t>
      </w:r>
      <w:r w:rsidR="00BF3CFA" w:rsidRPr="008321D1">
        <w:rPr>
          <w:lang w:val="en-CA"/>
        </w:rPr>
        <w:t>of which five</w:t>
      </w:r>
      <w:r w:rsidR="00263137" w:rsidRPr="008321D1">
        <w:rPr>
          <w:lang w:val="en-CA"/>
        </w:rPr>
        <w:t xml:space="preserve"> are still under implementation.</w:t>
      </w:r>
    </w:p>
    <w:p w:rsidR="00263137" w:rsidRPr="008321D1" w:rsidRDefault="00263137" w:rsidP="00072567">
      <w:pPr>
        <w:pStyle w:val="Heading1"/>
        <w:rPr>
          <w:snapToGrid w:val="0"/>
          <w:lang w:val="en-CA"/>
        </w:rPr>
      </w:pPr>
      <w:r w:rsidRPr="008321D1">
        <w:rPr>
          <w:lang w:val="en-CA"/>
        </w:rPr>
        <w:t xml:space="preserve">In total, UNDP is implementing </w:t>
      </w:r>
      <w:r w:rsidR="00953546" w:rsidRPr="008321D1">
        <w:rPr>
          <w:lang w:val="en-CA"/>
        </w:rPr>
        <w:t>76</w:t>
      </w:r>
      <w:r w:rsidRPr="008321D1">
        <w:rPr>
          <w:lang w:val="en-CA"/>
        </w:rPr>
        <w:t xml:space="preserve"> HPMP tranches; </w:t>
      </w:r>
      <w:r w:rsidR="00953546" w:rsidRPr="008321D1">
        <w:rPr>
          <w:lang w:val="en-CA"/>
        </w:rPr>
        <w:t>52</w:t>
      </w:r>
      <w:r w:rsidRPr="008321D1">
        <w:rPr>
          <w:lang w:val="en-CA"/>
        </w:rPr>
        <w:t xml:space="preserve"> of these tranches were approved over one year ago. Of these, funds were only disbursed for </w:t>
      </w:r>
      <w:r w:rsidR="00953546" w:rsidRPr="008321D1">
        <w:rPr>
          <w:lang w:val="en-CA"/>
        </w:rPr>
        <w:t>29</w:t>
      </w:r>
      <w:r w:rsidRPr="008321D1">
        <w:rPr>
          <w:lang w:val="en-CA"/>
        </w:rPr>
        <w:t xml:space="preserve"> tranches. </w:t>
      </w:r>
      <w:r w:rsidR="001F3304" w:rsidRPr="008321D1">
        <w:rPr>
          <w:lang w:val="en-CA"/>
        </w:rPr>
        <w:t xml:space="preserve">Issues related to the disbursement of funds, </w:t>
      </w:r>
      <w:r w:rsidR="001F3304" w:rsidRPr="008321D1">
        <w:rPr>
          <w:lang w:val="en-CA"/>
        </w:rPr>
        <w:lastRenderedPageBreak/>
        <w:t>procurement and delivery of the equipment, and signing of the agreements have been identified for a number of projects as shown in Table 4.</w:t>
      </w:r>
    </w:p>
    <w:p w:rsidR="00FF4498" w:rsidRPr="008321D1" w:rsidRDefault="00FF4498" w:rsidP="00072567">
      <w:pPr>
        <w:pStyle w:val="Heading1"/>
        <w:numPr>
          <w:ilvl w:val="0"/>
          <w:numId w:val="0"/>
        </w:numPr>
        <w:spacing w:after="0"/>
        <w:rPr>
          <w:b/>
          <w:spacing w:val="-3"/>
          <w:lang w:val="en-CA"/>
        </w:rPr>
      </w:pPr>
      <w:r w:rsidRPr="008321D1">
        <w:rPr>
          <w:b/>
          <w:spacing w:val="-3"/>
          <w:lang w:val="en-CA"/>
        </w:rPr>
        <w:t>Table 4: Ongoing HPMP activities with implementation issues</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274"/>
        <w:gridCol w:w="1083"/>
        <w:gridCol w:w="1050"/>
        <w:gridCol w:w="1083"/>
        <w:gridCol w:w="3357"/>
      </w:tblGrid>
      <w:tr w:rsidR="004C035B" w:rsidRPr="008321D1" w:rsidTr="00AF341D">
        <w:trPr>
          <w:trHeight w:val="929"/>
          <w:tblHeader/>
          <w:jc w:val="center"/>
        </w:trPr>
        <w:tc>
          <w:tcPr>
            <w:tcW w:w="2218" w:type="dxa"/>
            <w:shd w:val="clear" w:color="auto" w:fill="auto"/>
            <w:hideMark/>
          </w:tcPr>
          <w:p w:rsidR="004C035B" w:rsidRPr="008321D1" w:rsidRDefault="004C035B" w:rsidP="00072567">
            <w:pPr>
              <w:jc w:val="center"/>
              <w:rPr>
                <w:b/>
                <w:bCs/>
                <w:color w:val="000000"/>
                <w:sz w:val="19"/>
                <w:szCs w:val="19"/>
                <w:lang w:val="en-CA" w:eastAsia="zh-CN"/>
              </w:rPr>
            </w:pPr>
            <w:r w:rsidRPr="008321D1">
              <w:rPr>
                <w:b/>
                <w:bCs/>
                <w:color w:val="000000"/>
                <w:sz w:val="19"/>
                <w:szCs w:val="19"/>
                <w:lang w:val="en-CA" w:eastAsia="zh-CN"/>
              </w:rPr>
              <w:t>Country/Project code</w:t>
            </w:r>
          </w:p>
        </w:tc>
        <w:tc>
          <w:tcPr>
            <w:tcW w:w="1274" w:type="dxa"/>
            <w:shd w:val="clear" w:color="auto" w:fill="auto"/>
            <w:hideMark/>
          </w:tcPr>
          <w:p w:rsidR="004C035B" w:rsidRPr="008321D1" w:rsidRDefault="004C035B" w:rsidP="00072567">
            <w:pPr>
              <w:jc w:val="center"/>
              <w:rPr>
                <w:b/>
                <w:bCs/>
                <w:color w:val="000000"/>
                <w:sz w:val="19"/>
                <w:szCs w:val="19"/>
                <w:lang w:val="en-CA" w:eastAsia="zh-CN"/>
              </w:rPr>
            </w:pPr>
            <w:r w:rsidRPr="008321D1">
              <w:rPr>
                <w:b/>
                <w:bCs/>
                <w:color w:val="000000"/>
                <w:sz w:val="19"/>
                <w:szCs w:val="19"/>
                <w:lang w:val="en-CA" w:eastAsia="zh-CN"/>
              </w:rPr>
              <w:t>Approved funding plus adjustments (US $)</w:t>
            </w:r>
          </w:p>
        </w:tc>
        <w:tc>
          <w:tcPr>
            <w:tcW w:w="1083" w:type="dxa"/>
            <w:shd w:val="clear" w:color="auto" w:fill="auto"/>
            <w:hideMark/>
          </w:tcPr>
          <w:p w:rsidR="004C035B" w:rsidRPr="008321D1" w:rsidRDefault="004C035B" w:rsidP="00072567">
            <w:pPr>
              <w:jc w:val="center"/>
              <w:rPr>
                <w:b/>
                <w:bCs/>
                <w:color w:val="000000"/>
                <w:sz w:val="19"/>
                <w:szCs w:val="19"/>
                <w:lang w:val="en-CA" w:eastAsia="zh-CN"/>
              </w:rPr>
            </w:pPr>
            <w:r w:rsidRPr="008321D1">
              <w:rPr>
                <w:b/>
                <w:bCs/>
                <w:color w:val="000000"/>
                <w:sz w:val="19"/>
                <w:szCs w:val="19"/>
                <w:lang w:val="en-CA" w:eastAsia="zh-CN"/>
              </w:rPr>
              <w:t>Funds disbursed (US $)</w:t>
            </w:r>
          </w:p>
        </w:tc>
        <w:tc>
          <w:tcPr>
            <w:tcW w:w="1050" w:type="dxa"/>
            <w:shd w:val="clear" w:color="auto" w:fill="auto"/>
            <w:hideMark/>
          </w:tcPr>
          <w:p w:rsidR="004C035B" w:rsidRPr="008321D1" w:rsidRDefault="004C035B" w:rsidP="00072567">
            <w:pPr>
              <w:jc w:val="center"/>
              <w:rPr>
                <w:b/>
                <w:bCs/>
                <w:color w:val="000000"/>
                <w:sz w:val="19"/>
                <w:szCs w:val="19"/>
                <w:lang w:val="en-CA" w:eastAsia="zh-CN"/>
              </w:rPr>
            </w:pPr>
            <w:r w:rsidRPr="008321D1">
              <w:rPr>
                <w:b/>
                <w:bCs/>
                <w:color w:val="000000"/>
                <w:sz w:val="19"/>
                <w:szCs w:val="19"/>
                <w:lang w:val="en-CA" w:eastAsia="zh-CN"/>
              </w:rPr>
              <w:t>Per cent of funds disbursed</w:t>
            </w:r>
          </w:p>
        </w:tc>
        <w:tc>
          <w:tcPr>
            <w:tcW w:w="1083" w:type="dxa"/>
            <w:shd w:val="clear" w:color="auto" w:fill="auto"/>
            <w:hideMark/>
          </w:tcPr>
          <w:p w:rsidR="004C035B" w:rsidRPr="008321D1" w:rsidRDefault="004C035B" w:rsidP="00072567">
            <w:pPr>
              <w:jc w:val="center"/>
              <w:rPr>
                <w:b/>
                <w:bCs/>
                <w:color w:val="000000"/>
                <w:sz w:val="19"/>
                <w:szCs w:val="19"/>
                <w:lang w:val="en-CA" w:eastAsia="zh-CN"/>
              </w:rPr>
            </w:pPr>
            <w:r w:rsidRPr="008321D1">
              <w:rPr>
                <w:b/>
                <w:bCs/>
                <w:color w:val="000000"/>
                <w:sz w:val="19"/>
                <w:szCs w:val="19"/>
                <w:lang w:val="en-CA" w:eastAsia="zh-CN"/>
              </w:rPr>
              <w:t>Balance (US $)</w:t>
            </w:r>
          </w:p>
        </w:tc>
        <w:tc>
          <w:tcPr>
            <w:tcW w:w="3357" w:type="dxa"/>
            <w:shd w:val="clear" w:color="auto" w:fill="auto"/>
            <w:hideMark/>
          </w:tcPr>
          <w:p w:rsidR="004C035B" w:rsidRPr="008321D1" w:rsidRDefault="004C035B" w:rsidP="00072567">
            <w:pPr>
              <w:jc w:val="center"/>
              <w:rPr>
                <w:b/>
                <w:bCs/>
                <w:color w:val="000000"/>
                <w:sz w:val="19"/>
                <w:szCs w:val="19"/>
                <w:lang w:val="en-CA" w:eastAsia="zh-CN"/>
              </w:rPr>
            </w:pPr>
            <w:r w:rsidRPr="008321D1">
              <w:rPr>
                <w:b/>
                <w:bCs/>
                <w:color w:val="000000"/>
                <w:sz w:val="19"/>
                <w:szCs w:val="19"/>
                <w:lang w:val="en-CA" w:eastAsia="zh-CN"/>
              </w:rPr>
              <w:t>Issues</w:t>
            </w:r>
            <w:r w:rsidR="00137953" w:rsidRPr="008321D1">
              <w:rPr>
                <w:b/>
                <w:bCs/>
                <w:color w:val="000000"/>
                <w:sz w:val="19"/>
                <w:szCs w:val="19"/>
                <w:lang w:val="en-CA" w:eastAsia="zh-CN"/>
              </w:rPr>
              <w:t>/Impediments</w:t>
            </w:r>
          </w:p>
        </w:tc>
      </w:tr>
      <w:tr w:rsidR="004C035B" w:rsidRPr="008321D1" w:rsidTr="00AF341D">
        <w:trPr>
          <w:trHeight w:val="425"/>
          <w:jc w:val="center"/>
        </w:trPr>
        <w:tc>
          <w:tcPr>
            <w:tcW w:w="2218" w:type="dxa"/>
            <w:shd w:val="clear" w:color="auto" w:fill="auto"/>
          </w:tcPr>
          <w:p w:rsidR="004C035B" w:rsidRPr="008321D1" w:rsidRDefault="004C035B" w:rsidP="00072567">
            <w:pPr>
              <w:jc w:val="left"/>
              <w:rPr>
                <w:sz w:val="19"/>
                <w:szCs w:val="19"/>
              </w:rPr>
            </w:pPr>
            <w:r w:rsidRPr="008321D1">
              <w:rPr>
                <w:sz w:val="19"/>
                <w:szCs w:val="19"/>
              </w:rPr>
              <w:t>Barbados</w:t>
            </w:r>
          </w:p>
          <w:p w:rsidR="004C035B" w:rsidRPr="008321D1" w:rsidRDefault="004C035B" w:rsidP="00072567">
            <w:pPr>
              <w:jc w:val="left"/>
              <w:rPr>
                <w:sz w:val="19"/>
                <w:szCs w:val="19"/>
                <w:lang w:val="en-CA"/>
              </w:rPr>
            </w:pPr>
            <w:r w:rsidRPr="008321D1">
              <w:rPr>
                <w:sz w:val="19"/>
                <w:szCs w:val="19"/>
              </w:rPr>
              <w:t>(BAR/PHA/69/INV/21)</w:t>
            </w:r>
          </w:p>
        </w:tc>
        <w:tc>
          <w:tcPr>
            <w:tcW w:w="1274" w:type="dxa"/>
            <w:shd w:val="clear" w:color="auto" w:fill="auto"/>
            <w:noWrap/>
          </w:tcPr>
          <w:p w:rsidR="004C035B" w:rsidRPr="008321D1" w:rsidRDefault="004C035B" w:rsidP="00072567">
            <w:pPr>
              <w:jc w:val="right"/>
              <w:rPr>
                <w:sz w:val="19"/>
                <w:szCs w:val="19"/>
                <w:lang w:val="en-CA"/>
              </w:rPr>
            </w:pPr>
            <w:r w:rsidRPr="008321D1">
              <w:rPr>
                <w:sz w:val="19"/>
                <w:szCs w:val="19"/>
              </w:rPr>
              <w:t>50,000</w:t>
            </w:r>
          </w:p>
        </w:tc>
        <w:tc>
          <w:tcPr>
            <w:tcW w:w="1083" w:type="dxa"/>
            <w:shd w:val="clear" w:color="auto" w:fill="auto"/>
            <w:noWrap/>
          </w:tcPr>
          <w:p w:rsidR="004C035B" w:rsidRPr="008321D1" w:rsidRDefault="004C035B" w:rsidP="00072567">
            <w:pPr>
              <w:jc w:val="right"/>
              <w:rPr>
                <w:color w:val="000000"/>
                <w:sz w:val="19"/>
                <w:szCs w:val="19"/>
                <w:lang w:val="en-CA"/>
              </w:rPr>
            </w:pPr>
            <w:r w:rsidRPr="008321D1">
              <w:rPr>
                <w:sz w:val="19"/>
                <w:szCs w:val="19"/>
              </w:rPr>
              <w:t>0</w:t>
            </w:r>
          </w:p>
        </w:tc>
        <w:tc>
          <w:tcPr>
            <w:tcW w:w="1050" w:type="dxa"/>
            <w:shd w:val="clear" w:color="auto" w:fill="auto"/>
            <w:noWrap/>
          </w:tcPr>
          <w:p w:rsidR="004C035B" w:rsidRPr="008321D1" w:rsidRDefault="004C035B" w:rsidP="00072567">
            <w:pPr>
              <w:jc w:val="right"/>
              <w:rPr>
                <w:sz w:val="19"/>
                <w:szCs w:val="19"/>
                <w:lang w:val="en-CA"/>
              </w:rPr>
            </w:pPr>
            <w:r w:rsidRPr="008321D1">
              <w:rPr>
                <w:sz w:val="19"/>
                <w:szCs w:val="19"/>
              </w:rPr>
              <w:t>0</w:t>
            </w:r>
          </w:p>
        </w:tc>
        <w:tc>
          <w:tcPr>
            <w:tcW w:w="1083" w:type="dxa"/>
            <w:shd w:val="clear" w:color="auto" w:fill="auto"/>
            <w:noWrap/>
          </w:tcPr>
          <w:p w:rsidR="004C035B" w:rsidRPr="008321D1" w:rsidRDefault="004C035B" w:rsidP="00072567">
            <w:pPr>
              <w:jc w:val="right"/>
              <w:rPr>
                <w:sz w:val="19"/>
                <w:szCs w:val="19"/>
                <w:lang w:val="en-CA"/>
              </w:rPr>
            </w:pPr>
            <w:r w:rsidRPr="008321D1">
              <w:rPr>
                <w:sz w:val="19"/>
                <w:szCs w:val="19"/>
              </w:rPr>
              <w:t>50,000</w:t>
            </w:r>
          </w:p>
        </w:tc>
        <w:tc>
          <w:tcPr>
            <w:tcW w:w="3357" w:type="dxa"/>
            <w:shd w:val="clear" w:color="auto" w:fill="auto"/>
            <w:noWrap/>
          </w:tcPr>
          <w:p w:rsidR="004C035B" w:rsidRPr="008321D1" w:rsidRDefault="004C035B" w:rsidP="00072567">
            <w:pPr>
              <w:rPr>
                <w:sz w:val="19"/>
                <w:szCs w:val="19"/>
                <w:lang w:val="en-CA"/>
              </w:rPr>
            </w:pPr>
            <w:r w:rsidRPr="008321D1">
              <w:rPr>
                <w:sz w:val="19"/>
                <w:szCs w:val="19"/>
              </w:rPr>
              <w:t>Agreement not signed by the Government and UNDP.</w:t>
            </w:r>
          </w:p>
        </w:tc>
      </w:tr>
      <w:tr w:rsidR="004C035B" w:rsidRPr="008321D1" w:rsidTr="00AF341D">
        <w:trPr>
          <w:trHeight w:val="425"/>
          <w:jc w:val="center"/>
        </w:trPr>
        <w:tc>
          <w:tcPr>
            <w:tcW w:w="2218" w:type="dxa"/>
            <w:shd w:val="clear" w:color="auto" w:fill="auto"/>
          </w:tcPr>
          <w:p w:rsidR="004C035B" w:rsidRPr="008321D1" w:rsidRDefault="004C035B" w:rsidP="00072567">
            <w:pPr>
              <w:jc w:val="left"/>
              <w:rPr>
                <w:sz w:val="19"/>
                <w:szCs w:val="19"/>
              </w:rPr>
            </w:pPr>
            <w:r w:rsidRPr="008321D1">
              <w:rPr>
                <w:sz w:val="19"/>
                <w:szCs w:val="19"/>
              </w:rPr>
              <w:t>Brazil</w:t>
            </w:r>
          </w:p>
          <w:p w:rsidR="004C035B" w:rsidRPr="008321D1" w:rsidRDefault="004C035B" w:rsidP="00072567">
            <w:pPr>
              <w:jc w:val="left"/>
              <w:rPr>
                <w:sz w:val="19"/>
                <w:szCs w:val="19"/>
                <w:lang w:val="en-CA"/>
              </w:rPr>
            </w:pPr>
            <w:r w:rsidRPr="008321D1">
              <w:rPr>
                <w:sz w:val="19"/>
                <w:szCs w:val="19"/>
              </w:rPr>
              <w:t>(BRA/PHA/75/INV/312)</w:t>
            </w:r>
          </w:p>
        </w:tc>
        <w:tc>
          <w:tcPr>
            <w:tcW w:w="1274" w:type="dxa"/>
            <w:shd w:val="clear" w:color="auto" w:fill="auto"/>
            <w:noWrap/>
          </w:tcPr>
          <w:p w:rsidR="004C035B" w:rsidRPr="008321D1" w:rsidRDefault="004C035B" w:rsidP="00072567">
            <w:pPr>
              <w:jc w:val="right"/>
              <w:rPr>
                <w:sz w:val="19"/>
                <w:szCs w:val="19"/>
                <w:lang w:val="en-CA"/>
              </w:rPr>
            </w:pPr>
            <w:r w:rsidRPr="008321D1">
              <w:rPr>
                <w:sz w:val="19"/>
                <w:szCs w:val="19"/>
              </w:rPr>
              <w:t>2,028,900</w:t>
            </w:r>
          </w:p>
        </w:tc>
        <w:tc>
          <w:tcPr>
            <w:tcW w:w="1083" w:type="dxa"/>
            <w:shd w:val="clear" w:color="auto" w:fill="auto"/>
            <w:noWrap/>
          </w:tcPr>
          <w:p w:rsidR="004C035B" w:rsidRPr="008321D1" w:rsidRDefault="004C035B" w:rsidP="00072567">
            <w:pPr>
              <w:jc w:val="right"/>
              <w:rPr>
                <w:color w:val="000000"/>
                <w:sz w:val="19"/>
                <w:szCs w:val="19"/>
                <w:lang w:val="en-CA"/>
              </w:rPr>
            </w:pPr>
            <w:r w:rsidRPr="008321D1">
              <w:rPr>
                <w:sz w:val="19"/>
                <w:szCs w:val="19"/>
              </w:rPr>
              <w:t>0</w:t>
            </w:r>
          </w:p>
        </w:tc>
        <w:tc>
          <w:tcPr>
            <w:tcW w:w="1050" w:type="dxa"/>
            <w:shd w:val="clear" w:color="auto" w:fill="auto"/>
            <w:noWrap/>
          </w:tcPr>
          <w:p w:rsidR="004C035B" w:rsidRPr="008321D1" w:rsidRDefault="004C035B" w:rsidP="00072567">
            <w:pPr>
              <w:jc w:val="right"/>
              <w:rPr>
                <w:sz w:val="19"/>
                <w:szCs w:val="19"/>
                <w:lang w:val="en-CA"/>
              </w:rPr>
            </w:pPr>
            <w:r w:rsidRPr="008321D1">
              <w:rPr>
                <w:sz w:val="19"/>
                <w:szCs w:val="19"/>
              </w:rPr>
              <w:t>0</w:t>
            </w:r>
          </w:p>
        </w:tc>
        <w:tc>
          <w:tcPr>
            <w:tcW w:w="1083" w:type="dxa"/>
            <w:shd w:val="clear" w:color="auto" w:fill="auto"/>
            <w:noWrap/>
          </w:tcPr>
          <w:p w:rsidR="004C035B" w:rsidRPr="008321D1" w:rsidRDefault="004C035B" w:rsidP="00072567">
            <w:pPr>
              <w:jc w:val="right"/>
              <w:rPr>
                <w:sz w:val="19"/>
                <w:szCs w:val="19"/>
                <w:lang w:val="en-CA"/>
              </w:rPr>
            </w:pPr>
            <w:r w:rsidRPr="008321D1">
              <w:rPr>
                <w:sz w:val="19"/>
                <w:szCs w:val="19"/>
              </w:rPr>
              <w:t>2,028,900</w:t>
            </w:r>
          </w:p>
        </w:tc>
        <w:tc>
          <w:tcPr>
            <w:tcW w:w="3357" w:type="dxa"/>
            <w:shd w:val="clear" w:color="auto" w:fill="auto"/>
            <w:noWrap/>
          </w:tcPr>
          <w:p w:rsidR="004C035B" w:rsidRPr="008321D1" w:rsidRDefault="004C035B" w:rsidP="00072567">
            <w:pPr>
              <w:rPr>
                <w:sz w:val="19"/>
                <w:szCs w:val="19"/>
                <w:lang w:val="en-CA"/>
              </w:rPr>
            </w:pPr>
            <w:r w:rsidRPr="008321D1">
              <w:rPr>
                <w:sz w:val="19"/>
                <w:szCs w:val="19"/>
              </w:rPr>
              <w:t>Agreement not signed by the Government.</w:t>
            </w:r>
          </w:p>
        </w:tc>
      </w:tr>
      <w:tr w:rsidR="004C035B" w:rsidRPr="008321D1" w:rsidTr="00AF341D">
        <w:trPr>
          <w:trHeight w:val="425"/>
          <w:jc w:val="center"/>
        </w:trPr>
        <w:tc>
          <w:tcPr>
            <w:tcW w:w="2218" w:type="dxa"/>
            <w:shd w:val="clear" w:color="auto" w:fill="auto"/>
          </w:tcPr>
          <w:p w:rsidR="004C035B" w:rsidRPr="008321D1" w:rsidRDefault="004C035B" w:rsidP="00072567">
            <w:pPr>
              <w:jc w:val="left"/>
              <w:rPr>
                <w:sz w:val="19"/>
                <w:szCs w:val="19"/>
              </w:rPr>
            </w:pPr>
            <w:r w:rsidRPr="008321D1">
              <w:rPr>
                <w:sz w:val="19"/>
                <w:szCs w:val="19"/>
              </w:rPr>
              <w:t>Brazil</w:t>
            </w:r>
          </w:p>
          <w:p w:rsidR="004C035B" w:rsidRPr="008321D1" w:rsidRDefault="004C035B" w:rsidP="00072567">
            <w:pPr>
              <w:jc w:val="left"/>
              <w:rPr>
                <w:sz w:val="19"/>
                <w:szCs w:val="19"/>
                <w:lang w:val="en-CA"/>
              </w:rPr>
            </w:pPr>
            <w:r w:rsidRPr="008321D1">
              <w:rPr>
                <w:sz w:val="19"/>
                <w:szCs w:val="19"/>
              </w:rPr>
              <w:t>(BRA/PHA/75/TAS/313)</w:t>
            </w:r>
          </w:p>
        </w:tc>
        <w:tc>
          <w:tcPr>
            <w:tcW w:w="1274" w:type="dxa"/>
            <w:shd w:val="clear" w:color="auto" w:fill="auto"/>
            <w:noWrap/>
          </w:tcPr>
          <w:p w:rsidR="004C035B" w:rsidRPr="008321D1" w:rsidRDefault="004C035B" w:rsidP="00072567">
            <w:pPr>
              <w:jc w:val="right"/>
              <w:rPr>
                <w:sz w:val="19"/>
                <w:szCs w:val="19"/>
                <w:lang w:val="en-CA"/>
              </w:rPr>
            </w:pPr>
            <w:r w:rsidRPr="008321D1">
              <w:rPr>
                <w:sz w:val="19"/>
                <w:szCs w:val="19"/>
              </w:rPr>
              <w:t>1,050,000</w:t>
            </w:r>
          </w:p>
        </w:tc>
        <w:tc>
          <w:tcPr>
            <w:tcW w:w="1083" w:type="dxa"/>
            <w:shd w:val="clear" w:color="auto" w:fill="auto"/>
            <w:noWrap/>
          </w:tcPr>
          <w:p w:rsidR="004C035B" w:rsidRPr="008321D1" w:rsidRDefault="004C035B" w:rsidP="00072567">
            <w:pPr>
              <w:jc w:val="right"/>
              <w:rPr>
                <w:color w:val="000000"/>
                <w:sz w:val="19"/>
                <w:szCs w:val="19"/>
                <w:lang w:val="en-CA"/>
              </w:rPr>
            </w:pPr>
            <w:r w:rsidRPr="008321D1">
              <w:rPr>
                <w:sz w:val="19"/>
                <w:szCs w:val="19"/>
              </w:rPr>
              <w:t>0</w:t>
            </w:r>
          </w:p>
        </w:tc>
        <w:tc>
          <w:tcPr>
            <w:tcW w:w="1050" w:type="dxa"/>
            <w:shd w:val="clear" w:color="auto" w:fill="auto"/>
            <w:noWrap/>
          </w:tcPr>
          <w:p w:rsidR="004C035B" w:rsidRPr="008321D1" w:rsidRDefault="004C035B" w:rsidP="00072567">
            <w:pPr>
              <w:jc w:val="right"/>
              <w:rPr>
                <w:sz w:val="19"/>
                <w:szCs w:val="19"/>
                <w:lang w:val="en-CA"/>
              </w:rPr>
            </w:pPr>
            <w:r w:rsidRPr="008321D1">
              <w:rPr>
                <w:sz w:val="19"/>
                <w:szCs w:val="19"/>
              </w:rPr>
              <w:t>0</w:t>
            </w:r>
          </w:p>
        </w:tc>
        <w:tc>
          <w:tcPr>
            <w:tcW w:w="1083" w:type="dxa"/>
            <w:shd w:val="clear" w:color="auto" w:fill="auto"/>
            <w:noWrap/>
          </w:tcPr>
          <w:p w:rsidR="004C035B" w:rsidRPr="008321D1" w:rsidRDefault="004C035B" w:rsidP="00072567">
            <w:pPr>
              <w:jc w:val="right"/>
              <w:rPr>
                <w:sz w:val="19"/>
                <w:szCs w:val="19"/>
                <w:lang w:val="en-CA"/>
              </w:rPr>
            </w:pPr>
            <w:r w:rsidRPr="008321D1">
              <w:rPr>
                <w:sz w:val="19"/>
                <w:szCs w:val="19"/>
              </w:rPr>
              <w:t>1,050,000</w:t>
            </w:r>
          </w:p>
        </w:tc>
        <w:tc>
          <w:tcPr>
            <w:tcW w:w="3357" w:type="dxa"/>
            <w:shd w:val="clear" w:color="auto" w:fill="auto"/>
            <w:noWrap/>
          </w:tcPr>
          <w:p w:rsidR="004C035B" w:rsidRPr="008321D1" w:rsidRDefault="004C035B" w:rsidP="00072567">
            <w:pPr>
              <w:rPr>
                <w:color w:val="000000"/>
                <w:sz w:val="19"/>
                <w:szCs w:val="19"/>
                <w:lang w:val="en-CA"/>
              </w:rPr>
            </w:pPr>
            <w:r w:rsidRPr="008321D1">
              <w:rPr>
                <w:sz w:val="19"/>
                <w:szCs w:val="19"/>
              </w:rPr>
              <w:t>Agreement not signed by the Government.</w:t>
            </w:r>
          </w:p>
        </w:tc>
      </w:tr>
      <w:tr w:rsidR="006638DE" w:rsidRPr="008321D1" w:rsidTr="00AF341D">
        <w:trPr>
          <w:trHeight w:val="425"/>
          <w:jc w:val="center"/>
        </w:trPr>
        <w:tc>
          <w:tcPr>
            <w:tcW w:w="2218" w:type="dxa"/>
            <w:shd w:val="clear" w:color="auto" w:fill="auto"/>
          </w:tcPr>
          <w:p w:rsidR="006638DE" w:rsidRPr="008321D1" w:rsidRDefault="006638DE" w:rsidP="006638DE">
            <w:pPr>
              <w:jc w:val="left"/>
              <w:rPr>
                <w:sz w:val="19"/>
                <w:szCs w:val="19"/>
              </w:rPr>
            </w:pPr>
            <w:r w:rsidRPr="008321D1">
              <w:rPr>
                <w:sz w:val="19"/>
                <w:szCs w:val="19"/>
              </w:rPr>
              <w:t>Chile</w:t>
            </w:r>
          </w:p>
          <w:p w:rsidR="006638DE" w:rsidRPr="008321D1" w:rsidRDefault="006638DE" w:rsidP="006638DE">
            <w:pPr>
              <w:jc w:val="left"/>
              <w:rPr>
                <w:sz w:val="19"/>
                <w:szCs w:val="19"/>
              </w:rPr>
            </w:pPr>
            <w:r w:rsidRPr="008321D1">
              <w:rPr>
                <w:sz w:val="19"/>
                <w:szCs w:val="19"/>
              </w:rPr>
              <w:t>CHI/PHA/73/INV/184</w:t>
            </w:r>
          </w:p>
        </w:tc>
        <w:tc>
          <w:tcPr>
            <w:tcW w:w="1274" w:type="dxa"/>
            <w:shd w:val="clear" w:color="auto" w:fill="auto"/>
            <w:noWrap/>
          </w:tcPr>
          <w:p w:rsidR="006638DE" w:rsidRPr="008321D1" w:rsidRDefault="006638DE" w:rsidP="00072567">
            <w:pPr>
              <w:jc w:val="right"/>
              <w:rPr>
                <w:sz w:val="19"/>
                <w:szCs w:val="19"/>
              </w:rPr>
            </w:pPr>
            <w:r w:rsidRPr="008321D1">
              <w:rPr>
                <w:sz w:val="19"/>
                <w:szCs w:val="19"/>
              </w:rPr>
              <w:t>295,744</w:t>
            </w:r>
          </w:p>
        </w:tc>
        <w:tc>
          <w:tcPr>
            <w:tcW w:w="1083" w:type="dxa"/>
            <w:shd w:val="clear" w:color="auto" w:fill="auto"/>
            <w:noWrap/>
          </w:tcPr>
          <w:p w:rsidR="006638DE" w:rsidRPr="008321D1" w:rsidRDefault="006638DE" w:rsidP="00072567">
            <w:pPr>
              <w:jc w:val="right"/>
              <w:rPr>
                <w:sz w:val="19"/>
                <w:szCs w:val="19"/>
              </w:rPr>
            </w:pPr>
            <w:r w:rsidRPr="008321D1">
              <w:rPr>
                <w:sz w:val="19"/>
                <w:szCs w:val="19"/>
              </w:rPr>
              <w:t>0</w:t>
            </w:r>
          </w:p>
        </w:tc>
        <w:tc>
          <w:tcPr>
            <w:tcW w:w="1050" w:type="dxa"/>
            <w:shd w:val="clear" w:color="auto" w:fill="auto"/>
            <w:noWrap/>
          </w:tcPr>
          <w:p w:rsidR="006638DE" w:rsidRPr="008321D1" w:rsidRDefault="006638DE" w:rsidP="00072567">
            <w:pPr>
              <w:jc w:val="right"/>
              <w:rPr>
                <w:sz w:val="19"/>
                <w:szCs w:val="19"/>
              </w:rPr>
            </w:pPr>
            <w:r w:rsidRPr="008321D1">
              <w:rPr>
                <w:sz w:val="19"/>
                <w:szCs w:val="19"/>
              </w:rPr>
              <w:t>0</w:t>
            </w:r>
          </w:p>
        </w:tc>
        <w:tc>
          <w:tcPr>
            <w:tcW w:w="1083" w:type="dxa"/>
            <w:shd w:val="clear" w:color="auto" w:fill="auto"/>
            <w:noWrap/>
          </w:tcPr>
          <w:p w:rsidR="006638DE" w:rsidRPr="008321D1" w:rsidRDefault="006638DE" w:rsidP="00072567">
            <w:pPr>
              <w:jc w:val="right"/>
              <w:rPr>
                <w:sz w:val="19"/>
                <w:szCs w:val="19"/>
              </w:rPr>
            </w:pPr>
            <w:r w:rsidRPr="008321D1">
              <w:rPr>
                <w:sz w:val="19"/>
                <w:szCs w:val="19"/>
              </w:rPr>
              <w:t>295,744</w:t>
            </w:r>
          </w:p>
        </w:tc>
        <w:tc>
          <w:tcPr>
            <w:tcW w:w="3357" w:type="dxa"/>
            <w:shd w:val="clear" w:color="auto" w:fill="auto"/>
            <w:noWrap/>
          </w:tcPr>
          <w:p w:rsidR="006638DE" w:rsidRPr="008321D1" w:rsidRDefault="006638DE" w:rsidP="00072567">
            <w:pPr>
              <w:rPr>
                <w:sz w:val="19"/>
                <w:szCs w:val="19"/>
              </w:rPr>
            </w:pPr>
            <w:r w:rsidRPr="008321D1">
              <w:rPr>
                <w:sz w:val="19"/>
                <w:szCs w:val="19"/>
              </w:rPr>
              <w:t xml:space="preserve">Low disbursement </w:t>
            </w:r>
            <w:r w:rsidR="00436274" w:rsidRPr="008321D1">
              <w:rPr>
                <w:sz w:val="19"/>
                <w:szCs w:val="19"/>
              </w:rPr>
              <w:t xml:space="preserve">rate </w:t>
            </w:r>
            <w:r w:rsidRPr="008321D1">
              <w:rPr>
                <w:sz w:val="19"/>
                <w:szCs w:val="19"/>
              </w:rPr>
              <w:t>of approved funds.</w:t>
            </w:r>
          </w:p>
        </w:tc>
      </w:tr>
      <w:tr w:rsidR="004C035B" w:rsidRPr="008321D1" w:rsidTr="00AF341D">
        <w:trPr>
          <w:trHeight w:val="425"/>
          <w:jc w:val="center"/>
        </w:trPr>
        <w:tc>
          <w:tcPr>
            <w:tcW w:w="2218" w:type="dxa"/>
            <w:shd w:val="clear" w:color="auto" w:fill="auto"/>
          </w:tcPr>
          <w:p w:rsidR="004C035B" w:rsidRPr="008321D1" w:rsidRDefault="004C035B" w:rsidP="00072567">
            <w:pPr>
              <w:jc w:val="left"/>
              <w:rPr>
                <w:sz w:val="19"/>
                <w:szCs w:val="19"/>
              </w:rPr>
            </w:pPr>
            <w:r w:rsidRPr="008321D1">
              <w:rPr>
                <w:sz w:val="19"/>
                <w:szCs w:val="19"/>
              </w:rPr>
              <w:t>China</w:t>
            </w:r>
          </w:p>
          <w:p w:rsidR="004C035B" w:rsidRPr="008321D1" w:rsidRDefault="004C035B" w:rsidP="00072567">
            <w:pPr>
              <w:jc w:val="left"/>
              <w:rPr>
                <w:sz w:val="19"/>
                <w:szCs w:val="19"/>
                <w:lang w:val="en-CA"/>
              </w:rPr>
            </w:pPr>
            <w:r w:rsidRPr="008321D1">
              <w:rPr>
                <w:sz w:val="19"/>
                <w:szCs w:val="19"/>
              </w:rPr>
              <w:t>(CPR/PHA/71/INV/534)</w:t>
            </w:r>
          </w:p>
        </w:tc>
        <w:tc>
          <w:tcPr>
            <w:tcW w:w="1274" w:type="dxa"/>
            <w:shd w:val="clear" w:color="auto" w:fill="auto"/>
            <w:noWrap/>
          </w:tcPr>
          <w:p w:rsidR="004C035B" w:rsidRPr="008321D1" w:rsidRDefault="004C035B" w:rsidP="00072567">
            <w:pPr>
              <w:jc w:val="right"/>
              <w:rPr>
                <w:sz w:val="19"/>
                <w:szCs w:val="19"/>
                <w:lang w:val="en-CA"/>
              </w:rPr>
            </w:pPr>
            <w:r w:rsidRPr="008321D1">
              <w:rPr>
                <w:sz w:val="19"/>
                <w:szCs w:val="19"/>
              </w:rPr>
              <w:t>8,495,000</w:t>
            </w:r>
          </w:p>
        </w:tc>
        <w:tc>
          <w:tcPr>
            <w:tcW w:w="1083" w:type="dxa"/>
            <w:shd w:val="clear" w:color="auto" w:fill="auto"/>
            <w:noWrap/>
          </w:tcPr>
          <w:p w:rsidR="004C035B" w:rsidRPr="008321D1" w:rsidRDefault="004C035B" w:rsidP="00072567">
            <w:pPr>
              <w:jc w:val="right"/>
              <w:rPr>
                <w:color w:val="000000"/>
                <w:sz w:val="19"/>
                <w:szCs w:val="19"/>
                <w:lang w:val="en-CA"/>
              </w:rPr>
            </w:pPr>
            <w:r w:rsidRPr="008321D1">
              <w:rPr>
                <w:sz w:val="19"/>
                <w:szCs w:val="19"/>
              </w:rPr>
              <w:t>8,424,373</w:t>
            </w:r>
          </w:p>
        </w:tc>
        <w:tc>
          <w:tcPr>
            <w:tcW w:w="1050" w:type="dxa"/>
            <w:shd w:val="clear" w:color="auto" w:fill="auto"/>
            <w:noWrap/>
          </w:tcPr>
          <w:p w:rsidR="004C035B" w:rsidRPr="008321D1" w:rsidRDefault="004C035B" w:rsidP="00072567">
            <w:pPr>
              <w:jc w:val="right"/>
              <w:rPr>
                <w:sz w:val="19"/>
                <w:szCs w:val="19"/>
                <w:lang w:val="en-CA"/>
              </w:rPr>
            </w:pPr>
            <w:r w:rsidRPr="008321D1">
              <w:rPr>
                <w:sz w:val="19"/>
                <w:szCs w:val="19"/>
              </w:rPr>
              <w:t>99</w:t>
            </w:r>
          </w:p>
        </w:tc>
        <w:tc>
          <w:tcPr>
            <w:tcW w:w="1083" w:type="dxa"/>
            <w:shd w:val="clear" w:color="auto" w:fill="auto"/>
            <w:noWrap/>
          </w:tcPr>
          <w:p w:rsidR="004C035B" w:rsidRPr="008321D1" w:rsidRDefault="004C035B" w:rsidP="00072567">
            <w:pPr>
              <w:jc w:val="right"/>
              <w:rPr>
                <w:sz w:val="19"/>
                <w:szCs w:val="19"/>
                <w:lang w:val="en-CA"/>
              </w:rPr>
            </w:pPr>
            <w:r w:rsidRPr="008321D1">
              <w:rPr>
                <w:sz w:val="19"/>
                <w:szCs w:val="19"/>
              </w:rPr>
              <w:t>70,627</w:t>
            </w:r>
          </w:p>
        </w:tc>
        <w:tc>
          <w:tcPr>
            <w:tcW w:w="3357" w:type="dxa"/>
            <w:shd w:val="clear" w:color="auto" w:fill="auto"/>
            <w:noWrap/>
          </w:tcPr>
          <w:p w:rsidR="004C035B" w:rsidRPr="008321D1" w:rsidRDefault="00137953" w:rsidP="00072567">
            <w:pPr>
              <w:rPr>
                <w:sz w:val="19"/>
                <w:szCs w:val="19"/>
                <w:lang w:val="en-CA"/>
              </w:rPr>
            </w:pPr>
            <w:r w:rsidRPr="008321D1">
              <w:rPr>
                <w:sz w:val="19"/>
                <w:szCs w:val="19"/>
              </w:rPr>
              <w:t>D</w:t>
            </w:r>
            <w:r w:rsidR="004C035B" w:rsidRPr="008321D1">
              <w:rPr>
                <w:sz w:val="19"/>
                <w:szCs w:val="19"/>
              </w:rPr>
              <w:t>isbursement of operating costs.</w:t>
            </w:r>
          </w:p>
        </w:tc>
      </w:tr>
      <w:tr w:rsidR="004C035B" w:rsidRPr="008321D1" w:rsidTr="00AF341D">
        <w:trPr>
          <w:trHeight w:val="425"/>
          <w:jc w:val="center"/>
        </w:trPr>
        <w:tc>
          <w:tcPr>
            <w:tcW w:w="2218" w:type="dxa"/>
            <w:shd w:val="clear" w:color="auto" w:fill="auto"/>
          </w:tcPr>
          <w:p w:rsidR="004C035B" w:rsidRPr="008321D1" w:rsidRDefault="004C035B" w:rsidP="00072567">
            <w:pPr>
              <w:jc w:val="left"/>
              <w:rPr>
                <w:sz w:val="19"/>
                <w:szCs w:val="19"/>
              </w:rPr>
            </w:pPr>
            <w:r w:rsidRPr="008321D1">
              <w:rPr>
                <w:sz w:val="19"/>
                <w:szCs w:val="19"/>
              </w:rPr>
              <w:t>Ghana</w:t>
            </w:r>
          </w:p>
          <w:p w:rsidR="004C035B" w:rsidRPr="008321D1" w:rsidRDefault="004C035B" w:rsidP="00072567">
            <w:pPr>
              <w:jc w:val="left"/>
              <w:rPr>
                <w:sz w:val="19"/>
                <w:szCs w:val="19"/>
                <w:lang w:val="es-ES"/>
              </w:rPr>
            </w:pPr>
            <w:r w:rsidRPr="008321D1">
              <w:rPr>
                <w:sz w:val="19"/>
                <w:szCs w:val="19"/>
              </w:rPr>
              <w:t>(GHA/PHA/67/INV/34)</w:t>
            </w:r>
          </w:p>
        </w:tc>
        <w:tc>
          <w:tcPr>
            <w:tcW w:w="1274" w:type="dxa"/>
            <w:shd w:val="clear" w:color="auto" w:fill="auto"/>
            <w:noWrap/>
          </w:tcPr>
          <w:p w:rsidR="004C035B" w:rsidRPr="008321D1" w:rsidRDefault="004C035B" w:rsidP="00072567">
            <w:pPr>
              <w:jc w:val="right"/>
              <w:rPr>
                <w:sz w:val="19"/>
                <w:szCs w:val="19"/>
                <w:lang w:val="en-CA"/>
              </w:rPr>
            </w:pPr>
            <w:r w:rsidRPr="008321D1">
              <w:rPr>
                <w:sz w:val="19"/>
                <w:szCs w:val="19"/>
              </w:rPr>
              <w:t>200,000</w:t>
            </w:r>
          </w:p>
        </w:tc>
        <w:tc>
          <w:tcPr>
            <w:tcW w:w="1083" w:type="dxa"/>
            <w:shd w:val="clear" w:color="auto" w:fill="auto"/>
            <w:noWrap/>
          </w:tcPr>
          <w:p w:rsidR="004C035B" w:rsidRPr="008321D1" w:rsidRDefault="004C035B" w:rsidP="00072567">
            <w:pPr>
              <w:jc w:val="right"/>
              <w:rPr>
                <w:color w:val="000000"/>
                <w:sz w:val="19"/>
                <w:szCs w:val="19"/>
                <w:lang w:val="en-CA"/>
              </w:rPr>
            </w:pPr>
            <w:r w:rsidRPr="008321D1">
              <w:rPr>
                <w:sz w:val="19"/>
                <w:szCs w:val="19"/>
              </w:rPr>
              <w:t>130,000</w:t>
            </w:r>
          </w:p>
        </w:tc>
        <w:tc>
          <w:tcPr>
            <w:tcW w:w="1050" w:type="dxa"/>
            <w:shd w:val="clear" w:color="auto" w:fill="auto"/>
            <w:noWrap/>
          </w:tcPr>
          <w:p w:rsidR="004C035B" w:rsidRPr="008321D1" w:rsidRDefault="004C035B" w:rsidP="00072567">
            <w:pPr>
              <w:jc w:val="right"/>
              <w:rPr>
                <w:sz w:val="19"/>
                <w:szCs w:val="19"/>
                <w:lang w:val="en-CA"/>
              </w:rPr>
            </w:pPr>
            <w:r w:rsidRPr="008321D1">
              <w:rPr>
                <w:sz w:val="19"/>
                <w:szCs w:val="19"/>
              </w:rPr>
              <w:t>65</w:t>
            </w:r>
          </w:p>
        </w:tc>
        <w:tc>
          <w:tcPr>
            <w:tcW w:w="1083" w:type="dxa"/>
            <w:shd w:val="clear" w:color="auto" w:fill="auto"/>
            <w:noWrap/>
          </w:tcPr>
          <w:p w:rsidR="004C035B" w:rsidRPr="008321D1" w:rsidRDefault="004C035B" w:rsidP="00072567">
            <w:pPr>
              <w:jc w:val="right"/>
              <w:rPr>
                <w:sz w:val="19"/>
                <w:szCs w:val="19"/>
                <w:lang w:val="en-CA"/>
              </w:rPr>
            </w:pPr>
            <w:r w:rsidRPr="008321D1">
              <w:rPr>
                <w:sz w:val="19"/>
                <w:szCs w:val="19"/>
              </w:rPr>
              <w:t>70,000</w:t>
            </w:r>
          </w:p>
        </w:tc>
        <w:tc>
          <w:tcPr>
            <w:tcW w:w="3357" w:type="dxa"/>
            <w:shd w:val="clear" w:color="auto" w:fill="auto"/>
            <w:noWrap/>
          </w:tcPr>
          <w:p w:rsidR="004C035B" w:rsidRPr="008321D1" w:rsidRDefault="004C035B" w:rsidP="00072567">
            <w:pPr>
              <w:rPr>
                <w:sz w:val="19"/>
                <w:szCs w:val="19"/>
                <w:lang w:val="en-CA"/>
              </w:rPr>
            </w:pPr>
            <w:r w:rsidRPr="008321D1">
              <w:rPr>
                <w:sz w:val="19"/>
                <w:szCs w:val="19"/>
              </w:rPr>
              <w:t>Delay in the delivery of the equipment.</w:t>
            </w:r>
          </w:p>
        </w:tc>
      </w:tr>
      <w:tr w:rsidR="004C035B" w:rsidRPr="008321D1" w:rsidTr="00AF341D">
        <w:trPr>
          <w:trHeight w:val="425"/>
          <w:jc w:val="center"/>
        </w:trPr>
        <w:tc>
          <w:tcPr>
            <w:tcW w:w="2218" w:type="dxa"/>
            <w:shd w:val="clear" w:color="auto" w:fill="auto"/>
          </w:tcPr>
          <w:p w:rsidR="004C035B" w:rsidRPr="008321D1" w:rsidRDefault="004C035B" w:rsidP="00072567">
            <w:pPr>
              <w:jc w:val="left"/>
              <w:rPr>
                <w:sz w:val="19"/>
                <w:szCs w:val="19"/>
              </w:rPr>
            </w:pPr>
            <w:r w:rsidRPr="008321D1">
              <w:rPr>
                <w:sz w:val="19"/>
                <w:szCs w:val="19"/>
              </w:rPr>
              <w:t>Iran</w:t>
            </w:r>
            <w:r w:rsidR="00AF341D" w:rsidRPr="008321D1">
              <w:rPr>
                <w:sz w:val="19"/>
                <w:szCs w:val="19"/>
              </w:rPr>
              <w:t xml:space="preserve"> (Islamic Republic of)</w:t>
            </w:r>
          </w:p>
          <w:p w:rsidR="004C035B" w:rsidRPr="008321D1" w:rsidRDefault="004C035B" w:rsidP="00072567">
            <w:pPr>
              <w:jc w:val="left"/>
              <w:rPr>
                <w:sz w:val="19"/>
                <w:szCs w:val="19"/>
                <w:lang w:val="en-CA"/>
              </w:rPr>
            </w:pPr>
            <w:r w:rsidRPr="008321D1">
              <w:rPr>
                <w:sz w:val="19"/>
                <w:szCs w:val="19"/>
              </w:rPr>
              <w:t>(IRA/PHA/74/INV/219)</w:t>
            </w:r>
          </w:p>
        </w:tc>
        <w:tc>
          <w:tcPr>
            <w:tcW w:w="1274" w:type="dxa"/>
            <w:shd w:val="clear" w:color="auto" w:fill="auto"/>
            <w:noWrap/>
          </w:tcPr>
          <w:p w:rsidR="004C035B" w:rsidRPr="008321D1" w:rsidRDefault="004C035B" w:rsidP="00072567">
            <w:pPr>
              <w:jc w:val="right"/>
              <w:rPr>
                <w:sz w:val="19"/>
                <w:szCs w:val="19"/>
                <w:lang w:val="en-CA"/>
              </w:rPr>
            </w:pPr>
            <w:r w:rsidRPr="008321D1">
              <w:rPr>
                <w:sz w:val="19"/>
                <w:szCs w:val="19"/>
              </w:rPr>
              <w:t>250,430</w:t>
            </w:r>
          </w:p>
        </w:tc>
        <w:tc>
          <w:tcPr>
            <w:tcW w:w="1083" w:type="dxa"/>
            <w:shd w:val="clear" w:color="auto" w:fill="auto"/>
            <w:noWrap/>
          </w:tcPr>
          <w:p w:rsidR="004C035B" w:rsidRPr="008321D1" w:rsidRDefault="004C035B" w:rsidP="00072567">
            <w:pPr>
              <w:jc w:val="right"/>
              <w:rPr>
                <w:color w:val="000000"/>
                <w:sz w:val="19"/>
                <w:szCs w:val="19"/>
                <w:lang w:val="en-CA"/>
              </w:rPr>
            </w:pPr>
            <w:r w:rsidRPr="008321D1">
              <w:rPr>
                <w:sz w:val="19"/>
                <w:szCs w:val="19"/>
              </w:rPr>
              <w:t>52,638</w:t>
            </w:r>
          </w:p>
        </w:tc>
        <w:tc>
          <w:tcPr>
            <w:tcW w:w="1050" w:type="dxa"/>
            <w:shd w:val="clear" w:color="auto" w:fill="auto"/>
            <w:noWrap/>
          </w:tcPr>
          <w:p w:rsidR="004C035B" w:rsidRPr="008321D1" w:rsidRDefault="004C035B" w:rsidP="00072567">
            <w:pPr>
              <w:jc w:val="right"/>
              <w:rPr>
                <w:sz w:val="19"/>
                <w:szCs w:val="19"/>
                <w:lang w:val="en-CA"/>
              </w:rPr>
            </w:pPr>
            <w:r w:rsidRPr="008321D1">
              <w:rPr>
                <w:sz w:val="19"/>
                <w:szCs w:val="19"/>
              </w:rPr>
              <w:t>21</w:t>
            </w:r>
          </w:p>
        </w:tc>
        <w:tc>
          <w:tcPr>
            <w:tcW w:w="1083" w:type="dxa"/>
            <w:shd w:val="clear" w:color="auto" w:fill="auto"/>
            <w:noWrap/>
          </w:tcPr>
          <w:p w:rsidR="004C035B" w:rsidRPr="008321D1" w:rsidRDefault="004C035B" w:rsidP="00072567">
            <w:pPr>
              <w:jc w:val="right"/>
              <w:rPr>
                <w:sz w:val="19"/>
                <w:szCs w:val="19"/>
                <w:lang w:val="en-CA"/>
              </w:rPr>
            </w:pPr>
            <w:r w:rsidRPr="008321D1">
              <w:rPr>
                <w:sz w:val="19"/>
                <w:szCs w:val="19"/>
              </w:rPr>
              <w:t>197,792</w:t>
            </w:r>
          </w:p>
        </w:tc>
        <w:tc>
          <w:tcPr>
            <w:tcW w:w="3357" w:type="dxa"/>
            <w:shd w:val="clear" w:color="auto" w:fill="auto"/>
            <w:noWrap/>
          </w:tcPr>
          <w:p w:rsidR="004C035B" w:rsidRPr="008321D1" w:rsidRDefault="00AF341D" w:rsidP="00072567">
            <w:pPr>
              <w:rPr>
                <w:sz w:val="19"/>
                <w:szCs w:val="19"/>
                <w:lang w:val="en-CA"/>
              </w:rPr>
            </w:pPr>
            <w:r w:rsidRPr="008321D1">
              <w:rPr>
                <w:sz w:val="19"/>
                <w:szCs w:val="19"/>
              </w:rPr>
              <w:t>Project management unit</w:t>
            </w:r>
            <w:r w:rsidR="004C035B" w:rsidRPr="008321D1">
              <w:rPr>
                <w:sz w:val="19"/>
                <w:szCs w:val="19"/>
              </w:rPr>
              <w:t xml:space="preserve"> activities not indicated.</w:t>
            </w:r>
          </w:p>
        </w:tc>
      </w:tr>
      <w:tr w:rsidR="004C035B" w:rsidRPr="008321D1" w:rsidTr="00AF341D">
        <w:trPr>
          <w:trHeight w:val="470"/>
          <w:jc w:val="center"/>
        </w:trPr>
        <w:tc>
          <w:tcPr>
            <w:tcW w:w="2218" w:type="dxa"/>
            <w:shd w:val="clear" w:color="auto" w:fill="auto"/>
          </w:tcPr>
          <w:p w:rsidR="004C035B" w:rsidRPr="008321D1" w:rsidRDefault="004C035B" w:rsidP="00072567">
            <w:pPr>
              <w:jc w:val="left"/>
              <w:rPr>
                <w:sz w:val="19"/>
                <w:szCs w:val="19"/>
              </w:rPr>
            </w:pPr>
            <w:r w:rsidRPr="008321D1">
              <w:rPr>
                <w:sz w:val="19"/>
                <w:szCs w:val="19"/>
              </w:rPr>
              <w:t>Nepal</w:t>
            </w:r>
          </w:p>
          <w:p w:rsidR="004C035B" w:rsidRPr="008321D1" w:rsidRDefault="004C035B" w:rsidP="00072567">
            <w:pPr>
              <w:jc w:val="left"/>
              <w:rPr>
                <w:sz w:val="19"/>
                <w:szCs w:val="19"/>
                <w:lang w:val="en-CA"/>
              </w:rPr>
            </w:pPr>
            <w:r w:rsidRPr="008321D1">
              <w:rPr>
                <w:sz w:val="19"/>
                <w:szCs w:val="19"/>
              </w:rPr>
              <w:t>(NEP/PHA/66/INV/30)</w:t>
            </w:r>
          </w:p>
        </w:tc>
        <w:tc>
          <w:tcPr>
            <w:tcW w:w="1274" w:type="dxa"/>
            <w:shd w:val="clear" w:color="auto" w:fill="auto"/>
            <w:noWrap/>
          </w:tcPr>
          <w:p w:rsidR="004C035B" w:rsidRPr="008321D1" w:rsidRDefault="004C035B" w:rsidP="00072567">
            <w:pPr>
              <w:jc w:val="right"/>
              <w:rPr>
                <w:sz w:val="19"/>
                <w:szCs w:val="19"/>
                <w:lang w:val="en-CA"/>
              </w:rPr>
            </w:pPr>
            <w:r w:rsidRPr="008321D1">
              <w:rPr>
                <w:sz w:val="19"/>
                <w:szCs w:val="19"/>
              </w:rPr>
              <w:t>42,000</w:t>
            </w:r>
          </w:p>
        </w:tc>
        <w:tc>
          <w:tcPr>
            <w:tcW w:w="1083" w:type="dxa"/>
            <w:shd w:val="clear" w:color="auto" w:fill="auto"/>
            <w:noWrap/>
          </w:tcPr>
          <w:p w:rsidR="004C035B" w:rsidRPr="008321D1" w:rsidRDefault="004C035B" w:rsidP="00072567">
            <w:pPr>
              <w:jc w:val="right"/>
              <w:rPr>
                <w:color w:val="000000"/>
                <w:sz w:val="19"/>
                <w:szCs w:val="19"/>
                <w:lang w:val="en-CA"/>
              </w:rPr>
            </w:pPr>
            <w:r w:rsidRPr="008321D1">
              <w:rPr>
                <w:sz w:val="19"/>
                <w:szCs w:val="19"/>
              </w:rPr>
              <w:t>8,000</w:t>
            </w:r>
          </w:p>
        </w:tc>
        <w:tc>
          <w:tcPr>
            <w:tcW w:w="1050" w:type="dxa"/>
            <w:shd w:val="clear" w:color="auto" w:fill="auto"/>
            <w:noWrap/>
          </w:tcPr>
          <w:p w:rsidR="004C035B" w:rsidRPr="008321D1" w:rsidRDefault="004C035B" w:rsidP="00072567">
            <w:pPr>
              <w:jc w:val="right"/>
              <w:rPr>
                <w:sz w:val="19"/>
                <w:szCs w:val="19"/>
                <w:lang w:val="en-CA"/>
              </w:rPr>
            </w:pPr>
            <w:r w:rsidRPr="008321D1">
              <w:rPr>
                <w:sz w:val="19"/>
                <w:szCs w:val="19"/>
              </w:rPr>
              <w:t>19</w:t>
            </w:r>
          </w:p>
        </w:tc>
        <w:tc>
          <w:tcPr>
            <w:tcW w:w="1083" w:type="dxa"/>
            <w:shd w:val="clear" w:color="auto" w:fill="auto"/>
            <w:noWrap/>
          </w:tcPr>
          <w:p w:rsidR="004C035B" w:rsidRPr="008321D1" w:rsidRDefault="004C035B" w:rsidP="00072567">
            <w:pPr>
              <w:jc w:val="right"/>
              <w:rPr>
                <w:sz w:val="19"/>
                <w:szCs w:val="19"/>
                <w:lang w:val="en-CA"/>
              </w:rPr>
            </w:pPr>
            <w:r w:rsidRPr="008321D1">
              <w:rPr>
                <w:sz w:val="19"/>
                <w:szCs w:val="19"/>
              </w:rPr>
              <w:t>34,000</w:t>
            </w:r>
          </w:p>
        </w:tc>
        <w:tc>
          <w:tcPr>
            <w:tcW w:w="3357" w:type="dxa"/>
            <w:shd w:val="clear" w:color="auto" w:fill="auto"/>
            <w:noWrap/>
          </w:tcPr>
          <w:p w:rsidR="004C035B" w:rsidRPr="008321D1" w:rsidRDefault="004C035B" w:rsidP="00072567">
            <w:pPr>
              <w:rPr>
                <w:color w:val="000000"/>
                <w:sz w:val="19"/>
                <w:szCs w:val="19"/>
                <w:lang w:val="en-CA"/>
              </w:rPr>
            </w:pPr>
            <w:r w:rsidRPr="008321D1">
              <w:rPr>
                <w:sz w:val="19"/>
                <w:szCs w:val="19"/>
              </w:rPr>
              <w:t>Delay in the delivery of the equipment.</w:t>
            </w:r>
          </w:p>
        </w:tc>
      </w:tr>
      <w:tr w:rsidR="004C035B" w:rsidRPr="008321D1" w:rsidTr="00AF341D">
        <w:trPr>
          <w:trHeight w:val="425"/>
          <w:jc w:val="center"/>
        </w:trPr>
        <w:tc>
          <w:tcPr>
            <w:tcW w:w="2218" w:type="dxa"/>
            <w:shd w:val="clear" w:color="auto" w:fill="auto"/>
          </w:tcPr>
          <w:p w:rsidR="004C035B" w:rsidRPr="008321D1" w:rsidRDefault="004C035B" w:rsidP="00072567">
            <w:pPr>
              <w:jc w:val="left"/>
              <w:rPr>
                <w:sz w:val="19"/>
                <w:szCs w:val="19"/>
                <w:lang w:val="es-ES"/>
              </w:rPr>
            </w:pPr>
            <w:r w:rsidRPr="008321D1">
              <w:rPr>
                <w:sz w:val="19"/>
                <w:szCs w:val="19"/>
              </w:rPr>
              <w:t>Nigeria (NIR/PHA/71/INV/135)</w:t>
            </w:r>
          </w:p>
        </w:tc>
        <w:tc>
          <w:tcPr>
            <w:tcW w:w="1274" w:type="dxa"/>
            <w:shd w:val="clear" w:color="auto" w:fill="auto"/>
            <w:noWrap/>
          </w:tcPr>
          <w:p w:rsidR="004C035B" w:rsidRPr="008321D1" w:rsidRDefault="004C035B" w:rsidP="00072567">
            <w:pPr>
              <w:jc w:val="right"/>
              <w:rPr>
                <w:sz w:val="19"/>
                <w:szCs w:val="19"/>
                <w:lang w:val="en-CA"/>
              </w:rPr>
            </w:pPr>
            <w:r w:rsidRPr="008321D1">
              <w:rPr>
                <w:sz w:val="19"/>
                <w:szCs w:val="19"/>
              </w:rPr>
              <w:t>503,829</w:t>
            </w:r>
          </w:p>
        </w:tc>
        <w:tc>
          <w:tcPr>
            <w:tcW w:w="1083" w:type="dxa"/>
            <w:shd w:val="clear" w:color="auto" w:fill="auto"/>
            <w:noWrap/>
          </w:tcPr>
          <w:p w:rsidR="004C035B" w:rsidRPr="008321D1" w:rsidRDefault="004C035B" w:rsidP="00072567">
            <w:pPr>
              <w:jc w:val="right"/>
              <w:rPr>
                <w:color w:val="000000"/>
                <w:sz w:val="19"/>
                <w:szCs w:val="19"/>
                <w:lang w:val="en-CA"/>
              </w:rPr>
            </w:pPr>
            <w:r w:rsidRPr="008321D1">
              <w:rPr>
                <w:sz w:val="19"/>
                <w:szCs w:val="19"/>
              </w:rPr>
              <w:t>232,842</w:t>
            </w:r>
          </w:p>
        </w:tc>
        <w:tc>
          <w:tcPr>
            <w:tcW w:w="1050" w:type="dxa"/>
            <w:shd w:val="clear" w:color="auto" w:fill="auto"/>
            <w:noWrap/>
          </w:tcPr>
          <w:p w:rsidR="004C035B" w:rsidRPr="008321D1" w:rsidRDefault="004C035B" w:rsidP="00072567">
            <w:pPr>
              <w:jc w:val="right"/>
              <w:rPr>
                <w:sz w:val="19"/>
                <w:szCs w:val="19"/>
                <w:lang w:val="en-CA"/>
              </w:rPr>
            </w:pPr>
            <w:r w:rsidRPr="008321D1">
              <w:rPr>
                <w:sz w:val="19"/>
                <w:szCs w:val="19"/>
              </w:rPr>
              <w:t>46</w:t>
            </w:r>
          </w:p>
        </w:tc>
        <w:tc>
          <w:tcPr>
            <w:tcW w:w="1083" w:type="dxa"/>
            <w:shd w:val="clear" w:color="auto" w:fill="auto"/>
            <w:noWrap/>
          </w:tcPr>
          <w:p w:rsidR="004C035B" w:rsidRPr="008321D1" w:rsidRDefault="004C035B" w:rsidP="00072567">
            <w:pPr>
              <w:jc w:val="right"/>
              <w:rPr>
                <w:sz w:val="19"/>
                <w:szCs w:val="19"/>
                <w:lang w:val="en-CA"/>
              </w:rPr>
            </w:pPr>
            <w:r w:rsidRPr="008321D1">
              <w:rPr>
                <w:sz w:val="19"/>
                <w:szCs w:val="19"/>
              </w:rPr>
              <w:t>270,987</w:t>
            </w:r>
          </w:p>
        </w:tc>
        <w:tc>
          <w:tcPr>
            <w:tcW w:w="3357" w:type="dxa"/>
            <w:shd w:val="clear" w:color="auto" w:fill="auto"/>
            <w:noWrap/>
          </w:tcPr>
          <w:p w:rsidR="004C035B" w:rsidRPr="008321D1" w:rsidRDefault="004C035B" w:rsidP="00072567">
            <w:pPr>
              <w:rPr>
                <w:sz w:val="19"/>
                <w:szCs w:val="19"/>
                <w:lang w:val="en-CA"/>
              </w:rPr>
            </w:pPr>
            <w:r w:rsidRPr="008321D1">
              <w:rPr>
                <w:sz w:val="19"/>
                <w:szCs w:val="19"/>
              </w:rPr>
              <w:t>Delay in establishing the licensing process for the pilot plant.</w:t>
            </w:r>
          </w:p>
        </w:tc>
      </w:tr>
      <w:tr w:rsidR="004C035B" w:rsidRPr="008321D1" w:rsidTr="00AF341D">
        <w:trPr>
          <w:trHeight w:val="425"/>
          <w:jc w:val="center"/>
        </w:trPr>
        <w:tc>
          <w:tcPr>
            <w:tcW w:w="2218" w:type="dxa"/>
            <w:shd w:val="clear" w:color="auto" w:fill="auto"/>
          </w:tcPr>
          <w:p w:rsidR="004C035B" w:rsidRPr="008321D1" w:rsidRDefault="004C035B" w:rsidP="00072567">
            <w:pPr>
              <w:jc w:val="left"/>
              <w:rPr>
                <w:sz w:val="19"/>
                <w:szCs w:val="19"/>
                <w:lang w:val="en-CA"/>
              </w:rPr>
            </w:pPr>
            <w:r w:rsidRPr="008321D1">
              <w:rPr>
                <w:sz w:val="19"/>
                <w:szCs w:val="19"/>
              </w:rPr>
              <w:t>Saint Kitts and Nevis (STK/PHA/64/TAS/16)</w:t>
            </w:r>
          </w:p>
        </w:tc>
        <w:tc>
          <w:tcPr>
            <w:tcW w:w="1274" w:type="dxa"/>
            <w:shd w:val="clear" w:color="auto" w:fill="auto"/>
            <w:noWrap/>
          </w:tcPr>
          <w:p w:rsidR="004C035B" w:rsidRPr="008321D1" w:rsidRDefault="004C035B" w:rsidP="00072567">
            <w:pPr>
              <w:jc w:val="right"/>
              <w:rPr>
                <w:sz w:val="19"/>
                <w:szCs w:val="19"/>
                <w:lang w:val="en-CA"/>
              </w:rPr>
            </w:pPr>
            <w:r w:rsidRPr="008321D1">
              <w:rPr>
                <w:sz w:val="19"/>
                <w:szCs w:val="19"/>
              </w:rPr>
              <w:t>40,000</w:t>
            </w:r>
          </w:p>
        </w:tc>
        <w:tc>
          <w:tcPr>
            <w:tcW w:w="1083" w:type="dxa"/>
            <w:shd w:val="clear" w:color="auto" w:fill="auto"/>
            <w:noWrap/>
          </w:tcPr>
          <w:p w:rsidR="004C035B" w:rsidRPr="008321D1" w:rsidRDefault="004C035B" w:rsidP="00072567">
            <w:pPr>
              <w:jc w:val="right"/>
              <w:rPr>
                <w:color w:val="000000"/>
                <w:sz w:val="19"/>
                <w:szCs w:val="19"/>
                <w:lang w:val="en-CA"/>
              </w:rPr>
            </w:pPr>
            <w:r w:rsidRPr="008321D1">
              <w:rPr>
                <w:sz w:val="19"/>
                <w:szCs w:val="19"/>
              </w:rPr>
              <w:t>0</w:t>
            </w:r>
          </w:p>
        </w:tc>
        <w:tc>
          <w:tcPr>
            <w:tcW w:w="1050" w:type="dxa"/>
            <w:shd w:val="clear" w:color="auto" w:fill="auto"/>
            <w:noWrap/>
          </w:tcPr>
          <w:p w:rsidR="004C035B" w:rsidRPr="008321D1" w:rsidRDefault="004C035B" w:rsidP="00072567">
            <w:pPr>
              <w:jc w:val="right"/>
              <w:rPr>
                <w:sz w:val="19"/>
                <w:szCs w:val="19"/>
                <w:lang w:val="en-CA"/>
              </w:rPr>
            </w:pPr>
            <w:r w:rsidRPr="008321D1">
              <w:rPr>
                <w:sz w:val="19"/>
                <w:szCs w:val="19"/>
              </w:rPr>
              <w:t>0</w:t>
            </w:r>
          </w:p>
        </w:tc>
        <w:tc>
          <w:tcPr>
            <w:tcW w:w="1083" w:type="dxa"/>
            <w:shd w:val="clear" w:color="auto" w:fill="auto"/>
            <w:noWrap/>
          </w:tcPr>
          <w:p w:rsidR="004C035B" w:rsidRPr="008321D1" w:rsidRDefault="004C035B" w:rsidP="00072567">
            <w:pPr>
              <w:jc w:val="right"/>
              <w:rPr>
                <w:sz w:val="19"/>
                <w:szCs w:val="19"/>
                <w:lang w:val="en-CA"/>
              </w:rPr>
            </w:pPr>
            <w:r w:rsidRPr="008321D1">
              <w:rPr>
                <w:sz w:val="19"/>
                <w:szCs w:val="19"/>
              </w:rPr>
              <w:t>40,000</w:t>
            </w:r>
          </w:p>
        </w:tc>
        <w:tc>
          <w:tcPr>
            <w:tcW w:w="3357" w:type="dxa"/>
            <w:shd w:val="clear" w:color="auto" w:fill="auto"/>
            <w:noWrap/>
          </w:tcPr>
          <w:p w:rsidR="004C035B" w:rsidRPr="008321D1" w:rsidRDefault="004C035B" w:rsidP="00072567">
            <w:pPr>
              <w:rPr>
                <w:sz w:val="19"/>
                <w:szCs w:val="19"/>
                <w:lang w:val="en-CA"/>
              </w:rPr>
            </w:pPr>
            <w:r w:rsidRPr="008321D1">
              <w:rPr>
                <w:sz w:val="19"/>
                <w:szCs w:val="19"/>
              </w:rPr>
              <w:t>Agreement not signed by the Government.</w:t>
            </w:r>
          </w:p>
        </w:tc>
      </w:tr>
    </w:tbl>
    <w:p w:rsidR="001F3304" w:rsidRPr="008321D1" w:rsidRDefault="001F3304" w:rsidP="00072567">
      <w:pPr>
        <w:pStyle w:val="Heading1"/>
        <w:numPr>
          <w:ilvl w:val="0"/>
          <w:numId w:val="0"/>
        </w:numPr>
        <w:spacing w:after="0"/>
        <w:rPr>
          <w:snapToGrid w:val="0"/>
          <w:lang w:val="en-CA"/>
        </w:rPr>
      </w:pPr>
    </w:p>
    <w:p w:rsidR="00263137" w:rsidRPr="008321D1" w:rsidRDefault="001F3304" w:rsidP="00072567">
      <w:pPr>
        <w:pStyle w:val="Heading1"/>
        <w:rPr>
          <w:snapToGrid w:val="0"/>
          <w:lang w:val="en-CA"/>
        </w:rPr>
      </w:pPr>
      <w:r w:rsidRPr="008321D1">
        <w:rPr>
          <w:snapToGrid w:val="0"/>
          <w:lang w:val="en-CA"/>
        </w:rPr>
        <w:t>The Executive Committee may wish to request UNEP to submit status reports to the 78</w:t>
      </w:r>
      <w:r w:rsidRPr="008321D1">
        <w:rPr>
          <w:snapToGrid w:val="0"/>
          <w:vertAlign w:val="superscript"/>
          <w:lang w:val="en-CA"/>
        </w:rPr>
        <w:t>th</w:t>
      </w:r>
      <w:r w:rsidR="00783A42" w:rsidRPr="008321D1">
        <w:rPr>
          <w:snapToGrid w:val="0"/>
          <w:lang w:val="en-CA"/>
        </w:rPr>
        <w:t> </w:t>
      </w:r>
      <w:r w:rsidRPr="008321D1">
        <w:rPr>
          <w:snapToGrid w:val="0"/>
          <w:lang w:val="en-CA"/>
        </w:rPr>
        <w:t>meeting on the HPMPs listed in Table 4 to monitor</w:t>
      </w:r>
      <w:r w:rsidR="00561213" w:rsidRPr="008321D1">
        <w:rPr>
          <w:snapToGrid w:val="0"/>
          <w:lang w:val="en-CA"/>
        </w:rPr>
        <w:t>/resolve</w:t>
      </w:r>
      <w:r w:rsidRPr="008321D1">
        <w:rPr>
          <w:snapToGrid w:val="0"/>
          <w:lang w:val="en-CA"/>
        </w:rPr>
        <w:t xml:space="preserve"> the issues indicated in the last column</w:t>
      </w:r>
      <w:r w:rsidR="00A21A2C" w:rsidRPr="008321D1">
        <w:rPr>
          <w:snapToGrid w:val="0"/>
          <w:lang w:val="en-CA"/>
        </w:rPr>
        <w:t>.</w:t>
      </w:r>
    </w:p>
    <w:p w:rsidR="006F594D" w:rsidRPr="008321D1" w:rsidRDefault="006F594D" w:rsidP="00072567">
      <w:pPr>
        <w:keepNext/>
        <w:rPr>
          <w:i/>
          <w:lang w:val="en-CA"/>
        </w:rPr>
      </w:pPr>
      <w:r w:rsidRPr="008321D1">
        <w:rPr>
          <w:i/>
          <w:lang w:val="en-CA"/>
        </w:rPr>
        <w:t>ODS alternative surveys</w:t>
      </w:r>
    </w:p>
    <w:p w:rsidR="006F594D" w:rsidRPr="008321D1" w:rsidRDefault="006F594D" w:rsidP="00072567">
      <w:pPr>
        <w:keepNext/>
        <w:rPr>
          <w:i/>
          <w:lang w:val="en-CA"/>
        </w:rPr>
      </w:pPr>
    </w:p>
    <w:p w:rsidR="00786C3D" w:rsidRPr="008321D1" w:rsidRDefault="006F594D" w:rsidP="00072567">
      <w:pPr>
        <w:pStyle w:val="Heading1"/>
        <w:rPr>
          <w:lang w:val="en-CA"/>
        </w:rPr>
      </w:pPr>
      <w:r w:rsidRPr="008321D1">
        <w:rPr>
          <w:lang w:val="en-CA"/>
        </w:rPr>
        <w:t xml:space="preserve">The Executive Committee has approved </w:t>
      </w:r>
      <w:r w:rsidR="007C4A08" w:rsidRPr="008321D1">
        <w:rPr>
          <w:lang w:val="en-CA"/>
        </w:rPr>
        <w:t>12</w:t>
      </w:r>
      <w:r w:rsidRPr="008321D1">
        <w:rPr>
          <w:lang w:val="en-CA"/>
        </w:rPr>
        <w:t xml:space="preserve"> ODS alternative surveys</w:t>
      </w:r>
      <w:r w:rsidR="006A5F95" w:rsidRPr="008321D1">
        <w:rPr>
          <w:rStyle w:val="FootnoteReference"/>
          <w:lang w:val="en-CA"/>
        </w:rPr>
        <w:footnoteReference w:id="8"/>
      </w:r>
      <w:r w:rsidR="00786C3D" w:rsidRPr="008321D1">
        <w:rPr>
          <w:lang w:val="en-CA"/>
        </w:rPr>
        <w:t>. The consultant was hired and</w:t>
      </w:r>
      <w:r w:rsidR="00860605" w:rsidRPr="008321D1">
        <w:rPr>
          <w:lang w:val="en-CA"/>
        </w:rPr>
        <w:t>,</w:t>
      </w:r>
      <w:r w:rsidR="00C043A2" w:rsidRPr="008321D1">
        <w:rPr>
          <w:lang w:val="en-CA"/>
        </w:rPr>
        <w:t xml:space="preserve"> in most cases</w:t>
      </w:r>
      <w:r w:rsidR="00860605" w:rsidRPr="008321D1">
        <w:rPr>
          <w:lang w:val="en-CA"/>
        </w:rPr>
        <w:t>,</w:t>
      </w:r>
      <w:r w:rsidR="00786C3D" w:rsidRPr="008321D1">
        <w:rPr>
          <w:lang w:val="en-CA"/>
        </w:rPr>
        <w:t xml:space="preserve"> the survey</w:t>
      </w:r>
      <w:r w:rsidR="009E489B" w:rsidRPr="008321D1">
        <w:rPr>
          <w:lang w:val="en-CA"/>
        </w:rPr>
        <w:t xml:space="preserve"> is </w:t>
      </w:r>
      <w:r w:rsidR="00786C3D" w:rsidRPr="008321D1">
        <w:rPr>
          <w:lang w:val="en-CA"/>
        </w:rPr>
        <w:t>underway for</w:t>
      </w:r>
      <w:r w:rsidR="00860605" w:rsidRPr="008321D1">
        <w:rPr>
          <w:lang w:val="en-CA"/>
        </w:rPr>
        <w:t xml:space="preserve"> nine countries</w:t>
      </w:r>
      <w:r w:rsidR="00860605" w:rsidRPr="008321D1">
        <w:rPr>
          <w:rStyle w:val="FootnoteReference"/>
          <w:lang w:val="en-CA"/>
        </w:rPr>
        <w:footnoteReference w:id="9"/>
      </w:r>
      <w:r w:rsidR="00786C3D" w:rsidRPr="008321D1">
        <w:rPr>
          <w:lang w:val="en-CA"/>
        </w:rPr>
        <w:t>. The consultant for the survey has not been hired yet for Bangladesh, India, and the Republic of Moldova.</w:t>
      </w:r>
    </w:p>
    <w:p w:rsidR="00334EEA" w:rsidRPr="008321D1" w:rsidRDefault="006A5F95" w:rsidP="00072567">
      <w:pPr>
        <w:pStyle w:val="Heading1"/>
        <w:spacing w:after="0"/>
        <w:rPr>
          <w:lang w:val="en-CA"/>
        </w:rPr>
      </w:pPr>
      <w:r w:rsidRPr="008321D1">
        <w:rPr>
          <w:lang w:val="en-CA"/>
        </w:rPr>
        <w:t>T</w:t>
      </w:r>
      <w:r w:rsidR="00334EEA" w:rsidRPr="008321D1">
        <w:rPr>
          <w:lang w:val="en-CA"/>
        </w:rPr>
        <w:t>he</w:t>
      </w:r>
      <w:r w:rsidRPr="008321D1">
        <w:rPr>
          <w:lang w:val="en-CA"/>
        </w:rPr>
        <w:t xml:space="preserve"> </w:t>
      </w:r>
      <w:r w:rsidR="00B466CE" w:rsidRPr="008321D1">
        <w:rPr>
          <w:lang w:val="en-CA"/>
        </w:rPr>
        <w:t>need</w:t>
      </w:r>
      <w:r w:rsidR="00334EEA" w:rsidRPr="008321D1">
        <w:rPr>
          <w:lang w:val="en-CA"/>
        </w:rPr>
        <w:t xml:space="preserve"> to complete and submit all </w:t>
      </w:r>
      <w:r w:rsidR="00BB1AEB" w:rsidRPr="008321D1">
        <w:rPr>
          <w:lang w:val="en-CA"/>
        </w:rPr>
        <w:t xml:space="preserve">surveys of </w:t>
      </w:r>
      <w:r w:rsidR="00334EEA" w:rsidRPr="008321D1">
        <w:rPr>
          <w:lang w:val="en-CA"/>
        </w:rPr>
        <w:t>ODS alternative</w:t>
      </w:r>
      <w:r w:rsidR="00BB1AEB" w:rsidRPr="008321D1">
        <w:rPr>
          <w:lang w:val="en-CA"/>
        </w:rPr>
        <w:t>s</w:t>
      </w:r>
      <w:r w:rsidR="00334EEA" w:rsidRPr="008321D1">
        <w:rPr>
          <w:lang w:val="en-CA"/>
        </w:rPr>
        <w:t xml:space="preserve"> by January 2017</w:t>
      </w:r>
      <w:r w:rsidR="00860605" w:rsidRPr="008321D1">
        <w:rPr>
          <w:lang w:val="en-CA"/>
        </w:rPr>
        <w:t xml:space="preserve"> </w:t>
      </w:r>
      <w:r w:rsidR="00B466CE" w:rsidRPr="008321D1">
        <w:rPr>
          <w:lang w:val="en-CA"/>
        </w:rPr>
        <w:t>is addressed in the consolidated progress report</w:t>
      </w:r>
      <w:r w:rsidR="00334EEA" w:rsidRPr="008321D1">
        <w:rPr>
          <w:lang w:val="en-CA"/>
        </w:rPr>
        <w:t>.</w:t>
      </w:r>
    </w:p>
    <w:p w:rsidR="006F594D" w:rsidRPr="008321D1" w:rsidRDefault="006F594D" w:rsidP="00072567">
      <w:pPr>
        <w:rPr>
          <w:lang w:val="en-CA"/>
        </w:rPr>
      </w:pPr>
    </w:p>
    <w:p w:rsidR="00263137" w:rsidRPr="008321D1" w:rsidRDefault="00263137" w:rsidP="00072567">
      <w:pPr>
        <w:keepNext/>
        <w:rPr>
          <w:u w:val="single"/>
          <w:lang w:val="en-CA"/>
        </w:rPr>
      </w:pPr>
      <w:r w:rsidRPr="008321D1">
        <w:rPr>
          <w:u w:val="single"/>
          <w:lang w:val="en-CA"/>
        </w:rPr>
        <w:t>IS projects</w:t>
      </w:r>
    </w:p>
    <w:p w:rsidR="00263137" w:rsidRPr="008321D1" w:rsidRDefault="00263137" w:rsidP="00072567">
      <w:pPr>
        <w:keepNext/>
        <w:rPr>
          <w:b/>
          <w:bCs/>
          <w:lang w:val="en-CA"/>
        </w:rPr>
      </w:pPr>
    </w:p>
    <w:p w:rsidR="00263137" w:rsidRPr="008321D1" w:rsidRDefault="00263137" w:rsidP="00072567">
      <w:pPr>
        <w:pStyle w:val="Heading1"/>
        <w:rPr>
          <w:snapToGrid w:val="0"/>
          <w:lang w:val="en-CA"/>
        </w:rPr>
      </w:pPr>
      <w:r w:rsidRPr="008321D1">
        <w:rPr>
          <w:lang w:val="en-CA"/>
        </w:rPr>
        <w:t>The Executive Committee</w:t>
      </w:r>
      <w:r w:rsidRPr="008321D1">
        <w:rPr>
          <w:snapToGrid w:val="0"/>
          <w:lang w:val="en-CA"/>
        </w:rPr>
        <w:t xml:space="preserve"> has approved </w:t>
      </w:r>
      <w:r w:rsidR="00BB3C50" w:rsidRPr="008321D1">
        <w:rPr>
          <w:snapToGrid w:val="0"/>
          <w:lang w:val="en-CA"/>
        </w:rPr>
        <w:t>209</w:t>
      </w:r>
      <w:r w:rsidRPr="008321D1">
        <w:rPr>
          <w:snapToGrid w:val="0"/>
          <w:lang w:val="en-CA"/>
        </w:rPr>
        <w:t xml:space="preserve"> IS projects in 25 countries implemented by UNDP. </w:t>
      </w:r>
      <w:r w:rsidR="00C47439" w:rsidRPr="008321D1">
        <w:rPr>
          <w:snapToGrid w:val="0"/>
          <w:lang w:val="en-CA"/>
        </w:rPr>
        <w:t>Twenty-six</w:t>
      </w:r>
      <w:r w:rsidRPr="008321D1">
        <w:rPr>
          <w:snapToGrid w:val="0"/>
          <w:lang w:val="en-CA"/>
        </w:rPr>
        <w:t xml:space="preserve"> projects are still ongoing in 22 countries</w:t>
      </w:r>
      <w:r w:rsidR="00BB3C50" w:rsidRPr="008321D1">
        <w:rPr>
          <w:snapToGrid w:val="0"/>
          <w:lang w:val="en-CA"/>
        </w:rPr>
        <w:t>.</w:t>
      </w:r>
      <w:r w:rsidRPr="008321D1">
        <w:rPr>
          <w:snapToGrid w:val="0"/>
          <w:lang w:val="en-CA"/>
        </w:rPr>
        <w:t xml:space="preserve"> UNDP has renewed 10 IS activities during 201</w:t>
      </w:r>
      <w:r w:rsidR="00BB3C50" w:rsidRPr="008321D1">
        <w:rPr>
          <w:snapToGrid w:val="0"/>
          <w:lang w:val="en-CA"/>
        </w:rPr>
        <w:t>5</w:t>
      </w:r>
      <w:r w:rsidRPr="008321D1">
        <w:rPr>
          <w:snapToGrid w:val="0"/>
          <w:lang w:val="en-CA"/>
        </w:rPr>
        <w:t xml:space="preserve">. It has reported less than 10 per cent disbursements for </w:t>
      </w:r>
      <w:r w:rsidR="00BB3C50" w:rsidRPr="008321D1">
        <w:rPr>
          <w:snapToGrid w:val="0"/>
          <w:lang w:val="en-CA"/>
        </w:rPr>
        <w:t>13</w:t>
      </w:r>
      <w:r w:rsidRPr="008321D1">
        <w:rPr>
          <w:snapToGrid w:val="0"/>
          <w:lang w:val="en-CA"/>
        </w:rPr>
        <w:t xml:space="preserve"> IS projects that were approved between the 7</w:t>
      </w:r>
      <w:r w:rsidR="00BB3C50" w:rsidRPr="008321D1">
        <w:rPr>
          <w:snapToGrid w:val="0"/>
          <w:lang w:val="en-CA"/>
        </w:rPr>
        <w:t>3</w:t>
      </w:r>
      <w:r w:rsidR="00BB3C50" w:rsidRPr="008321D1">
        <w:rPr>
          <w:snapToGrid w:val="0"/>
          <w:vertAlign w:val="superscript"/>
          <w:lang w:val="en-CA"/>
        </w:rPr>
        <w:t>rd</w:t>
      </w:r>
      <w:r w:rsidR="00C47439" w:rsidRPr="008321D1">
        <w:rPr>
          <w:snapToGrid w:val="0"/>
          <w:lang w:val="en-CA"/>
        </w:rPr>
        <w:t> </w:t>
      </w:r>
      <w:r w:rsidRPr="008321D1">
        <w:rPr>
          <w:snapToGrid w:val="0"/>
          <w:lang w:val="en-CA"/>
        </w:rPr>
        <w:t>and 7</w:t>
      </w:r>
      <w:r w:rsidR="00BB3C50" w:rsidRPr="008321D1">
        <w:rPr>
          <w:snapToGrid w:val="0"/>
          <w:lang w:val="en-CA"/>
        </w:rPr>
        <w:t>5</w:t>
      </w:r>
      <w:r w:rsidR="00BB3C50" w:rsidRPr="008321D1">
        <w:rPr>
          <w:snapToGrid w:val="0"/>
          <w:vertAlign w:val="superscript"/>
          <w:lang w:val="en-CA"/>
        </w:rPr>
        <w:t>th</w:t>
      </w:r>
      <w:r w:rsidR="00BB3C50" w:rsidRPr="008321D1">
        <w:rPr>
          <w:snapToGrid w:val="0"/>
          <w:lang w:val="en-CA"/>
        </w:rPr>
        <w:t xml:space="preserve"> </w:t>
      </w:r>
      <w:r w:rsidRPr="008321D1">
        <w:rPr>
          <w:snapToGrid w:val="0"/>
          <w:lang w:val="en-CA"/>
        </w:rPr>
        <w:t xml:space="preserve">meetings, but no major issues have been identified. </w:t>
      </w:r>
    </w:p>
    <w:p w:rsidR="00263137" w:rsidRPr="008321D1" w:rsidRDefault="00263137" w:rsidP="00072567">
      <w:pPr>
        <w:keepNext/>
        <w:keepLines/>
        <w:rPr>
          <w:u w:val="single"/>
          <w:lang w:val="en-CA" w:eastAsia="en-CA"/>
        </w:rPr>
      </w:pPr>
      <w:r w:rsidRPr="008321D1">
        <w:rPr>
          <w:u w:val="single"/>
          <w:lang w:val="en-CA" w:eastAsia="en-CA"/>
        </w:rPr>
        <w:lastRenderedPageBreak/>
        <w:t>Administrative costs</w:t>
      </w:r>
    </w:p>
    <w:p w:rsidR="00263137" w:rsidRPr="008321D1" w:rsidRDefault="00263137" w:rsidP="00072567">
      <w:pPr>
        <w:keepNext/>
        <w:keepLines/>
        <w:rPr>
          <w:lang w:val="en-CA" w:eastAsia="en-CA"/>
        </w:rPr>
      </w:pPr>
    </w:p>
    <w:p w:rsidR="00263137" w:rsidRPr="008321D1" w:rsidRDefault="00263137" w:rsidP="00072567">
      <w:pPr>
        <w:pStyle w:val="Heading1"/>
        <w:rPr>
          <w:lang w:val="en-CA"/>
        </w:rPr>
      </w:pPr>
      <w:r w:rsidRPr="008321D1">
        <w:rPr>
          <w:lang w:val="en-CA"/>
        </w:rPr>
        <w:t>Of the net US $</w:t>
      </w:r>
      <w:r w:rsidR="00314D59" w:rsidRPr="008321D1">
        <w:rPr>
          <w:lang w:val="en-CA"/>
        </w:rPr>
        <w:t xml:space="preserve">713,136,376 </w:t>
      </w:r>
      <w:r w:rsidRPr="008321D1">
        <w:rPr>
          <w:lang w:val="en-CA"/>
        </w:rPr>
        <w:t>approved for project implementation, US $</w:t>
      </w:r>
      <w:r w:rsidR="00314D59" w:rsidRPr="008321D1">
        <w:rPr>
          <w:lang w:val="en-CA"/>
        </w:rPr>
        <w:t xml:space="preserve">96,806,287 </w:t>
      </w:r>
      <w:r w:rsidRPr="008321D1">
        <w:rPr>
          <w:lang w:val="en-CA"/>
        </w:rPr>
        <w:t>has been disbursed for administrative costs resulting in an overall administrative cost ratio of 13.6 per cent since 1991. In 201</w:t>
      </w:r>
      <w:r w:rsidR="00BB3C50" w:rsidRPr="008321D1">
        <w:rPr>
          <w:lang w:val="en-CA"/>
        </w:rPr>
        <w:t>5</w:t>
      </w:r>
      <w:r w:rsidRPr="008321D1">
        <w:rPr>
          <w:lang w:val="en-CA"/>
        </w:rPr>
        <w:t>, of the US $</w:t>
      </w:r>
      <w:r w:rsidR="00AB57DA" w:rsidRPr="008321D1">
        <w:rPr>
          <w:lang w:val="en-CA"/>
        </w:rPr>
        <w:t>34,</w:t>
      </w:r>
      <w:r w:rsidR="00314D59" w:rsidRPr="008321D1">
        <w:rPr>
          <w:lang w:val="en-CA"/>
        </w:rPr>
        <w:t>196,623</w:t>
      </w:r>
      <w:r w:rsidR="00AB57DA" w:rsidRPr="008321D1">
        <w:rPr>
          <w:lang w:val="en-CA"/>
        </w:rPr>
        <w:t xml:space="preserve"> </w:t>
      </w:r>
      <w:r w:rsidRPr="008321D1">
        <w:rPr>
          <w:lang w:val="en-CA"/>
        </w:rPr>
        <w:t>approved, US $</w:t>
      </w:r>
      <w:r w:rsidR="00314D59" w:rsidRPr="008321D1">
        <w:rPr>
          <w:lang w:val="en-CA"/>
        </w:rPr>
        <w:t xml:space="preserve">4,513,939 </w:t>
      </w:r>
      <w:r w:rsidRPr="008321D1">
        <w:rPr>
          <w:lang w:val="en-CA"/>
        </w:rPr>
        <w:t xml:space="preserve">has been disbursed for administrative costs resulting in an overall administrative cost ratio of </w:t>
      </w:r>
      <w:r w:rsidR="00AB57DA" w:rsidRPr="008321D1">
        <w:rPr>
          <w:lang w:val="en-CA"/>
        </w:rPr>
        <w:t>13.2</w:t>
      </w:r>
      <w:r w:rsidRPr="008321D1">
        <w:rPr>
          <w:lang w:val="en-CA"/>
        </w:rPr>
        <w:t> per cent.</w:t>
      </w:r>
    </w:p>
    <w:p w:rsidR="00263137" w:rsidRPr="008321D1" w:rsidRDefault="00263137" w:rsidP="00072567">
      <w:pPr>
        <w:pStyle w:val="a--"/>
        <w:keepNext/>
        <w:suppressAutoHyphens w:val="0"/>
        <w:jc w:val="left"/>
        <w:rPr>
          <w:sz w:val="22"/>
          <w:szCs w:val="22"/>
          <w:lang w:val="en-CA"/>
        </w:rPr>
      </w:pPr>
      <w:r w:rsidRPr="008321D1">
        <w:rPr>
          <w:sz w:val="22"/>
          <w:szCs w:val="22"/>
          <w:lang w:val="en-CA"/>
        </w:rPr>
        <w:t xml:space="preserve">Part III: </w:t>
      </w:r>
      <w:r w:rsidR="00034FD6" w:rsidRPr="008321D1">
        <w:rPr>
          <w:sz w:val="22"/>
          <w:szCs w:val="22"/>
          <w:lang w:val="en-CA"/>
        </w:rPr>
        <w:t>R</w:t>
      </w:r>
      <w:r w:rsidRPr="008321D1">
        <w:rPr>
          <w:sz w:val="22"/>
          <w:szCs w:val="22"/>
          <w:lang w:val="en-CA"/>
        </w:rPr>
        <w:t xml:space="preserve">ecommendations </w:t>
      </w:r>
      <w:r w:rsidR="0014641D" w:rsidRPr="008321D1">
        <w:rPr>
          <w:sz w:val="22"/>
          <w:szCs w:val="22"/>
          <w:lang w:val="en-CA"/>
        </w:rPr>
        <w:t>by</w:t>
      </w:r>
      <w:r w:rsidRPr="008321D1">
        <w:rPr>
          <w:sz w:val="22"/>
          <w:szCs w:val="22"/>
          <w:lang w:val="en-CA"/>
        </w:rPr>
        <w:t xml:space="preserve"> the Secretariat</w:t>
      </w:r>
    </w:p>
    <w:p w:rsidR="00263137" w:rsidRPr="008321D1" w:rsidRDefault="00263137" w:rsidP="00072567">
      <w:pPr>
        <w:rPr>
          <w:b/>
          <w:bCs/>
          <w:lang w:val="en-CA"/>
        </w:rPr>
      </w:pPr>
    </w:p>
    <w:p w:rsidR="00263137" w:rsidRPr="008321D1" w:rsidRDefault="00263137" w:rsidP="00072567">
      <w:pPr>
        <w:pStyle w:val="Heading1"/>
        <w:rPr>
          <w:lang w:val="en-CA"/>
        </w:rPr>
      </w:pPr>
      <w:r w:rsidRPr="008321D1">
        <w:rPr>
          <w:lang w:val="en-CA"/>
        </w:rPr>
        <w:t>The Executive Committee may wish:</w:t>
      </w:r>
    </w:p>
    <w:p w:rsidR="00263137" w:rsidRPr="008321D1" w:rsidRDefault="00263137" w:rsidP="00072567">
      <w:pPr>
        <w:pStyle w:val="Heading2"/>
        <w:numPr>
          <w:ilvl w:val="1"/>
          <w:numId w:val="1"/>
        </w:numPr>
        <w:rPr>
          <w:lang w:val="en-CA"/>
        </w:rPr>
      </w:pPr>
      <w:r w:rsidRPr="008321D1">
        <w:rPr>
          <w:lang w:val="en-CA"/>
        </w:rPr>
        <w:t>To note:</w:t>
      </w:r>
    </w:p>
    <w:p w:rsidR="00263137" w:rsidRPr="008321D1" w:rsidRDefault="00263137" w:rsidP="00072567">
      <w:pPr>
        <w:pStyle w:val="Heading3"/>
        <w:numPr>
          <w:ilvl w:val="2"/>
          <w:numId w:val="1"/>
        </w:numPr>
        <w:rPr>
          <w:lang w:val="en-CA"/>
        </w:rPr>
      </w:pPr>
      <w:r w:rsidRPr="008321D1">
        <w:rPr>
          <w:lang w:val="en-CA"/>
        </w:rPr>
        <w:t xml:space="preserve">The progress report of UNDP as at 31 </w:t>
      </w:r>
      <w:r w:rsidR="00197B4B" w:rsidRPr="008321D1">
        <w:rPr>
          <w:lang w:val="en-CA"/>
        </w:rPr>
        <w:t xml:space="preserve">to </w:t>
      </w:r>
      <w:r w:rsidRPr="008321D1">
        <w:rPr>
          <w:lang w:val="en-CA"/>
        </w:rPr>
        <w:t>December 201</w:t>
      </w:r>
      <w:r w:rsidR="000D3C1C" w:rsidRPr="008321D1">
        <w:rPr>
          <w:lang w:val="en-CA"/>
        </w:rPr>
        <w:t>5</w:t>
      </w:r>
      <w:r w:rsidRPr="008321D1">
        <w:rPr>
          <w:lang w:val="en-CA"/>
        </w:rPr>
        <w:t xml:space="preserve"> contained in document UNEP/OzL.Pro/</w:t>
      </w:r>
      <w:proofErr w:type="spellStart"/>
      <w:r w:rsidRPr="008321D1">
        <w:rPr>
          <w:lang w:val="en-CA"/>
        </w:rPr>
        <w:t>ExCom</w:t>
      </w:r>
      <w:proofErr w:type="spellEnd"/>
      <w:r w:rsidRPr="008321D1">
        <w:rPr>
          <w:lang w:val="en-CA"/>
        </w:rPr>
        <w:t>/7</w:t>
      </w:r>
      <w:r w:rsidR="000D3C1C" w:rsidRPr="008321D1">
        <w:rPr>
          <w:lang w:val="en-CA"/>
        </w:rPr>
        <w:t>7</w:t>
      </w:r>
      <w:r w:rsidRPr="008321D1">
        <w:rPr>
          <w:lang w:val="en-CA"/>
        </w:rPr>
        <w:t>/</w:t>
      </w:r>
      <w:r w:rsidR="00854C54" w:rsidRPr="008321D1">
        <w:rPr>
          <w:lang w:val="en-CA"/>
        </w:rPr>
        <w:t>13</w:t>
      </w:r>
      <w:r w:rsidRPr="008321D1">
        <w:rPr>
          <w:lang w:val="en-CA"/>
        </w:rPr>
        <w:t>;</w:t>
      </w:r>
    </w:p>
    <w:p w:rsidR="00A25274" w:rsidRPr="008321D1" w:rsidRDefault="00263137" w:rsidP="00072567">
      <w:pPr>
        <w:pStyle w:val="Heading3"/>
        <w:numPr>
          <w:ilvl w:val="2"/>
          <w:numId w:val="1"/>
        </w:numPr>
        <w:rPr>
          <w:lang w:val="en-CA"/>
        </w:rPr>
      </w:pPr>
      <w:r w:rsidRPr="008321D1">
        <w:rPr>
          <w:lang w:val="en-CA"/>
        </w:rPr>
        <w:t>That UNDP would report to the 7</w:t>
      </w:r>
      <w:r w:rsidR="00740E9A" w:rsidRPr="008321D1">
        <w:rPr>
          <w:lang w:val="en-CA"/>
        </w:rPr>
        <w:t>8</w:t>
      </w:r>
      <w:r w:rsidRPr="008321D1">
        <w:rPr>
          <w:vertAlign w:val="superscript"/>
          <w:lang w:val="en-CA"/>
        </w:rPr>
        <w:t>th</w:t>
      </w:r>
      <w:r w:rsidRPr="008321D1">
        <w:rPr>
          <w:lang w:val="en-CA"/>
        </w:rPr>
        <w:t xml:space="preserve"> meeting on </w:t>
      </w:r>
      <w:r w:rsidR="0014641D" w:rsidRPr="008321D1">
        <w:rPr>
          <w:lang w:val="en-CA"/>
        </w:rPr>
        <w:t>one project</w:t>
      </w:r>
      <w:r w:rsidRPr="008321D1">
        <w:rPr>
          <w:lang w:val="en-CA"/>
        </w:rPr>
        <w:t xml:space="preserve"> with implementation delays and on </w:t>
      </w:r>
      <w:r w:rsidR="000E1631" w:rsidRPr="008321D1">
        <w:rPr>
          <w:lang w:val="en-CA"/>
        </w:rPr>
        <w:t>11 </w:t>
      </w:r>
      <w:r w:rsidRPr="008321D1">
        <w:rPr>
          <w:lang w:val="en-CA"/>
        </w:rPr>
        <w:t>projects recommended for additional status reports, as indicated in Appendices I and II, respectively, of Annex III to the consolidated progress report (UNEP/OzL.Pro/</w:t>
      </w:r>
      <w:proofErr w:type="spellStart"/>
      <w:r w:rsidRPr="008321D1">
        <w:rPr>
          <w:lang w:val="en-CA"/>
        </w:rPr>
        <w:t>ExCom</w:t>
      </w:r>
      <w:proofErr w:type="spellEnd"/>
      <w:r w:rsidRPr="008321D1">
        <w:rPr>
          <w:lang w:val="en-CA"/>
        </w:rPr>
        <w:t>/7</w:t>
      </w:r>
      <w:r w:rsidR="00740E9A" w:rsidRPr="008321D1">
        <w:rPr>
          <w:lang w:val="en-CA"/>
        </w:rPr>
        <w:t>7</w:t>
      </w:r>
      <w:r w:rsidRPr="008321D1">
        <w:rPr>
          <w:lang w:val="en-CA"/>
        </w:rPr>
        <w:t>/</w:t>
      </w:r>
      <w:r w:rsidR="00854C54" w:rsidRPr="008321D1">
        <w:rPr>
          <w:lang w:val="en-CA"/>
        </w:rPr>
        <w:t>11</w:t>
      </w:r>
      <w:r w:rsidRPr="008321D1">
        <w:rPr>
          <w:lang w:val="en-CA"/>
        </w:rPr>
        <w:t>)</w:t>
      </w:r>
      <w:r w:rsidR="00A25274" w:rsidRPr="008321D1">
        <w:rPr>
          <w:lang w:val="en-CA"/>
        </w:rPr>
        <w:t>;</w:t>
      </w:r>
      <w:r w:rsidR="00135170" w:rsidRPr="008321D1">
        <w:rPr>
          <w:lang w:val="en-CA"/>
        </w:rPr>
        <w:t xml:space="preserve"> and</w:t>
      </w:r>
    </w:p>
    <w:p w:rsidR="00936369" w:rsidRPr="008321D1" w:rsidRDefault="00137953" w:rsidP="00072567">
      <w:pPr>
        <w:pStyle w:val="Heading2"/>
        <w:rPr>
          <w:lang w:val="en-CA"/>
        </w:rPr>
      </w:pPr>
      <w:r w:rsidRPr="008321D1">
        <w:rPr>
          <w:lang w:val="en-CA"/>
        </w:rPr>
        <w:t xml:space="preserve">To </w:t>
      </w:r>
      <w:r w:rsidR="002D65FA" w:rsidRPr="008321D1">
        <w:rPr>
          <w:lang w:val="en-CA"/>
        </w:rPr>
        <w:t>assign a completion date of December 2015 and to request that any remaining balances should be returned to the 78</w:t>
      </w:r>
      <w:r w:rsidR="002D65FA" w:rsidRPr="008321D1">
        <w:rPr>
          <w:vertAlign w:val="superscript"/>
          <w:lang w:val="en-CA"/>
        </w:rPr>
        <w:t>th</w:t>
      </w:r>
      <w:r w:rsidR="002D65FA" w:rsidRPr="008321D1">
        <w:rPr>
          <w:lang w:val="en-CA"/>
        </w:rPr>
        <w:t xml:space="preserve"> meeting for </w:t>
      </w:r>
      <w:r w:rsidR="00936369" w:rsidRPr="008321D1">
        <w:rPr>
          <w:lang w:val="en-CA"/>
        </w:rPr>
        <w:t xml:space="preserve">the </w:t>
      </w:r>
      <w:r w:rsidR="002D65FA" w:rsidRPr="008321D1">
        <w:rPr>
          <w:lang w:val="en-CA"/>
        </w:rPr>
        <w:t>refrigerant management plan in Maldives</w:t>
      </w:r>
      <w:r w:rsidR="001B5FBC" w:rsidRPr="008321D1">
        <w:rPr>
          <w:lang w:val="en-CA"/>
        </w:rPr>
        <w:t xml:space="preserve"> </w:t>
      </w:r>
      <w:r w:rsidR="002D65FA" w:rsidRPr="008321D1">
        <w:rPr>
          <w:lang w:val="en-CA"/>
        </w:rPr>
        <w:t>(</w:t>
      </w:r>
      <w:r w:rsidR="00936369" w:rsidRPr="008321D1">
        <w:rPr>
          <w:lang w:val="en-CA"/>
        </w:rPr>
        <w:t>MDV/REF/38/TAS/05)</w:t>
      </w:r>
      <w:r w:rsidR="00746633" w:rsidRPr="008321D1">
        <w:rPr>
          <w:lang w:val="en-CA"/>
        </w:rPr>
        <w:t>.</w:t>
      </w:r>
    </w:p>
    <w:p w:rsidR="00A25274" w:rsidRPr="008321D1" w:rsidRDefault="00A25274" w:rsidP="00072567">
      <w:pPr>
        <w:rPr>
          <w:lang w:val="en-CA"/>
        </w:rPr>
      </w:pPr>
    </w:p>
    <w:p w:rsidR="007A4A27" w:rsidRPr="008321D1" w:rsidRDefault="007A4A27" w:rsidP="00072567">
      <w:pPr>
        <w:rPr>
          <w:snapToGrid w:val="0"/>
          <w:lang w:val="en-CA"/>
        </w:rPr>
      </w:pPr>
    </w:p>
    <w:p w:rsidR="00263137" w:rsidRPr="008321D1" w:rsidRDefault="00263137" w:rsidP="00072567">
      <w:pPr>
        <w:rPr>
          <w:lang w:val="en-CA"/>
        </w:rPr>
        <w:sectPr w:rsidR="00263137" w:rsidRPr="008321D1"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rsidR="00263137" w:rsidRPr="008321D1" w:rsidRDefault="00263137" w:rsidP="00072567">
      <w:pPr>
        <w:tabs>
          <w:tab w:val="left" w:pos="5560"/>
        </w:tabs>
        <w:jc w:val="center"/>
        <w:rPr>
          <w:b/>
          <w:bCs/>
          <w:lang w:val="en-CA"/>
        </w:rPr>
      </w:pPr>
      <w:r w:rsidRPr="008321D1">
        <w:rPr>
          <w:b/>
          <w:bCs/>
          <w:lang w:val="en-CA"/>
        </w:rPr>
        <w:lastRenderedPageBreak/>
        <w:t>Annex I</w:t>
      </w:r>
    </w:p>
    <w:p w:rsidR="00263137" w:rsidRPr="008321D1" w:rsidRDefault="00263137" w:rsidP="00072567">
      <w:pPr>
        <w:tabs>
          <w:tab w:val="left" w:pos="5560"/>
        </w:tabs>
        <w:jc w:val="center"/>
        <w:rPr>
          <w:b/>
          <w:bCs/>
          <w:lang w:val="en-CA"/>
        </w:rPr>
      </w:pPr>
    </w:p>
    <w:p w:rsidR="00263137" w:rsidRPr="008321D1" w:rsidRDefault="00263137" w:rsidP="00072567">
      <w:pPr>
        <w:pStyle w:val="Title1"/>
        <w:rPr>
          <w:caps w:val="0"/>
          <w:lang w:val="en-CA"/>
        </w:rPr>
      </w:pPr>
      <w:r w:rsidRPr="008321D1">
        <w:rPr>
          <w:caps w:val="0"/>
          <w:lang w:val="en-CA"/>
        </w:rPr>
        <w:t>UNDP PROJECT IMPLEMENTATION BY COUNTRY</w:t>
      </w:r>
    </w:p>
    <w:p w:rsidR="008E6BF9" w:rsidRPr="008321D1" w:rsidRDefault="008E6BF9" w:rsidP="00072567">
      <w:pPr>
        <w:pStyle w:val="Title1"/>
        <w:rPr>
          <w:caps w:val="0"/>
          <w:lang w:val="en-CA"/>
        </w:rPr>
      </w:pPr>
    </w:p>
    <w:tbl>
      <w:tblPr>
        <w:tblW w:w="102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851"/>
        <w:gridCol w:w="1160"/>
        <w:gridCol w:w="1116"/>
        <w:gridCol w:w="1126"/>
        <w:gridCol w:w="1276"/>
        <w:gridCol w:w="1160"/>
      </w:tblGrid>
      <w:tr w:rsidR="008E6BF9" w:rsidRPr="008321D1" w:rsidTr="008E6BF9">
        <w:trPr>
          <w:trHeight w:val="1020"/>
          <w:tblHeader/>
        </w:trPr>
        <w:tc>
          <w:tcPr>
            <w:tcW w:w="3549" w:type="dxa"/>
            <w:shd w:val="clear" w:color="auto" w:fill="auto"/>
            <w:hideMark/>
          </w:tcPr>
          <w:p w:rsidR="008E6BF9" w:rsidRPr="008321D1" w:rsidRDefault="008E6BF9" w:rsidP="00072567">
            <w:pPr>
              <w:jc w:val="center"/>
              <w:rPr>
                <w:b/>
                <w:bCs/>
                <w:sz w:val="20"/>
                <w:szCs w:val="20"/>
                <w:lang w:val="en-CA" w:eastAsia="en-CA"/>
              </w:rPr>
            </w:pPr>
            <w:r w:rsidRPr="008321D1">
              <w:rPr>
                <w:b/>
                <w:bCs/>
                <w:sz w:val="20"/>
                <w:szCs w:val="20"/>
                <w:lang w:val="en-CA" w:eastAsia="en-CA"/>
              </w:rPr>
              <w:t>Country</w:t>
            </w:r>
          </w:p>
        </w:tc>
        <w:tc>
          <w:tcPr>
            <w:tcW w:w="851" w:type="dxa"/>
            <w:shd w:val="clear" w:color="auto" w:fill="auto"/>
            <w:hideMark/>
          </w:tcPr>
          <w:p w:rsidR="008E6BF9" w:rsidRPr="008321D1" w:rsidRDefault="008E6BF9" w:rsidP="00072567">
            <w:pPr>
              <w:jc w:val="center"/>
              <w:rPr>
                <w:b/>
                <w:bCs/>
                <w:sz w:val="20"/>
                <w:szCs w:val="20"/>
                <w:lang w:val="en-CA" w:eastAsia="en-CA"/>
              </w:rPr>
            </w:pPr>
            <w:r w:rsidRPr="008321D1">
              <w:rPr>
                <w:b/>
                <w:bCs/>
                <w:sz w:val="20"/>
                <w:szCs w:val="20"/>
                <w:lang w:val="en-CA" w:eastAsia="en-CA"/>
              </w:rPr>
              <w:t>Phased out in 2015</w:t>
            </w:r>
          </w:p>
        </w:tc>
        <w:tc>
          <w:tcPr>
            <w:tcW w:w="1160" w:type="dxa"/>
            <w:shd w:val="clear" w:color="auto" w:fill="auto"/>
            <w:hideMark/>
          </w:tcPr>
          <w:p w:rsidR="008E6BF9" w:rsidRPr="008321D1" w:rsidRDefault="008E6BF9" w:rsidP="00072567">
            <w:pPr>
              <w:jc w:val="center"/>
              <w:rPr>
                <w:b/>
                <w:bCs/>
                <w:sz w:val="20"/>
                <w:szCs w:val="20"/>
                <w:lang w:val="en-CA" w:eastAsia="en-CA"/>
              </w:rPr>
            </w:pPr>
            <w:r w:rsidRPr="008321D1">
              <w:rPr>
                <w:b/>
                <w:bCs/>
                <w:sz w:val="20"/>
                <w:szCs w:val="20"/>
                <w:lang w:val="en-CA" w:eastAsia="en-CA"/>
              </w:rPr>
              <w:t>Percentage of planned phase-out achieved in 2015</w:t>
            </w:r>
          </w:p>
        </w:tc>
        <w:tc>
          <w:tcPr>
            <w:tcW w:w="1116" w:type="dxa"/>
            <w:shd w:val="clear" w:color="auto" w:fill="auto"/>
            <w:hideMark/>
          </w:tcPr>
          <w:p w:rsidR="008E6BF9" w:rsidRPr="008321D1" w:rsidRDefault="008E6BF9" w:rsidP="00072567">
            <w:pPr>
              <w:jc w:val="center"/>
              <w:rPr>
                <w:b/>
                <w:bCs/>
                <w:sz w:val="20"/>
                <w:szCs w:val="20"/>
                <w:lang w:val="en-CA" w:eastAsia="en-CA"/>
              </w:rPr>
            </w:pPr>
            <w:r w:rsidRPr="008321D1">
              <w:rPr>
                <w:b/>
                <w:bCs/>
                <w:sz w:val="20"/>
                <w:szCs w:val="20"/>
                <w:lang w:val="en-CA" w:eastAsia="en-CA"/>
              </w:rPr>
              <w:t>Estimated funds disbursed in 2015 (US$)</w:t>
            </w:r>
          </w:p>
        </w:tc>
        <w:tc>
          <w:tcPr>
            <w:tcW w:w="1126" w:type="dxa"/>
            <w:shd w:val="clear" w:color="auto" w:fill="auto"/>
            <w:hideMark/>
          </w:tcPr>
          <w:p w:rsidR="008E6BF9" w:rsidRPr="008321D1" w:rsidRDefault="008E6BF9" w:rsidP="00072567">
            <w:pPr>
              <w:jc w:val="center"/>
              <w:rPr>
                <w:b/>
                <w:bCs/>
                <w:sz w:val="20"/>
                <w:szCs w:val="20"/>
                <w:lang w:val="en-CA" w:eastAsia="en-CA"/>
              </w:rPr>
            </w:pPr>
            <w:r w:rsidRPr="008321D1">
              <w:rPr>
                <w:b/>
                <w:bCs/>
                <w:sz w:val="20"/>
                <w:szCs w:val="20"/>
                <w:lang w:val="en-CA" w:eastAsia="en-CA"/>
              </w:rPr>
              <w:t>Funds disbursed in 2015 (US$)</w:t>
            </w:r>
          </w:p>
        </w:tc>
        <w:tc>
          <w:tcPr>
            <w:tcW w:w="1276" w:type="dxa"/>
            <w:shd w:val="clear" w:color="auto" w:fill="auto"/>
            <w:hideMark/>
          </w:tcPr>
          <w:p w:rsidR="008E6BF9" w:rsidRPr="008321D1" w:rsidRDefault="008E6BF9" w:rsidP="00072567">
            <w:pPr>
              <w:ind w:left="-108" w:right="-107"/>
              <w:jc w:val="center"/>
              <w:rPr>
                <w:b/>
                <w:bCs/>
                <w:sz w:val="20"/>
                <w:szCs w:val="20"/>
                <w:lang w:val="en-CA" w:eastAsia="en-CA"/>
              </w:rPr>
            </w:pPr>
            <w:r w:rsidRPr="008321D1">
              <w:rPr>
                <w:b/>
                <w:bCs/>
                <w:sz w:val="20"/>
                <w:szCs w:val="20"/>
                <w:lang w:val="en-CA" w:eastAsia="en-CA"/>
              </w:rPr>
              <w:t>Percentage of funds disbursed over estimation in 2015</w:t>
            </w:r>
          </w:p>
        </w:tc>
        <w:tc>
          <w:tcPr>
            <w:tcW w:w="1160" w:type="dxa"/>
            <w:shd w:val="clear" w:color="auto" w:fill="auto"/>
            <w:hideMark/>
          </w:tcPr>
          <w:p w:rsidR="008E6BF9" w:rsidRPr="008321D1" w:rsidRDefault="008E6BF9" w:rsidP="00072567">
            <w:pPr>
              <w:jc w:val="center"/>
              <w:rPr>
                <w:b/>
                <w:bCs/>
                <w:sz w:val="20"/>
                <w:szCs w:val="20"/>
                <w:lang w:val="en-CA" w:eastAsia="en-CA"/>
              </w:rPr>
            </w:pPr>
            <w:r w:rsidRPr="008321D1">
              <w:rPr>
                <w:b/>
                <w:bCs/>
                <w:sz w:val="20"/>
                <w:szCs w:val="20"/>
                <w:lang w:val="en-CA" w:eastAsia="en-CA"/>
              </w:rPr>
              <w:t>Percentage of planned projects completed in 2015</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Angola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41,952</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21,932</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52</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Argentina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124,798</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148,281</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119</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Armenia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49,529</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42,845</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87</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Bahamas (the)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Bahrain</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Bangladesh</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90,179</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55,811</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62</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Barbados</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20,000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Belize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Benin</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Bhutan</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296</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Bolivia (Plurinational State of)</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Botswana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Brazil</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18.2</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4,375,029</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4,492,612</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103</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Brunei Darussalam</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0.2</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9,562</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22,800</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238</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Burkina Faso</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Burundi</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Cambodia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60,000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Ca</w:t>
            </w:r>
            <w:r w:rsidR="0087378A" w:rsidRPr="008321D1">
              <w:rPr>
                <w:sz w:val="20"/>
                <w:szCs w:val="20"/>
                <w:lang w:val="en-CA" w:eastAsia="en-CA"/>
              </w:rPr>
              <w:t>bo</w:t>
            </w:r>
            <w:r w:rsidRPr="008321D1">
              <w:rPr>
                <w:sz w:val="20"/>
                <w:szCs w:val="20"/>
                <w:lang w:val="en-CA" w:eastAsia="en-CA"/>
              </w:rPr>
              <w:t xml:space="preserve"> Verde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Central African Republic (the)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Chad</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Chile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5.9</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574,391</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179,840</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31</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China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69.2</w:t>
            </w:r>
          </w:p>
        </w:tc>
        <w:tc>
          <w:tcPr>
            <w:tcW w:w="1160" w:type="dxa"/>
            <w:shd w:val="clear" w:color="auto" w:fill="auto"/>
            <w:noWrap/>
            <w:vAlign w:val="bottom"/>
            <w:hideMark/>
          </w:tcPr>
          <w:p w:rsidR="008E6BF9" w:rsidRPr="008321D1" w:rsidRDefault="00BB2280" w:rsidP="00072567">
            <w:pPr>
              <w:jc w:val="right"/>
              <w:rPr>
                <w:sz w:val="20"/>
                <w:szCs w:val="20"/>
                <w:lang w:val="en-CA" w:eastAsia="en-CA"/>
              </w:rPr>
            </w:pPr>
            <w:r w:rsidRPr="008321D1">
              <w:rPr>
                <w:sz w:val="20"/>
                <w:szCs w:val="20"/>
                <w:lang w:val="en-CA" w:eastAsia="en-CA"/>
              </w:rPr>
              <w:t>59</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5,432,837</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11,965,949</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220</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Colombia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2.9</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743,414</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679,154</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91</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50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Comoros (the)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Congo (the)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Costa Rica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127,048</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144,382</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114</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Cuba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5.4</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627,389</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908,984</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145</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Democratic Republic of the Congo (the)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38,990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40,537</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104</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Djibouti</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Dominica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Dominican Republic (the)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0.4</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217,412</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423,589</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195</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Ecuador</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Egypt</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1,347,579</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257,169</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19</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El Salvador</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1.9</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34,116</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57,672</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169</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Eritrea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Ethiopia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Fiji</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24,179</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16,457</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68</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Gabon</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Gambia (the)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Georgia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0.6</w:t>
            </w:r>
          </w:p>
        </w:tc>
        <w:tc>
          <w:tcPr>
            <w:tcW w:w="1160" w:type="dxa"/>
            <w:shd w:val="clear" w:color="auto" w:fill="auto"/>
            <w:noWrap/>
            <w:vAlign w:val="bottom"/>
            <w:hideMark/>
          </w:tcPr>
          <w:p w:rsidR="008E6BF9" w:rsidRPr="008321D1" w:rsidRDefault="00BB2280" w:rsidP="00072567">
            <w:pPr>
              <w:jc w:val="right"/>
              <w:rPr>
                <w:sz w:val="20"/>
                <w:szCs w:val="20"/>
                <w:lang w:val="en-CA" w:eastAsia="en-CA"/>
              </w:rPr>
            </w:pPr>
            <w:r w:rsidRPr="008321D1">
              <w:rPr>
                <w:sz w:val="20"/>
                <w:szCs w:val="20"/>
                <w:lang w:val="en-CA" w:eastAsia="en-CA"/>
              </w:rPr>
              <w:t>100</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88,831</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110,725</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125</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Ghana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1.3</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202,298</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247,374</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122</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Grenada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lastRenderedPageBreak/>
              <w:t>Guatemala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Guinea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Guinea-Bissau</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Guyana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Haiti</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70,420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87,268</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124</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Honduras</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India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18.9</w:t>
            </w:r>
          </w:p>
        </w:tc>
        <w:tc>
          <w:tcPr>
            <w:tcW w:w="1160" w:type="dxa"/>
            <w:shd w:val="clear" w:color="auto" w:fill="auto"/>
            <w:noWrap/>
            <w:vAlign w:val="bottom"/>
            <w:hideMark/>
          </w:tcPr>
          <w:p w:rsidR="008E6BF9" w:rsidRPr="008321D1" w:rsidRDefault="00BB2280" w:rsidP="00072567">
            <w:pPr>
              <w:jc w:val="right"/>
              <w:rPr>
                <w:sz w:val="20"/>
                <w:szCs w:val="20"/>
                <w:lang w:val="en-CA" w:eastAsia="en-CA"/>
              </w:rPr>
            </w:pPr>
            <w:r w:rsidRPr="008321D1">
              <w:rPr>
                <w:sz w:val="20"/>
                <w:szCs w:val="20"/>
                <w:lang w:val="en-CA" w:eastAsia="en-CA"/>
              </w:rPr>
              <w:t>100</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3,847,896</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5,829,459</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151</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Indonesia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27.6</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2,237,628</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1,489,317</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67</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Iran (Islamic Republic of)</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550,585</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693,360</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126</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Jamaica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58,444</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79,295</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136</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Jordan</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Kenya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Kuwait</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Kyrgyzstan</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10,209</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13,430</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132</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Lao People's Democratic Republic (the)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Lebanon</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306,374</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248,347</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81</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Lesotho</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Liberia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hideMark/>
          </w:tcPr>
          <w:p w:rsidR="008E6BF9" w:rsidRPr="008321D1" w:rsidRDefault="008E6BF9" w:rsidP="00072567">
            <w:pPr>
              <w:jc w:val="left"/>
              <w:rPr>
                <w:sz w:val="20"/>
                <w:szCs w:val="20"/>
                <w:lang w:val="en-CA" w:eastAsia="en-CA"/>
              </w:rPr>
            </w:pPr>
            <w:r w:rsidRPr="008321D1">
              <w:rPr>
                <w:sz w:val="20"/>
                <w:szCs w:val="20"/>
                <w:lang w:val="en-CA" w:eastAsia="en-CA"/>
              </w:rPr>
              <w:t>Libya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Malawi</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Malaysia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BB2280" w:rsidP="00072567">
            <w:pPr>
              <w:jc w:val="right"/>
              <w:rPr>
                <w:sz w:val="20"/>
                <w:szCs w:val="20"/>
                <w:lang w:val="en-CA" w:eastAsia="en-CA"/>
              </w:rPr>
            </w:pPr>
            <w:r w:rsidRPr="008321D1">
              <w:rPr>
                <w:sz w:val="20"/>
                <w:szCs w:val="20"/>
                <w:lang w:val="en-CA" w:eastAsia="en-CA"/>
              </w:rPr>
              <w:t>0</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1,072,642</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1,044,819</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97</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Maldives</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107,074</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4,067</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4</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Mali</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7,543</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3,026</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40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Mauritania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Mauritius</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Mexico</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63.3</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2,257,557</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1,227,290</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54</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Mongolia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Morocco</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Mozambique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Myanmar</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Nepal</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0.1</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16,800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8,000</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48</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Nicaragua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Niger (the)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Nigeria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658,322</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415,193</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63</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Pakistan</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251,750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95,683</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38</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Panama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1.4</w:t>
            </w:r>
          </w:p>
        </w:tc>
        <w:tc>
          <w:tcPr>
            <w:tcW w:w="1160" w:type="dxa"/>
            <w:shd w:val="clear" w:color="auto" w:fill="auto"/>
            <w:noWrap/>
            <w:vAlign w:val="bottom"/>
            <w:hideMark/>
          </w:tcPr>
          <w:p w:rsidR="008E6BF9" w:rsidRPr="008321D1" w:rsidRDefault="00BB2280" w:rsidP="00072567">
            <w:pPr>
              <w:jc w:val="right"/>
              <w:rPr>
                <w:sz w:val="20"/>
                <w:szCs w:val="20"/>
                <w:lang w:val="en-CA" w:eastAsia="en-CA"/>
              </w:rPr>
            </w:pPr>
            <w:r w:rsidRPr="008321D1">
              <w:rPr>
                <w:sz w:val="20"/>
                <w:szCs w:val="20"/>
                <w:lang w:val="en-CA" w:eastAsia="en-CA"/>
              </w:rPr>
              <w:t>100</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202,913</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204,634</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101</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Paraguay</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0.8</w:t>
            </w:r>
          </w:p>
        </w:tc>
        <w:tc>
          <w:tcPr>
            <w:tcW w:w="1160" w:type="dxa"/>
            <w:shd w:val="clear" w:color="auto" w:fill="auto"/>
            <w:noWrap/>
            <w:vAlign w:val="bottom"/>
            <w:hideMark/>
          </w:tcPr>
          <w:p w:rsidR="008E6BF9" w:rsidRPr="008321D1" w:rsidRDefault="00BB2280" w:rsidP="00072567">
            <w:pPr>
              <w:jc w:val="right"/>
              <w:rPr>
                <w:sz w:val="20"/>
                <w:szCs w:val="20"/>
                <w:lang w:val="en-CA" w:eastAsia="en-CA"/>
              </w:rPr>
            </w:pPr>
            <w:r w:rsidRPr="008321D1">
              <w:rPr>
                <w:sz w:val="20"/>
                <w:szCs w:val="20"/>
                <w:lang w:val="en-CA" w:eastAsia="en-CA"/>
              </w:rPr>
              <w:t>100</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65,208</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61,218</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94</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Peru</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43,200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50,445</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117</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Philippines (the)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Republic of Moldova (the)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32,379</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41,072</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127</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50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Rwanda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Saint Kitts and Nevis</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16,000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Saint Vincent and the Grenadines</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Samoa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Sao Tome and Principe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Sierra Leone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lastRenderedPageBreak/>
              <w:t>Somalia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Sri Lanka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0.4</w:t>
            </w:r>
          </w:p>
        </w:tc>
        <w:tc>
          <w:tcPr>
            <w:tcW w:w="1160" w:type="dxa"/>
            <w:shd w:val="clear" w:color="auto" w:fill="auto"/>
            <w:noWrap/>
            <w:vAlign w:val="bottom"/>
            <w:hideMark/>
          </w:tcPr>
          <w:p w:rsidR="008E6BF9" w:rsidRPr="008321D1" w:rsidRDefault="00BB2280" w:rsidP="00072567">
            <w:pPr>
              <w:jc w:val="right"/>
              <w:rPr>
                <w:sz w:val="20"/>
                <w:szCs w:val="20"/>
                <w:lang w:val="en-CA" w:eastAsia="en-CA"/>
              </w:rPr>
            </w:pPr>
            <w:r w:rsidRPr="008321D1">
              <w:rPr>
                <w:sz w:val="20"/>
                <w:szCs w:val="20"/>
                <w:lang w:val="en-CA" w:eastAsia="en-CA"/>
              </w:rPr>
              <w:t>100</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106,499</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71,989</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68</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Suriname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Swaziland</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Syria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Thailand</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9A6831" w:rsidP="00072567">
            <w:pPr>
              <w:jc w:val="left"/>
              <w:rPr>
                <w:sz w:val="20"/>
                <w:szCs w:val="20"/>
                <w:lang w:val="en-CA" w:eastAsia="en-CA"/>
              </w:rPr>
            </w:pPr>
            <w:r w:rsidRPr="008321D1">
              <w:rPr>
                <w:sz w:val="20"/>
                <w:szCs w:val="20"/>
                <w:lang w:val="en-CA" w:eastAsia="en-CA"/>
              </w:rPr>
              <w:t>Timor-</w:t>
            </w:r>
            <w:r w:rsidR="008E6BF9" w:rsidRPr="008321D1">
              <w:rPr>
                <w:sz w:val="20"/>
                <w:szCs w:val="20"/>
                <w:lang w:val="en-CA" w:eastAsia="en-CA"/>
              </w:rPr>
              <w:t>Leste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24,000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Togo</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Trinidad and Tobago</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2.5</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273,438</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342,372</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125</w:t>
            </w:r>
          </w:p>
        </w:tc>
        <w:tc>
          <w:tcPr>
            <w:tcW w:w="1160"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100</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Turkey</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Uganda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United Republic of Tanzania (the)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Uruguay</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2.3</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195,136</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177,158</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91</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Venezuela (Bolivarian Republic of)</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264,380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15,019</w:t>
            </w:r>
          </w:p>
        </w:tc>
        <w:tc>
          <w:tcPr>
            <w:tcW w:w="1276" w:type="dxa"/>
            <w:shd w:val="clear" w:color="auto" w:fill="auto"/>
            <w:noWrap/>
            <w:vAlign w:val="bottom"/>
            <w:hideMark/>
          </w:tcPr>
          <w:p w:rsidR="008E6BF9" w:rsidRPr="008321D1" w:rsidRDefault="009A6831" w:rsidP="00072567">
            <w:pPr>
              <w:jc w:val="right"/>
              <w:rPr>
                <w:sz w:val="20"/>
                <w:szCs w:val="20"/>
                <w:lang w:val="en-CA" w:eastAsia="en-CA"/>
              </w:rPr>
            </w:pPr>
            <w:r w:rsidRPr="008321D1">
              <w:rPr>
                <w:sz w:val="20"/>
                <w:szCs w:val="20"/>
                <w:lang w:val="en-CA" w:eastAsia="en-CA"/>
              </w:rPr>
              <w:t>6</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Viet</w:t>
            </w:r>
            <w:r w:rsidR="009A6831" w:rsidRPr="008321D1">
              <w:rPr>
                <w:sz w:val="20"/>
                <w:szCs w:val="20"/>
                <w:lang w:val="en-CA" w:eastAsia="en-CA"/>
              </w:rPr>
              <w:t xml:space="preserve"> N</w:t>
            </w:r>
            <w:r w:rsidRPr="008321D1">
              <w:rPr>
                <w:sz w:val="20"/>
                <w:szCs w:val="20"/>
                <w:lang w:val="en-CA" w:eastAsia="en-CA"/>
              </w:rPr>
              <w:t>am</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Yemen</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Zambia</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8E6BF9" w:rsidRPr="008321D1" w:rsidTr="008E6BF9">
        <w:trPr>
          <w:trHeight w:val="255"/>
        </w:trPr>
        <w:tc>
          <w:tcPr>
            <w:tcW w:w="3549"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Zimbabwe</w:t>
            </w:r>
          </w:p>
        </w:tc>
        <w:tc>
          <w:tcPr>
            <w:tcW w:w="851"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8E6BF9" w:rsidRPr="008321D1" w:rsidRDefault="008E6BF9"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8E6BF9" w:rsidRPr="008321D1" w:rsidRDefault="008E6BF9" w:rsidP="00072567">
            <w:pPr>
              <w:jc w:val="left"/>
              <w:rPr>
                <w:sz w:val="20"/>
                <w:szCs w:val="20"/>
                <w:lang w:val="en-CA" w:eastAsia="en-CA"/>
              </w:rPr>
            </w:pPr>
            <w:r w:rsidRPr="008321D1">
              <w:rPr>
                <w:sz w:val="20"/>
                <w:szCs w:val="20"/>
                <w:lang w:val="en-CA" w:eastAsia="en-CA"/>
              </w:rPr>
              <w:t> </w:t>
            </w:r>
          </w:p>
        </w:tc>
      </w:tr>
      <w:tr w:rsidR="002B2C71" w:rsidRPr="008321D1" w:rsidTr="00B31553">
        <w:trPr>
          <w:trHeight w:val="255"/>
        </w:trPr>
        <w:tc>
          <w:tcPr>
            <w:tcW w:w="3549"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Region: AFR</w:t>
            </w:r>
          </w:p>
        </w:tc>
        <w:tc>
          <w:tcPr>
            <w:tcW w:w="851" w:type="dxa"/>
            <w:shd w:val="clear" w:color="auto" w:fill="auto"/>
            <w:noWrap/>
            <w:vAlign w:val="bottom"/>
            <w:hideMark/>
          </w:tcPr>
          <w:p w:rsidR="002B2C71" w:rsidRPr="008321D1" w:rsidRDefault="002B2C71"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2B2C71" w:rsidRPr="008321D1" w:rsidRDefault="002B2C71"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2B2C71" w:rsidRPr="008321D1" w:rsidRDefault="002B2C71"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 </w:t>
            </w:r>
          </w:p>
        </w:tc>
      </w:tr>
      <w:tr w:rsidR="002B2C71" w:rsidRPr="008321D1" w:rsidTr="00B31553">
        <w:trPr>
          <w:trHeight w:val="255"/>
        </w:trPr>
        <w:tc>
          <w:tcPr>
            <w:tcW w:w="3549"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Region: ASP</w:t>
            </w:r>
          </w:p>
        </w:tc>
        <w:tc>
          <w:tcPr>
            <w:tcW w:w="851" w:type="dxa"/>
            <w:shd w:val="clear" w:color="auto" w:fill="auto"/>
            <w:noWrap/>
            <w:vAlign w:val="bottom"/>
            <w:hideMark/>
          </w:tcPr>
          <w:p w:rsidR="002B2C71" w:rsidRPr="008321D1" w:rsidRDefault="002B2C71"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2B2C71" w:rsidRPr="008321D1" w:rsidRDefault="002B2C71"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2B2C71" w:rsidRPr="008321D1" w:rsidRDefault="002B2C71"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 </w:t>
            </w:r>
          </w:p>
        </w:tc>
      </w:tr>
      <w:tr w:rsidR="002B2C71" w:rsidRPr="008321D1" w:rsidTr="00B31553">
        <w:trPr>
          <w:trHeight w:val="255"/>
        </w:trPr>
        <w:tc>
          <w:tcPr>
            <w:tcW w:w="3549"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Region: LAC</w:t>
            </w:r>
          </w:p>
        </w:tc>
        <w:tc>
          <w:tcPr>
            <w:tcW w:w="851" w:type="dxa"/>
            <w:shd w:val="clear" w:color="auto" w:fill="auto"/>
            <w:noWrap/>
            <w:vAlign w:val="bottom"/>
            <w:hideMark/>
          </w:tcPr>
          <w:p w:rsidR="002B2C71" w:rsidRPr="008321D1" w:rsidRDefault="002B2C71"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2B2C71" w:rsidRPr="008321D1" w:rsidRDefault="002B2C71"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2B2C71" w:rsidRPr="008321D1" w:rsidRDefault="002B2C71"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 </w:t>
            </w:r>
          </w:p>
        </w:tc>
      </w:tr>
      <w:tr w:rsidR="002B2C71" w:rsidRPr="008321D1" w:rsidTr="00B31553">
        <w:trPr>
          <w:trHeight w:val="255"/>
        </w:trPr>
        <w:tc>
          <w:tcPr>
            <w:tcW w:w="3549"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Global</w:t>
            </w:r>
          </w:p>
        </w:tc>
        <w:tc>
          <w:tcPr>
            <w:tcW w:w="851" w:type="dxa"/>
            <w:shd w:val="clear" w:color="auto" w:fill="auto"/>
            <w:noWrap/>
            <w:vAlign w:val="bottom"/>
            <w:hideMark/>
          </w:tcPr>
          <w:p w:rsidR="002B2C71" w:rsidRPr="008321D1" w:rsidRDefault="002B2C71" w:rsidP="00072567">
            <w:pPr>
              <w:jc w:val="right"/>
              <w:rPr>
                <w:sz w:val="20"/>
                <w:szCs w:val="20"/>
                <w:lang w:val="en-CA" w:eastAsia="en-CA"/>
              </w:rPr>
            </w:pPr>
            <w:r w:rsidRPr="008321D1">
              <w:rPr>
                <w:sz w:val="20"/>
                <w:szCs w:val="20"/>
                <w:lang w:val="en-CA" w:eastAsia="en-CA"/>
              </w:rPr>
              <w:t>0.0</w:t>
            </w:r>
          </w:p>
        </w:tc>
        <w:tc>
          <w:tcPr>
            <w:tcW w:w="1160"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 </w:t>
            </w:r>
          </w:p>
        </w:tc>
        <w:tc>
          <w:tcPr>
            <w:tcW w:w="1116" w:type="dxa"/>
            <w:shd w:val="clear" w:color="auto" w:fill="auto"/>
            <w:noWrap/>
            <w:vAlign w:val="bottom"/>
            <w:hideMark/>
          </w:tcPr>
          <w:p w:rsidR="002B2C71" w:rsidRPr="008321D1" w:rsidRDefault="002B2C71" w:rsidP="00072567">
            <w:pPr>
              <w:jc w:val="right"/>
              <w:rPr>
                <w:sz w:val="20"/>
                <w:szCs w:val="20"/>
                <w:lang w:val="en-CA" w:eastAsia="en-CA"/>
              </w:rPr>
            </w:pPr>
            <w:r w:rsidRPr="008321D1">
              <w:rPr>
                <w:sz w:val="20"/>
                <w:szCs w:val="20"/>
                <w:lang w:val="en-CA" w:eastAsia="en-CA"/>
              </w:rPr>
              <w:t>0</w:t>
            </w:r>
          </w:p>
        </w:tc>
        <w:tc>
          <w:tcPr>
            <w:tcW w:w="1126" w:type="dxa"/>
            <w:shd w:val="clear" w:color="auto" w:fill="auto"/>
            <w:noWrap/>
            <w:vAlign w:val="bottom"/>
            <w:hideMark/>
          </w:tcPr>
          <w:p w:rsidR="002B2C71" w:rsidRPr="008321D1" w:rsidRDefault="002B2C71" w:rsidP="00072567">
            <w:pPr>
              <w:jc w:val="right"/>
              <w:rPr>
                <w:sz w:val="20"/>
                <w:szCs w:val="20"/>
                <w:lang w:val="en-CA" w:eastAsia="en-CA"/>
              </w:rPr>
            </w:pPr>
            <w:r w:rsidRPr="008321D1">
              <w:rPr>
                <w:sz w:val="20"/>
                <w:szCs w:val="20"/>
                <w:lang w:val="en-CA" w:eastAsia="en-CA"/>
              </w:rPr>
              <w:t>0</w:t>
            </w:r>
          </w:p>
        </w:tc>
        <w:tc>
          <w:tcPr>
            <w:tcW w:w="1276" w:type="dxa"/>
            <w:shd w:val="clear" w:color="auto" w:fill="auto"/>
            <w:noWrap/>
            <w:vAlign w:val="bottom"/>
            <w:hideMark/>
          </w:tcPr>
          <w:p w:rsidR="002B2C71" w:rsidRPr="008321D1" w:rsidRDefault="002B2C71" w:rsidP="00072567">
            <w:pPr>
              <w:jc w:val="left"/>
              <w:rPr>
                <w:sz w:val="20"/>
                <w:szCs w:val="20"/>
                <w:lang w:val="en-CA" w:eastAsia="en-CA"/>
              </w:rPr>
            </w:pPr>
            <w:r w:rsidRPr="008321D1">
              <w:rPr>
                <w:sz w:val="20"/>
                <w:szCs w:val="20"/>
                <w:lang w:val="en-CA" w:eastAsia="en-CA"/>
              </w:rPr>
              <w:t> </w:t>
            </w:r>
          </w:p>
        </w:tc>
        <w:tc>
          <w:tcPr>
            <w:tcW w:w="1160" w:type="dxa"/>
            <w:shd w:val="clear" w:color="auto" w:fill="auto"/>
            <w:noWrap/>
            <w:vAlign w:val="bottom"/>
            <w:hideMark/>
          </w:tcPr>
          <w:p w:rsidR="002B2C71" w:rsidRPr="008321D1" w:rsidRDefault="002B2C71" w:rsidP="00072567">
            <w:pPr>
              <w:jc w:val="right"/>
              <w:rPr>
                <w:sz w:val="20"/>
                <w:szCs w:val="20"/>
                <w:lang w:val="en-CA" w:eastAsia="en-CA"/>
              </w:rPr>
            </w:pPr>
            <w:r w:rsidRPr="008321D1">
              <w:rPr>
                <w:sz w:val="20"/>
                <w:szCs w:val="20"/>
                <w:lang w:val="en-CA" w:eastAsia="en-CA"/>
              </w:rPr>
              <w:t>100</w:t>
            </w:r>
          </w:p>
        </w:tc>
      </w:tr>
      <w:tr w:rsidR="008E6BF9" w:rsidRPr="007A4A27" w:rsidTr="008E6BF9">
        <w:trPr>
          <w:trHeight w:val="255"/>
        </w:trPr>
        <w:tc>
          <w:tcPr>
            <w:tcW w:w="3549" w:type="dxa"/>
            <w:shd w:val="clear" w:color="auto" w:fill="auto"/>
            <w:noWrap/>
            <w:vAlign w:val="bottom"/>
            <w:hideMark/>
          </w:tcPr>
          <w:p w:rsidR="008E6BF9" w:rsidRPr="008321D1" w:rsidRDefault="008E6BF9" w:rsidP="00072567">
            <w:pPr>
              <w:jc w:val="left"/>
              <w:rPr>
                <w:b/>
                <w:bCs/>
                <w:sz w:val="20"/>
                <w:szCs w:val="20"/>
                <w:lang w:val="en-CA" w:eastAsia="en-CA"/>
              </w:rPr>
            </w:pPr>
            <w:r w:rsidRPr="008321D1">
              <w:rPr>
                <w:b/>
                <w:bCs/>
                <w:sz w:val="20"/>
                <w:szCs w:val="20"/>
                <w:lang w:val="en-CA" w:eastAsia="en-CA"/>
              </w:rPr>
              <w:t xml:space="preserve">Grand </w:t>
            </w:r>
            <w:r w:rsidR="0027013B" w:rsidRPr="008321D1">
              <w:rPr>
                <w:b/>
                <w:bCs/>
                <w:sz w:val="20"/>
                <w:szCs w:val="20"/>
                <w:lang w:val="en-CA" w:eastAsia="en-CA"/>
              </w:rPr>
              <w:t>t</w:t>
            </w:r>
            <w:r w:rsidRPr="008321D1">
              <w:rPr>
                <w:b/>
                <w:bCs/>
                <w:sz w:val="20"/>
                <w:szCs w:val="20"/>
                <w:lang w:val="en-CA" w:eastAsia="en-CA"/>
              </w:rPr>
              <w:t>otal</w:t>
            </w:r>
          </w:p>
        </w:tc>
        <w:tc>
          <w:tcPr>
            <w:tcW w:w="851" w:type="dxa"/>
            <w:shd w:val="clear" w:color="auto" w:fill="auto"/>
            <w:noWrap/>
            <w:vAlign w:val="bottom"/>
            <w:hideMark/>
          </w:tcPr>
          <w:p w:rsidR="008E6BF9" w:rsidRPr="008321D1" w:rsidRDefault="008E6BF9" w:rsidP="00072567">
            <w:pPr>
              <w:jc w:val="right"/>
              <w:rPr>
                <w:b/>
                <w:bCs/>
                <w:sz w:val="20"/>
                <w:szCs w:val="20"/>
                <w:lang w:val="en-CA" w:eastAsia="en-CA"/>
              </w:rPr>
            </w:pPr>
            <w:r w:rsidRPr="008321D1">
              <w:rPr>
                <w:b/>
                <w:bCs/>
                <w:sz w:val="20"/>
                <w:szCs w:val="20"/>
                <w:lang w:val="en-CA" w:eastAsia="en-CA"/>
              </w:rPr>
              <w:t>223.3</w:t>
            </w:r>
          </w:p>
        </w:tc>
        <w:tc>
          <w:tcPr>
            <w:tcW w:w="1160" w:type="dxa"/>
            <w:shd w:val="clear" w:color="auto" w:fill="auto"/>
            <w:noWrap/>
            <w:vAlign w:val="bottom"/>
            <w:hideMark/>
          </w:tcPr>
          <w:p w:rsidR="008E6BF9" w:rsidRPr="008321D1" w:rsidRDefault="00BB2280" w:rsidP="00072567">
            <w:pPr>
              <w:jc w:val="right"/>
              <w:rPr>
                <w:b/>
                <w:bCs/>
                <w:sz w:val="20"/>
                <w:szCs w:val="20"/>
                <w:lang w:val="en-CA" w:eastAsia="en-CA"/>
              </w:rPr>
            </w:pPr>
            <w:r w:rsidRPr="008321D1">
              <w:rPr>
                <w:b/>
                <w:bCs/>
                <w:sz w:val="20"/>
                <w:szCs w:val="20"/>
                <w:lang w:val="en-CA" w:eastAsia="en-CA"/>
              </w:rPr>
              <w:t>55</w:t>
            </w:r>
          </w:p>
        </w:tc>
        <w:tc>
          <w:tcPr>
            <w:tcW w:w="1116" w:type="dxa"/>
            <w:shd w:val="clear" w:color="auto" w:fill="auto"/>
            <w:noWrap/>
            <w:vAlign w:val="bottom"/>
            <w:hideMark/>
          </w:tcPr>
          <w:p w:rsidR="008E6BF9" w:rsidRPr="008321D1" w:rsidRDefault="008E6BF9" w:rsidP="00072567">
            <w:pPr>
              <w:jc w:val="right"/>
              <w:rPr>
                <w:b/>
                <w:bCs/>
                <w:sz w:val="20"/>
                <w:szCs w:val="20"/>
                <w:lang w:val="en-CA" w:eastAsia="en-CA"/>
              </w:rPr>
            </w:pPr>
            <w:r w:rsidRPr="008321D1">
              <w:rPr>
                <w:b/>
                <w:bCs/>
                <w:sz w:val="20"/>
                <w:szCs w:val="20"/>
                <w:lang w:val="en-CA" w:eastAsia="en-CA"/>
              </w:rPr>
              <w:t>26,906,228</w:t>
            </w:r>
          </w:p>
        </w:tc>
        <w:tc>
          <w:tcPr>
            <w:tcW w:w="1126" w:type="dxa"/>
            <w:shd w:val="clear" w:color="auto" w:fill="auto"/>
            <w:noWrap/>
            <w:vAlign w:val="bottom"/>
            <w:hideMark/>
          </w:tcPr>
          <w:p w:rsidR="008E6BF9" w:rsidRPr="008321D1" w:rsidRDefault="008E6BF9" w:rsidP="00072567">
            <w:pPr>
              <w:jc w:val="right"/>
              <w:rPr>
                <w:b/>
                <w:bCs/>
                <w:sz w:val="20"/>
                <w:szCs w:val="20"/>
                <w:lang w:val="en-CA" w:eastAsia="en-CA"/>
              </w:rPr>
            </w:pPr>
            <w:r w:rsidRPr="008321D1">
              <w:rPr>
                <w:b/>
                <w:bCs/>
                <w:sz w:val="20"/>
                <w:szCs w:val="20"/>
                <w:lang w:val="en-CA" w:eastAsia="en-CA"/>
              </w:rPr>
              <w:t>32,018,574</w:t>
            </w:r>
          </w:p>
        </w:tc>
        <w:tc>
          <w:tcPr>
            <w:tcW w:w="1276" w:type="dxa"/>
            <w:shd w:val="clear" w:color="auto" w:fill="auto"/>
            <w:noWrap/>
            <w:vAlign w:val="bottom"/>
            <w:hideMark/>
          </w:tcPr>
          <w:p w:rsidR="008E6BF9" w:rsidRPr="008321D1" w:rsidRDefault="009A6831" w:rsidP="00072567">
            <w:pPr>
              <w:jc w:val="right"/>
              <w:rPr>
                <w:b/>
                <w:bCs/>
                <w:sz w:val="20"/>
                <w:szCs w:val="20"/>
                <w:lang w:val="en-CA" w:eastAsia="en-CA"/>
              </w:rPr>
            </w:pPr>
            <w:r w:rsidRPr="008321D1">
              <w:rPr>
                <w:b/>
                <w:bCs/>
                <w:sz w:val="20"/>
                <w:szCs w:val="20"/>
                <w:lang w:val="en-CA" w:eastAsia="en-CA"/>
              </w:rPr>
              <w:t>119</w:t>
            </w:r>
          </w:p>
        </w:tc>
        <w:tc>
          <w:tcPr>
            <w:tcW w:w="1160" w:type="dxa"/>
            <w:shd w:val="clear" w:color="auto" w:fill="auto"/>
            <w:noWrap/>
            <w:vAlign w:val="bottom"/>
            <w:hideMark/>
          </w:tcPr>
          <w:p w:rsidR="008E6BF9" w:rsidRPr="007A4A27" w:rsidRDefault="008E6BF9" w:rsidP="00072567">
            <w:pPr>
              <w:jc w:val="right"/>
              <w:rPr>
                <w:b/>
                <w:bCs/>
                <w:sz w:val="20"/>
                <w:szCs w:val="20"/>
                <w:lang w:val="en-CA" w:eastAsia="en-CA"/>
              </w:rPr>
            </w:pPr>
            <w:r w:rsidRPr="008321D1">
              <w:rPr>
                <w:b/>
                <w:bCs/>
                <w:sz w:val="20"/>
                <w:szCs w:val="20"/>
                <w:lang w:val="en-CA" w:eastAsia="en-CA"/>
              </w:rPr>
              <w:t>75</w:t>
            </w:r>
          </w:p>
        </w:tc>
      </w:tr>
    </w:tbl>
    <w:p w:rsidR="00FE681C" w:rsidRPr="007A4A27" w:rsidRDefault="00FE681C" w:rsidP="0007256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AF0163" w:rsidRPr="007A4A27" w:rsidTr="00CB4681">
        <w:tc>
          <w:tcPr>
            <w:tcW w:w="1915" w:type="dxa"/>
          </w:tcPr>
          <w:p w:rsidR="00AF0163" w:rsidRPr="007A4A27" w:rsidRDefault="00AF0163" w:rsidP="00072567">
            <w:pPr>
              <w:rPr>
                <w:lang w:val="en-CA"/>
              </w:rPr>
            </w:pPr>
          </w:p>
        </w:tc>
        <w:tc>
          <w:tcPr>
            <w:tcW w:w="1915" w:type="dxa"/>
          </w:tcPr>
          <w:p w:rsidR="00AF0163" w:rsidRPr="007A4A27" w:rsidRDefault="00AF0163" w:rsidP="00072567">
            <w:pPr>
              <w:rPr>
                <w:lang w:val="en-CA"/>
              </w:rPr>
            </w:pPr>
          </w:p>
        </w:tc>
        <w:tc>
          <w:tcPr>
            <w:tcW w:w="1915" w:type="dxa"/>
            <w:tcBorders>
              <w:bottom w:val="single" w:sz="4" w:space="0" w:color="auto"/>
            </w:tcBorders>
          </w:tcPr>
          <w:p w:rsidR="00AF0163" w:rsidRPr="007A4A27" w:rsidRDefault="00AF0163" w:rsidP="00072567">
            <w:pPr>
              <w:rPr>
                <w:lang w:val="en-CA"/>
              </w:rPr>
            </w:pPr>
          </w:p>
        </w:tc>
        <w:tc>
          <w:tcPr>
            <w:tcW w:w="1915" w:type="dxa"/>
          </w:tcPr>
          <w:p w:rsidR="00AF0163" w:rsidRPr="007A4A27" w:rsidRDefault="00AF0163" w:rsidP="00072567">
            <w:pPr>
              <w:rPr>
                <w:lang w:val="en-CA"/>
              </w:rPr>
            </w:pPr>
          </w:p>
        </w:tc>
        <w:tc>
          <w:tcPr>
            <w:tcW w:w="1916" w:type="dxa"/>
          </w:tcPr>
          <w:p w:rsidR="00AF0163" w:rsidRPr="007A4A27" w:rsidRDefault="00AF0163" w:rsidP="00072567">
            <w:pPr>
              <w:rPr>
                <w:lang w:val="en-CA"/>
              </w:rPr>
            </w:pPr>
          </w:p>
        </w:tc>
      </w:tr>
    </w:tbl>
    <w:p w:rsidR="00AF0163" w:rsidRPr="007A4A27" w:rsidRDefault="00AF0163" w:rsidP="00072567">
      <w:pPr>
        <w:rPr>
          <w:lang w:val="en-CA"/>
        </w:rPr>
      </w:pPr>
    </w:p>
    <w:sectPr w:rsidR="00AF0163" w:rsidRPr="007A4A27" w:rsidSect="00263137">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74" w:rsidRDefault="00436274" w:rsidP="004A504B">
      <w:r>
        <w:separator/>
      </w:r>
    </w:p>
  </w:endnote>
  <w:endnote w:type="continuationSeparator" w:id="0">
    <w:p w:rsidR="00436274" w:rsidRDefault="0043627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4" w:rsidRPr="0033525D" w:rsidRDefault="00436274">
    <w:pPr>
      <w:jc w:val="center"/>
    </w:pPr>
    <w:r>
      <w:fldChar w:fldCharType="begin"/>
    </w:r>
    <w:r>
      <w:instrText xml:space="preserve"> PAGE </w:instrText>
    </w:r>
    <w:r>
      <w:fldChar w:fldCharType="separate"/>
    </w:r>
    <w:r w:rsidR="008321D1">
      <w:rPr>
        <w:noProof/>
      </w:rPr>
      <w:t>8</w:t>
    </w:r>
    <w:r>
      <w:rPr>
        <w:noProof/>
      </w:rPr>
      <w:fldChar w:fldCharType="end"/>
    </w:r>
  </w:p>
  <w:p w:rsidR="00436274" w:rsidRDefault="004362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4" w:rsidRPr="0033525D" w:rsidRDefault="00436274">
    <w:pPr>
      <w:jc w:val="center"/>
    </w:pPr>
    <w:r>
      <w:fldChar w:fldCharType="begin"/>
    </w:r>
    <w:r>
      <w:instrText xml:space="preserve"> PAGE </w:instrText>
    </w:r>
    <w:r>
      <w:fldChar w:fldCharType="separate"/>
    </w:r>
    <w:r w:rsidR="008321D1">
      <w:rPr>
        <w:noProof/>
      </w:rPr>
      <w:t>7</w:t>
    </w:r>
    <w:r>
      <w:rPr>
        <w:noProof/>
      </w:rPr>
      <w:fldChar w:fldCharType="end"/>
    </w:r>
  </w:p>
  <w:p w:rsidR="00436274" w:rsidRDefault="004362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4" w:rsidRDefault="00436274"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36274" w:rsidRDefault="00436274"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4" w:rsidRPr="0033525D" w:rsidRDefault="00436274">
    <w:pPr>
      <w:jc w:val="center"/>
    </w:pPr>
    <w:r>
      <w:fldChar w:fldCharType="begin"/>
    </w:r>
    <w:r>
      <w:instrText xml:space="preserve"> PAGE </w:instrText>
    </w:r>
    <w:r>
      <w:fldChar w:fldCharType="separate"/>
    </w:r>
    <w:r w:rsidR="008321D1">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4" w:rsidRPr="0033525D" w:rsidRDefault="00436274">
    <w:pPr>
      <w:jc w:val="center"/>
    </w:pPr>
    <w:r>
      <w:fldChar w:fldCharType="begin"/>
    </w:r>
    <w:r>
      <w:instrText xml:space="preserve"> PAGE </w:instrText>
    </w:r>
    <w:r>
      <w:fldChar w:fldCharType="separate"/>
    </w:r>
    <w:r w:rsidR="008321D1">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215003"/>
      <w:docPartObj>
        <w:docPartGallery w:val="Page Numbers (Bottom of Page)"/>
        <w:docPartUnique/>
      </w:docPartObj>
    </w:sdtPr>
    <w:sdtEndPr>
      <w:rPr>
        <w:noProof/>
      </w:rPr>
    </w:sdtEndPr>
    <w:sdtContent>
      <w:p w:rsidR="00436274" w:rsidRDefault="00436274">
        <w:pPr>
          <w:pStyle w:val="Footer"/>
          <w:jc w:val="center"/>
        </w:pPr>
        <w:r>
          <w:fldChar w:fldCharType="begin"/>
        </w:r>
        <w:r>
          <w:instrText xml:space="preserve"> PAGE   \* MERGEFORMAT </w:instrText>
        </w:r>
        <w:r>
          <w:fldChar w:fldCharType="separate"/>
        </w:r>
        <w:r w:rsidR="008321D1">
          <w:rPr>
            <w:noProof/>
          </w:rPr>
          <w:t>1</w:t>
        </w:r>
        <w:r>
          <w:rPr>
            <w:noProof/>
          </w:rPr>
          <w:fldChar w:fldCharType="end"/>
        </w:r>
      </w:p>
    </w:sdtContent>
  </w:sdt>
  <w:p w:rsidR="00436274" w:rsidRPr="00263137" w:rsidRDefault="00436274" w:rsidP="00263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74" w:rsidRDefault="00436274" w:rsidP="004A504B">
      <w:r>
        <w:separator/>
      </w:r>
    </w:p>
  </w:footnote>
  <w:footnote w:type="continuationSeparator" w:id="0">
    <w:p w:rsidR="00436274" w:rsidRDefault="00436274" w:rsidP="004A504B">
      <w:r>
        <w:continuationSeparator/>
      </w:r>
    </w:p>
  </w:footnote>
  <w:footnote w:id="1">
    <w:p w:rsidR="00436274" w:rsidRPr="008321D1" w:rsidRDefault="00436274" w:rsidP="00263137">
      <w:pPr>
        <w:pStyle w:val="FootnoteText"/>
        <w:spacing w:after="0"/>
        <w:ind w:left="0" w:firstLine="0"/>
        <w:jc w:val="both"/>
        <w:rPr>
          <w:lang w:val="en-CA"/>
        </w:rPr>
      </w:pPr>
      <w:r w:rsidRPr="008321D1">
        <w:rPr>
          <w:rStyle w:val="FootnoteReference"/>
          <w:sz w:val="20"/>
          <w:szCs w:val="20"/>
          <w:lang w:val="en-CA"/>
        </w:rPr>
        <w:footnoteRef/>
      </w:r>
      <w:r w:rsidRPr="008321D1">
        <w:rPr>
          <w:lang w:val="en-CA"/>
        </w:rPr>
        <w:t xml:space="preserve"> The progress report is attached. The data has been included in the Consolidated Progress Report database that is available upon request.</w:t>
      </w:r>
    </w:p>
    <w:p w:rsidR="00436274" w:rsidRPr="008321D1" w:rsidRDefault="00436274" w:rsidP="00263137">
      <w:pPr>
        <w:pStyle w:val="FootnoteText"/>
        <w:spacing w:after="0"/>
        <w:ind w:left="0" w:firstLine="0"/>
        <w:jc w:val="both"/>
        <w:rPr>
          <w:lang w:val="en-CA"/>
        </w:rPr>
      </w:pPr>
    </w:p>
  </w:footnote>
  <w:footnote w:id="2">
    <w:p w:rsidR="00436274" w:rsidRPr="008321D1" w:rsidRDefault="00436274" w:rsidP="00263137">
      <w:pPr>
        <w:pStyle w:val="FootnoteText"/>
        <w:ind w:left="0" w:firstLine="0"/>
        <w:jc w:val="both"/>
        <w:rPr>
          <w:lang w:val="en-CA"/>
        </w:rPr>
      </w:pPr>
      <w:r w:rsidRPr="008321D1">
        <w:rPr>
          <w:rStyle w:val="FootnoteReference"/>
          <w:sz w:val="20"/>
          <w:szCs w:val="20"/>
          <w:lang w:val="en-CA"/>
        </w:rPr>
        <w:footnoteRef/>
      </w:r>
      <w:r w:rsidRPr="008321D1">
        <w:rPr>
          <w:lang w:val="en-CA"/>
        </w:rPr>
        <w:t xml:space="preserve"> The higher value of the cost-effectiveness for ongoing projects is largely due to the lower ODP values of HCFCs but also due to the means of assigning phase-out by agencies.</w:t>
      </w:r>
    </w:p>
  </w:footnote>
  <w:footnote w:id="3">
    <w:p w:rsidR="00436274" w:rsidRPr="008321D1" w:rsidRDefault="00436274" w:rsidP="00263137">
      <w:pPr>
        <w:pStyle w:val="FootnoteText"/>
        <w:spacing w:after="0"/>
        <w:ind w:left="0" w:firstLine="0"/>
        <w:jc w:val="both"/>
        <w:rPr>
          <w:lang w:val="en-CA"/>
        </w:rPr>
      </w:pPr>
      <w:r w:rsidRPr="008321D1">
        <w:rPr>
          <w:rStyle w:val="FootnoteReference"/>
          <w:sz w:val="20"/>
          <w:szCs w:val="20"/>
          <w:lang w:val="en-CA"/>
        </w:rPr>
        <w:footnoteRef/>
      </w:r>
      <w:r w:rsidRPr="008321D1">
        <w:rPr>
          <w:lang w:val="en-CA"/>
        </w:rPr>
        <w:t xml:space="preserve"> The data is presented according to the year when a project was approved by the Executive Committee. It treats all approvals (investment and non-investment projects) equally (i.e., an investment project or a funding tranche of an MYA of US $1 million is considered one project, same as a country programme preparation of US $30,000). Key indicators from the annual summary are: the percentage of projects completed, ODP phased out, and percentage of funds disbursed. There are three types of disbursements: during implementation, after implementation and for retroactively-financed projects.</w:t>
      </w:r>
    </w:p>
  </w:footnote>
  <w:footnote w:id="4">
    <w:p w:rsidR="00436274" w:rsidRPr="008321D1" w:rsidRDefault="00436274" w:rsidP="00B31553">
      <w:pPr>
        <w:autoSpaceDE w:val="0"/>
        <w:autoSpaceDN w:val="0"/>
        <w:adjustRightInd w:val="0"/>
      </w:pPr>
      <w:r w:rsidRPr="008321D1">
        <w:rPr>
          <w:rStyle w:val="FootnoteReference"/>
        </w:rPr>
        <w:footnoteRef/>
      </w:r>
      <w:r w:rsidRPr="008321D1">
        <w:t xml:space="preserve"> </w:t>
      </w:r>
      <w:r w:rsidRPr="008321D1">
        <w:rPr>
          <w:sz w:val="20"/>
          <w:szCs w:val="20"/>
          <w:lang w:val="en-US"/>
        </w:rPr>
        <w:t>The Executive Committee has defined projects with implementation delays as projects approved over 18 months with disbursement less than one per cent, or projects that are expected to be completed 12 months later than forecast in the last progress report (decision 22/61).</w:t>
      </w:r>
    </w:p>
  </w:footnote>
  <w:footnote w:id="5">
    <w:p w:rsidR="00436274" w:rsidRPr="008321D1" w:rsidRDefault="00436274" w:rsidP="00263137">
      <w:pPr>
        <w:pStyle w:val="FootnoteText"/>
        <w:spacing w:after="0"/>
        <w:ind w:left="0" w:firstLine="0"/>
        <w:jc w:val="both"/>
        <w:rPr>
          <w:lang w:val="en-CA"/>
        </w:rPr>
      </w:pPr>
      <w:r w:rsidRPr="008321D1">
        <w:rPr>
          <w:rStyle w:val="FootnoteReference"/>
          <w:sz w:val="20"/>
          <w:szCs w:val="20"/>
          <w:lang w:val="en-CA"/>
        </w:rPr>
        <w:footnoteRef/>
      </w:r>
      <w:r w:rsidRPr="008321D1">
        <w:rPr>
          <w:lang w:val="en-CA"/>
        </w:rPr>
        <w:t xml:space="preserve"> Ongoing projects are all projects that have been approved by the Executive Committee and were under implementation as of 31 December 2015. Key indicators of progress include: percentage of funds disbursed and percentage of projects that have begun disbursing funds; funding expected to be disbursed by the end of the year (funds disbursed plus estimated disbursements in 2015) as a percentage of the approved funding; the average length of projected delay in implementation (project completion per proposal and currently planned date of completion); and information provided in the remarks column in the progress report database.</w:t>
      </w:r>
    </w:p>
  </w:footnote>
  <w:footnote w:id="6">
    <w:p w:rsidR="00436274" w:rsidRPr="008321D1" w:rsidRDefault="00436274" w:rsidP="001A41AB">
      <w:pPr>
        <w:pStyle w:val="FootnoteText"/>
        <w:jc w:val="both"/>
        <w:rPr>
          <w:lang w:val="en-CA"/>
        </w:rPr>
      </w:pPr>
      <w:r w:rsidRPr="008321D1">
        <w:rPr>
          <w:rStyle w:val="FootnoteReference"/>
          <w:sz w:val="20"/>
          <w:szCs w:val="20"/>
        </w:rPr>
        <w:footnoteRef/>
      </w:r>
      <w:r w:rsidRPr="008321D1">
        <w:t xml:space="preserve"> </w:t>
      </w:r>
      <w:r w:rsidRPr="008321D1">
        <w:rPr>
          <w:lang w:val="en-CA"/>
        </w:rPr>
        <w:t>India has received funding for the project preparation but not a demonstration project.</w:t>
      </w:r>
    </w:p>
  </w:footnote>
  <w:footnote w:id="7">
    <w:p w:rsidR="00436274" w:rsidRPr="008321D1" w:rsidRDefault="00436274" w:rsidP="00561213">
      <w:pPr>
        <w:pStyle w:val="FootnoteText"/>
        <w:ind w:left="0" w:firstLine="0"/>
        <w:jc w:val="both"/>
      </w:pPr>
      <w:r w:rsidRPr="008321D1">
        <w:rPr>
          <w:rStyle w:val="FootnoteReference"/>
        </w:rPr>
        <w:footnoteRef/>
      </w:r>
      <w:r w:rsidRPr="008321D1">
        <w:t xml:space="preserve"> This issue is presented in document UNEP/OzL.Pro/</w:t>
      </w:r>
      <w:proofErr w:type="spellStart"/>
      <w:r w:rsidRPr="008321D1">
        <w:t>ExCom</w:t>
      </w:r>
      <w:proofErr w:type="spellEnd"/>
      <w:r w:rsidRPr="008321D1">
        <w:t xml:space="preserve">/77/39, </w:t>
      </w:r>
      <w:r w:rsidRPr="008321D1">
        <w:rPr>
          <w:lang w:val="en-CA"/>
        </w:rPr>
        <w:t>where the issue of availability of alternative technologies has been reported</w:t>
      </w:r>
      <w:r w:rsidRPr="008321D1">
        <w:t>.</w:t>
      </w:r>
    </w:p>
  </w:footnote>
  <w:footnote w:id="8">
    <w:p w:rsidR="00436274" w:rsidRPr="008321D1" w:rsidRDefault="00436274" w:rsidP="00860605">
      <w:pPr>
        <w:pStyle w:val="FootnoteText"/>
        <w:spacing w:after="0"/>
        <w:ind w:left="0" w:firstLine="0"/>
        <w:jc w:val="both"/>
        <w:rPr>
          <w:lang w:val="en-CA"/>
        </w:rPr>
      </w:pPr>
      <w:r w:rsidRPr="008321D1">
        <w:rPr>
          <w:rStyle w:val="FootnoteReference"/>
        </w:rPr>
        <w:footnoteRef/>
      </w:r>
      <w:r w:rsidRPr="008321D1">
        <w:t xml:space="preserve"> </w:t>
      </w:r>
      <w:proofErr w:type="gramStart"/>
      <w:r w:rsidRPr="008321D1">
        <w:t>ODS</w:t>
      </w:r>
      <w:proofErr w:type="gramEnd"/>
      <w:r w:rsidRPr="008321D1">
        <w:t xml:space="preserve"> survey reports should be submitted by January 2017 to enable the Secretariat to provide an analysis of the results of the surveys for consideration of the Executive Committee at its 78</w:t>
      </w:r>
      <w:r w:rsidRPr="008321D1">
        <w:rPr>
          <w:vertAlign w:val="superscript"/>
        </w:rPr>
        <w:t>th</w:t>
      </w:r>
      <w:r w:rsidRPr="008321D1">
        <w:t xml:space="preserve"> meeting (</w:t>
      </w:r>
      <w:r w:rsidRPr="008321D1">
        <w:rPr>
          <w:lang w:val="en-CA"/>
        </w:rPr>
        <w:t>decision 74/53(h)).</w:t>
      </w:r>
    </w:p>
  </w:footnote>
  <w:footnote w:id="9">
    <w:p w:rsidR="00436274" w:rsidRPr="00860605" w:rsidRDefault="00436274" w:rsidP="00860605">
      <w:pPr>
        <w:pStyle w:val="FootnoteText"/>
        <w:ind w:left="0" w:firstLine="0"/>
        <w:jc w:val="both"/>
      </w:pPr>
      <w:r w:rsidRPr="008321D1">
        <w:rPr>
          <w:rStyle w:val="FootnoteReference"/>
        </w:rPr>
        <w:footnoteRef/>
      </w:r>
      <w:r w:rsidRPr="008321D1">
        <w:t xml:space="preserve"> </w:t>
      </w:r>
      <w:proofErr w:type="gramStart"/>
      <w:r w:rsidRPr="008321D1">
        <w:t>Costa Rica, Cuba, the Dominican Republic, El Salvador, Iran (Islamic Republic of), Lebanon, Panama, Paraguay, and Peru.</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4" w:rsidRPr="0033525D" w:rsidRDefault="00436274" w:rsidP="00CB4681">
    <w:r>
      <w:fldChar w:fldCharType="begin"/>
    </w:r>
    <w:r>
      <w:instrText xml:space="preserve"> DOCPROPERTY "Document number"  \* MERGEFORMAT </w:instrText>
    </w:r>
    <w:r>
      <w:fldChar w:fldCharType="separate"/>
    </w:r>
    <w:r>
      <w:t>UNEP/OzL.Pro/</w:t>
    </w:r>
    <w:proofErr w:type="spellStart"/>
    <w:r>
      <w:t>ExCom</w:t>
    </w:r>
    <w:proofErr w:type="spellEnd"/>
    <w:r>
      <w:t>/77/13</w:t>
    </w:r>
    <w:r>
      <w:fldChar w:fldCharType="end"/>
    </w:r>
  </w:p>
  <w:p w:rsidR="00436274" w:rsidRPr="0033525D" w:rsidRDefault="00436274"/>
  <w:p w:rsidR="00436274" w:rsidRPr="0033525D" w:rsidRDefault="004362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4" w:rsidRPr="0033525D" w:rsidRDefault="00436274" w:rsidP="00CB4681">
    <w:pPr>
      <w:jc w:val="right"/>
    </w:pPr>
    <w:r>
      <w:fldChar w:fldCharType="begin"/>
    </w:r>
    <w:r>
      <w:instrText xml:space="preserve"> DOCPROPERTY "Document number"  \* MERGEFORMAT </w:instrText>
    </w:r>
    <w:r>
      <w:fldChar w:fldCharType="separate"/>
    </w:r>
    <w:r>
      <w:t>UNEP/OzL.Pro/</w:t>
    </w:r>
    <w:proofErr w:type="spellStart"/>
    <w:r>
      <w:t>ExCom</w:t>
    </w:r>
    <w:proofErr w:type="spellEnd"/>
    <w:r>
      <w:t>/77/13</w:t>
    </w:r>
    <w:r>
      <w:fldChar w:fldCharType="end"/>
    </w:r>
  </w:p>
  <w:p w:rsidR="00436274" w:rsidRPr="0033525D" w:rsidRDefault="00436274"/>
  <w:p w:rsidR="00436274" w:rsidRPr="0033525D" w:rsidRDefault="00436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4" w:rsidRPr="0033525D" w:rsidRDefault="00436274" w:rsidP="00263137">
    <w:pPr>
      <w:jc w:val="left"/>
    </w:pPr>
    <w:r>
      <w:fldChar w:fldCharType="begin"/>
    </w:r>
    <w:r>
      <w:instrText xml:space="preserve"> DOCPROPERTY "Document number"  \* MERGEFORMAT </w:instrText>
    </w:r>
    <w:r>
      <w:fldChar w:fldCharType="separate"/>
    </w:r>
    <w:r>
      <w:t>UNEP/OzL.Pro/</w:t>
    </w:r>
    <w:proofErr w:type="spellStart"/>
    <w:r>
      <w:t>ExCom</w:t>
    </w:r>
    <w:proofErr w:type="spellEnd"/>
    <w:r>
      <w:t>/77/13</w:t>
    </w:r>
    <w:r>
      <w:fldChar w:fldCharType="end"/>
    </w:r>
  </w:p>
  <w:p w:rsidR="00436274" w:rsidRDefault="00436274" w:rsidP="00263137">
    <w:pPr>
      <w:pStyle w:val="Header"/>
      <w:jc w:val="left"/>
    </w:pPr>
    <w:r>
      <w:t>Annex I</w:t>
    </w:r>
  </w:p>
  <w:p w:rsidR="00436274" w:rsidRDefault="00436274" w:rsidP="0026313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4" w:rsidRPr="0033525D" w:rsidRDefault="00436274" w:rsidP="00E77EE4">
    <w:pPr>
      <w:jc w:val="right"/>
    </w:pPr>
    <w:r>
      <w:fldChar w:fldCharType="begin"/>
    </w:r>
    <w:r>
      <w:instrText xml:space="preserve"> DOCPROPERTY "Document number"  \* MERGEFORMAT </w:instrText>
    </w:r>
    <w:r>
      <w:fldChar w:fldCharType="separate"/>
    </w:r>
    <w:r>
      <w:t>UNEP/OzL.Pro/</w:t>
    </w:r>
    <w:proofErr w:type="spellStart"/>
    <w:r>
      <w:t>ExCom</w:t>
    </w:r>
    <w:proofErr w:type="spellEnd"/>
    <w:r>
      <w:t>/77/13</w:t>
    </w:r>
    <w:r>
      <w:fldChar w:fldCharType="end"/>
    </w:r>
  </w:p>
  <w:p w:rsidR="00436274" w:rsidRDefault="00436274" w:rsidP="00E77EE4">
    <w:pPr>
      <w:pStyle w:val="Header"/>
      <w:jc w:val="right"/>
    </w:pPr>
    <w:r>
      <w:t>Annex I</w:t>
    </w:r>
  </w:p>
  <w:p w:rsidR="00436274" w:rsidRPr="0033525D" w:rsidRDefault="004362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4" w:rsidRPr="0033525D" w:rsidRDefault="00436274" w:rsidP="00263137">
    <w:pPr>
      <w:jc w:val="right"/>
    </w:pPr>
    <w:r>
      <w:fldChar w:fldCharType="begin"/>
    </w:r>
    <w:r>
      <w:instrText xml:space="preserve"> DOCPROPERTY "Document number"  \* MERGEFORMAT </w:instrText>
    </w:r>
    <w:r>
      <w:fldChar w:fldCharType="separate"/>
    </w:r>
    <w:r>
      <w:t>UNEP/OzL.Pro/</w:t>
    </w:r>
    <w:proofErr w:type="spellStart"/>
    <w:r>
      <w:t>ExCom</w:t>
    </w:r>
    <w:proofErr w:type="spellEnd"/>
    <w:r>
      <w:t>/77/13</w:t>
    </w:r>
    <w:r>
      <w:fldChar w:fldCharType="end"/>
    </w:r>
  </w:p>
  <w:p w:rsidR="00436274" w:rsidRDefault="00436274" w:rsidP="00263137">
    <w:pPr>
      <w:pStyle w:val="Header"/>
      <w:jc w:val="right"/>
    </w:pPr>
    <w:r>
      <w:t>Annex I</w:t>
    </w:r>
  </w:p>
  <w:p w:rsidR="00436274" w:rsidRDefault="00436274" w:rsidP="002631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9AA7B4"/>
    <w:lvl w:ilvl="0">
      <w:start w:val="1"/>
      <w:numFmt w:val="decimal"/>
      <w:lvlText w:val="%1."/>
      <w:lvlJc w:val="left"/>
      <w:pPr>
        <w:tabs>
          <w:tab w:val="num" w:pos="1800"/>
        </w:tabs>
        <w:ind w:left="1800" w:hanging="360"/>
      </w:pPr>
    </w:lvl>
  </w:abstractNum>
  <w:abstractNum w:abstractNumId="1">
    <w:nsid w:val="FFFFFF7D"/>
    <w:multiLevelType w:val="singleLevel"/>
    <w:tmpl w:val="0A24575E"/>
    <w:lvl w:ilvl="0">
      <w:start w:val="1"/>
      <w:numFmt w:val="decimal"/>
      <w:lvlText w:val="%1."/>
      <w:lvlJc w:val="left"/>
      <w:pPr>
        <w:tabs>
          <w:tab w:val="num" w:pos="1440"/>
        </w:tabs>
        <w:ind w:left="1440" w:hanging="360"/>
      </w:pPr>
    </w:lvl>
  </w:abstractNum>
  <w:abstractNum w:abstractNumId="2">
    <w:nsid w:val="FFFFFF7E"/>
    <w:multiLevelType w:val="singleLevel"/>
    <w:tmpl w:val="8FB6E328"/>
    <w:lvl w:ilvl="0">
      <w:start w:val="1"/>
      <w:numFmt w:val="decimal"/>
      <w:lvlText w:val="%1."/>
      <w:lvlJc w:val="left"/>
      <w:pPr>
        <w:tabs>
          <w:tab w:val="num" w:pos="1080"/>
        </w:tabs>
        <w:ind w:left="1080" w:hanging="360"/>
      </w:pPr>
    </w:lvl>
  </w:abstractNum>
  <w:abstractNum w:abstractNumId="3">
    <w:nsid w:val="FFFFFF7F"/>
    <w:multiLevelType w:val="singleLevel"/>
    <w:tmpl w:val="BEAA0BDE"/>
    <w:lvl w:ilvl="0">
      <w:start w:val="1"/>
      <w:numFmt w:val="decimal"/>
      <w:lvlText w:val="%1."/>
      <w:lvlJc w:val="left"/>
      <w:pPr>
        <w:tabs>
          <w:tab w:val="num" w:pos="720"/>
        </w:tabs>
        <w:ind w:left="720" w:hanging="360"/>
      </w:pPr>
    </w:lvl>
  </w:abstractNum>
  <w:abstractNum w:abstractNumId="4">
    <w:nsid w:val="FFFFFF80"/>
    <w:multiLevelType w:val="singleLevel"/>
    <w:tmpl w:val="97DEAD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D80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92E3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2E0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58C86E"/>
    <w:lvl w:ilvl="0">
      <w:start w:val="1"/>
      <w:numFmt w:val="decimal"/>
      <w:lvlText w:val="%1."/>
      <w:lvlJc w:val="left"/>
      <w:pPr>
        <w:tabs>
          <w:tab w:val="num" w:pos="360"/>
        </w:tabs>
        <w:ind w:left="360" w:hanging="360"/>
      </w:pPr>
    </w:lvl>
  </w:abstractNum>
  <w:abstractNum w:abstractNumId="9">
    <w:nsid w:val="FFFFFF89"/>
    <w:multiLevelType w:val="singleLevel"/>
    <w:tmpl w:val="590EFDA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240645FA"/>
    <w:multiLevelType w:val="hybridMultilevel"/>
    <w:tmpl w:val="90CEC7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Arial"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Arial"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Arial"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08219F3"/>
    <w:multiLevelType w:val="multilevel"/>
    <w:tmpl w:val="CF325E98"/>
    <w:lvl w:ilvl="0">
      <w:start w:val="1"/>
      <w:numFmt w:val="bullet"/>
      <w:lvlText w:val=""/>
      <w:lvlJc w:val="left"/>
      <w:pPr>
        <w:tabs>
          <w:tab w:val="num" w:pos="720"/>
        </w:tabs>
        <w:ind w:left="720" w:firstLine="0"/>
      </w:pPr>
      <w:rPr>
        <w:rFonts w:ascii="Symbol" w:hAnsi="Symbol" w:hint="default"/>
        <w:b w:val="0"/>
      </w:rPr>
    </w:lvl>
    <w:lvl w:ilvl="1">
      <w:start w:val="1"/>
      <w:numFmt w:val="lowerLetter"/>
      <w:lvlText w:val="(%2)"/>
      <w:lvlJc w:val="left"/>
      <w:pPr>
        <w:tabs>
          <w:tab w:val="num" w:pos="720"/>
        </w:tabs>
        <w:ind w:left="2160" w:hanging="720"/>
      </w:pPr>
    </w:lvl>
    <w:lvl w:ilvl="2">
      <w:start w:val="1"/>
      <w:numFmt w:val="lowerRoman"/>
      <w:lvlText w:val="(%3)"/>
      <w:lvlJc w:val="left"/>
      <w:pPr>
        <w:tabs>
          <w:tab w:val="num" w:pos="720"/>
        </w:tabs>
        <w:ind w:left="2880" w:hanging="720"/>
      </w:pPr>
    </w:lvl>
    <w:lvl w:ilvl="3">
      <w:start w:val="1"/>
      <w:numFmt w:val="lowerLetter"/>
      <w:lvlText w:val="%4)"/>
      <w:lvlJc w:val="left"/>
      <w:pPr>
        <w:tabs>
          <w:tab w:val="num" w:pos="720"/>
        </w:tabs>
        <w:ind w:left="3586" w:hanging="706"/>
      </w:pPr>
    </w:lvl>
    <w:lvl w:ilvl="4">
      <w:start w:val="1"/>
      <w:numFmt w:val="decimal"/>
      <w:lvlText w:val="(%5)"/>
      <w:lvlJc w:val="left"/>
      <w:pPr>
        <w:tabs>
          <w:tab w:val="num" w:pos="720"/>
        </w:tabs>
        <w:ind w:left="4291" w:hanging="705"/>
      </w:pPr>
    </w:lvl>
    <w:lvl w:ilvl="5">
      <w:start w:val="1"/>
      <w:numFmt w:val="lowerLetter"/>
      <w:lvlText w:val="(%6)"/>
      <w:lvlJc w:val="left"/>
      <w:pPr>
        <w:tabs>
          <w:tab w:val="num" w:pos="720"/>
        </w:tabs>
        <w:ind w:left="5011" w:hanging="720"/>
      </w:pPr>
    </w:lvl>
    <w:lvl w:ilvl="6">
      <w:start w:val="1"/>
      <w:numFmt w:val="lowerRoman"/>
      <w:lvlText w:val="(%7)"/>
      <w:lvlJc w:val="left"/>
      <w:pPr>
        <w:tabs>
          <w:tab w:val="num" w:pos="720"/>
        </w:tabs>
        <w:ind w:left="5717" w:hanging="706"/>
      </w:pPr>
    </w:lvl>
    <w:lvl w:ilvl="7">
      <w:start w:val="1"/>
      <w:numFmt w:val="lowerLetter"/>
      <w:lvlText w:val="(%8)"/>
      <w:lvlJc w:val="left"/>
      <w:pPr>
        <w:tabs>
          <w:tab w:val="num" w:pos="720"/>
        </w:tabs>
        <w:ind w:left="6422" w:hanging="705"/>
      </w:pPr>
    </w:lvl>
    <w:lvl w:ilvl="8">
      <w:start w:val="1"/>
      <w:numFmt w:val="lowerRoman"/>
      <w:lvlText w:val="(%9)"/>
      <w:lvlJc w:val="left"/>
      <w:pPr>
        <w:tabs>
          <w:tab w:val="num" w:pos="720"/>
        </w:tabs>
        <w:ind w:left="7128" w:hanging="706"/>
      </w:pPr>
    </w:lvl>
  </w:abstractNum>
  <w:abstractNum w:abstractNumId="14">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nsid w:val="354676A1"/>
    <w:multiLevelType w:val="hybridMultilevel"/>
    <w:tmpl w:val="7AFA253E"/>
    <w:lvl w:ilvl="0" w:tplc="79620F4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3DFF2E9D"/>
    <w:multiLevelType w:val="hybridMultilevel"/>
    <w:tmpl w:val="E564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25415C"/>
    <w:multiLevelType w:val="singleLevel"/>
    <w:tmpl w:val="04090001"/>
    <w:lvl w:ilvl="0">
      <w:start w:val="1"/>
      <w:numFmt w:val="bullet"/>
      <w:lvlText w:val=""/>
      <w:lvlJc w:val="left"/>
      <w:pPr>
        <w:tabs>
          <w:tab w:val="num" w:pos="360"/>
        </w:tabs>
        <w:ind w:left="360" w:hanging="360"/>
      </w:pPr>
      <w:rPr>
        <w:rFonts w:ascii="Symbol" w:hAnsi="Symbol" w:cs="Courier New" w:hint="default"/>
      </w:rPr>
    </w:lvl>
  </w:abstractNum>
  <w:abstractNum w:abstractNumId="18">
    <w:nsid w:val="414F23EA"/>
    <w:multiLevelType w:val="hybridMultilevel"/>
    <w:tmpl w:val="26804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FC15EE6"/>
    <w:multiLevelType w:val="hybridMultilevel"/>
    <w:tmpl w:val="85CC5508"/>
    <w:lvl w:ilvl="0" w:tplc="806E8D8A">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21">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6293731"/>
    <w:multiLevelType w:val="hybridMultilevel"/>
    <w:tmpl w:val="32C4F16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BE06D9F"/>
    <w:multiLevelType w:val="hybridMultilevel"/>
    <w:tmpl w:val="6A04715C"/>
    <w:lvl w:ilvl="0" w:tplc="04090001">
      <w:start w:val="1"/>
      <w:numFmt w:val="bullet"/>
      <w:lvlText w:val=""/>
      <w:lvlJc w:val="left"/>
      <w:pPr>
        <w:tabs>
          <w:tab w:val="num" w:pos="720"/>
        </w:tabs>
        <w:ind w:left="72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Tahoma" w:hint="default"/>
      </w:rPr>
    </w:lvl>
    <w:lvl w:ilvl="3" w:tplc="04090001" w:tentative="1">
      <w:start w:val="1"/>
      <w:numFmt w:val="bullet"/>
      <w:lvlText w:val=""/>
      <w:lvlJc w:val="left"/>
      <w:pPr>
        <w:tabs>
          <w:tab w:val="num" w:pos="2880"/>
        </w:tabs>
        <w:ind w:left="2880" w:hanging="360"/>
      </w:pPr>
      <w:rPr>
        <w:rFonts w:ascii="Symbol" w:hAnsi="Symbol" w:cs="Courier New"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Tahoma" w:hint="default"/>
      </w:rPr>
    </w:lvl>
    <w:lvl w:ilvl="6" w:tplc="04090001" w:tentative="1">
      <w:start w:val="1"/>
      <w:numFmt w:val="bullet"/>
      <w:lvlText w:val=""/>
      <w:lvlJc w:val="left"/>
      <w:pPr>
        <w:tabs>
          <w:tab w:val="num" w:pos="5040"/>
        </w:tabs>
        <w:ind w:left="5040" w:hanging="360"/>
      </w:pPr>
      <w:rPr>
        <w:rFonts w:ascii="Symbol" w:hAnsi="Symbol" w:cs="Courier New"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Tahoma" w:hint="default"/>
      </w:rPr>
    </w:lvl>
  </w:abstractNum>
  <w:abstractNum w:abstractNumId="24">
    <w:nsid w:val="5D8B73B8"/>
    <w:multiLevelType w:val="hybridMultilevel"/>
    <w:tmpl w:val="B60A3D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5E8F52DD"/>
    <w:multiLevelType w:val="hybridMultilevel"/>
    <w:tmpl w:val="7430B4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67CA0A9E"/>
    <w:multiLevelType w:val="hybridMultilevel"/>
    <w:tmpl w:val="055CE76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8">
    <w:nsid w:val="7EBF4C61"/>
    <w:multiLevelType w:val="hybridMultilevel"/>
    <w:tmpl w:val="13423C78"/>
    <w:lvl w:ilvl="0" w:tplc="AC2A420C">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9"/>
  </w:num>
  <w:num w:numId="18">
    <w:abstractNumId w:val="21"/>
  </w:num>
  <w:num w:numId="19">
    <w:abstractNumId w:val="27"/>
  </w:num>
  <w:num w:numId="20">
    <w:abstractNumId w:val="14"/>
  </w:num>
  <w:num w:numId="21">
    <w:abstractNumId w:val="20"/>
  </w:num>
  <w:num w:numId="22">
    <w:abstractNumId w:val="17"/>
  </w:num>
  <w:num w:numId="23">
    <w:abstractNumId w:val="23"/>
  </w:num>
  <w:num w:numId="24">
    <w:abstractNumId w:val="11"/>
  </w:num>
  <w:num w:numId="25">
    <w:abstractNumId w:val="13"/>
  </w:num>
  <w:num w:numId="26">
    <w:abstractNumId w:val="24"/>
  </w:num>
  <w:num w:numId="27">
    <w:abstractNumId w:val="14"/>
    <w:lvlOverride w:ilvl="0">
      <w:startOverride w:val="1"/>
    </w:lvlOverride>
  </w:num>
  <w:num w:numId="28">
    <w:abstractNumId w:val="14"/>
    <w:lvlOverride w:ilvl="0">
      <w:startOverride w:val="1"/>
    </w:lvlOverride>
  </w:num>
  <w:num w:numId="29">
    <w:abstractNumId w:val="25"/>
  </w:num>
  <w:num w:numId="30">
    <w:abstractNumId w:val="22"/>
  </w:num>
  <w:num w:numId="31">
    <w:abstractNumId w:val="28"/>
  </w:num>
  <w:num w:numId="32">
    <w:abstractNumId w:val="15"/>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num>
  <w:num w:numId="4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oNotTrackFormatting/>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37"/>
    <w:rsid w:val="00000FED"/>
    <w:rsid w:val="0000434E"/>
    <w:rsid w:val="00013416"/>
    <w:rsid w:val="000211A9"/>
    <w:rsid w:val="00025089"/>
    <w:rsid w:val="00026FBF"/>
    <w:rsid w:val="00031260"/>
    <w:rsid w:val="00034FD6"/>
    <w:rsid w:val="0003681A"/>
    <w:rsid w:val="00050D52"/>
    <w:rsid w:val="00063F76"/>
    <w:rsid w:val="00072567"/>
    <w:rsid w:val="00080ED0"/>
    <w:rsid w:val="00085B8F"/>
    <w:rsid w:val="00090481"/>
    <w:rsid w:val="00094FAC"/>
    <w:rsid w:val="000C45B4"/>
    <w:rsid w:val="000D3C1C"/>
    <w:rsid w:val="000D4EF5"/>
    <w:rsid w:val="000D4F53"/>
    <w:rsid w:val="000E07BC"/>
    <w:rsid w:val="000E1631"/>
    <w:rsid w:val="000F1CD4"/>
    <w:rsid w:val="000F4103"/>
    <w:rsid w:val="000F70A7"/>
    <w:rsid w:val="00104A21"/>
    <w:rsid w:val="0012504E"/>
    <w:rsid w:val="0012639A"/>
    <w:rsid w:val="00135170"/>
    <w:rsid w:val="00135980"/>
    <w:rsid w:val="00137953"/>
    <w:rsid w:val="0014641D"/>
    <w:rsid w:val="00161190"/>
    <w:rsid w:val="001634C3"/>
    <w:rsid w:val="00164719"/>
    <w:rsid w:val="00166FC4"/>
    <w:rsid w:val="001677AC"/>
    <w:rsid w:val="001804EA"/>
    <w:rsid w:val="00190A61"/>
    <w:rsid w:val="00191A29"/>
    <w:rsid w:val="00192067"/>
    <w:rsid w:val="00197B4B"/>
    <w:rsid w:val="001A3342"/>
    <w:rsid w:val="001A3E3D"/>
    <w:rsid w:val="001A41AB"/>
    <w:rsid w:val="001A7049"/>
    <w:rsid w:val="001B1E40"/>
    <w:rsid w:val="001B2FA7"/>
    <w:rsid w:val="001B5FBC"/>
    <w:rsid w:val="001C764E"/>
    <w:rsid w:val="001E0DEC"/>
    <w:rsid w:val="001E1052"/>
    <w:rsid w:val="001E21B1"/>
    <w:rsid w:val="001E2F93"/>
    <w:rsid w:val="001E61E5"/>
    <w:rsid w:val="001F2159"/>
    <w:rsid w:val="001F3304"/>
    <w:rsid w:val="00206843"/>
    <w:rsid w:val="002152F2"/>
    <w:rsid w:val="002156B4"/>
    <w:rsid w:val="00231C6A"/>
    <w:rsid w:val="00253222"/>
    <w:rsid w:val="00262847"/>
    <w:rsid w:val="00263137"/>
    <w:rsid w:val="00263CB3"/>
    <w:rsid w:val="00264E86"/>
    <w:rsid w:val="00267C96"/>
    <w:rsid w:val="0027013B"/>
    <w:rsid w:val="0027561E"/>
    <w:rsid w:val="00276EA1"/>
    <w:rsid w:val="00280D90"/>
    <w:rsid w:val="00294328"/>
    <w:rsid w:val="002B2C71"/>
    <w:rsid w:val="002B72E9"/>
    <w:rsid w:val="002C7998"/>
    <w:rsid w:val="002D1956"/>
    <w:rsid w:val="002D65FA"/>
    <w:rsid w:val="002D74C9"/>
    <w:rsid w:val="002F1E53"/>
    <w:rsid w:val="002F2CAA"/>
    <w:rsid w:val="00307AE7"/>
    <w:rsid w:val="00314D59"/>
    <w:rsid w:val="00322711"/>
    <w:rsid w:val="003306E1"/>
    <w:rsid w:val="003320E4"/>
    <w:rsid w:val="003349EE"/>
    <w:rsid w:val="00334EEA"/>
    <w:rsid w:val="0033525D"/>
    <w:rsid w:val="003414F3"/>
    <w:rsid w:val="0035613E"/>
    <w:rsid w:val="00363EE9"/>
    <w:rsid w:val="0037042C"/>
    <w:rsid w:val="003742B9"/>
    <w:rsid w:val="00376128"/>
    <w:rsid w:val="0037742E"/>
    <w:rsid w:val="00381A1D"/>
    <w:rsid w:val="0038245A"/>
    <w:rsid w:val="003826E1"/>
    <w:rsid w:val="0039337A"/>
    <w:rsid w:val="003A2C9A"/>
    <w:rsid w:val="003A3189"/>
    <w:rsid w:val="003B569D"/>
    <w:rsid w:val="003C3C0E"/>
    <w:rsid w:val="003D4FAC"/>
    <w:rsid w:val="003E7906"/>
    <w:rsid w:val="003F285E"/>
    <w:rsid w:val="003F3C50"/>
    <w:rsid w:val="003F645D"/>
    <w:rsid w:val="0040628C"/>
    <w:rsid w:val="00406A6A"/>
    <w:rsid w:val="00406B22"/>
    <w:rsid w:val="00412062"/>
    <w:rsid w:val="0042676C"/>
    <w:rsid w:val="0043161C"/>
    <w:rsid w:val="004328A7"/>
    <w:rsid w:val="00434C74"/>
    <w:rsid w:val="00436274"/>
    <w:rsid w:val="00450C28"/>
    <w:rsid w:val="00456EB4"/>
    <w:rsid w:val="0046780A"/>
    <w:rsid w:val="004718F3"/>
    <w:rsid w:val="00475040"/>
    <w:rsid w:val="0048570C"/>
    <w:rsid w:val="00493D40"/>
    <w:rsid w:val="004967B6"/>
    <w:rsid w:val="004A0F20"/>
    <w:rsid w:val="004A504B"/>
    <w:rsid w:val="004A6911"/>
    <w:rsid w:val="004B54E0"/>
    <w:rsid w:val="004B7384"/>
    <w:rsid w:val="004C035B"/>
    <w:rsid w:val="004C4269"/>
    <w:rsid w:val="004D1EDC"/>
    <w:rsid w:val="004D6236"/>
    <w:rsid w:val="004E4DBB"/>
    <w:rsid w:val="004E4E41"/>
    <w:rsid w:val="004E7F9C"/>
    <w:rsid w:val="004F3493"/>
    <w:rsid w:val="00512B09"/>
    <w:rsid w:val="0053789D"/>
    <w:rsid w:val="00555D75"/>
    <w:rsid w:val="00556493"/>
    <w:rsid w:val="00560DF0"/>
    <w:rsid w:val="00561213"/>
    <w:rsid w:val="00561592"/>
    <w:rsid w:val="0056759C"/>
    <w:rsid w:val="005753BA"/>
    <w:rsid w:val="00581166"/>
    <w:rsid w:val="0059513E"/>
    <w:rsid w:val="005B4635"/>
    <w:rsid w:val="005B48FF"/>
    <w:rsid w:val="005C1A87"/>
    <w:rsid w:val="005C5C32"/>
    <w:rsid w:val="005D67B2"/>
    <w:rsid w:val="005D7C4C"/>
    <w:rsid w:val="005E2452"/>
    <w:rsid w:val="005E475F"/>
    <w:rsid w:val="005F3A68"/>
    <w:rsid w:val="00604C15"/>
    <w:rsid w:val="00610A9D"/>
    <w:rsid w:val="006119BF"/>
    <w:rsid w:val="006158D5"/>
    <w:rsid w:val="00625D83"/>
    <w:rsid w:val="006313BD"/>
    <w:rsid w:val="006623E7"/>
    <w:rsid w:val="00662B80"/>
    <w:rsid w:val="006638DE"/>
    <w:rsid w:val="00667244"/>
    <w:rsid w:val="006746A8"/>
    <w:rsid w:val="00683C47"/>
    <w:rsid w:val="006852C7"/>
    <w:rsid w:val="00696DC4"/>
    <w:rsid w:val="006A2C85"/>
    <w:rsid w:val="006A5F95"/>
    <w:rsid w:val="006B0D0B"/>
    <w:rsid w:val="006B348A"/>
    <w:rsid w:val="006C07F3"/>
    <w:rsid w:val="006C1727"/>
    <w:rsid w:val="006C32FD"/>
    <w:rsid w:val="006C39CE"/>
    <w:rsid w:val="006D0FCC"/>
    <w:rsid w:val="006D4BDC"/>
    <w:rsid w:val="006E4A75"/>
    <w:rsid w:val="006F228B"/>
    <w:rsid w:val="006F594D"/>
    <w:rsid w:val="0070616B"/>
    <w:rsid w:val="00706FDA"/>
    <w:rsid w:val="00711F9A"/>
    <w:rsid w:val="00713810"/>
    <w:rsid w:val="007272B3"/>
    <w:rsid w:val="007303A5"/>
    <w:rsid w:val="00730B3E"/>
    <w:rsid w:val="0073420B"/>
    <w:rsid w:val="00737412"/>
    <w:rsid w:val="00740E9A"/>
    <w:rsid w:val="00746633"/>
    <w:rsid w:val="0074760E"/>
    <w:rsid w:val="00754ABA"/>
    <w:rsid w:val="007562B4"/>
    <w:rsid w:val="00775B66"/>
    <w:rsid w:val="00783A42"/>
    <w:rsid w:val="007844AD"/>
    <w:rsid w:val="00786C3D"/>
    <w:rsid w:val="0078705B"/>
    <w:rsid w:val="007A1546"/>
    <w:rsid w:val="007A228C"/>
    <w:rsid w:val="007A3103"/>
    <w:rsid w:val="007A368E"/>
    <w:rsid w:val="007A4A27"/>
    <w:rsid w:val="007A5868"/>
    <w:rsid w:val="007B04CE"/>
    <w:rsid w:val="007B6871"/>
    <w:rsid w:val="007B7A2F"/>
    <w:rsid w:val="007C3D33"/>
    <w:rsid w:val="007C4A08"/>
    <w:rsid w:val="007C6F34"/>
    <w:rsid w:val="007D294A"/>
    <w:rsid w:val="007D47D2"/>
    <w:rsid w:val="007D6EC0"/>
    <w:rsid w:val="007D7E1D"/>
    <w:rsid w:val="0080381F"/>
    <w:rsid w:val="00822233"/>
    <w:rsid w:val="008321D1"/>
    <w:rsid w:val="00845C0A"/>
    <w:rsid w:val="00851352"/>
    <w:rsid w:val="00853577"/>
    <w:rsid w:val="00854C54"/>
    <w:rsid w:val="00860605"/>
    <w:rsid w:val="00863230"/>
    <w:rsid w:val="00867BA4"/>
    <w:rsid w:val="008717D8"/>
    <w:rsid w:val="0087215C"/>
    <w:rsid w:val="0087378A"/>
    <w:rsid w:val="00876F9A"/>
    <w:rsid w:val="008873E5"/>
    <w:rsid w:val="008875FE"/>
    <w:rsid w:val="008879A5"/>
    <w:rsid w:val="00887F8E"/>
    <w:rsid w:val="00896234"/>
    <w:rsid w:val="00897E43"/>
    <w:rsid w:val="008A0675"/>
    <w:rsid w:val="008C5738"/>
    <w:rsid w:val="008C7AEC"/>
    <w:rsid w:val="008C7EAD"/>
    <w:rsid w:val="008D30D7"/>
    <w:rsid w:val="008D6152"/>
    <w:rsid w:val="008D711F"/>
    <w:rsid w:val="008D7899"/>
    <w:rsid w:val="008E6BF9"/>
    <w:rsid w:val="008F0F81"/>
    <w:rsid w:val="008F200A"/>
    <w:rsid w:val="008F27BF"/>
    <w:rsid w:val="008F6757"/>
    <w:rsid w:val="00913EB3"/>
    <w:rsid w:val="00923540"/>
    <w:rsid w:val="00926767"/>
    <w:rsid w:val="009361D5"/>
    <w:rsid w:val="00936369"/>
    <w:rsid w:val="00937EE5"/>
    <w:rsid w:val="00950BFB"/>
    <w:rsid w:val="00953546"/>
    <w:rsid w:val="00955345"/>
    <w:rsid w:val="009659F4"/>
    <w:rsid w:val="00965A9E"/>
    <w:rsid w:val="00970D60"/>
    <w:rsid w:val="00976FF0"/>
    <w:rsid w:val="00991177"/>
    <w:rsid w:val="009960E5"/>
    <w:rsid w:val="009A4EAA"/>
    <w:rsid w:val="009A60DE"/>
    <w:rsid w:val="009A6831"/>
    <w:rsid w:val="009A7ADC"/>
    <w:rsid w:val="009B2A35"/>
    <w:rsid w:val="009C19B7"/>
    <w:rsid w:val="009C4F0D"/>
    <w:rsid w:val="009D7C51"/>
    <w:rsid w:val="009E489B"/>
    <w:rsid w:val="009F36BF"/>
    <w:rsid w:val="009F722F"/>
    <w:rsid w:val="00A06CA9"/>
    <w:rsid w:val="00A07D67"/>
    <w:rsid w:val="00A111B6"/>
    <w:rsid w:val="00A2056E"/>
    <w:rsid w:val="00A21A2C"/>
    <w:rsid w:val="00A22766"/>
    <w:rsid w:val="00A236BA"/>
    <w:rsid w:val="00A25274"/>
    <w:rsid w:val="00A32CF5"/>
    <w:rsid w:val="00A34D87"/>
    <w:rsid w:val="00A42A99"/>
    <w:rsid w:val="00A5151A"/>
    <w:rsid w:val="00A57E0A"/>
    <w:rsid w:val="00A60B73"/>
    <w:rsid w:val="00A61F4B"/>
    <w:rsid w:val="00A723DE"/>
    <w:rsid w:val="00A75EA8"/>
    <w:rsid w:val="00A823F6"/>
    <w:rsid w:val="00A93CC2"/>
    <w:rsid w:val="00AA0054"/>
    <w:rsid w:val="00AA0A89"/>
    <w:rsid w:val="00AA6429"/>
    <w:rsid w:val="00AB57DA"/>
    <w:rsid w:val="00AC01AA"/>
    <w:rsid w:val="00AC187B"/>
    <w:rsid w:val="00AC4F72"/>
    <w:rsid w:val="00AD24B7"/>
    <w:rsid w:val="00AD6A2C"/>
    <w:rsid w:val="00AE3C21"/>
    <w:rsid w:val="00AF0163"/>
    <w:rsid w:val="00AF17CA"/>
    <w:rsid w:val="00AF341D"/>
    <w:rsid w:val="00AF622E"/>
    <w:rsid w:val="00AF741A"/>
    <w:rsid w:val="00B01ADB"/>
    <w:rsid w:val="00B04161"/>
    <w:rsid w:val="00B056F9"/>
    <w:rsid w:val="00B11E3D"/>
    <w:rsid w:val="00B17E82"/>
    <w:rsid w:val="00B20EA4"/>
    <w:rsid w:val="00B31553"/>
    <w:rsid w:val="00B360BA"/>
    <w:rsid w:val="00B4575A"/>
    <w:rsid w:val="00B466CE"/>
    <w:rsid w:val="00B548E7"/>
    <w:rsid w:val="00B54F2F"/>
    <w:rsid w:val="00B575BA"/>
    <w:rsid w:val="00B76429"/>
    <w:rsid w:val="00B85020"/>
    <w:rsid w:val="00B87055"/>
    <w:rsid w:val="00B956D4"/>
    <w:rsid w:val="00B95EA2"/>
    <w:rsid w:val="00B97446"/>
    <w:rsid w:val="00B974C1"/>
    <w:rsid w:val="00BA096B"/>
    <w:rsid w:val="00BA51AC"/>
    <w:rsid w:val="00BA7432"/>
    <w:rsid w:val="00BB1AEB"/>
    <w:rsid w:val="00BB2280"/>
    <w:rsid w:val="00BB3C50"/>
    <w:rsid w:val="00BC1AA0"/>
    <w:rsid w:val="00BC2495"/>
    <w:rsid w:val="00BC7EB9"/>
    <w:rsid w:val="00BD2643"/>
    <w:rsid w:val="00BD56B1"/>
    <w:rsid w:val="00BD5A69"/>
    <w:rsid w:val="00BD6558"/>
    <w:rsid w:val="00BE3D1D"/>
    <w:rsid w:val="00BF3214"/>
    <w:rsid w:val="00BF3CFA"/>
    <w:rsid w:val="00C005BB"/>
    <w:rsid w:val="00C043A2"/>
    <w:rsid w:val="00C12591"/>
    <w:rsid w:val="00C15867"/>
    <w:rsid w:val="00C2296D"/>
    <w:rsid w:val="00C23155"/>
    <w:rsid w:val="00C2442F"/>
    <w:rsid w:val="00C31658"/>
    <w:rsid w:val="00C40C41"/>
    <w:rsid w:val="00C432AC"/>
    <w:rsid w:val="00C44FBB"/>
    <w:rsid w:val="00C45885"/>
    <w:rsid w:val="00C47439"/>
    <w:rsid w:val="00C503D2"/>
    <w:rsid w:val="00C50F22"/>
    <w:rsid w:val="00C55FFF"/>
    <w:rsid w:val="00C569CD"/>
    <w:rsid w:val="00C56C14"/>
    <w:rsid w:val="00C57971"/>
    <w:rsid w:val="00C76BA4"/>
    <w:rsid w:val="00C83A48"/>
    <w:rsid w:val="00C84D0D"/>
    <w:rsid w:val="00C85865"/>
    <w:rsid w:val="00C85E85"/>
    <w:rsid w:val="00CA002D"/>
    <w:rsid w:val="00CA2EAE"/>
    <w:rsid w:val="00CA4AC1"/>
    <w:rsid w:val="00CB0316"/>
    <w:rsid w:val="00CB0B11"/>
    <w:rsid w:val="00CB4681"/>
    <w:rsid w:val="00CB505D"/>
    <w:rsid w:val="00CB5354"/>
    <w:rsid w:val="00CC6A14"/>
    <w:rsid w:val="00CC70A3"/>
    <w:rsid w:val="00CD2EE8"/>
    <w:rsid w:val="00CD3846"/>
    <w:rsid w:val="00CD4442"/>
    <w:rsid w:val="00CD53C3"/>
    <w:rsid w:val="00CD574E"/>
    <w:rsid w:val="00CE0534"/>
    <w:rsid w:val="00CE39E2"/>
    <w:rsid w:val="00CE4C22"/>
    <w:rsid w:val="00CE7C58"/>
    <w:rsid w:val="00CF1D5B"/>
    <w:rsid w:val="00CF41EC"/>
    <w:rsid w:val="00CF5C9C"/>
    <w:rsid w:val="00CF5D04"/>
    <w:rsid w:val="00D04DE4"/>
    <w:rsid w:val="00D063F1"/>
    <w:rsid w:val="00D101EA"/>
    <w:rsid w:val="00D14F22"/>
    <w:rsid w:val="00D51468"/>
    <w:rsid w:val="00D57918"/>
    <w:rsid w:val="00D73DC6"/>
    <w:rsid w:val="00D74C1A"/>
    <w:rsid w:val="00D754C1"/>
    <w:rsid w:val="00D77A35"/>
    <w:rsid w:val="00D77C8E"/>
    <w:rsid w:val="00D81B3E"/>
    <w:rsid w:val="00D90C70"/>
    <w:rsid w:val="00D90E49"/>
    <w:rsid w:val="00D9490B"/>
    <w:rsid w:val="00DA32F0"/>
    <w:rsid w:val="00DB11DA"/>
    <w:rsid w:val="00DC6A10"/>
    <w:rsid w:val="00DD5CBF"/>
    <w:rsid w:val="00DE657E"/>
    <w:rsid w:val="00DF3BFC"/>
    <w:rsid w:val="00DF4704"/>
    <w:rsid w:val="00DF75F9"/>
    <w:rsid w:val="00E024AA"/>
    <w:rsid w:val="00E12B32"/>
    <w:rsid w:val="00E16B0F"/>
    <w:rsid w:val="00E21A50"/>
    <w:rsid w:val="00E250F1"/>
    <w:rsid w:val="00E3550D"/>
    <w:rsid w:val="00E4016D"/>
    <w:rsid w:val="00E40883"/>
    <w:rsid w:val="00E614E0"/>
    <w:rsid w:val="00E66A74"/>
    <w:rsid w:val="00E73F7F"/>
    <w:rsid w:val="00E77EE4"/>
    <w:rsid w:val="00E83C6B"/>
    <w:rsid w:val="00E914C5"/>
    <w:rsid w:val="00EA2237"/>
    <w:rsid w:val="00EA429F"/>
    <w:rsid w:val="00EA4F9E"/>
    <w:rsid w:val="00EA63CA"/>
    <w:rsid w:val="00EA6D3B"/>
    <w:rsid w:val="00EB00AD"/>
    <w:rsid w:val="00EB136C"/>
    <w:rsid w:val="00EB480E"/>
    <w:rsid w:val="00EB5EC6"/>
    <w:rsid w:val="00EB7FC9"/>
    <w:rsid w:val="00EC657B"/>
    <w:rsid w:val="00ED27E8"/>
    <w:rsid w:val="00ED7137"/>
    <w:rsid w:val="00EE20D4"/>
    <w:rsid w:val="00EE22AE"/>
    <w:rsid w:val="00EF510A"/>
    <w:rsid w:val="00F110DB"/>
    <w:rsid w:val="00F21088"/>
    <w:rsid w:val="00F2259E"/>
    <w:rsid w:val="00F26F87"/>
    <w:rsid w:val="00F327E7"/>
    <w:rsid w:val="00F35746"/>
    <w:rsid w:val="00F4390C"/>
    <w:rsid w:val="00F447C7"/>
    <w:rsid w:val="00F47911"/>
    <w:rsid w:val="00F531B8"/>
    <w:rsid w:val="00F554A9"/>
    <w:rsid w:val="00F716FD"/>
    <w:rsid w:val="00F72739"/>
    <w:rsid w:val="00F73C3F"/>
    <w:rsid w:val="00F80355"/>
    <w:rsid w:val="00F80F0A"/>
    <w:rsid w:val="00F9586F"/>
    <w:rsid w:val="00FA7770"/>
    <w:rsid w:val="00FB0C81"/>
    <w:rsid w:val="00FB0CE3"/>
    <w:rsid w:val="00FB427B"/>
    <w:rsid w:val="00FB444A"/>
    <w:rsid w:val="00FB73DA"/>
    <w:rsid w:val="00FC2200"/>
    <w:rsid w:val="00FC2540"/>
    <w:rsid w:val="00FD2E91"/>
    <w:rsid w:val="00FE681C"/>
    <w:rsid w:val="00FF0204"/>
    <w:rsid w:val="00FF3AED"/>
    <w:rsid w:val="00FF4498"/>
    <w:rsid w:val="00FF6485"/>
    <w:rsid w:val="00FF7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
    <w:basedOn w:val="Normal"/>
    <w:next w:val="Normal"/>
    <w:link w:val="Heading3Char"/>
    <w:uiPriority w:val="9"/>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link w:val="Heading4Char"/>
    <w:uiPriority w:val="9"/>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uiPriority w:val="99"/>
    <w:rsid w:val="004E7F9C"/>
    <w:pPr>
      <w:ind w:left="0" w:firstLine="0"/>
    </w:pPr>
    <w:rPr>
      <w:sz w:val="20"/>
    </w:rPr>
  </w:style>
  <w:style w:type="character" w:styleId="PageNumber">
    <w:name w:val="page number"/>
    <w:basedOn w:val="DefaultParagraphFont"/>
    <w:uiPriority w:val="99"/>
    <w:rsid w:val="00263137"/>
    <w:rPr>
      <w:sz w:val="22"/>
      <w:szCs w:val="22"/>
    </w:rPr>
  </w:style>
  <w:style w:type="paragraph" w:styleId="BodyText">
    <w:name w:val="Body Text"/>
    <w:basedOn w:val="Normal"/>
    <w:link w:val="BodyTextChar"/>
    <w:uiPriority w:val="99"/>
    <w:semiHidden/>
    <w:rsid w:val="00263137"/>
    <w:pPr>
      <w:spacing w:after="120"/>
    </w:pPr>
  </w:style>
  <w:style w:type="character" w:customStyle="1" w:styleId="BodyTextChar">
    <w:name w:val="Body Text Char"/>
    <w:basedOn w:val="DefaultParagraphFont"/>
    <w:link w:val="BodyText"/>
    <w:uiPriority w:val="99"/>
    <w:semiHidden/>
    <w:rsid w:val="00263137"/>
    <w:rPr>
      <w:sz w:val="22"/>
      <w:szCs w:val="22"/>
      <w:lang w:val="en-GB"/>
    </w:rPr>
  </w:style>
  <w:style w:type="paragraph" w:styleId="BodyText2">
    <w:name w:val="Body Text 2"/>
    <w:basedOn w:val="Normal"/>
    <w:link w:val="BodyText2Char"/>
    <w:uiPriority w:val="99"/>
    <w:semiHidden/>
    <w:rsid w:val="00263137"/>
    <w:pPr>
      <w:spacing w:after="120" w:line="480" w:lineRule="auto"/>
    </w:pPr>
  </w:style>
  <w:style w:type="character" w:customStyle="1" w:styleId="BodyText2Char">
    <w:name w:val="Body Text 2 Char"/>
    <w:basedOn w:val="DefaultParagraphFont"/>
    <w:link w:val="BodyText2"/>
    <w:uiPriority w:val="99"/>
    <w:semiHidden/>
    <w:rsid w:val="00263137"/>
    <w:rPr>
      <w:sz w:val="22"/>
      <w:szCs w:val="22"/>
      <w:lang w:val="en-GB"/>
    </w:rPr>
  </w:style>
  <w:style w:type="paragraph" w:styleId="BodyTextFirstIndent">
    <w:name w:val="Body Text First Indent"/>
    <w:basedOn w:val="BodyText"/>
    <w:link w:val="BodyTextFirstIndentChar"/>
    <w:uiPriority w:val="99"/>
    <w:semiHidden/>
    <w:rsid w:val="00263137"/>
    <w:pPr>
      <w:ind w:firstLine="210"/>
    </w:pPr>
  </w:style>
  <w:style w:type="character" w:customStyle="1" w:styleId="BodyTextFirstIndentChar">
    <w:name w:val="Body Text First Indent Char"/>
    <w:basedOn w:val="BodyTextChar"/>
    <w:link w:val="BodyTextFirstIndent"/>
    <w:uiPriority w:val="99"/>
    <w:semiHidden/>
    <w:rsid w:val="00263137"/>
    <w:rPr>
      <w:sz w:val="22"/>
      <w:szCs w:val="22"/>
      <w:lang w:val="en-GB"/>
    </w:rPr>
  </w:style>
  <w:style w:type="paragraph" w:styleId="BodyTextIndent">
    <w:name w:val="Body Text Indent"/>
    <w:basedOn w:val="Normal"/>
    <w:link w:val="BodyTextIndentChar"/>
    <w:uiPriority w:val="99"/>
    <w:semiHidden/>
    <w:rsid w:val="00263137"/>
    <w:pPr>
      <w:spacing w:after="120"/>
      <w:ind w:left="360"/>
    </w:pPr>
  </w:style>
  <w:style w:type="character" w:customStyle="1" w:styleId="BodyTextIndentChar">
    <w:name w:val="Body Text Indent Char"/>
    <w:basedOn w:val="DefaultParagraphFont"/>
    <w:link w:val="BodyTextIndent"/>
    <w:uiPriority w:val="99"/>
    <w:semiHidden/>
    <w:rsid w:val="00263137"/>
    <w:rPr>
      <w:sz w:val="22"/>
      <w:szCs w:val="22"/>
      <w:lang w:val="en-GB"/>
    </w:rPr>
  </w:style>
  <w:style w:type="paragraph" w:styleId="BodyTextFirstIndent2">
    <w:name w:val="Body Text First Indent 2"/>
    <w:basedOn w:val="BodyTextIndent"/>
    <w:link w:val="BodyTextFirstIndent2Char"/>
    <w:uiPriority w:val="99"/>
    <w:semiHidden/>
    <w:rsid w:val="00263137"/>
    <w:pPr>
      <w:ind w:firstLine="210"/>
    </w:pPr>
  </w:style>
  <w:style w:type="character" w:customStyle="1" w:styleId="BodyTextFirstIndent2Char">
    <w:name w:val="Body Text First Indent 2 Char"/>
    <w:basedOn w:val="BodyTextIndentChar"/>
    <w:link w:val="BodyTextFirstIndent2"/>
    <w:uiPriority w:val="99"/>
    <w:semiHidden/>
    <w:rsid w:val="00263137"/>
    <w:rPr>
      <w:sz w:val="22"/>
      <w:szCs w:val="22"/>
      <w:lang w:val="en-GB"/>
    </w:rPr>
  </w:style>
  <w:style w:type="paragraph" w:styleId="BodyTextIndent2">
    <w:name w:val="Body Text Indent 2"/>
    <w:basedOn w:val="Normal"/>
    <w:link w:val="BodyTextIndent2Char"/>
    <w:uiPriority w:val="99"/>
    <w:semiHidden/>
    <w:rsid w:val="00263137"/>
    <w:pPr>
      <w:spacing w:after="120" w:line="480" w:lineRule="auto"/>
      <w:ind w:left="360"/>
    </w:pPr>
  </w:style>
  <w:style w:type="character" w:customStyle="1" w:styleId="BodyTextIndent2Char">
    <w:name w:val="Body Text Indent 2 Char"/>
    <w:basedOn w:val="DefaultParagraphFont"/>
    <w:link w:val="BodyTextIndent2"/>
    <w:uiPriority w:val="99"/>
    <w:semiHidden/>
    <w:rsid w:val="00263137"/>
    <w:rPr>
      <w:sz w:val="22"/>
      <w:szCs w:val="22"/>
      <w:lang w:val="en-GB"/>
    </w:rPr>
  </w:style>
  <w:style w:type="paragraph" w:styleId="Closing">
    <w:name w:val="Closing"/>
    <w:basedOn w:val="Normal"/>
    <w:link w:val="ClosingChar"/>
    <w:uiPriority w:val="99"/>
    <w:semiHidden/>
    <w:rsid w:val="00263137"/>
    <w:pPr>
      <w:ind w:left="4320"/>
    </w:pPr>
  </w:style>
  <w:style w:type="character" w:customStyle="1" w:styleId="ClosingChar">
    <w:name w:val="Closing Char"/>
    <w:basedOn w:val="DefaultParagraphFont"/>
    <w:link w:val="Closing"/>
    <w:uiPriority w:val="99"/>
    <w:semiHidden/>
    <w:rsid w:val="00263137"/>
    <w:rPr>
      <w:sz w:val="22"/>
      <w:szCs w:val="22"/>
      <w:lang w:val="en-GB"/>
    </w:rPr>
  </w:style>
  <w:style w:type="paragraph" w:styleId="E-mailSignature">
    <w:name w:val="E-mail Signature"/>
    <w:basedOn w:val="Normal"/>
    <w:link w:val="E-mailSignatureChar"/>
    <w:uiPriority w:val="99"/>
    <w:semiHidden/>
    <w:rsid w:val="00263137"/>
  </w:style>
  <w:style w:type="character" w:customStyle="1" w:styleId="E-mailSignatureChar">
    <w:name w:val="E-mail Signature Char"/>
    <w:basedOn w:val="DefaultParagraphFont"/>
    <w:link w:val="E-mailSignature"/>
    <w:uiPriority w:val="99"/>
    <w:semiHidden/>
    <w:rsid w:val="00263137"/>
    <w:rPr>
      <w:sz w:val="22"/>
      <w:szCs w:val="22"/>
      <w:lang w:val="en-GB"/>
    </w:rPr>
  </w:style>
  <w:style w:type="character" w:styleId="Emphasis">
    <w:name w:val="Emphasis"/>
    <w:basedOn w:val="DefaultParagraphFont"/>
    <w:uiPriority w:val="99"/>
    <w:qFormat/>
    <w:rsid w:val="00263137"/>
    <w:rPr>
      <w:i/>
      <w:iCs/>
    </w:rPr>
  </w:style>
  <w:style w:type="paragraph" w:styleId="EnvelopeAddress">
    <w:name w:val="envelope address"/>
    <w:basedOn w:val="Normal"/>
    <w:uiPriority w:val="99"/>
    <w:semiHidden/>
    <w:rsid w:val="0026313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263137"/>
    <w:rPr>
      <w:rFonts w:ascii="Arial" w:hAnsi="Arial" w:cs="Arial"/>
      <w:sz w:val="20"/>
    </w:rPr>
  </w:style>
  <w:style w:type="character" w:styleId="FollowedHyperlink">
    <w:name w:val="FollowedHyperlink"/>
    <w:basedOn w:val="DefaultParagraphFont"/>
    <w:uiPriority w:val="99"/>
    <w:semiHidden/>
    <w:rsid w:val="00263137"/>
    <w:rPr>
      <w:color w:val="800080"/>
      <w:u w:val="single"/>
    </w:rPr>
  </w:style>
  <w:style w:type="character" w:styleId="HTMLAcronym">
    <w:name w:val="HTML Acronym"/>
    <w:basedOn w:val="DefaultParagraphFont"/>
    <w:uiPriority w:val="99"/>
    <w:semiHidden/>
    <w:rsid w:val="00263137"/>
  </w:style>
  <w:style w:type="paragraph" w:styleId="HTMLAddress">
    <w:name w:val="HTML Address"/>
    <w:basedOn w:val="Normal"/>
    <w:link w:val="HTMLAddressChar"/>
    <w:uiPriority w:val="99"/>
    <w:semiHidden/>
    <w:rsid w:val="00263137"/>
    <w:rPr>
      <w:i/>
      <w:iCs/>
    </w:rPr>
  </w:style>
  <w:style w:type="character" w:customStyle="1" w:styleId="HTMLAddressChar">
    <w:name w:val="HTML Address Char"/>
    <w:basedOn w:val="DefaultParagraphFont"/>
    <w:link w:val="HTMLAddress"/>
    <w:uiPriority w:val="99"/>
    <w:semiHidden/>
    <w:rsid w:val="00263137"/>
    <w:rPr>
      <w:i/>
      <w:iCs/>
      <w:sz w:val="22"/>
      <w:szCs w:val="22"/>
      <w:lang w:val="en-GB"/>
    </w:rPr>
  </w:style>
  <w:style w:type="character" w:styleId="HTMLCite">
    <w:name w:val="HTML Cite"/>
    <w:basedOn w:val="DefaultParagraphFont"/>
    <w:uiPriority w:val="99"/>
    <w:semiHidden/>
    <w:rsid w:val="00263137"/>
    <w:rPr>
      <w:i/>
      <w:iCs/>
    </w:rPr>
  </w:style>
  <w:style w:type="character" w:styleId="HTMLCode">
    <w:name w:val="HTML Code"/>
    <w:basedOn w:val="DefaultParagraphFont"/>
    <w:uiPriority w:val="99"/>
    <w:semiHidden/>
    <w:rsid w:val="00263137"/>
    <w:rPr>
      <w:rFonts w:ascii="Courier New" w:hAnsi="Courier New" w:cs="Courier New"/>
      <w:sz w:val="20"/>
      <w:szCs w:val="20"/>
    </w:rPr>
  </w:style>
  <w:style w:type="character" w:styleId="HTMLDefinition">
    <w:name w:val="HTML Definition"/>
    <w:basedOn w:val="DefaultParagraphFont"/>
    <w:uiPriority w:val="99"/>
    <w:semiHidden/>
    <w:rsid w:val="00263137"/>
    <w:rPr>
      <w:i/>
      <w:iCs/>
    </w:rPr>
  </w:style>
  <w:style w:type="character" w:styleId="HTMLKeyboard">
    <w:name w:val="HTML Keyboard"/>
    <w:basedOn w:val="DefaultParagraphFont"/>
    <w:uiPriority w:val="99"/>
    <w:semiHidden/>
    <w:rsid w:val="00263137"/>
    <w:rPr>
      <w:rFonts w:ascii="Courier New" w:hAnsi="Courier New" w:cs="Courier New"/>
      <w:sz w:val="20"/>
      <w:szCs w:val="20"/>
    </w:rPr>
  </w:style>
  <w:style w:type="paragraph" w:styleId="HTMLPreformatted">
    <w:name w:val="HTML Preformatted"/>
    <w:basedOn w:val="Normal"/>
    <w:link w:val="HTMLPreformattedChar"/>
    <w:uiPriority w:val="99"/>
    <w:semiHidden/>
    <w:rsid w:val="00263137"/>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63137"/>
    <w:rPr>
      <w:rFonts w:ascii="Courier New" w:hAnsi="Courier New" w:cs="Courier New"/>
      <w:szCs w:val="22"/>
      <w:lang w:val="en-GB"/>
    </w:rPr>
  </w:style>
  <w:style w:type="character" w:styleId="HTMLSample">
    <w:name w:val="HTML Sample"/>
    <w:basedOn w:val="DefaultParagraphFont"/>
    <w:uiPriority w:val="99"/>
    <w:semiHidden/>
    <w:rsid w:val="00263137"/>
    <w:rPr>
      <w:rFonts w:ascii="Courier New" w:hAnsi="Courier New" w:cs="Courier New"/>
    </w:rPr>
  </w:style>
  <w:style w:type="character" w:styleId="HTMLTypewriter">
    <w:name w:val="HTML Typewriter"/>
    <w:basedOn w:val="DefaultParagraphFont"/>
    <w:uiPriority w:val="99"/>
    <w:semiHidden/>
    <w:rsid w:val="00263137"/>
    <w:rPr>
      <w:rFonts w:ascii="Courier New" w:hAnsi="Courier New" w:cs="Courier New"/>
      <w:sz w:val="20"/>
      <w:szCs w:val="20"/>
    </w:rPr>
  </w:style>
  <w:style w:type="character" w:styleId="HTMLVariable">
    <w:name w:val="HTML Variable"/>
    <w:basedOn w:val="DefaultParagraphFont"/>
    <w:uiPriority w:val="99"/>
    <w:semiHidden/>
    <w:rsid w:val="00263137"/>
    <w:rPr>
      <w:i/>
      <w:iCs/>
    </w:rPr>
  </w:style>
  <w:style w:type="character" w:styleId="Hyperlink">
    <w:name w:val="Hyperlink"/>
    <w:basedOn w:val="DefaultParagraphFont"/>
    <w:uiPriority w:val="99"/>
    <w:semiHidden/>
    <w:rsid w:val="00263137"/>
    <w:rPr>
      <w:color w:val="0000FF"/>
      <w:u w:val="single"/>
    </w:rPr>
  </w:style>
  <w:style w:type="character" w:styleId="LineNumber">
    <w:name w:val="line number"/>
    <w:basedOn w:val="DefaultParagraphFont"/>
    <w:uiPriority w:val="99"/>
    <w:semiHidden/>
    <w:rsid w:val="00263137"/>
  </w:style>
  <w:style w:type="paragraph" w:styleId="List">
    <w:name w:val="List"/>
    <w:basedOn w:val="Normal"/>
    <w:uiPriority w:val="99"/>
    <w:semiHidden/>
    <w:rsid w:val="00263137"/>
    <w:pPr>
      <w:ind w:left="360" w:hanging="360"/>
    </w:pPr>
  </w:style>
  <w:style w:type="paragraph" w:styleId="List2">
    <w:name w:val="List 2"/>
    <w:basedOn w:val="Normal"/>
    <w:uiPriority w:val="99"/>
    <w:semiHidden/>
    <w:rsid w:val="00263137"/>
    <w:pPr>
      <w:ind w:left="720" w:hanging="360"/>
    </w:pPr>
  </w:style>
  <w:style w:type="paragraph" w:styleId="List3">
    <w:name w:val="List 3"/>
    <w:basedOn w:val="Normal"/>
    <w:uiPriority w:val="99"/>
    <w:semiHidden/>
    <w:rsid w:val="00263137"/>
    <w:pPr>
      <w:ind w:left="1080" w:hanging="360"/>
    </w:pPr>
  </w:style>
  <w:style w:type="paragraph" w:styleId="List4">
    <w:name w:val="List 4"/>
    <w:basedOn w:val="Normal"/>
    <w:uiPriority w:val="99"/>
    <w:semiHidden/>
    <w:rsid w:val="00263137"/>
    <w:pPr>
      <w:ind w:left="1440" w:hanging="360"/>
    </w:pPr>
  </w:style>
  <w:style w:type="paragraph" w:styleId="List5">
    <w:name w:val="List 5"/>
    <w:basedOn w:val="Normal"/>
    <w:uiPriority w:val="99"/>
    <w:semiHidden/>
    <w:rsid w:val="00263137"/>
    <w:pPr>
      <w:ind w:left="1800" w:hanging="360"/>
    </w:pPr>
  </w:style>
  <w:style w:type="paragraph" w:styleId="ListBullet">
    <w:name w:val="List Bullet"/>
    <w:basedOn w:val="Normal"/>
    <w:autoRedefine/>
    <w:uiPriority w:val="99"/>
    <w:semiHidden/>
    <w:rsid w:val="00263137"/>
    <w:pPr>
      <w:tabs>
        <w:tab w:val="num" w:pos="360"/>
      </w:tabs>
      <w:ind w:left="360" w:hanging="360"/>
    </w:pPr>
  </w:style>
  <w:style w:type="paragraph" w:styleId="ListBullet2">
    <w:name w:val="List Bullet 2"/>
    <w:basedOn w:val="Normal"/>
    <w:autoRedefine/>
    <w:uiPriority w:val="99"/>
    <w:semiHidden/>
    <w:rsid w:val="00263137"/>
    <w:pPr>
      <w:tabs>
        <w:tab w:val="num" w:pos="720"/>
      </w:tabs>
      <w:ind w:left="720" w:hanging="360"/>
    </w:pPr>
  </w:style>
  <w:style w:type="paragraph" w:styleId="ListBullet3">
    <w:name w:val="List Bullet 3"/>
    <w:basedOn w:val="Normal"/>
    <w:autoRedefine/>
    <w:uiPriority w:val="99"/>
    <w:semiHidden/>
    <w:rsid w:val="00263137"/>
    <w:pPr>
      <w:tabs>
        <w:tab w:val="num" w:pos="1080"/>
      </w:tabs>
      <w:ind w:left="1080" w:hanging="360"/>
    </w:pPr>
  </w:style>
  <w:style w:type="paragraph" w:styleId="ListBullet4">
    <w:name w:val="List Bullet 4"/>
    <w:basedOn w:val="Normal"/>
    <w:autoRedefine/>
    <w:uiPriority w:val="99"/>
    <w:semiHidden/>
    <w:rsid w:val="00263137"/>
    <w:pPr>
      <w:tabs>
        <w:tab w:val="num" w:pos="1440"/>
      </w:tabs>
      <w:ind w:left="1440" w:hanging="360"/>
    </w:pPr>
  </w:style>
  <w:style w:type="paragraph" w:styleId="ListBullet5">
    <w:name w:val="List Bullet 5"/>
    <w:basedOn w:val="Normal"/>
    <w:autoRedefine/>
    <w:uiPriority w:val="99"/>
    <w:semiHidden/>
    <w:rsid w:val="00263137"/>
    <w:pPr>
      <w:tabs>
        <w:tab w:val="num" w:pos="1800"/>
      </w:tabs>
      <w:ind w:left="1800" w:hanging="360"/>
    </w:pPr>
  </w:style>
  <w:style w:type="paragraph" w:styleId="ListContinue">
    <w:name w:val="List Continue"/>
    <w:basedOn w:val="Normal"/>
    <w:uiPriority w:val="99"/>
    <w:semiHidden/>
    <w:rsid w:val="00263137"/>
    <w:pPr>
      <w:spacing w:after="120"/>
      <w:ind w:left="360"/>
    </w:pPr>
  </w:style>
  <w:style w:type="paragraph" w:styleId="ListContinue2">
    <w:name w:val="List Continue 2"/>
    <w:basedOn w:val="Normal"/>
    <w:uiPriority w:val="99"/>
    <w:semiHidden/>
    <w:rsid w:val="00263137"/>
    <w:pPr>
      <w:spacing w:after="120"/>
      <w:ind w:left="720"/>
    </w:pPr>
  </w:style>
  <w:style w:type="paragraph" w:styleId="ListContinue3">
    <w:name w:val="List Continue 3"/>
    <w:basedOn w:val="Normal"/>
    <w:uiPriority w:val="99"/>
    <w:semiHidden/>
    <w:rsid w:val="00263137"/>
    <w:pPr>
      <w:spacing w:after="120"/>
      <w:ind w:left="1080"/>
    </w:pPr>
  </w:style>
  <w:style w:type="paragraph" w:styleId="ListContinue4">
    <w:name w:val="List Continue 4"/>
    <w:basedOn w:val="Normal"/>
    <w:uiPriority w:val="99"/>
    <w:semiHidden/>
    <w:rsid w:val="00263137"/>
    <w:pPr>
      <w:spacing w:after="120"/>
      <w:ind w:left="1440"/>
    </w:pPr>
  </w:style>
  <w:style w:type="paragraph" w:styleId="ListContinue5">
    <w:name w:val="List Continue 5"/>
    <w:basedOn w:val="Normal"/>
    <w:uiPriority w:val="99"/>
    <w:semiHidden/>
    <w:rsid w:val="00263137"/>
    <w:pPr>
      <w:spacing w:after="120"/>
      <w:ind w:left="1800"/>
    </w:pPr>
  </w:style>
  <w:style w:type="paragraph" w:styleId="ListNumber">
    <w:name w:val="List Number"/>
    <w:basedOn w:val="Normal"/>
    <w:uiPriority w:val="99"/>
    <w:semiHidden/>
    <w:rsid w:val="00263137"/>
    <w:pPr>
      <w:tabs>
        <w:tab w:val="num" w:pos="360"/>
      </w:tabs>
      <w:ind w:left="360" w:hanging="360"/>
    </w:pPr>
  </w:style>
  <w:style w:type="paragraph" w:styleId="ListNumber2">
    <w:name w:val="List Number 2"/>
    <w:basedOn w:val="Normal"/>
    <w:uiPriority w:val="99"/>
    <w:semiHidden/>
    <w:rsid w:val="00263137"/>
    <w:pPr>
      <w:tabs>
        <w:tab w:val="num" w:pos="720"/>
      </w:tabs>
      <w:ind w:left="720" w:hanging="360"/>
    </w:pPr>
  </w:style>
  <w:style w:type="paragraph" w:styleId="ListNumber3">
    <w:name w:val="List Number 3"/>
    <w:basedOn w:val="Normal"/>
    <w:uiPriority w:val="99"/>
    <w:semiHidden/>
    <w:rsid w:val="00263137"/>
    <w:pPr>
      <w:tabs>
        <w:tab w:val="num" w:pos="1080"/>
      </w:tabs>
      <w:ind w:left="1080" w:hanging="360"/>
    </w:pPr>
  </w:style>
  <w:style w:type="paragraph" w:styleId="ListNumber4">
    <w:name w:val="List Number 4"/>
    <w:basedOn w:val="Normal"/>
    <w:uiPriority w:val="99"/>
    <w:semiHidden/>
    <w:rsid w:val="00263137"/>
    <w:pPr>
      <w:tabs>
        <w:tab w:val="num" w:pos="1440"/>
      </w:tabs>
      <w:ind w:left="1440" w:hanging="360"/>
    </w:pPr>
  </w:style>
  <w:style w:type="paragraph" w:styleId="ListNumber5">
    <w:name w:val="List Number 5"/>
    <w:basedOn w:val="Normal"/>
    <w:uiPriority w:val="99"/>
    <w:semiHidden/>
    <w:rsid w:val="00263137"/>
    <w:pPr>
      <w:tabs>
        <w:tab w:val="num" w:pos="1800"/>
      </w:tabs>
      <w:ind w:left="1800" w:hanging="360"/>
    </w:pPr>
  </w:style>
  <w:style w:type="paragraph" w:styleId="MessageHeader">
    <w:name w:val="Message Header"/>
    <w:basedOn w:val="Normal"/>
    <w:link w:val="MessageHeaderChar"/>
    <w:uiPriority w:val="99"/>
    <w:semiHidden/>
    <w:rsid w:val="002631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263137"/>
    <w:rPr>
      <w:rFonts w:ascii="Arial" w:hAnsi="Arial" w:cs="Arial"/>
      <w:sz w:val="22"/>
      <w:szCs w:val="24"/>
      <w:shd w:val="pct20" w:color="auto" w:fill="auto"/>
      <w:lang w:val="en-GB"/>
    </w:rPr>
  </w:style>
  <w:style w:type="paragraph" w:styleId="NormalWeb">
    <w:name w:val="Normal (Web)"/>
    <w:basedOn w:val="Normal"/>
    <w:uiPriority w:val="99"/>
    <w:semiHidden/>
    <w:rsid w:val="00263137"/>
    <w:rPr>
      <w:szCs w:val="24"/>
    </w:rPr>
  </w:style>
  <w:style w:type="paragraph" w:styleId="NormalIndent">
    <w:name w:val="Normal Indent"/>
    <w:basedOn w:val="Normal"/>
    <w:uiPriority w:val="99"/>
    <w:semiHidden/>
    <w:rsid w:val="00263137"/>
    <w:pPr>
      <w:ind w:left="720"/>
    </w:pPr>
  </w:style>
  <w:style w:type="paragraph" w:styleId="NoteHeading">
    <w:name w:val="Note Heading"/>
    <w:basedOn w:val="Normal"/>
    <w:next w:val="Normal"/>
    <w:link w:val="NoteHeadingChar"/>
    <w:uiPriority w:val="99"/>
    <w:semiHidden/>
    <w:rsid w:val="00263137"/>
  </w:style>
  <w:style w:type="character" w:customStyle="1" w:styleId="NoteHeadingChar">
    <w:name w:val="Note Heading Char"/>
    <w:basedOn w:val="DefaultParagraphFont"/>
    <w:link w:val="NoteHeading"/>
    <w:uiPriority w:val="99"/>
    <w:semiHidden/>
    <w:rsid w:val="00263137"/>
    <w:rPr>
      <w:sz w:val="22"/>
      <w:szCs w:val="22"/>
      <w:lang w:val="en-GB"/>
    </w:rPr>
  </w:style>
  <w:style w:type="paragraph" w:styleId="Salutation">
    <w:name w:val="Salutation"/>
    <w:basedOn w:val="Normal"/>
    <w:next w:val="Normal"/>
    <w:link w:val="SalutationChar"/>
    <w:uiPriority w:val="99"/>
    <w:semiHidden/>
    <w:rsid w:val="00263137"/>
  </w:style>
  <w:style w:type="character" w:customStyle="1" w:styleId="SalutationChar">
    <w:name w:val="Salutation Char"/>
    <w:basedOn w:val="DefaultParagraphFont"/>
    <w:link w:val="Salutation"/>
    <w:uiPriority w:val="99"/>
    <w:semiHidden/>
    <w:rsid w:val="00263137"/>
    <w:rPr>
      <w:sz w:val="22"/>
      <w:szCs w:val="22"/>
      <w:lang w:val="en-GB"/>
    </w:rPr>
  </w:style>
  <w:style w:type="paragraph" w:styleId="Signature">
    <w:name w:val="Signature"/>
    <w:basedOn w:val="Normal"/>
    <w:link w:val="SignatureChar"/>
    <w:uiPriority w:val="99"/>
    <w:semiHidden/>
    <w:rsid w:val="00263137"/>
    <w:pPr>
      <w:ind w:left="4320"/>
    </w:pPr>
  </w:style>
  <w:style w:type="character" w:customStyle="1" w:styleId="SignatureChar">
    <w:name w:val="Signature Char"/>
    <w:basedOn w:val="DefaultParagraphFont"/>
    <w:link w:val="Signature"/>
    <w:uiPriority w:val="99"/>
    <w:semiHidden/>
    <w:rsid w:val="00263137"/>
    <w:rPr>
      <w:sz w:val="22"/>
      <w:szCs w:val="22"/>
      <w:lang w:val="en-GB"/>
    </w:rPr>
  </w:style>
  <w:style w:type="character" w:styleId="Strong">
    <w:name w:val="Strong"/>
    <w:basedOn w:val="DefaultParagraphFont"/>
    <w:uiPriority w:val="99"/>
    <w:qFormat/>
    <w:rsid w:val="00263137"/>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263137"/>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uiPriority w:val="9"/>
    <w:rsid w:val="00263137"/>
    <w:rPr>
      <w:sz w:val="22"/>
      <w:szCs w:val="22"/>
      <w:lang w:val="en-GB"/>
    </w:rPr>
  </w:style>
  <w:style w:type="character" w:customStyle="1" w:styleId="Heading4Char">
    <w:name w:val="Heading 4 Char"/>
    <w:aliases w:val="Heading 11 Char,para 4 Char,Título 41 Char,heading 4 Char"/>
    <w:basedOn w:val="DefaultParagraphFont"/>
    <w:link w:val="Heading4"/>
    <w:uiPriority w:val="9"/>
    <w:rsid w:val="00263137"/>
    <w:rPr>
      <w:sz w:val="22"/>
      <w:szCs w:val="22"/>
      <w:lang w:val="en-GB"/>
    </w:rPr>
  </w:style>
  <w:style w:type="character" w:customStyle="1" w:styleId="Heading5Char">
    <w:name w:val="Heading 5 Char"/>
    <w:basedOn w:val="DefaultParagraphFont"/>
    <w:link w:val="Heading5"/>
    <w:rsid w:val="00263137"/>
    <w:rPr>
      <w:sz w:val="22"/>
      <w:szCs w:val="22"/>
      <w:lang w:val="en-GB"/>
    </w:rPr>
  </w:style>
  <w:style w:type="character" w:customStyle="1" w:styleId="Heading6Char">
    <w:name w:val="Heading 6 Char"/>
    <w:basedOn w:val="DefaultParagraphFont"/>
    <w:link w:val="Heading6"/>
    <w:uiPriority w:val="9"/>
    <w:rsid w:val="00263137"/>
    <w:rPr>
      <w:rFonts w:ascii="Arial" w:hAnsi="Arial"/>
      <w:i/>
      <w:sz w:val="22"/>
      <w:szCs w:val="22"/>
      <w:lang w:val="en-GB"/>
    </w:rPr>
  </w:style>
  <w:style w:type="character" w:customStyle="1" w:styleId="Heading7Char">
    <w:name w:val="Heading 7 Char"/>
    <w:basedOn w:val="DefaultParagraphFont"/>
    <w:link w:val="Heading7"/>
    <w:uiPriority w:val="9"/>
    <w:rsid w:val="00263137"/>
    <w:rPr>
      <w:rFonts w:ascii="Arial" w:hAnsi="Arial"/>
      <w:sz w:val="22"/>
      <w:szCs w:val="22"/>
      <w:lang w:val="en-GB"/>
    </w:rPr>
  </w:style>
  <w:style w:type="character" w:customStyle="1" w:styleId="Heading8Char">
    <w:name w:val="Heading 8 Char"/>
    <w:basedOn w:val="DefaultParagraphFont"/>
    <w:link w:val="Heading8"/>
    <w:uiPriority w:val="99"/>
    <w:rsid w:val="00263137"/>
    <w:rPr>
      <w:b/>
      <w:sz w:val="22"/>
      <w:szCs w:val="22"/>
      <w:lang w:val="en-GB"/>
    </w:rPr>
  </w:style>
  <w:style w:type="character" w:customStyle="1" w:styleId="Heading9Char">
    <w:name w:val="Heading 9 Char"/>
    <w:basedOn w:val="DefaultParagraphFont"/>
    <w:link w:val="Heading9"/>
    <w:uiPriority w:val="9"/>
    <w:rsid w:val="00263137"/>
    <w:rPr>
      <w:rFonts w:ascii="Arial" w:hAnsi="Arial"/>
      <w:i/>
      <w:sz w:val="18"/>
      <w:szCs w:val="22"/>
      <w:lang w:val="en-GB"/>
    </w:rPr>
  </w:style>
  <w:style w:type="character" w:customStyle="1" w:styleId="HeaderChar">
    <w:name w:val="Header Char"/>
    <w:basedOn w:val="DefaultParagraphFont"/>
    <w:link w:val="Header"/>
    <w:rsid w:val="00263137"/>
    <w:rPr>
      <w:sz w:val="22"/>
      <w:szCs w:val="22"/>
      <w:lang w:val="en-GB"/>
    </w:rPr>
  </w:style>
  <w:style w:type="character" w:customStyle="1" w:styleId="FooterChar">
    <w:name w:val="Footer Char"/>
    <w:basedOn w:val="DefaultParagraphFont"/>
    <w:link w:val="Footer"/>
    <w:uiPriority w:val="99"/>
    <w:rsid w:val="00263137"/>
    <w:rPr>
      <w:sz w:val="22"/>
      <w:szCs w:val="22"/>
      <w:lang w:val="en-GB"/>
    </w:rPr>
  </w:style>
  <w:style w:type="character" w:customStyle="1" w:styleId="BodyText3Char">
    <w:name w:val="Body Text 3 Char"/>
    <w:basedOn w:val="DefaultParagraphFont"/>
    <w:link w:val="BodyText3"/>
    <w:uiPriority w:val="99"/>
    <w:semiHidden/>
    <w:rsid w:val="00263137"/>
    <w:rPr>
      <w:sz w:val="16"/>
      <w:szCs w:val="16"/>
      <w:lang w:val="en-GB"/>
    </w:rPr>
  </w:style>
  <w:style w:type="character" w:customStyle="1" w:styleId="BodyText2Char1">
    <w:name w:val="Body Text 2 Char1"/>
    <w:basedOn w:val="DefaultParagraphFont"/>
    <w:uiPriority w:val="99"/>
    <w:semiHidden/>
    <w:rsid w:val="00263137"/>
    <w:rPr>
      <w:lang w:val="en-GB"/>
    </w:rPr>
  </w:style>
  <w:style w:type="character" w:customStyle="1" w:styleId="BodyText2Char2">
    <w:name w:val="Body Text 2 Char2"/>
    <w:basedOn w:val="DefaultParagraphFont"/>
    <w:uiPriority w:val="99"/>
    <w:semiHidden/>
    <w:rsid w:val="00263137"/>
    <w:rPr>
      <w:lang w:val="en-GB"/>
    </w:rPr>
  </w:style>
  <w:style w:type="character" w:customStyle="1" w:styleId="BodyTextIndent3Char">
    <w:name w:val="Body Text Indent 3 Char"/>
    <w:basedOn w:val="DefaultParagraphFont"/>
    <w:link w:val="BodyTextIndent3"/>
    <w:uiPriority w:val="99"/>
    <w:semiHidden/>
    <w:rsid w:val="00263137"/>
    <w:rPr>
      <w:sz w:val="16"/>
      <w:szCs w:val="16"/>
      <w:lang w:val="en-GB"/>
    </w:rPr>
  </w:style>
  <w:style w:type="character" w:customStyle="1" w:styleId="PlainTextChar">
    <w:name w:val="Plain Text Char"/>
    <w:basedOn w:val="DefaultParagraphFont"/>
    <w:link w:val="PlainText"/>
    <w:uiPriority w:val="99"/>
    <w:semiHidden/>
    <w:rsid w:val="00263137"/>
    <w:rPr>
      <w:rFonts w:ascii="Courier New" w:hAnsi="Courier New" w:cs="Courier New"/>
      <w:szCs w:val="22"/>
      <w:lang w:val="en-GB"/>
    </w:rPr>
  </w:style>
  <w:style w:type="character" w:customStyle="1" w:styleId="SubtitleChar">
    <w:name w:val="Subtitle Char"/>
    <w:basedOn w:val="DefaultParagraphFont"/>
    <w:link w:val="Subtitle"/>
    <w:uiPriority w:val="99"/>
    <w:rsid w:val="00263137"/>
    <w:rPr>
      <w:rFonts w:ascii="Arial" w:hAnsi="Arial" w:cs="Arial"/>
      <w:sz w:val="22"/>
      <w:szCs w:val="22"/>
      <w:lang w:val="en-GB"/>
    </w:rPr>
  </w:style>
  <w:style w:type="character" w:customStyle="1" w:styleId="TitleChar">
    <w:name w:val="Title Char"/>
    <w:basedOn w:val="DefaultParagraphFont"/>
    <w:link w:val="Title"/>
    <w:uiPriority w:val="99"/>
    <w:rsid w:val="00263137"/>
    <w:rPr>
      <w:rFonts w:ascii="Arial" w:hAnsi="Arial" w:cs="Arial"/>
      <w:b/>
      <w:bCs/>
      <w:kern w:val="28"/>
      <w:sz w:val="22"/>
      <w:szCs w:val="22"/>
      <w:lang w:val="en-GB"/>
    </w:rPr>
  </w:style>
  <w:style w:type="character" w:customStyle="1" w:styleId="DateChar">
    <w:name w:val="Date Char"/>
    <w:basedOn w:val="DefaultParagraphFont"/>
    <w:link w:val="Date"/>
    <w:uiPriority w:val="99"/>
    <w:rsid w:val="00263137"/>
    <w:rPr>
      <w:sz w:val="22"/>
      <w:szCs w:val="22"/>
      <w:lang w:val="en-GB"/>
    </w:rPr>
  </w:style>
  <w:style w:type="paragraph" w:customStyle="1" w:styleId="Heading">
    <w:name w:val="Heading"/>
    <w:basedOn w:val="Header"/>
    <w:next w:val="Header"/>
    <w:rsid w:val="00263137"/>
    <w:pPr>
      <w:tabs>
        <w:tab w:val="clear" w:pos="4320"/>
        <w:tab w:val="clear" w:pos="8640"/>
      </w:tabs>
    </w:pPr>
    <w:rPr>
      <w:b/>
      <w:bCs/>
      <w:sz w:val="24"/>
      <w:szCs w:val="24"/>
      <w:u w:val="single"/>
    </w:rPr>
  </w:style>
  <w:style w:type="paragraph" w:customStyle="1" w:styleId="Bullet2">
    <w:name w:val="Bullet 2"/>
    <w:basedOn w:val="Normal"/>
    <w:uiPriority w:val="99"/>
    <w:rsid w:val="00263137"/>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styleId="ListParagraph">
    <w:name w:val="List Paragraph"/>
    <w:basedOn w:val="Normal"/>
    <w:uiPriority w:val="99"/>
    <w:qFormat/>
    <w:rsid w:val="00263137"/>
    <w:pPr>
      <w:ind w:left="720"/>
      <w:contextualSpacing/>
      <w:jc w:val="left"/>
    </w:pPr>
    <w:rPr>
      <w:sz w:val="24"/>
      <w:szCs w:val="24"/>
      <w:lang w:val="en-US"/>
    </w:rPr>
  </w:style>
  <w:style w:type="paragraph" w:customStyle="1" w:styleId="xl73">
    <w:name w:val="xl73"/>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4">
    <w:name w:val="xl74"/>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6">
    <w:name w:val="xl76"/>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8">
    <w:name w:val="xl78"/>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9">
    <w:name w:val="xl79"/>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1">
    <w:name w:val="xl81"/>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2">
    <w:name w:val="xl82"/>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3">
    <w:name w:val="xl83"/>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5">
    <w:name w:val="xl85"/>
    <w:basedOn w:val="Normal"/>
    <w:rsid w:val="00263137"/>
    <w:pPr>
      <w:spacing w:before="100" w:beforeAutospacing="1" w:after="100" w:afterAutospacing="1"/>
      <w:jc w:val="left"/>
    </w:pPr>
    <w:rPr>
      <w:sz w:val="16"/>
      <w:szCs w:val="16"/>
      <w:lang w:val="en-US"/>
    </w:rPr>
  </w:style>
  <w:style w:type="paragraph" w:customStyle="1" w:styleId="xl86">
    <w:name w:val="xl86"/>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7">
    <w:name w:val="xl87"/>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8">
    <w:name w:val="xl88"/>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9">
    <w:name w:val="xl89"/>
    <w:basedOn w:val="Normal"/>
    <w:rsid w:val="00263137"/>
    <w:pPr>
      <w:spacing w:before="100" w:beforeAutospacing="1" w:after="100" w:afterAutospacing="1"/>
      <w:jc w:val="left"/>
    </w:pPr>
    <w:rPr>
      <w:sz w:val="16"/>
      <w:szCs w:val="16"/>
      <w:lang w:val="en-US"/>
    </w:rPr>
  </w:style>
  <w:style w:type="paragraph" w:customStyle="1" w:styleId="xl90">
    <w:name w:val="xl90"/>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91">
    <w:name w:val="xl91"/>
    <w:basedOn w:val="Normal"/>
    <w:rsid w:val="00263137"/>
    <w:pPr>
      <w:spacing w:before="100" w:beforeAutospacing="1" w:after="100" w:afterAutospacing="1"/>
      <w:jc w:val="left"/>
    </w:pPr>
    <w:rPr>
      <w:sz w:val="16"/>
      <w:szCs w:val="16"/>
      <w:lang w:val="en-US"/>
    </w:rPr>
  </w:style>
  <w:style w:type="paragraph" w:customStyle="1" w:styleId="xl92">
    <w:name w:val="xl92"/>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2">
    <w:name w:val="xl72"/>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263137"/>
    <w:pPr>
      <w:spacing w:before="100" w:beforeAutospacing="1" w:after="100" w:afterAutospacing="1"/>
      <w:jc w:val="center"/>
      <w:textAlignment w:val="top"/>
    </w:pPr>
    <w:rPr>
      <w:b/>
      <w:bCs/>
      <w:sz w:val="16"/>
      <w:szCs w:val="16"/>
      <w:lang w:val="en-CA" w:eastAsia="en-CA"/>
    </w:rPr>
  </w:style>
  <w:style w:type="paragraph" w:customStyle="1" w:styleId="xl71">
    <w:name w:val="xl71"/>
    <w:basedOn w:val="Normal"/>
    <w:rsid w:val="00263137"/>
    <w:pPr>
      <w:spacing w:before="100" w:beforeAutospacing="1" w:after="100" w:afterAutospacing="1"/>
      <w:jc w:val="left"/>
    </w:pPr>
    <w:rPr>
      <w:sz w:val="16"/>
      <w:szCs w:val="16"/>
      <w:lang w:val="en-CA" w:eastAsia="en-CA"/>
    </w:rPr>
  </w:style>
  <w:style w:type="paragraph" w:customStyle="1" w:styleId="xl93">
    <w:name w:val="xl93"/>
    <w:basedOn w:val="Normal"/>
    <w:rsid w:val="00263137"/>
    <w:pPr>
      <w:spacing w:before="100" w:beforeAutospacing="1" w:after="100" w:afterAutospacing="1"/>
      <w:jc w:val="left"/>
    </w:pPr>
    <w:rPr>
      <w:b/>
      <w:bCs/>
      <w:sz w:val="24"/>
      <w:szCs w:val="24"/>
      <w:lang w:val="en-CA" w:eastAsia="en-CA"/>
    </w:rPr>
  </w:style>
  <w:style w:type="character" w:styleId="FootnoteReference">
    <w:name w:val="footnote reference"/>
    <w:semiHidden/>
    <w:rsid w:val="00263137"/>
    <w:rPr>
      <w:rFonts w:ascii="Times New Roman" w:hAnsi="Times New Roman" w:cs="Times New Roman"/>
      <w:position w:val="0"/>
      <w:sz w:val="24"/>
      <w:szCs w:val="24"/>
      <w:vertAlign w:val="superscript"/>
    </w:rPr>
  </w:style>
  <w:style w:type="paragraph" w:styleId="FootnoteText">
    <w:name w:val="footnote text"/>
    <w:basedOn w:val="Normal"/>
    <w:link w:val="FootnoteTextChar"/>
    <w:semiHidden/>
    <w:rsid w:val="00263137"/>
    <w:pPr>
      <w:spacing w:after="120"/>
      <w:ind w:left="432" w:hanging="432"/>
      <w:jc w:val="left"/>
    </w:pPr>
    <w:rPr>
      <w:sz w:val="20"/>
      <w:szCs w:val="20"/>
      <w:lang w:val="en-US" w:eastAsia="fr-FR"/>
    </w:rPr>
  </w:style>
  <w:style w:type="character" w:customStyle="1" w:styleId="FootnoteTextChar">
    <w:name w:val="Footnote Text Char"/>
    <w:basedOn w:val="DefaultParagraphFont"/>
    <w:link w:val="FootnoteText"/>
    <w:semiHidden/>
    <w:rsid w:val="00263137"/>
    <w:rPr>
      <w:lang w:eastAsia="fr-FR"/>
    </w:rPr>
  </w:style>
  <w:style w:type="paragraph" w:customStyle="1" w:styleId="a--">
    <w:name w:val="a-(-)"/>
    <w:basedOn w:val="Normal"/>
    <w:rsid w:val="00263137"/>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numbering" w:customStyle="1" w:styleId="NoList1">
    <w:name w:val="No List1"/>
    <w:next w:val="NoList"/>
    <w:uiPriority w:val="99"/>
    <w:semiHidden/>
    <w:unhideWhenUsed/>
    <w:rsid w:val="00263137"/>
  </w:style>
  <w:style w:type="paragraph" w:customStyle="1" w:styleId="xl94">
    <w:name w:val="xl94"/>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95">
    <w:name w:val="xl95"/>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96">
    <w:name w:val="xl96"/>
    <w:basedOn w:val="Normal"/>
    <w:rsid w:val="00263137"/>
    <w:pPr>
      <w:spacing w:before="100" w:beforeAutospacing="1" w:after="100" w:afterAutospacing="1"/>
      <w:jc w:val="left"/>
      <w:textAlignment w:val="top"/>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
    <w:basedOn w:val="Normal"/>
    <w:next w:val="Normal"/>
    <w:link w:val="Heading3Char"/>
    <w:uiPriority w:val="9"/>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link w:val="Heading4Char"/>
    <w:uiPriority w:val="9"/>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uiPriority w:val="99"/>
    <w:rsid w:val="004E7F9C"/>
    <w:pPr>
      <w:ind w:left="0" w:firstLine="0"/>
    </w:pPr>
    <w:rPr>
      <w:sz w:val="20"/>
    </w:rPr>
  </w:style>
  <w:style w:type="character" w:styleId="PageNumber">
    <w:name w:val="page number"/>
    <w:basedOn w:val="DefaultParagraphFont"/>
    <w:uiPriority w:val="99"/>
    <w:rsid w:val="00263137"/>
    <w:rPr>
      <w:sz w:val="22"/>
      <w:szCs w:val="22"/>
    </w:rPr>
  </w:style>
  <w:style w:type="paragraph" w:styleId="BodyText">
    <w:name w:val="Body Text"/>
    <w:basedOn w:val="Normal"/>
    <w:link w:val="BodyTextChar"/>
    <w:uiPriority w:val="99"/>
    <w:semiHidden/>
    <w:rsid w:val="00263137"/>
    <w:pPr>
      <w:spacing w:after="120"/>
    </w:pPr>
  </w:style>
  <w:style w:type="character" w:customStyle="1" w:styleId="BodyTextChar">
    <w:name w:val="Body Text Char"/>
    <w:basedOn w:val="DefaultParagraphFont"/>
    <w:link w:val="BodyText"/>
    <w:uiPriority w:val="99"/>
    <w:semiHidden/>
    <w:rsid w:val="00263137"/>
    <w:rPr>
      <w:sz w:val="22"/>
      <w:szCs w:val="22"/>
      <w:lang w:val="en-GB"/>
    </w:rPr>
  </w:style>
  <w:style w:type="paragraph" w:styleId="BodyText2">
    <w:name w:val="Body Text 2"/>
    <w:basedOn w:val="Normal"/>
    <w:link w:val="BodyText2Char"/>
    <w:uiPriority w:val="99"/>
    <w:semiHidden/>
    <w:rsid w:val="00263137"/>
    <w:pPr>
      <w:spacing w:after="120" w:line="480" w:lineRule="auto"/>
    </w:pPr>
  </w:style>
  <w:style w:type="character" w:customStyle="1" w:styleId="BodyText2Char">
    <w:name w:val="Body Text 2 Char"/>
    <w:basedOn w:val="DefaultParagraphFont"/>
    <w:link w:val="BodyText2"/>
    <w:uiPriority w:val="99"/>
    <w:semiHidden/>
    <w:rsid w:val="00263137"/>
    <w:rPr>
      <w:sz w:val="22"/>
      <w:szCs w:val="22"/>
      <w:lang w:val="en-GB"/>
    </w:rPr>
  </w:style>
  <w:style w:type="paragraph" w:styleId="BodyTextFirstIndent">
    <w:name w:val="Body Text First Indent"/>
    <w:basedOn w:val="BodyText"/>
    <w:link w:val="BodyTextFirstIndentChar"/>
    <w:uiPriority w:val="99"/>
    <w:semiHidden/>
    <w:rsid w:val="00263137"/>
    <w:pPr>
      <w:ind w:firstLine="210"/>
    </w:pPr>
  </w:style>
  <w:style w:type="character" w:customStyle="1" w:styleId="BodyTextFirstIndentChar">
    <w:name w:val="Body Text First Indent Char"/>
    <w:basedOn w:val="BodyTextChar"/>
    <w:link w:val="BodyTextFirstIndent"/>
    <w:uiPriority w:val="99"/>
    <w:semiHidden/>
    <w:rsid w:val="00263137"/>
    <w:rPr>
      <w:sz w:val="22"/>
      <w:szCs w:val="22"/>
      <w:lang w:val="en-GB"/>
    </w:rPr>
  </w:style>
  <w:style w:type="paragraph" w:styleId="BodyTextIndent">
    <w:name w:val="Body Text Indent"/>
    <w:basedOn w:val="Normal"/>
    <w:link w:val="BodyTextIndentChar"/>
    <w:uiPriority w:val="99"/>
    <w:semiHidden/>
    <w:rsid w:val="00263137"/>
    <w:pPr>
      <w:spacing w:after="120"/>
      <w:ind w:left="360"/>
    </w:pPr>
  </w:style>
  <w:style w:type="character" w:customStyle="1" w:styleId="BodyTextIndentChar">
    <w:name w:val="Body Text Indent Char"/>
    <w:basedOn w:val="DefaultParagraphFont"/>
    <w:link w:val="BodyTextIndent"/>
    <w:uiPriority w:val="99"/>
    <w:semiHidden/>
    <w:rsid w:val="00263137"/>
    <w:rPr>
      <w:sz w:val="22"/>
      <w:szCs w:val="22"/>
      <w:lang w:val="en-GB"/>
    </w:rPr>
  </w:style>
  <w:style w:type="paragraph" w:styleId="BodyTextFirstIndent2">
    <w:name w:val="Body Text First Indent 2"/>
    <w:basedOn w:val="BodyTextIndent"/>
    <w:link w:val="BodyTextFirstIndent2Char"/>
    <w:uiPriority w:val="99"/>
    <w:semiHidden/>
    <w:rsid w:val="00263137"/>
    <w:pPr>
      <w:ind w:firstLine="210"/>
    </w:pPr>
  </w:style>
  <w:style w:type="character" w:customStyle="1" w:styleId="BodyTextFirstIndent2Char">
    <w:name w:val="Body Text First Indent 2 Char"/>
    <w:basedOn w:val="BodyTextIndentChar"/>
    <w:link w:val="BodyTextFirstIndent2"/>
    <w:uiPriority w:val="99"/>
    <w:semiHidden/>
    <w:rsid w:val="00263137"/>
    <w:rPr>
      <w:sz w:val="22"/>
      <w:szCs w:val="22"/>
      <w:lang w:val="en-GB"/>
    </w:rPr>
  </w:style>
  <w:style w:type="paragraph" w:styleId="BodyTextIndent2">
    <w:name w:val="Body Text Indent 2"/>
    <w:basedOn w:val="Normal"/>
    <w:link w:val="BodyTextIndent2Char"/>
    <w:uiPriority w:val="99"/>
    <w:semiHidden/>
    <w:rsid w:val="00263137"/>
    <w:pPr>
      <w:spacing w:after="120" w:line="480" w:lineRule="auto"/>
      <w:ind w:left="360"/>
    </w:pPr>
  </w:style>
  <w:style w:type="character" w:customStyle="1" w:styleId="BodyTextIndent2Char">
    <w:name w:val="Body Text Indent 2 Char"/>
    <w:basedOn w:val="DefaultParagraphFont"/>
    <w:link w:val="BodyTextIndent2"/>
    <w:uiPriority w:val="99"/>
    <w:semiHidden/>
    <w:rsid w:val="00263137"/>
    <w:rPr>
      <w:sz w:val="22"/>
      <w:szCs w:val="22"/>
      <w:lang w:val="en-GB"/>
    </w:rPr>
  </w:style>
  <w:style w:type="paragraph" w:styleId="Closing">
    <w:name w:val="Closing"/>
    <w:basedOn w:val="Normal"/>
    <w:link w:val="ClosingChar"/>
    <w:uiPriority w:val="99"/>
    <w:semiHidden/>
    <w:rsid w:val="00263137"/>
    <w:pPr>
      <w:ind w:left="4320"/>
    </w:pPr>
  </w:style>
  <w:style w:type="character" w:customStyle="1" w:styleId="ClosingChar">
    <w:name w:val="Closing Char"/>
    <w:basedOn w:val="DefaultParagraphFont"/>
    <w:link w:val="Closing"/>
    <w:uiPriority w:val="99"/>
    <w:semiHidden/>
    <w:rsid w:val="00263137"/>
    <w:rPr>
      <w:sz w:val="22"/>
      <w:szCs w:val="22"/>
      <w:lang w:val="en-GB"/>
    </w:rPr>
  </w:style>
  <w:style w:type="paragraph" w:styleId="E-mailSignature">
    <w:name w:val="E-mail Signature"/>
    <w:basedOn w:val="Normal"/>
    <w:link w:val="E-mailSignatureChar"/>
    <w:uiPriority w:val="99"/>
    <w:semiHidden/>
    <w:rsid w:val="00263137"/>
  </w:style>
  <w:style w:type="character" w:customStyle="1" w:styleId="E-mailSignatureChar">
    <w:name w:val="E-mail Signature Char"/>
    <w:basedOn w:val="DefaultParagraphFont"/>
    <w:link w:val="E-mailSignature"/>
    <w:uiPriority w:val="99"/>
    <w:semiHidden/>
    <w:rsid w:val="00263137"/>
    <w:rPr>
      <w:sz w:val="22"/>
      <w:szCs w:val="22"/>
      <w:lang w:val="en-GB"/>
    </w:rPr>
  </w:style>
  <w:style w:type="character" w:styleId="Emphasis">
    <w:name w:val="Emphasis"/>
    <w:basedOn w:val="DefaultParagraphFont"/>
    <w:uiPriority w:val="99"/>
    <w:qFormat/>
    <w:rsid w:val="00263137"/>
    <w:rPr>
      <w:i/>
      <w:iCs/>
    </w:rPr>
  </w:style>
  <w:style w:type="paragraph" w:styleId="EnvelopeAddress">
    <w:name w:val="envelope address"/>
    <w:basedOn w:val="Normal"/>
    <w:uiPriority w:val="99"/>
    <w:semiHidden/>
    <w:rsid w:val="0026313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263137"/>
    <w:rPr>
      <w:rFonts w:ascii="Arial" w:hAnsi="Arial" w:cs="Arial"/>
      <w:sz w:val="20"/>
    </w:rPr>
  </w:style>
  <w:style w:type="character" w:styleId="FollowedHyperlink">
    <w:name w:val="FollowedHyperlink"/>
    <w:basedOn w:val="DefaultParagraphFont"/>
    <w:uiPriority w:val="99"/>
    <w:semiHidden/>
    <w:rsid w:val="00263137"/>
    <w:rPr>
      <w:color w:val="800080"/>
      <w:u w:val="single"/>
    </w:rPr>
  </w:style>
  <w:style w:type="character" w:styleId="HTMLAcronym">
    <w:name w:val="HTML Acronym"/>
    <w:basedOn w:val="DefaultParagraphFont"/>
    <w:uiPriority w:val="99"/>
    <w:semiHidden/>
    <w:rsid w:val="00263137"/>
  </w:style>
  <w:style w:type="paragraph" w:styleId="HTMLAddress">
    <w:name w:val="HTML Address"/>
    <w:basedOn w:val="Normal"/>
    <w:link w:val="HTMLAddressChar"/>
    <w:uiPriority w:val="99"/>
    <w:semiHidden/>
    <w:rsid w:val="00263137"/>
    <w:rPr>
      <w:i/>
      <w:iCs/>
    </w:rPr>
  </w:style>
  <w:style w:type="character" w:customStyle="1" w:styleId="HTMLAddressChar">
    <w:name w:val="HTML Address Char"/>
    <w:basedOn w:val="DefaultParagraphFont"/>
    <w:link w:val="HTMLAddress"/>
    <w:uiPriority w:val="99"/>
    <w:semiHidden/>
    <w:rsid w:val="00263137"/>
    <w:rPr>
      <w:i/>
      <w:iCs/>
      <w:sz w:val="22"/>
      <w:szCs w:val="22"/>
      <w:lang w:val="en-GB"/>
    </w:rPr>
  </w:style>
  <w:style w:type="character" w:styleId="HTMLCite">
    <w:name w:val="HTML Cite"/>
    <w:basedOn w:val="DefaultParagraphFont"/>
    <w:uiPriority w:val="99"/>
    <w:semiHidden/>
    <w:rsid w:val="00263137"/>
    <w:rPr>
      <w:i/>
      <w:iCs/>
    </w:rPr>
  </w:style>
  <w:style w:type="character" w:styleId="HTMLCode">
    <w:name w:val="HTML Code"/>
    <w:basedOn w:val="DefaultParagraphFont"/>
    <w:uiPriority w:val="99"/>
    <w:semiHidden/>
    <w:rsid w:val="00263137"/>
    <w:rPr>
      <w:rFonts w:ascii="Courier New" w:hAnsi="Courier New" w:cs="Courier New"/>
      <w:sz w:val="20"/>
      <w:szCs w:val="20"/>
    </w:rPr>
  </w:style>
  <w:style w:type="character" w:styleId="HTMLDefinition">
    <w:name w:val="HTML Definition"/>
    <w:basedOn w:val="DefaultParagraphFont"/>
    <w:uiPriority w:val="99"/>
    <w:semiHidden/>
    <w:rsid w:val="00263137"/>
    <w:rPr>
      <w:i/>
      <w:iCs/>
    </w:rPr>
  </w:style>
  <w:style w:type="character" w:styleId="HTMLKeyboard">
    <w:name w:val="HTML Keyboard"/>
    <w:basedOn w:val="DefaultParagraphFont"/>
    <w:uiPriority w:val="99"/>
    <w:semiHidden/>
    <w:rsid w:val="00263137"/>
    <w:rPr>
      <w:rFonts w:ascii="Courier New" w:hAnsi="Courier New" w:cs="Courier New"/>
      <w:sz w:val="20"/>
      <w:szCs w:val="20"/>
    </w:rPr>
  </w:style>
  <w:style w:type="paragraph" w:styleId="HTMLPreformatted">
    <w:name w:val="HTML Preformatted"/>
    <w:basedOn w:val="Normal"/>
    <w:link w:val="HTMLPreformattedChar"/>
    <w:uiPriority w:val="99"/>
    <w:semiHidden/>
    <w:rsid w:val="00263137"/>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63137"/>
    <w:rPr>
      <w:rFonts w:ascii="Courier New" w:hAnsi="Courier New" w:cs="Courier New"/>
      <w:szCs w:val="22"/>
      <w:lang w:val="en-GB"/>
    </w:rPr>
  </w:style>
  <w:style w:type="character" w:styleId="HTMLSample">
    <w:name w:val="HTML Sample"/>
    <w:basedOn w:val="DefaultParagraphFont"/>
    <w:uiPriority w:val="99"/>
    <w:semiHidden/>
    <w:rsid w:val="00263137"/>
    <w:rPr>
      <w:rFonts w:ascii="Courier New" w:hAnsi="Courier New" w:cs="Courier New"/>
    </w:rPr>
  </w:style>
  <w:style w:type="character" w:styleId="HTMLTypewriter">
    <w:name w:val="HTML Typewriter"/>
    <w:basedOn w:val="DefaultParagraphFont"/>
    <w:uiPriority w:val="99"/>
    <w:semiHidden/>
    <w:rsid w:val="00263137"/>
    <w:rPr>
      <w:rFonts w:ascii="Courier New" w:hAnsi="Courier New" w:cs="Courier New"/>
      <w:sz w:val="20"/>
      <w:szCs w:val="20"/>
    </w:rPr>
  </w:style>
  <w:style w:type="character" w:styleId="HTMLVariable">
    <w:name w:val="HTML Variable"/>
    <w:basedOn w:val="DefaultParagraphFont"/>
    <w:uiPriority w:val="99"/>
    <w:semiHidden/>
    <w:rsid w:val="00263137"/>
    <w:rPr>
      <w:i/>
      <w:iCs/>
    </w:rPr>
  </w:style>
  <w:style w:type="character" w:styleId="Hyperlink">
    <w:name w:val="Hyperlink"/>
    <w:basedOn w:val="DefaultParagraphFont"/>
    <w:uiPriority w:val="99"/>
    <w:semiHidden/>
    <w:rsid w:val="00263137"/>
    <w:rPr>
      <w:color w:val="0000FF"/>
      <w:u w:val="single"/>
    </w:rPr>
  </w:style>
  <w:style w:type="character" w:styleId="LineNumber">
    <w:name w:val="line number"/>
    <w:basedOn w:val="DefaultParagraphFont"/>
    <w:uiPriority w:val="99"/>
    <w:semiHidden/>
    <w:rsid w:val="00263137"/>
  </w:style>
  <w:style w:type="paragraph" w:styleId="List">
    <w:name w:val="List"/>
    <w:basedOn w:val="Normal"/>
    <w:uiPriority w:val="99"/>
    <w:semiHidden/>
    <w:rsid w:val="00263137"/>
    <w:pPr>
      <w:ind w:left="360" w:hanging="360"/>
    </w:pPr>
  </w:style>
  <w:style w:type="paragraph" w:styleId="List2">
    <w:name w:val="List 2"/>
    <w:basedOn w:val="Normal"/>
    <w:uiPriority w:val="99"/>
    <w:semiHidden/>
    <w:rsid w:val="00263137"/>
    <w:pPr>
      <w:ind w:left="720" w:hanging="360"/>
    </w:pPr>
  </w:style>
  <w:style w:type="paragraph" w:styleId="List3">
    <w:name w:val="List 3"/>
    <w:basedOn w:val="Normal"/>
    <w:uiPriority w:val="99"/>
    <w:semiHidden/>
    <w:rsid w:val="00263137"/>
    <w:pPr>
      <w:ind w:left="1080" w:hanging="360"/>
    </w:pPr>
  </w:style>
  <w:style w:type="paragraph" w:styleId="List4">
    <w:name w:val="List 4"/>
    <w:basedOn w:val="Normal"/>
    <w:uiPriority w:val="99"/>
    <w:semiHidden/>
    <w:rsid w:val="00263137"/>
    <w:pPr>
      <w:ind w:left="1440" w:hanging="360"/>
    </w:pPr>
  </w:style>
  <w:style w:type="paragraph" w:styleId="List5">
    <w:name w:val="List 5"/>
    <w:basedOn w:val="Normal"/>
    <w:uiPriority w:val="99"/>
    <w:semiHidden/>
    <w:rsid w:val="00263137"/>
    <w:pPr>
      <w:ind w:left="1800" w:hanging="360"/>
    </w:pPr>
  </w:style>
  <w:style w:type="paragraph" w:styleId="ListBullet">
    <w:name w:val="List Bullet"/>
    <w:basedOn w:val="Normal"/>
    <w:autoRedefine/>
    <w:uiPriority w:val="99"/>
    <w:semiHidden/>
    <w:rsid w:val="00263137"/>
    <w:pPr>
      <w:tabs>
        <w:tab w:val="num" w:pos="360"/>
      </w:tabs>
      <w:ind w:left="360" w:hanging="360"/>
    </w:pPr>
  </w:style>
  <w:style w:type="paragraph" w:styleId="ListBullet2">
    <w:name w:val="List Bullet 2"/>
    <w:basedOn w:val="Normal"/>
    <w:autoRedefine/>
    <w:uiPriority w:val="99"/>
    <w:semiHidden/>
    <w:rsid w:val="00263137"/>
    <w:pPr>
      <w:tabs>
        <w:tab w:val="num" w:pos="720"/>
      </w:tabs>
      <w:ind w:left="720" w:hanging="360"/>
    </w:pPr>
  </w:style>
  <w:style w:type="paragraph" w:styleId="ListBullet3">
    <w:name w:val="List Bullet 3"/>
    <w:basedOn w:val="Normal"/>
    <w:autoRedefine/>
    <w:uiPriority w:val="99"/>
    <w:semiHidden/>
    <w:rsid w:val="00263137"/>
    <w:pPr>
      <w:tabs>
        <w:tab w:val="num" w:pos="1080"/>
      </w:tabs>
      <w:ind w:left="1080" w:hanging="360"/>
    </w:pPr>
  </w:style>
  <w:style w:type="paragraph" w:styleId="ListBullet4">
    <w:name w:val="List Bullet 4"/>
    <w:basedOn w:val="Normal"/>
    <w:autoRedefine/>
    <w:uiPriority w:val="99"/>
    <w:semiHidden/>
    <w:rsid w:val="00263137"/>
    <w:pPr>
      <w:tabs>
        <w:tab w:val="num" w:pos="1440"/>
      </w:tabs>
      <w:ind w:left="1440" w:hanging="360"/>
    </w:pPr>
  </w:style>
  <w:style w:type="paragraph" w:styleId="ListBullet5">
    <w:name w:val="List Bullet 5"/>
    <w:basedOn w:val="Normal"/>
    <w:autoRedefine/>
    <w:uiPriority w:val="99"/>
    <w:semiHidden/>
    <w:rsid w:val="00263137"/>
    <w:pPr>
      <w:tabs>
        <w:tab w:val="num" w:pos="1800"/>
      </w:tabs>
      <w:ind w:left="1800" w:hanging="360"/>
    </w:pPr>
  </w:style>
  <w:style w:type="paragraph" w:styleId="ListContinue">
    <w:name w:val="List Continue"/>
    <w:basedOn w:val="Normal"/>
    <w:uiPriority w:val="99"/>
    <w:semiHidden/>
    <w:rsid w:val="00263137"/>
    <w:pPr>
      <w:spacing w:after="120"/>
      <w:ind w:left="360"/>
    </w:pPr>
  </w:style>
  <w:style w:type="paragraph" w:styleId="ListContinue2">
    <w:name w:val="List Continue 2"/>
    <w:basedOn w:val="Normal"/>
    <w:uiPriority w:val="99"/>
    <w:semiHidden/>
    <w:rsid w:val="00263137"/>
    <w:pPr>
      <w:spacing w:after="120"/>
      <w:ind w:left="720"/>
    </w:pPr>
  </w:style>
  <w:style w:type="paragraph" w:styleId="ListContinue3">
    <w:name w:val="List Continue 3"/>
    <w:basedOn w:val="Normal"/>
    <w:uiPriority w:val="99"/>
    <w:semiHidden/>
    <w:rsid w:val="00263137"/>
    <w:pPr>
      <w:spacing w:after="120"/>
      <w:ind w:left="1080"/>
    </w:pPr>
  </w:style>
  <w:style w:type="paragraph" w:styleId="ListContinue4">
    <w:name w:val="List Continue 4"/>
    <w:basedOn w:val="Normal"/>
    <w:uiPriority w:val="99"/>
    <w:semiHidden/>
    <w:rsid w:val="00263137"/>
    <w:pPr>
      <w:spacing w:after="120"/>
      <w:ind w:left="1440"/>
    </w:pPr>
  </w:style>
  <w:style w:type="paragraph" w:styleId="ListContinue5">
    <w:name w:val="List Continue 5"/>
    <w:basedOn w:val="Normal"/>
    <w:uiPriority w:val="99"/>
    <w:semiHidden/>
    <w:rsid w:val="00263137"/>
    <w:pPr>
      <w:spacing w:after="120"/>
      <w:ind w:left="1800"/>
    </w:pPr>
  </w:style>
  <w:style w:type="paragraph" w:styleId="ListNumber">
    <w:name w:val="List Number"/>
    <w:basedOn w:val="Normal"/>
    <w:uiPriority w:val="99"/>
    <w:semiHidden/>
    <w:rsid w:val="00263137"/>
    <w:pPr>
      <w:tabs>
        <w:tab w:val="num" w:pos="360"/>
      </w:tabs>
      <w:ind w:left="360" w:hanging="360"/>
    </w:pPr>
  </w:style>
  <w:style w:type="paragraph" w:styleId="ListNumber2">
    <w:name w:val="List Number 2"/>
    <w:basedOn w:val="Normal"/>
    <w:uiPriority w:val="99"/>
    <w:semiHidden/>
    <w:rsid w:val="00263137"/>
    <w:pPr>
      <w:tabs>
        <w:tab w:val="num" w:pos="720"/>
      </w:tabs>
      <w:ind w:left="720" w:hanging="360"/>
    </w:pPr>
  </w:style>
  <w:style w:type="paragraph" w:styleId="ListNumber3">
    <w:name w:val="List Number 3"/>
    <w:basedOn w:val="Normal"/>
    <w:uiPriority w:val="99"/>
    <w:semiHidden/>
    <w:rsid w:val="00263137"/>
    <w:pPr>
      <w:tabs>
        <w:tab w:val="num" w:pos="1080"/>
      </w:tabs>
      <w:ind w:left="1080" w:hanging="360"/>
    </w:pPr>
  </w:style>
  <w:style w:type="paragraph" w:styleId="ListNumber4">
    <w:name w:val="List Number 4"/>
    <w:basedOn w:val="Normal"/>
    <w:uiPriority w:val="99"/>
    <w:semiHidden/>
    <w:rsid w:val="00263137"/>
    <w:pPr>
      <w:tabs>
        <w:tab w:val="num" w:pos="1440"/>
      </w:tabs>
      <w:ind w:left="1440" w:hanging="360"/>
    </w:pPr>
  </w:style>
  <w:style w:type="paragraph" w:styleId="ListNumber5">
    <w:name w:val="List Number 5"/>
    <w:basedOn w:val="Normal"/>
    <w:uiPriority w:val="99"/>
    <w:semiHidden/>
    <w:rsid w:val="00263137"/>
    <w:pPr>
      <w:tabs>
        <w:tab w:val="num" w:pos="1800"/>
      </w:tabs>
      <w:ind w:left="1800" w:hanging="360"/>
    </w:pPr>
  </w:style>
  <w:style w:type="paragraph" w:styleId="MessageHeader">
    <w:name w:val="Message Header"/>
    <w:basedOn w:val="Normal"/>
    <w:link w:val="MessageHeaderChar"/>
    <w:uiPriority w:val="99"/>
    <w:semiHidden/>
    <w:rsid w:val="002631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263137"/>
    <w:rPr>
      <w:rFonts w:ascii="Arial" w:hAnsi="Arial" w:cs="Arial"/>
      <w:sz w:val="22"/>
      <w:szCs w:val="24"/>
      <w:shd w:val="pct20" w:color="auto" w:fill="auto"/>
      <w:lang w:val="en-GB"/>
    </w:rPr>
  </w:style>
  <w:style w:type="paragraph" w:styleId="NormalWeb">
    <w:name w:val="Normal (Web)"/>
    <w:basedOn w:val="Normal"/>
    <w:uiPriority w:val="99"/>
    <w:semiHidden/>
    <w:rsid w:val="00263137"/>
    <w:rPr>
      <w:szCs w:val="24"/>
    </w:rPr>
  </w:style>
  <w:style w:type="paragraph" w:styleId="NormalIndent">
    <w:name w:val="Normal Indent"/>
    <w:basedOn w:val="Normal"/>
    <w:uiPriority w:val="99"/>
    <w:semiHidden/>
    <w:rsid w:val="00263137"/>
    <w:pPr>
      <w:ind w:left="720"/>
    </w:pPr>
  </w:style>
  <w:style w:type="paragraph" w:styleId="NoteHeading">
    <w:name w:val="Note Heading"/>
    <w:basedOn w:val="Normal"/>
    <w:next w:val="Normal"/>
    <w:link w:val="NoteHeadingChar"/>
    <w:uiPriority w:val="99"/>
    <w:semiHidden/>
    <w:rsid w:val="00263137"/>
  </w:style>
  <w:style w:type="character" w:customStyle="1" w:styleId="NoteHeadingChar">
    <w:name w:val="Note Heading Char"/>
    <w:basedOn w:val="DefaultParagraphFont"/>
    <w:link w:val="NoteHeading"/>
    <w:uiPriority w:val="99"/>
    <w:semiHidden/>
    <w:rsid w:val="00263137"/>
    <w:rPr>
      <w:sz w:val="22"/>
      <w:szCs w:val="22"/>
      <w:lang w:val="en-GB"/>
    </w:rPr>
  </w:style>
  <w:style w:type="paragraph" w:styleId="Salutation">
    <w:name w:val="Salutation"/>
    <w:basedOn w:val="Normal"/>
    <w:next w:val="Normal"/>
    <w:link w:val="SalutationChar"/>
    <w:uiPriority w:val="99"/>
    <w:semiHidden/>
    <w:rsid w:val="00263137"/>
  </w:style>
  <w:style w:type="character" w:customStyle="1" w:styleId="SalutationChar">
    <w:name w:val="Salutation Char"/>
    <w:basedOn w:val="DefaultParagraphFont"/>
    <w:link w:val="Salutation"/>
    <w:uiPriority w:val="99"/>
    <w:semiHidden/>
    <w:rsid w:val="00263137"/>
    <w:rPr>
      <w:sz w:val="22"/>
      <w:szCs w:val="22"/>
      <w:lang w:val="en-GB"/>
    </w:rPr>
  </w:style>
  <w:style w:type="paragraph" w:styleId="Signature">
    <w:name w:val="Signature"/>
    <w:basedOn w:val="Normal"/>
    <w:link w:val="SignatureChar"/>
    <w:uiPriority w:val="99"/>
    <w:semiHidden/>
    <w:rsid w:val="00263137"/>
    <w:pPr>
      <w:ind w:left="4320"/>
    </w:pPr>
  </w:style>
  <w:style w:type="character" w:customStyle="1" w:styleId="SignatureChar">
    <w:name w:val="Signature Char"/>
    <w:basedOn w:val="DefaultParagraphFont"/>
    <w:link w:val="Signature"/>
    <w:uiPriority w:val="99"/>
    <w:semiHidden/>
    <w:rsid w:val="00263137"/>
    <w:rPr>
      <w:sz w:val="22"/>
      <w:szCs w:val="22"/>
      <w:lang w:val="en-GB"/>
    </w:rPr>
  </w:style>
  <w:style w:type="character" w:styleId="Strong">
    <w:name w:val="Strong"/>
    <w:basedOn w:val="DefaultParagraphFont"/>
    <w:uiPriority w:val="99"/>
    <w:qFormat/>
    <w:rsid w:val="00263137"/>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263137"/>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uiPriority w:val="9"/>
    <w:rsid w:val="00263137"/>
    <w:rPr>
      <w:sz w:val="22"/>
      <w:szCs w:val="22"/>
      <w:lang w:val="en-GB"/>
    </w:rPr>
  </w:style>
  <w:style w:type="character" w:customStyle="1" w:styleId="Heading4Char">
    <w:name w:val="Heading 4 Char"/>
    <w:aliases w:val="Heading 11 Char,para 4 Char,Título 41 Char,heading 4 Char"/>
    <w:basedOn w:val="DefaultParagraphFont"/>
    <w:link w:val="Heading4"/>
    <w:uiPriority w:val="9"/>
    <w:rsid w:val="00263137"/>
    <w:rPr>
      <w:sz w:val="22"/>
      <w:szCs w:val="22"/>
      <w:lang w:val="en-GB"/>
    </w:rPr>
  </w:style>
  <w:style w:type="character" w:customStyle="1" w:styleId="Heading5Char">
    <w:name w:val="Heading 5 Char"/>
    <w:basedOn w:val="DefaultParagraphFont"/>
    <w:link w:val="Heading5"/>
    <w:rsid w:val="00263137"/>
    <w:rPr>
      <w:sz w:val="22"/>
      <w:szCs w:val="22"/>
      <w:lang w:val="en-GB"/>
    </w:rPr>
  </w:style>
  <w:style w:type="character" w:customStyle="1" w:styleId="Heading6Char">
    <w:name w:val="Heading 6 Char"/>
    <w:basedOn w:val="DefaultParagraphFont"/>
    <w:link w:val="Heading6"/>
    <w:uiPriority w:val="9"/>
    <w:rsid w:val="00263137"/>
    <w:rPr>
      <w:rFonts w:ascii="Arial" w:hAnsi="Arial"/>
      <w:i/>
      <w:sz w:val="22"/>
      <w:szCs w:val="22"/>
      <w:lang w:val="en-GB"/>
    </w:rPr>
  </w:style>
  <w:style w:type="character" w:customStyle="1" w:styleId="Heading7Char">
    <w:name w:val="Heading 7 Char"/>
    <w:basedOn w:val="DefaultParagraphFont"/>
    <w:link w:val="Heading7"/>
    <w:uiPriority w:val="9"/>
    <w:rsid w:val="00263137"/>
    <w:rPr>
      <w:rFonts w:ascii="Arial" w:hAnsi="Arial"/>
      <w:sz w:val="22"/>
      <w:szCs w:val="22"/>
      <w:lang w:val="en-GB"/>
    </w:rPr>
  </w:style>
  <w:style w:type="character" w:customStyle="1" w:styleId="Heading8Char">
    <w:name w:val="Heading 8 Char"/>
    <w:basedOn w:val="DefaultParagraphFont"/>
    <w:link w:val="Heading8"/>
    <w:uiPriority w:val="99"/>
    <w:rsid w:val="00263137"/>
    <w:rPr>
      <w:b/>
      <w:sz w:val="22"/>
      <w:szCs w:val="22"/>
      <w:lang w:val="en-GB"/>
    </w:rPr>
  </w:style>
  <w:style w:type="character" w:customStyle="1" w:styleId="Heading9Char">
    <w:name w:val="Heading 9 Char"/>
    <w:basedOn w:val="DefaultParagraphFont"/>
    <w:link w:val="Heading9"/>
    <w:uiPriority w:val="9"/>
    <w:rsid w:val="00263137"/>
    <w:rPr>
      <w:rFonts w:ascii="Arial" w:hAnsi="Arial"/>
      <w:i/>
      <w:sz w:val="18"/>
      <w:szCs w:val="22"/>
      <w:lang w:val="en-GB"/>
    </w:rPr>
  </w:style>
  <w:style w:type="character" w:customStyle="1" w:styleId="HeaderChar">
    <w:name w:val="Header Char"/>
    <w:basedOn w:val="DefaultParagraphFont"/>
    <w:link w:val="Header"/>
    <w:rsid w:val="00263137"/>
    <w:rPr>
      <w:sz w:val="22"/>
      <w:szCs w:val="22"/>
      <w:lang w:val="en-GB"/>
    </w:rPr>
  </w:style>
  <w:style w:type="character" w:customStyle="1" w:styleId="FooterChar">
    <w:name w:val="Footer Char"/>
    <w:basedOn w:val="DefaultParagraphFont"/>
    <w:link w:val="Footer"/>
    <w:uiPriority w:val="99"/>
    <w:rsid w:val="00263137"/>
    <w:rPr>
      <w:sz w:val="22"/>
      <w:szCs w:val="22"/>
      <w:lang w:val="en-GB"/>
    </w:rPr>
  </w:style>
  <w:style w:type="character" w:customStyle="1" w:styleId="BodyText3Char">
    <w:name w:val="Body Text 3 Char"/>
    <w:basedOn w:val="DefaultParagraphFont"/>
    <w:link w:val="BodyText3"/>
    <w:uiPriority w:val="99"/>
    <w:semiHidden/>
    <w:rsid w:val="00263137"/>
    <w:rPr>
      <w:sz w:val="16"/>
      <w:szCs w:val="16"/>
      <w:lang w:val="en-GB"/>
    </w:rPr>
  </w:style>
  <w:style w:type="character" w:customStyle="1" w:styleId="BodyText2Char1">
    <w:name w:val="Body Text 2 Char1"/>
    <w:basedOn w:val="DefaultParagraphFont"/>
    <w:uiPriority w:val="99"/>
    <w:semiHidden/>
    <w:rsid w:val="00263137"/>
    <w:rPr>
      <w:lang w:val="en-GB"/>
    </w:rPr>
  </w:style>
  <w:style w:type="character" w:customStyle="1" w:styleId="BodyText2Char2">
    <w:name w:val="Body Text 2 Char2"/>
    <w:basedOn w:val="DefaultParagraphFont"/>
    <w:uiPriority w:val="99"/>
    <w:semiHidden/>
    <w:rsid w:val="00263137"/>
    <w:rPr>
      <w:lang w:val="en-GB"/>
    </w:rPr>
  </w:style>
  <w:style w:type="character" w:customStyle="1" w:styleId="BodyTextIndent3Char">
    <w:name w:val="Body Text Indent 3 Char"/>
    <w:basedOn w:val="DefaultParagraphFont"/>
    <w:link w:val="BodyTextIndent3"/>
    <w:uiPriority w:val="99"/>
    <w:semiHidden/>
    <w:rsid w:val="00263137"/>
    <w:rPr>
      <w:sz w:val="16"/>
      <w:szCs w:val="16"/>
      <w:lang w:val="en-GB"/>
    </w:rPr>
  </w:style>
  <w:style w:type="character" w:customStyle="1" w:styleId="PlainTextChar">
    <w:name w:val="Plain Text Char"/>
    <w:basedOn w:val="DefaultParagraphFont"/>
    <w:link w:val="PlainText"/>
    <w:uiPriority w:val="99"/>
    <w:semiHidden/>
    <w:rsid w:val="00263137"/>
    <w:rPr>
      <w:rFonts w:ascii="Courier New" w:hAnsi="Courier New" w:cs="Courier New"/>
      <w:szCs w:val="22"/>
      <w:lang w:val="en-GB"/>
    </w:rPr>
  </w:style>
  <w:style w:type="character" w:customStyle="1" w:styleId="SubtitleChar">
    <w:name w:val="Subtitle Char"/>
    <w:basedOn w:val="DefaultParagraphFont"/>
    <w:link w:val="Subtitle"/>
    <w:uiPriority w:val="99"/>
    <w:rsid w:val="00263137"/>
    <w:rPr>
      <w:rFonts w:ascii="Arial" w:hAnsi="Arial" w:cs="Arial"/>
      <w:sz w:val="22"/>
      <w:szCs w:val="22"/>
      <w:lang w:val="en-GB"/>
    </w:rPr>
  </w:style>
  <w:style w:type="character" w:customStyle="1" w:styleId="TitleChar">
    <w:name w:val="Title Char"/>
    <w:basedOn w:val="DefaultParagraphFont"/>
    <w:link w:val="Title"/>
    <w:uiPriority w:val="99"/>
    <w:rsid w:val="00263137"/>
    <w:rPr>
      <w:rFonts w:ascii="Arial" w:hAnsi="Arial" w:cs="Arial"/>
      <w:b/>
      <w:bCs/>
      <w:kern w:val="28"/>
      <w:sz w:val="22"/>
      <w:szCs w:val="22"/>
      <w:lang w:val="en-GB"/>
    </w:rPr>
  </w:style>
  <w:style w:type="character" w:customStyle="1" w:styleId="DateChar">
    <w:name w:val="Date Char"/>
    <w:basedOn w:val="DefaultParagraphFont"/>
    <w:link w:val="Date"/>
    <w:uiPriority w:val="99"/>
    <w:rsid w:val="00263137"/>
    <w:rPr>
      <w:sz w:val="22"/>
      <w:szCs w:val="22"/>
      <w:lang w:val="en-GB"/>
    </w:rPr>
  </w:style>
  <w:style w:type="paragraph" w:customStyle="1" w:styleId="Heading">
    <w:name w:val="Heading"/>
    <w:basedOn w:val="Header"/>
    <w:next w:val="Header"/>
    <w:rsid w:val="00263137"/>
    <w:pPr>
      <w:tabs>
        <w:tab w:val="clear" w:pos="4320"/>
        <w:tab w:val="clear" w:pos="8640"/>
      </w:tabs>
    </w:pPr>
    <w:rPr>
      <w:b/>
      <w:bCs/>
      <w:sz w:val="24"/>
      <w:szCs w:val="24"/>
      <w:u w:val="single"/>
    </w:rPr>
  </w:style>
  <w:style w:type="paragraph" w:customStyle="1" w:styleId="Bullet2">
    <w:name w:val="Bullet 2"/>
    <w:basedOn w:val="Normal"/>
    <w:uiPriority w:val="99"/>
    <w:rsid w:val="00263137"/>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styleId="ListParagraph">
    <w:name w:val="List Paragraph"/>
    <w:basedOn w:val="Normal"/>
    <w:uiPriority w:val="99"/>
    <w:qFormat/>
    <w:rsid w:val="00263137"/>
    <w:pPr>
      <w:ind w:left="720"/>
      <w:contextualSpacing/>
      <w:jc w:val="left"/>
    </w:pPr>
    <w:rPr>
      <w:sz w:val="24"/>
      <w:szCs w:val="24"/>
      <w:lang w:val="en-US"/>
    </w:rPr>
  </w:style>
  <w:style w:type="paragraph" w:customStyle="1" w:styleId="xl73">
    <w:name w:val="xl73"/>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4">
    <w:name w:val="xl74"/>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6">
    <w:name w:val="xl76"/>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8">
    <w:name w:val="xl78"/>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9">
    <w:name w:val="xl79"/>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1">
    <w:name w:val="xl81"/>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2">
    <w:name w:val="xl82"/>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3">
    <w:name w:val="xl83"/>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5">
    <w:name w:val="xl85"/>
    <w:basedOn w:val="Normal"/>
    <w:rsid w:val="00263137"/>
    <w:pPr>
      <w:spacing w:before="100" w:beforeAutospacing="1" w:after="100" w:afterAutospacing="1"/>
      <w:jc w:val="left"/>
    </w:pPr>
    <w:rPr>
      <w:sz w:val="16"/>
      <w:szCs w:val="16"/>
      <w:lang w:val="en-US"/>
    </w:rPr>
  </w:style>
  <w:style w:type="paragraph" w:customStyle="1" w:styleId="xl86">
    <w:name w:val="xl86"/>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7">
    <w:name w:val="xl87"/>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8">
    <w:name w:val="xl88"/>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9">
    <w:name w:val="xl89"/>
    <w:basedOn w:val="Normal"/>
    <w:rsid w:val="00263137"/>
    <w:pPr>
      <w:spacing w:before="100" w:beforeAutospacing="1" w:after="100" w:afterAutospacing="1"/>
      <w:jc w:val="left"/>
    </w:pPr>
    <w:rPr>
      <w:sz w:val="16"/>
      <w:szCs w:val="16"/>
      <w:lang w:val="en-US"/>
    </w:rPr>
  </w:style>
  <w:style w:type="paragraph" w:customStyle="1" w:styleId="xl90">
    <w:name w:val="xl90"/>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91">
    <w:name w:val="xl91"/>
    <w:basedOn w:val="Normal"/>
    <w:rsid w:val="00263137"/>
    <w:pPr>
      <w:spacing w:before="100" w:beforeAutospacing="1" w:after="100" w:afterAutospacing="1"/>
      <w:jc w:val="left"/>
    </w:pPr>
    <w:rPr>
      <w:sz w:val="16"/>
      <w:szCs w:val="16"/>
      <w:lang w:val="en-US"/>
    </w:rPr>
  </w:style>
  <w:style w:type="paragraph" w:customStyle="1" w:styleId="xl92">
    <w:name w:val="xl92"/>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2">
    <w:name w:val="xl72"/>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263137"/>
    <w:pPr>
      <w:spacing w:before="100" w:beforeAutospacing="1" w:after="100" w:afterAutospacing="1"/>
      <w:jc w:val="center"/>
      <w:textAlignment w:val="top"/>
    </w:pPr>
    <w:rPr>
      <w:b/>
      <w:bCs/>
      <w:sz w:val="16"/>
      <w:szCs w:val="16"/>
      <w:lang w:val="en-CA" w:eastAsia="en-CA"/>
    </w:rPr>
  </w:style>
  <w:style w:type="paragraph" w:customStyle="1" w:styleId="xl71">
    <w:name w:val="xl71"/>
    <w:basedOn w:val="Normal"/>
    <w:rsid w:val="00263137"/>
    <w:pPr>
      <w:spacing w:before="100" w:beforeAutospacing="1" w:after="100" w:afterAutospacing="1"/>
      <w:jc w:val="left"/>
    </w:pPr>
    <w:rPr>
      <w:sz w:val="16"/>
      <w:szCs w:val="16"/>
      <w:lang w:val="en-CA" w:eastAsia="en-CA"/>
    </w:rPr>
  </w:style>
  <w:style w:type="paragraph" w:customStyle="1" w:styleId="xl93">
    <w:name w:val="xl93"/>
    <w:basedOn w:val="Normal"/>
    <w:rsid w:val="00263137"/>
    <w:pPr>
      <w:spacing w:before="100" w:beforeAutospacing="1" w:after="100" w:afterAutospacing="1"/>
      <w:jc w:val="left"/>
    </w:pPr>
    <w:rPr>
      <w:b/>
      <w:bCs/>
      <w:sz w:val="24"/>
      <w:szCs w:val="24"/>
      <w:lang w:val="en-CA" w:eastAsia="en-CA"/>
    </w:rPr>
  </w:style>
  <w:style w:type="character" w:styleId="FootnoteReference">
    <w:name w:val="footnote reference"/>
    <w:semiHidden/>
    <w:rsid w:val="00263137"/>
    <w:rPr>
      <w:rFonts w:ascii="Times New Roman" w:hAnsi="Times New Roman" w:cs="Times New Roman"/>
      <w:position w:val="0"/>
      <w:sz w:val="24"/>
      <w:szCs w:val="24"/>
      <w:vertAlign w:val="superscript"/>
    </w:rPr>
  </w:style>
  <w:style w:type="paragraph" w:styleId="FootnoteText">
    <w:name w:val="footnote text"/>
    <w:basedOn w:val="Normal"/>
    <w:link w:val="FootnoteTextChar"/>
    <w:semiHidden/>
    <w:rsid w:val="00263137"/>
    <w:pPr>
      <w:spacing w:after="120"/>
      <w:ind w:left="432" w:hanging="432"/>
      <w:jc w:val="left"/>
    </w:pPr>
    <w:rPr>
      <w:sz w:val="20"/>
      <w:szCs w:val="20"/>
      <w:lang w:val="en-US" w:eastAsia="fr-FR"/>
    </w:rPr>
  </w:style>
  <w:style w:type="character" w:customStyle="1" w:styleId="FootnoteTextChar">
    <w:name w:val="Footnote Text Char"/>
    <w:basedOn w:val="DefaultParagraphFont"/>
    <w:link w:val="FootnoteText"/>
    <w:semiHidden/>
    <w:rsid w:val="00263137"/>
    <w:rPr>
      <w:lang w:eastAsia="fr-FR"/>
    </w:rPr>
  </w:style>
  <w:style w:type="paragraph" w:customStyle="1" w:styleId="a--">
    <w:name w:val="a-(-)"/>
    <w:basedOn w:val="Normal"/>
    <w:rsid w:val="00263137"/>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numbering" w:customStyle="1" w:styleId="NoList1">
    <w:name w:val="No List1"/>
    <w:next w:val="NoList"/>
    <w:uiPriority w:val="99"/>
    <w:semiHidden/>
    <w:unhideWhenUsed/>
    <w:rsid w:val="00263137"/>
  </w:style>
  <w:style w:type="paragraph" w:customStyle="1" w:styleId="xl94">
    <w:name w:val="xl94"/>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95">
    <w:name w:val="xl95"/>
    <w:basedOn w:val="Normal"/>
    <w:rsid w:val="002631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96">
    <w:name w:val="xl96"/>
    <w:basedOn w:val="Normal"/>
    <w:rsid w:val="00263137"/>
    <w:pPr>
      <w:spacing w:before="100" w:beforeAutospacing="1" w:after="100" w:afterAutospacing="1"/>
      <w:jc w:val="left"/>
      <w:textAlignment w:val="top"/>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767">
      <w:bodyDiv w:val="1"/>
      <w:marLeft w:val="0"/>
      <w:marRight w:val="0"/>
      <w:marTop w:val="0"/>
      <w:marBottom w:val="0"/>
      <w:divBdr>
        <w:top w:val="none" w:sz="0" w:space="0" w:color="auto"/>
        <w:left w:val="none" w:sz="0" w:space="0" w:color="auto"/>
        <w:bottom w:val="none" w:sz="0" w:space="0" w:color="auto"/>
        <w:right w:val="none" w:sz="0" w:space="0" w:color="auto"/>
      </w:divBdr>
    </w:div>
    <w:div w:id="104036623">
      <w:bodyDiv w:val="1"/>
      <w:marLeft w:val="0"/>
      <w:marRight w:val="0"/>
      <w:marTop w:val="0"/>
      <w:marBottom w:val="0"/>
      <w:divBdr>
        <w:top w:val="none" w:sz="0" w:space="0" w:color="auto"/>
        <w:left w:val="none" w:sz="0" w:space="0" w:color="auto"/>
        <w:bottom w:val="none" w:sz="0" w:space="0" w:color="auto"/>
        <w:right w:val="none" w:sz="0" w:space="0" w:color="auto"/>
      </w:divBdr>
    </w:div>
    <w:div w:id="184950279">
      <w:bodyDiv w:val="1"/>
      <w:marLeft w:val="0"/>
      <w:marRight w:val="0"/>
      <w:marTop w:val="0"/>
      <w:marBottom w:val="0"/>
      <w:divBdr>
        <w:top w:val="none" w:sz="0" w:space="0" w:color="auto"/>
        <w:left w:val="none" w:sz="0" w:space="0" w:color="auto"/>
        <w:bottom w:val="none" w:sz="0" w:space="0" w:color="auto"/>
        <w:right w:val="none" w:sz="0" w:space="0" w:color="auto"/>
      </w:divBdr>
    </w:div>
    <w:div w:id="338238935">
      <w:bodyDiv w:val="1"/>
      <w:marLeft w:val="0"/>
      <w:marRight w:val="0"/>
      <w:marTop w:val="0"/>
      <w:marBottom w:val="0"/>
      <w:divBdr>
        <w:top w:val="none" w:sz="0" w:space="0" w:color="auto"/>
        <w:left w:val="none" w:sz="0" w:space="0" w:color="auto"/>
        <w:bottom w:val="none" w:sz="0" w:space="0" w:color="auto"/>
        <w:right w:val="none" w:sz="0" w:space="0" w:color="auto"/>
      </w:divBdr>
    </w:div>
    <w:div w:id="590547256">
      <w:bodyDiv w:val="1"/>
      <w:marLeft w:val="0"/>
      <w:marRight w:val="0"/>
      <w:marTop w:val="0"/>
      <w:marBottom w:val="0"/>
      <w:divBdr>
        <w:top w:val="none" w:sz="0" w:space="0" w:color="auto"/>
        <w:left w:val="none" w:sz="0" w:space="0" w:color="auto"/>
        <w:bottom w:val="none" w:sz="0" w:space="0" w:color="auto"/>
        <w:right w:val="none" w:sz="0" w:space="0" w:color="auto"/>
      </w:divBdr>
    </w:div>
    <w:div w:id="798379050">
      <w:bodyDiv w:val="1"/>
      <w:marLeft w:val="0"/>
      <w:marRight w:val="0"/>
      <w:marTop w:val="0"/>
      <w:marBottom w:val="0"/>
      <w:divBdr>
        <w:top w:val="none" w:sz="0" w:space="0" w:color="auto"/>
        <w:left w:val="none" w:sz="0" w:space="0" w:color="auto"/>
        <w:bottom w:val="none" w:sz="0" w:space="0" w:color="auto"/>
        <w:right w:val="none" w:sz="0" w:space="0" w:color="auto"/>
      </w:divBdr>
    </w:div>
    <w:div w:id="800339557">
      <w:bodyDiv w:val="1"/>
      <w:marLeft w:val="0"/>
      <w:marRight w:val="0"/>
      <w:marTop w:val="0"/>
      <w:marBottom w:val="0"/>
      <w:divBdr>
        <w:top w:val="none" w:sz="0" w:space="0" w:color="auto"/>
        <w:left w:val="none" w:sz="0" w:space="0" w:color="auto"/>
        <w:bottom w:val="none" w:sz="0" w:space="0" w:color="auto"/>
        <w:right w:val="none" w:sz="0" w:space="0" w:color="auto"/>
      </w:divBdr>
    </w:div>
    <w:div w:id="1152677707">
      <w:bodyDiv w:val="1"/>
      <w:marLeft w:val="0"/>
      <w:marRight w:val="0"/>
      <w:marTop w:val="0"/>
      <w:marBottom w:val="0"/>
      <w:divBdr>
        <w:top w:val="none" w:sz="0" w:space="0" w:color="auto"/>
        <w:left w:val="none" w:sz="0" w:space="0" w:color="auto"/>
        <w:bottom w:val="none" w:sz="0" w:space="0" w:color="auto"/>
        <w:right w:val="none" w:sz="0" w:space="0" w:color="auto"/>
      </w:divBdr>
    </w:div>
    <w:div w:id="1399479222">
      <w:bodyDiv w:val="1"/>
      <w:marLeft w:val="0"/>
      <w:marRight w:val="0"/>
      <w:marTop w:val="0"/>
      <w:marBottom w:val="0"/>
      <w:divBdr>
        <w:top w:val="none" w:sz="0" w:space="0" w:color="auto"/>
        <w:left w:val="none" w:sz="0" w:space="0" w:color="auto"/>
        <w:bottom w:val="none" w:sz="0" w:space="0" w:color="auto"/>
        <w:right w:val="none" w:sz="0" w:space="0" w:color="auto"/>
      </w:divBdr>
    </w:div>
    <w:div w:id="149784608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820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UNEP/OzL.Pro/ExCom/77/13</Document_x0020_Number>
    <DocumentType xmlns="64e33b30-101d-41de-b951-961aab25ea29">Pre-session</DocumentType>
  </documentManagement>
</p:properties>
</file>

<file path=customXml/itemProps1.xml><?xml version="1.0" encoding="utf-8"?>
<ds:datastoreItem xmlns:ds="http://schemas.openxmlformats.org/officeDocument/2006/customXml" ds:itemID="{393E8CB8-E047-47A9-B56B-629EC34BA104}"/>
</file>

<file path=customXml/itemProps2.xml><?xml version="1.0" encoding="utf-8"?>
<ds:datastoreItem xmlns:ds="http://schemas.openxmlformats.org/officeDocument/2006/customXml" ds:itemID="{61E6F238-B65D-4223-BD12-CEB53167C629}"/>
</file>

<file path=customXml/itemProps3.xml><?xml version="1.0" encoding="utf-8"?>
<ds:datastoreItem xmlns:ds="http://schemas.openxmlformats.org/officeDocument/2006/customXml" ds:itemID="{FA2F0AF0-024E-4733-8107-C6213E50D7DB}"/>
</file>

<file path=customXml/itemProps4.xml><?xml version="1.0" encoding="utf-8"?>
<ds:datastoreItem xmlns:ds="http://schemas.openxmlformats.org/officeDocument/2006/customXml" ds:itemID="{5AE12D6B-2918-4B28-8000-BE2B86E71710}"/>
</file>

<file path=docProps/app.xml><?xml version="1.0" encoding="utf-8"?>
<Properties xmlns="http://schemas.openxmlformats.org/officeDocument/2006/extended-properties" xmlns:vt="http://schemas.openxmlformats.org/officeDocument/2006/docPropsVTypes">
  <Template>normal</Template>
  <TotalTime>250</TotalTime>
  <Pages>11</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Progress Report of UNDP as at 31 December 2015 (part 1)</vt:lpstr>
    </vt:vector>
  </TitlesOfParts>
  <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UNDP as at 31 December 2015 (part 1)</dc:title>
  <dc:subject>UNEP/OzL.Pro/ExCom/77/13</dc:subject>
  <dc:creator/>
  <cp:lastModifiedBy>muriel Aguiar</cp:lastModifiedBy>
  <cp:revision>35</cp:revision>
  <cp:lastPrinted>2016-11-10T23:52:00Z</cp:lastPrinted>
  <dcterms:created xsi:type="dcterms:W3CDTF">2016-11-08T15:07:00Z</dcterms:created>
  <dcterms:modified xsi:type="dcterms:W3CDTF">2016-11-11T00:03:00Z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UNEP/OzL.Pro/ExCom/77/13</vt:lpwstr>
  </property>
  <property fmtid="{D5CDD505-2E9C-101B-9397-08002B2CF9AE}" pid="3" name="Revision date">
    <vt:lpwstr>10/11/2016</vt:lpwstr>
  </property>
  <property fmtid="{D5CDD505-2E9C-101B-9397-08002B2CF9AE}" pid="4" name="ContentTypeId">
    <vt:lpwstr>0x010100F409F5B17BF82F4083D32896D3516BC1</vt:lpwstr>
  </property>
</Properties>
</file>